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34" w:rsidRPr="005F5E86" w:rsidRDefault="000C74D7" w:rsidP="005F5E8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D45C34" w:rsidRPr="005F5E86" w:rsidRDefault="000C74D7" w:rsidP="005F5E8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70"/>
        <w:gridCol w:w="7224"/>
      </w:tblGrid>
      <w:tr w:rsidR="00D45C34" w:rsidRPr="005F5E86">
        <w:trPr>
          <w:trHeight w:val="440"/>
        </w:trPr>
        <w:tc>
          <w:tcPr>
            <w:tcW w:w="7670" w:type="dxa"/>
          </w:tcPr>
          <w:p w:rsidR="00D45C34" w:rsidRPr="005F5E86" w:rsidRDefault="000C74D7" w:rsidP="005F5E86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224" w:type="dxa"/>
          </w:tcPr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45C34" w:rsidRPr="005F5E86">
        <w:trPr>
          <w:trHeight w:val="420"/>
        </w:trPr>
        <w:tc>
          <w:tcPr>
            <w:tcW w:w="7670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224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სამართლებრივი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სამეში</w:t>
            </w:r>
          </w:p>
        </w:tc>
      </w:tr>
      <w:tr w:rsidR="00D45C34" w:rsidRPr="005F5E86">
        <w:trPr>
          <w:trHeight w:val="420"/>
        </w:trPr>
        <w:tc>
          <w:tcPr>
            <w:tcW w:w="7670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224" w:type="dxa"/>
          </w:tcPr>
          <w:p w:rsidR="00D45C34" w:rsidRPr="005F5E86" w:rsidRDefault="00D45C34" w:rsidP="005F5E8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45C34" w:rsidRPr="005F5E86">
        <w:trPr>
          <w:trHeight w:val="420"/>
        </w:trPr>
        <w:tc>
          <w:tcPr>
            <w:tcW w:w="7670" w:type="dxa"/>
          </w:tcPr>
          <w:p w:rsidR="00D45C34" w:rsidRPr="005F5E86" w:rsidRDefault="000C74D7" w:rsidP="005F5E8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224" w:type="dxa"/>
          </w:tcPr>
          <w:p w:rsidR="00D45C34" w:rsidRPr="005F5E86" w:rsidRDefault="000C74D7" w:rsidP="005F5E86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</w:tr>
      <w:tr w:rsidR="00D45C34" w:rsidRPr="005F5E86">
        <w:trPr>
          <w:trHeight w:val="420"/>
        </w:trPr>
        <w:tc>
          <w:tcPr>
            <w:tcW w:w="7670" w:type="dxa"/>
          </w:tcPr>
          <w:p w:rsidR="00D45C34" w:rsidRPr="005F5E86" w:rsidRDefault="000C74D7" w:rsidP="005F5E8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4" w:type="dxa"/>
          </w:tcPr>
          <w:p w:rsidR="00D45C34" w:rsidRPr="005F5E86" w:rsidRDefault="000C74D7" w:rsidP="005F5E86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ეთიკა</w:t>
            </w:r>
          </w:p>
        </w:tc>
      </w:tr>
      <w:tr w:rsidR="00D45C34" w:rsidRPr="005F5E86">
        <w:trPr>
          <w:trHeight w:val="4060"/>
        </w:trPr>
        <w:tc>
          <w:tcPr>
            <w:tcW w:w="7670" w:type="dxa"/>
          </w:tcPr>
          <w:p w:rsidR="00D45C34" w:rsidRPr="005F5E86" w:rsidRDefault="000C74D7" w:rsidP="005F5E8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224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დებულებების</w:t>
            </w:r>
            <w:r w:rsidR="005F5E8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კანონმდებლობის</w:t>
            </w:r>
            <w:r w:rsidR="005F5E86">
              <w:rPr>
                <w:rFonts w:ascii="Sylfaen" w:eastAsia="Arial Unicode MS" w:hAnsi="Sylfaen" w:cs="Arial Unicode MS"/>
                <w:sz w:val="20"/>
                <w:szCs w:val="20"/>
              </w:rPr>
              <w:t>ა 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4179"/>
        <w:gridCol w:w="5421"/>
        <w:gridCol w:w="1609"/>
      </w:tblGrid>
      <w:tr w:rsidR="00D45C34" w:rsidRPr="005F5E86">
        <w:trPr>
          <w:trHeight w:val="1100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D45C34" w:rsidRPr="005F5E86" w:rsidRDefault="00D45C34" w:rsidP="005F5E8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179" w:type="dxa"/>
            <w:shd w:val="clear" w:color="auto" w:fill="DBE5F1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421" w:type="dxa"/>
            <w:shd w:val="clear" w:color="auto" w:fill="DBE5F1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09" w:type="dxa"/>
            <w:shd w:val="clear" w:color="auto" w:fill="DBE5F1"/>
            <w:vAlign w:val="center"/>
          </w:tcPr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D45C34" w:rsidRPr="005F5E86">
        <w:trPr>
          <w:trHeight w:val="3980"/>
          <w:jc w:val="center"/>
        </w:trPr>
        <w:tc>
          <w:tcPr>
            <w:tcW w:w="3685" w:type="dxa"/>
            <w:shd w:val="clear" w:color="auto" w:fill="auto"/>
          </w:tcPr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45C34" w:rsidRPr="005F5E86" w:rsidRDefault="00D45C34" w:rsidP="005F5E86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0C74D7" w:rsidP="005F5E86">
            <w:pPr>
              <w:numPr>
                <w:ilvl w:val="0"/>
                <w:numId w:val="4"/>
              </w:numPr>
              <w:spacing w:after="20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დებულებების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45C34" w:rsidRPr="005F5E86" w:rsidRDefault="00D45C34" w:rsidP="005F5E86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spacing w:before="200" w:after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დოკუმენტებს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დარღვეული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ებებს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45C34" w:rsidRPr="005F5E86" w:rsidRDefault="00D45C34" w:rsidP="005F5E8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21" w:type="dxa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განვითარების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ეტაპები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ჰამურაბის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კანონები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საყოველთაო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დეკლარაცია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ძირითადი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მიმოხილვა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საყოველთაო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დეკლარაცია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პაქტი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სამოქალაქო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პოლიტიკურ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(ICCPR)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ეკონომიკურ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პაქტი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(ICESCR)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ქალთა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დისკრიმინაციის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ყველა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ფორმის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(CEDAW)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რასობრივი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დისკრიმინაციის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ყველა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ფორმის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(CERD)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წამებისა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სასტიკი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არაადამიანური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ღირსების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შემლახავი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მოპყრობის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დასჯის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წინააღმდეგ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(CAT)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(CRC)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ყველა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მიგრანტი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მუშა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მოსამსახურისა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ოჯახის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წევრების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(CMW)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ვენცია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შეზღუდული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(DRC)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საერთაშორისო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ევროპული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კონვენცია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ევროპული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სასამართლო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D45C34" w:rsidRPr="005F5E86" w:rsidRDefault="000C74D7" w:rsidP="005F5E86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</w:p>
          <w:p w:rsidR="00D45C34" w:rsidRPr="005F5E86" w:rsidRDefault="000C74D7" w:rsidP="005F5E8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45C34" w:rsidRPr="005F5E86" w:rsidRDefault="000C74D7" w:rsidP="005F5E8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</w:tr>
      <w:tr w:rsidR="00D45C34" w:rsidRPr="005F5E86">
        <w:trPr>
          <w:trHeight w:val="1040"/>
          <w:jc w:val="center"/>
        </w:trPr>
        <w:tc>
          <w:tcPr>
            <w:tcW w:w="3685" w:type="dxa"/>
            <w:shd w:val="clear" w:color="auto" w:fill="auto"/>
          </w:tcPr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მოქმედი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კანონმდებლობის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4179" w:type="dxa"/>
            <w:shd w:val="clear" w:color="auto" w:fill="auto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სფეროში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მოქმედ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კანონმდებლობას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ძირითად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არსს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სამართლებრივ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აქტს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21" w:type="dxa"/>
          </w:tcPr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color w:val="FF0000"/>
                <w:sz w:val="20"/>
                <w:szCs w:val="20"/>
              </w:rPr>
              <w:t> 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კანონმდებლობა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კონსტ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იტუცია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საექიმო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სისხლისა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დონორობის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ორგანოთა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გადანერგვის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ნარკოტიკული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პრეკურსორებისა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ნარკოლოგიური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ფარმაცევტულ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შეზღუდული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მქ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ონე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მზრუნველობას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მოკლებულ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ბავშვთა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აგრეთვე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სასწავლო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სამეცნიერო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კვლევითი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საექსპერტო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საკონტროლო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ანალიზური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ლაბორატორიული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განმახორციელებელ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ნარკოტიკული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ნივთიერ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ებებისა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პრეკურსორების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ლეგალური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ბრუნვის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მინიტრის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სპეციალურ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დაქვემდებარებულ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ფარმაცევტულ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პროდუქტთან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გათანაბრებული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სამკურნალო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ნუსხისა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ლეგალური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ბრუნვის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ამბულატორიული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დაწესებულებებში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სტაციონარული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მისნიტრის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ტექნიკური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რეგლამენტის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თაობაზე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მთავრობის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დადგენილება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დამზადების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შენახვისა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ესის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მისნიტრის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ზოგიერთი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ჩატარებამდე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პაციენტისაგან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თანხმობის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ნოზოკომიური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ეპიდზედამხედველობის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შესახებჯანდაცვის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ლიცენზიისა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ნებართვის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გაცემის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წესისა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დებულებების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თაობაზე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მთავრობი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დადგენილება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45C34" w:rsidRPr="005F5E86" w:rsidRDefault="00D45C34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D45C34" w:rsidRPr="005F5E86" w:rsidRDefault="00D45C34" w:rsidP="005F5E8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45C34" w:rsidRPr="005F5E86">
        <w:trPr>
          <w:trHeight w:val="1040"/>
          <w:jc w:val="center"/>
        </w:trPr>
        <w:tc>
          <w:tcPr>
            <w:tcW w:w="3685" w:type="dxa"/>
            <w:shd w:val="clear" w:color="auto" w:fill="auto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</w:tc>
        <w:tc>
          <w:tcPr>
            <w:tcW w:w="4179" w:type="dxa"/>
            <w:shd w:val="clear" w:color="auto" w:fill="auto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უფლებებს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“;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მიხევდით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უფლებებსა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„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კანონის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“;</w:t>
            </w:r>
          </w:p>
          <w:p w:rsidR="00D45C34" w:rsidRPr="005F5E86" w:rsidRDefault="00D45C34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21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პრევენციულ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ღონისძიებებზე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ომსახურების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ხელმისაწვდომობა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თანხმობა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თავისუფალი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არჩევანის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ცხოვრების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ხელშეუხებლობა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კონფიდენციალურობა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პაციენტის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გაუფრთხილდნენ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ხარისხიანი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მომსახურეობის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თანამედროვე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მედიცინის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მიღწევებით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სარგებლობის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ტანჯვისა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შემსუბუქების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საჩივრის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შეტანის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წინასწარ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გამოხატვის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აღკვეთილ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პირთა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</w:t>
            </w:r>
          </w:p>
          <w:p w:rsidR="00D45C34" w:rsidRPr="005F5E86" w:rsidRDefault="000C74D7" w:rsidP="005F5E86">
            <w:pPr>
              <w:numPr>
                <w:ilvl w:val="0"/>
                <w:numId w:val="2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გენეტიკასთან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D45C34" w:rsidRPr="005F5E86" w:rsidRDefault="000C74D7" w:rsidP="005F5E8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ჩარევაზე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თანხმობის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  <w:p w:rsidR="00D45C34" w:rsidRPr="005F5E86" w:rsidRDefault="000C74D7" w:rsidP="005F5E8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  <w:p w:rsidR="00D45C34" w:rsidRPr="005F5E86" w:rsidRDefault="000C74D7" w:rsidP="005F5E86">
            <w:pPr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ვალდებულება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ჯანდაცვის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უფლებები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D45C34" w:rsidRPr="005F5E86" w:rsidRDefault="000C74D7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პირობებში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შეკრებისა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გაერთიანების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თავისუფლება</w:t>
            </w:r>
          </w:p>
          <w:p w:rsidR="00D45C34" w:rsidRPr="005F5E86" w:rsidRDefault="000C74D7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სამართლიანი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ანაზღაურებისა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</w:p>
          <w:p w:rsidR="00D45C34" w:rsidRPr="005F5E86" w:rsidRDefault="000C74D7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სამართალწარმოების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უფლებები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</w:p>
          <w:p w:rsidR="00D45C34" w:rsidRPr="005F5E86" w:rsidRDefault="00D45C34" w:rsidP="005F5E86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D45C34" w:rsidRPr="005F5E86" w:rsidRDefault="00D45C34" w:rsidP="005F5E8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D45C34" w:rsidRPr="005F5E86" w:rsidRDefault="00D45C34" w:rsidP="005F5E86">
      <w:pPr>
        <w:tabs>
          <w:tab w:val="left" w:pos="10590"/>
        </w:tabs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Default="00D45C34" w:rsidP="005F5E86">
      <w:pPr>
        <w:tabs>
          <w:tab w:val="left" w:pos="10590"/>
        </w:tabs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F5E86" w:rsidRDefault="005F5E86" w:rsidP="005F5E86">
      <w:pPr>
        <w:tabs>
          <w:tab w:val="left" w:pos="10590"/>
        </w:tabs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F5E86" w:rsidRPr="005F5E86" w:rsidRDefault="005F5E86" w:rsidP="005F5E86">
      <w:pPr>
        <w:tabs>
          <w:tab w:val="left" w:pos="10590"/>
        </w:tabs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tabs>
          <w:tab w:val="left" w:pos="10590"/>
        </w:tabs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ab/>
      </w:r>
    </w:p>
    <w:p w:rsidR="00D45C34" w:rsidRPr="005F5E86" w:rsidRDefault="000C74D7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2302"/>
        <w:gridCol w:w="3195"/>
        <w:gridCol w:w="2610"/>
        <w:gridCol w:w="2502"/>
        <w:gridCol w:w="3283"/>
      </w:tblGrid>
      <w:tr w:rsidR="00D45C34" w:rsidRPr="005F5E86" w:rsidTr="005F5E86">
        <w:trPr>
          <w:trHeight w:val="600"/>
        </w:trPr>
        <w:tc>
          <w:tcPr>
            <w:tcW w:w="1001" w:type="dxa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497" w:type="dxa"/>
            <w:gridSpan w:val="2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610" w:type="dxa"/>
            <w:vAlign w:val="center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502" w:type="dxa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5F5E86" w:rsidRPr="005F5E86" w:rsidTr="005F5E86">
        <w:trPr>
          <w:trHeight w:val="420"/>
        </w:trPr>
        <w:tc>
          <w:tcPr>
            <w:tcW w:w="1001" w:type="dxa"/>
          </w:tcPr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497" w:type="dxa"/>
            <w:gridSpan w:val="2"/>
            <w:shd w:val="clear" w:color="auto" w:fill="auto"/>
          </w:tcPr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1. განვითარების ეტაპები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ჰამურაბის კანონები,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br/>
              <w:t xml:space="preserve"> ადამიანის უფლებათა საყოველთაო დეკლარაცია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2.საერთაშორისო დაცვის ძირითადი დოკუმენტები (ზოგადი მიმოხილვა)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ადამიანის უფლებათა საყოველთაო დეკლარაცია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საერთაშორისო პაქტი სამოქალაქო და პოლიტიკურ უფლებათა შესახებ (ICCPR)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ეკონომიკურ, სოციალურ და კულტურულ უფლებათა შესახებ საერთაშორისო პაქტი (ICESCR)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კონვენცია ქალთა დისკრიმინაციის ყველა ფორმის აღმოფხვრის შესახებ (CEDAW)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რასობრივი დისკრიმინაციის ყველა ფორმის აღმოფხვრის შესახებ კონვენციის (CERD)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კონვენციის წამებისა და სხვა სასტიკი, არაადამიანური ან ღირსების შემლახავი მოპყრობის ან დასჯის წინააღმდეგ (CAT)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ბავშვის უფლებათა კონვენცია (CRC)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საერთაშორისო კონვენცია ყველა მიგრანტი მუშა-მოსამსახურისა და მათი ოჯახის წევრების დაცვის შესახებ (CMW)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 კონვენცია შეზღუდული შესაძლებლობების მქონე პირთა უფლებების დაცვის შესახებ (DRC)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3.საერთაშორისო დავის საშუალებები: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br/>
              <w:t>-ადამიანის უფლებათა ევროპული კონვენცია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-ადამიანის უფლებათა ევროპული სასამართლო 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5F5E86" w:rsidRPr="005F5E86" w:rsidRDefault="005F5E86" w:rsidP="005F5E86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ინტერაქტიული ლექცია </w:t>
            </w: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tabs>
                <w:tab w:val="left" w:pos="283"/>
              </w:tabs>
              <w:ind w:left="0" w:hanging="17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სემინარი, დისკუსია,</w:t>
            </w: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tabs>
                <w:tab w:val="left" w:pos="283"/>
              </w:tabs>
              <w:ind w:left="0" w:hanging="17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კონკრეტული შემთხვევების განხილვა</w:t>
            </w:r>
          </w:p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502" w:type="dxa"/>
            <w:vMerge w:val="restart"/>
          </w:tcPr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spacing w:after="200"/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წერითი მეთოდი - ღია ან/და დახურული ტესტი;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გამსვლელი ზღვარი 55 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%</w:t>
            </w:r>
          </w:p>
          <w:p w:rsidR="005F5E86" w:rsidRPr="005F5E86" w:rsidRDefault="005F5E86" w:rsidP="005F5E86">
            <w:pPr>
              <w:numPr>
                <w:ilvl w:val="0"/>
                <w:numId w:val="7"/>
              </w:numPr>
              <w:ind w:left="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Default="005F5E86" w:rsidP="005F5E86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5F5E86" w:rsidRPr="005F5E86" w:rsidRDefault="005F5E86" w:rsidP="005F5E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ელექტრონულად ჩატარებული გამოკითხვა: ელექტრონულად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შესრულებული ნამუშევარი, რომელიც ადასტურებს ცოდნას, უნარს ან/და კომპეტენციას;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5F5E86" w:rsidRPr="005F5E86" w:rsidTr="005F5E86">
        <w:trPr>
          <w:trHeight w:val="440"/>
        </w:trPr>
        <w:tc>
          <w:tcPr>
            <w:tcW w:w="1001" w:type="dxa"/>
          </w:tcPr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97" w:type="dxa"/>
            <w:gridSpan w:val="2"/>
            <w:shd w:val="clear" w:color="auto" w:fill="auto"/>
          </w:tcPr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კანონმდებლობა: 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 კონსტიტუცია;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პაციენტის უფლებების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ჯანმრთელობის დაცვის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საექიმო საქმიანობის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სისხლისა და მისი კომპონენტების დონორობის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ადამიანის ორგანოთა გადანერგვის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კანონი 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ფარმაცევტულ, სამედიცინო, ხანდაზმულთა, შეზღუდული შესაძლებლობის მქონე პირთა და მზრუნველობას მოკლებულ ბავშვთა დაწესებულებებში, აგრეთვე, სასწავლო, სამეცნიერო-კვლევითი, საექსპერტო-დიაგნოსტიკური და საკონტროლო-ანალიზური (ლაბორატორიული) საქმიანობის განმახორციელებელ დაწესებულებებში ნარკოტიკული საშუალებების, ფსიქოტროპული ნივთიერებებისა და პრეკურსორების ლეგალური ბრუნვის წესების დამტკიცების შესახებ ჯანდაცვის მინიტრის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სპეციალურ კონტროლს დაქვემდებარებულ ფარმაცევტულ პროდუქტთან გათანაბრებული სამკურნალო საშუალებების ნუსხისა და მათი ლეგალური ბრუნვის წესების დამტკიცების შესახებ ჯანდაცვის მინისტრის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ამბულატორიული სამედიცინო დოკუმენტაციის წარმოების წესის დამტკიცების შესახებჯანდაცვის მინისტრის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-          სამედიცინო დაწესებულებებში სტაციონარული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სამედიცინო დოკუმენტაციის წარმოების წესის დამტკიცების შესახებ ჯანდაცვის მისნიტრის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დადგენილება;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სისხლის და სისხლის კომპონენტის დამზადების, შენახვისა და გამოყენების წესის დამტკიცების შესახებ ჯანდაცვის მისნიტრის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ზოგიერთი სამედიცინო ჩარევის ჩატარებამდე პაციენტისაგან წერილობითი ინფორმირებული თანხმობის მიღების შესახებ ჯანდაცვის მინისტრის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ნოზოკომიური ინფექციების ეპიდზედამხედველობის, პრევენციისა და კონტროლის წესების დამტკიცების შესახებჯანდაცვის მინისტრის ბრძანება;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-          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დადგენილება.</w:t>
            </w:r>
          </w:p>
          <w:p w:rsidR="005F5E86" w:rsidRPr="005F5E86" w:rsidRDefault="005F5E86" w:rsidP="005F5E86">
            <w:pPr>
              <w:shd w:val="clear" w:color="auto" w:fill="FFFFFF"/>
              <w:spacing w:before="100" w:after="100"/>
              <w:ind w:right="28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610" w:type="dxa"/>
            <w:vMerge/>
            <w:vAlign w:val="center"/>
          </w:tcPr>
          <w:p w:rsidR="005F5E86" w:rsidRPr="005F5E86" w:rsidRDefault="005F5E86" w:rsidP="005F5E86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F5E86" w:rsidRPr="005F5E86" w:rsidRDefault="005F5E86" w:rsidP="005F5E86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5F5E86" w:rsidRPr="005F5E86" w:rsidTr="005F5E86">
        <w:trPr>
          <w:trHeight w:val="440"/>
        </w:trPr>
        <w:tc>
          <w:tcPr>
            <w:tcW w:w="1001" w:type="dxa"/>
          </w:tcPr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97" w:type="dxa"/>
            <w:gridSpan w:val="2"/>
            <w:shd w:val="clear" w:color="auto" w:fill="auto"/>
          </w:tcPr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1.პაციენტის უფლებები: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უფლება პრევენციულ ღონისძიებებზე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 მომსახურების ხელმისაწვდომობა (სოციალური უფლებები)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 მიღების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ინფორმირებული თანხმობა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თავისუფალი არჩევანის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პირადი ცხოვრების ხელშეუხებლობა და კონფიდენციალურობა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პაციენტის უფლება გაუფრთხილდნენ მის დროს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ხარისხიანი სამედიცინო მომსახურეობის მიღების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უსაფრთხოების უფლება 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თანამედროვე მედიცინის მიღწევებით სარგებლობის უფლება 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ტანჯვისა და ტკივილის შემსუბუქების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საჩივრის შეტანის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კომპენსაციის მიღების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ნების წინასწარ გამოხატვის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თავისუფლება აღკვეთილ პირთა უფლებები</w:t>
            </w:r>
          </w:p>
          <w:p w:rsidR="005F5E86" w:rsidRPr="005F5E86" w:rsidRDefault="005F5E86" w:rsidP="005F5E86">
            <w:pPr>
              <w:numPr>
                <w:ilvl w:val="0"/>
                <w:numId w:val="2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გენეტიკასთან დაკავშირებული უფლებები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2.პაციენტის მოვალეობები: </w:t>
            </w:r>
          </w:p>
          <w:p w:rsidR="005F5E86" w:rsidRPr="005F5E86" w:rsidRDefault="005F5E86" w:rsidP="005F5E8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 ჩარევაზე თანხმობის ვალდებულება</w:t>
            </w:r>
          </w:p>
          <w:p w:rsidR="005F5E86" w:rsidRPr="005F5E86" w:rsidRDefault="005F5E86" w:rsidP="005F5E8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 მიწოდების ვალდებულება</w:t>
            </w:r>
          </w:p>
          <w:p w:rsidR="005F5E86" w:rsidRPr="005F5E86" w:rsidRDefault="005F5E86" w:rsidP="005F5E86">
            <w:pPr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 მიღების ვალდებულება</w:t>
            </w:r>
          </w:p>
          <w:p w:rsidR="005F5E86" w:rsidRPr="005F5E86" w:rsidRDefault="005F5E86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3.ჯანდაცვის პერსონალის უფლებები:</w:t>
            </w:r>
          </w:p>
          <w:p w:rsidR="005F5E86" w:rsidRPr="005F5E86" w:rsidRDefault="005F5E86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 პირობებში მუშაობის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შეკრებისა და გაერთიანების თავისუფლება</w:t>
            </w:r>
          </w:p>
          <w:p w:rsidR="005F5E86" w:rsidRPr="005F5E86" w:rsidRDefault="005F5E86" w:rsidP="005F5E8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სამართლიანი ანაზღაურებისა და უსაფრთხო სამუშაო პირობების უფლება</w:t>
            </w:r>
          </w:p>
          <w:p w:rsidR="005F5E86" w:rsidRPr="005F5E86" w:rsidRDefault="005F5E86" w:rsidP="005F5E86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სამართალწარმოების უფლება და მასთან დაკავშირებული უფლებები</w:t>
            </w:r>
          </w:p>
        </w:tc>
        <w:tc>
          <w:tcPr>
            <w:tcW w:w="2610" w:type="dxa"/>
            <w:vMerge/>
            <w:vAlign w:val="center"/>
          </w:tcPr>
          <w:p w:rsidR="005F5E86" w:rsidRPr="005F5E86" w:rsidRDefault="005F5E86" w:rsidP="005F5E86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02" w:type="dxa"/>
          </w:tcPr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5F5E86" w:rsidRPr="005F5E86" w:rsidRDefault="005F5E86" w:rsidP="005F5E8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5F5E86" w:rsidRPr="005F5E86" w:rsidRDefault="005F5E86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45C34" w:rsidRPr="005F5E86" w:rsidTr="005F5E86">
        <w:trPr>
          <w:gridAfter w:val="4"/>
          <w:wAfter w:w="11590" w:type="dxa"/>
          <w:trHeight w:val="440"/>
        </w:trPr>
        <w:tc>
          <w:tcPr>
            <w:tcW w:w="3303" w:type="dxa"/>
            <w:gridSpan w:val="2"/>
            <w:tcBorders>
              <w:bottom w:val="nil"/>
            </w:tcBorders>
          </w:tcPr>
          <w:p w:rsidR="00D45C34" w:rsidRPr="005F5E86" w:rsidRDefault="00D45C34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45C34" w:rsidRPr="005F5E86" w:rsidTr="005F5E86">
        <w:trPr>
          <w:trHeight w:val="440"/>
        </w:trPr>
        <w:tc>
          <w:tcPr>
            <w:tcW w:w="6498" w:type="dxa"/>
            <w:gridSpan w:val="3"/>
          </w:tcPr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D45C34" w:rsidRPr="005F5E86" w:rsidRDefault="000C74D7" w:rsidP="005F5E8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8395" w:type="dxa"/>
            <w:gridSpan w:val="3"/>
            <w:vAlign w:val="center"/>
          </w:tcPr>
          <w:p w:rsidR="00D45C34" w:rsidRPr="005F5E86" w:rsidRDefault="00D45C34" w:rsidP="005F5E8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400" w:firstRow="0" w:lastRow="0" w:firstColumn="0" w:lastColumn="0" w:noHBand="0" w:noVBand="1"/>
      </w:tblPr>
      <w:tblGrid>
        <w:gridCol w:w="2961"/>
        <w:gridCol w:w="5412"/>
        <w:gridCol w:w="2493"/>
        <w:gridCol w:w="1865"/>
        <w:gridCol w:w="2163"/>
      </w:tblGrid>
      <w:tr w:rsidR="00D45C34" w:rsidRPr="005F5E86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D45C34" w:rsidRPr="005F5E8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45C34" w:rsidRPr="005F5E86" w:rsidRDefault="000C74D7" w:rsidP="005F5E86">
            <w:pPr>
              <w:spacing w:before="12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D45C34" w:rsidRPr="005F5E8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45C34" w:rsidRPr="005F5E86" w:rsidRDefault="00D45C34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D45C34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D45C34" w:rsidRPr="005F5E8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24</w:t>
            </w:r>
          </w:p>
        </w:tc>
      </w:tr>
      <w:tr w:rsidR="00D45C34" w:rsidRPr="005F5E8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24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</w:tr>
      <w:tr w:rsidR="00D45C34" w:rsidRPr="005F5E8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26</w:t>
            </w:r>
          </w:p>
        </w:tc>
      </w:tr>
      <w:tr w:rsidR="00D45C34" w:rsidRPr="005F5E8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t>63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5C34" w:rsidRPr="005F5E86" w:rsidRDefault="000C74D7" w:rsidP="005F5E8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b/>
                <w:sz w:val="20"/>
                <w:szCs w:val="20"/>
              </w:rPr>
              <w:t>75</w:t>
            </w:r>
          </w:p>
        </w:tc>
      </w:tr>
    </w:tbl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numPr>
          <w:ilvl w:val="1"/>
          <w:numId w:val="6"/>
        </w:numPr>
        <w:spacing w:before="120" w:line="240" w:lineRule="auto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D45C34" w:rsidRPr="005F5E86" w:rsidRDefault="000C74D7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ძირითადი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ლიტერატურა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: </w:t>
      </w:r>
    </w:p>
    <w:p w:rsidR="00D45C34" w:rsidRPr="005F5E86" w:rsidRDefault="000C74D7" w:rsidP="005F5E86">
      <w:pPr>
        <w:numPr>
          <w:ilvl w:val="0"/>
          <w:numId w:val="1"/>
        </w:numPr>
        <w:spacing w:before="12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„</w:t>
      </w:r>
      <w:r w:rsidRPr="005F5E86">
        <w:rPr>
          <w:rFonts w:ascii="Sylfaen" w:eastAsia="Arial Unicode MS" w:hAnsi="Sylfaen" w:cs="Arial Unicode MS"/>
          <w:sz w:val="20"/>
          <w:szCs w:val="20"/>
        </w:rPr>
        <w:t>ადამიანის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უდლებები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ჯანმრთელობის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სფეროში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პრაქტიკული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იურისტებისთვის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;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საქართველო</w:t>
      </w:r>
      <w:r w:rsidRPr="005F5E86">
        <w:rPr>
          <w:rFonts w:ascii="Sylfaen" w:eastAsia="Arial Unicode MS" w:hAnsi="Sylfaen" w:cs="Arial Unicode MS"/>
          <w:sz w:val="20"/>
          <w:szCs w:val="20"/>
        </w:rPr>
        <w:t>; 2011;</w:t>
      </w:r>
    </w:p>
    <w:p w:rsidR="00D45C34" w:rsidRPr="005F5E86" w:rsidRDefault="000C74D7" w:rsidP="005F5E86">
      <w:pPr>
        <w:spacing w:before="120" w:line="240" w:lineRule="auto"/>
        <w:ind w:left="360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დამატებითი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ლიტერატურა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:</w:t>
      </w:r>
    </w:p>
    <w:p w:rsidR="00D45C34" w:rsidRPr="005F5E86" w:rsidRDefault="000C74D7" w:rsidP="005F5E86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„</w:t>
      </w:r>
      <w:r w:rsidRPr="005F5E86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კონსტიტუცია</w:t>
      </w:r>
      <w:r w:rsidRPr="005F5E86">
        <w:rPr>
          <w:rFonts w:ascii="Sylfaen" w:eastAsia="Arial Unicode MS" w:hAnsi="Sylfaen" w:cs="Arial Unicode MS"/>
          <w:sz w:val="20"/>
          <w:szCs w:val="20"/>
        </w:rPr>
        <w:t>“</w:t>
      </w:r>
    </w:p>
    <w:p w:rsidR="00D45C34" w:rsidRPr="005F5E86" w:rsidRDefault="000C74D7" w:rsidP="005F5E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„</w:t>
      </w:r>
      <w:r w:rsidRPr="005F5E86">
        <w:rPr>
          <w:rFonts w:ascii="Sylfaen" w:eastAsia="Arial Unicode MS" w:hAnsi="Sylfaen" w:cs="Arial Unicode MS"/>
          <w:sz w:val="20"/>
          <w:szCs w:val="20"/>
        </w:rPr>
        <w:t>კანონი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ჯანმრთელობის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დაცვის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5F5E86">
        <w:rPr>
          <w:rFonts w:ascii="Sylfaen" w:eastAsia="Arial Unicode MS" w:hAnsi="Sylfaen" w:cs="Arial Unicode MS"/>
          <w:sz w:val="20"/>
          <w:szCs w:val="20"/>
        </w:rPr>
        <w:t>“ /10.12.1991/</w:t>
      </w:r>
    </w:p>
    <w:p w:rsidR="00D45C34" w:rsidRPr="005F5E86" w:rsidRDefault="000C74D7" w:rsidP="005F5E86">
      <w:pPr>
        <w:numPr>
          <w:ilvl w:val="0"/>
          <w:numId w:val="1"/>
        </w:numPr>
        <w:spacing w:line="240" w:lineRule="auto"/>
        <w:contextualSpacing/>
        <w:jc w:val="both"/>
        <w:rPr>
          <w:rFonts w:ascii="Sylfaen" w:hAnsi="Sylfaen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საქართველოს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კანონი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5F5E86">
        <w:rPr>
          <w:rFonts w:ascii="Sylfaen" w:eastAsia="Arial Unicode MS" w:hAnsi="Sylfaen" w:cs="Arial Unicode MS"/>
          <w:sz w:val="20"/>
          <w:szCs w:val="20"/>
        </w:rPr>
        <w:t>პაციენტის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უფლებების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შესახებ</w:t>
      </w:r>
      <w:r w:rsidRPr="005F5E86">
        <w:rPr>
          <w:rFonts w:ascii="Sylfaen" w:eastAsia="Arial Unicode MS" w:hAnsi="Sylfaen" w:cs="Arial Unicode MS"/>
          <w:sz w:val="20"/>
          <w:szCs w:val="20"/>
        </w:rPr>
        <w:t>“ /05.05.2000/</w:t>
      </w:r>
    </w:p>
    <w:p w:rsidR="00D45C34" w:rsidRPr="005F5E86" w:rsidRDefault="00D45C34" w:rsidP="005F5E86">
      <w:pPr>
        <w:spacing w:before="120" w:line="240" w:lineRule="auto"/>
        <w:ind w:left="360"/>
        <w:jc w:val="both"/>
        <w:rPr>
          <w:rFonts w:ascii="Sylfaen" w:eastAsia="Merriweather" w:hAnsi="Sylfaen" w:cs="Merriweather"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5F5E86" w:rsidRPr="005F5E86" w:rsidRDefault="005F5E86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D45C34" w:rsidRPr="005F5E86" w:rsidRDefault="000C74D7" w:rsidP="005F5E8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</w:t>
      </w:r>
      <w:r w:rsidRPr="005F5E86">
        <w:rPr>
          <w:rFonts w:ascii="Sylfaen" w:eastAsia="Arial Unicode MS" w:hAnsi="Sylfaen" w:cs="Arial Unicode MS"/>
          <w:sz w:val="20"/>
          <w:szCs w:val="20"/>
        </w:rPr>
        <w:t>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მიერ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5F5E86">
        <w:rPr>
          <w:rFonts w:ascii="Sylfaen" w:eastAsia="Arial Unicode MS" w:hAnsi="Sylfaen" w:cs="Arial Unicode MS"/>
          <w:sz w:val="20"/>
          <w:szCs w:val="20"/>
        </w:rPr>
        <w:t>/</w:t>
      </w:r>
      <w:r w:rsidRPr="005F5E86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F5E8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ან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F5E86">
        <w:rPr>
          <w:rFonts w:ascii="Sylfaen" w:eastAsia="Arial Unicode MS" w:hAnsi="Sylfaen" w:cs="Arial Unicode MS"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sz w:val="20"/>
          <w:szCs w:val="20"/>
        </w:rPr>
        <w:t>/</w:t>
      </w:r>
      <w:r w:rsidRPr="005F5E86">
        <w:rPr>
          <w:rFonts w:ascii="Sylfaen" w:eastAsia="Arial Unicode MS" w:hAnsi="Sylfaen" w:cs="Arial Unicode MS"/>
          <w:sz w:val="20"/>
          <w:szCs w:val="20"/>
        </w:rPr>
        <w:t>ან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F5E86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F5E86">
        <w:rPr>
          <w:rFonts w:ascii="Sylfaen" w:eastAsia="Arial Unicode MS" w:hAnsi="Sylfaen" w:cs="Arial Unicode MS"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F5E8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F5E86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</w:t>
      </w:r>
      <w:r w:rsidRPr="005F5E86">
        <w:rPr>
          <w:rFonts w:ascii="Sylfaen" w:eastAsia="Arial Unicode MS" w:hAnsi="Sylfaen" w:cs="Arial Unicode MS"/>
          <w:sz w:val="20"/>
          <w:szCs w:val="20"/>
        </w:rPr>
        <w:t>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D45C34" w:rsidRPr="005F5E86" w:rsidRDefault="00D45C34" w:rsidP="005F5E8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D45C34" w:rsidRPr="005F5E86" w:rsidRDefault="000C74D7" w:rsidP="005F5E8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F5E8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5F5E8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</w:t>
      </w:r>
      <w:r w:rsidRPr="005F5E86">
        <w:rPr>
          <w:rFonts w:ascii="Sylfaen" w:eastAsia="Arial Unicode MS" w:hAnsi="Sylfaen" w:cs="Arial Unicode MS"/>
          <w:sz w:val="20"/>
          <w:szCs w:val="20"/>
        </w:rPr>
        <w:t>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F5E86">
        <w:rPr>
          <w:rFonts w:ascii="Sylfaen" w:eastAsia="Arial Unicode MS" w:hAnsi="Sylfaen" w:cs="Arial Unicode MS"/>
          <w:sz w:val="20"/>
          <w:szCs w:val="20"/>
        </w:rPr>
        <w:t>ხოლო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და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5F5E8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5F5E86">
        <w:rPr>
          <w:rFonts w:ascii="Sylfaen" w:eastAsia="Arial Unicode MS" w:hAnsi="Sylfaen" w:cs="Arial Unicode MS"/>
          <w:sz w:val="20"/>
          <w:szCs w:val="20"/>
        </w:rPr>
        <w:t>/</w:t>
      </w:r>
      <w:r w:rsidRPr="005F5E86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5F5E8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5F5E86">
        <w:rPr>
          <w:rFonts w:ascii="Sylfaen" w:eastAsia="Arial Unicode MS" w:hAnsi="Sylfaen" w:cs="Arial Unicode MS"/>
          <w:sz w:val="20"/>
          <w:szCs w:val="20"/>
        </w:rPr>
        <w:t>.</w:t>
      </w: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0C74D7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F5E86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შ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ემუშავებაში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5F5E86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D45C34" w:rsidRPr="005F5E86">
        <w:tc>
          <w:tcPr>
            <w:tcW w:w="520" w:type="dxa"/>
            <w:shd w:val="clear" w:color="auto" w:fill="auto"/>
          </w:tcPr>
          <w:p w:rsidR="00D45C34" w:rsidRPr="005F5E86" w:rsidRDefault="000C74D7" w:rsidP="005F5E8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D45C34" w:rsidRPr="005F5E86">
        <w:tc>
          <w:tcPr>
            <w:tcW w:w="520" w:type="dxa"/>
            <w:shd w:val="clear" w:color="auto" w:fill="auto"/>
          </w:tcPr>
          <w:p w:rsidR="00D45C34" w:rsidRPr="005F5E86" w:rsidRDefault="000C74D7" w:rsidP="005F5E8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დავით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ტვილდიანის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სახელობის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უნივერსიტეტის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საზოგადოებრივი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კოლეჯი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D45C34" w:rsidRPr="005F5E86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F5E86">
              <w:rPr>
                <w:rFonts w:ascii="Sylfaen" w:hAnsi="Sylfaen"/>
                <w:sz w:val="20"/>
                <w:szCs w:val="20"/>
              </w:rPr>
              <w:t>ნინო</w:t>
            </w:r>
            <w:r w:rsidRPr="005F5E8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F5E86">
              <w:rPr>
                <w:rFonts w:ascii="Sylfaen" w:hAnsi="Sylfaen"/>
                <w:sz w:val="20"/>
                <w:szCs w:val="20"/>
              </w:rPr>
              <w:t>ქორთუა</w:t>
            </w:r>
            <w:r w:rsidRPr="005F5E8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C34" w:rsidRPr="005F5E86" w:rsidRDefault="000C74D7" w:rsidP="005F5E8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სს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-  “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კორპორაცია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ევექსი</w:t>
            </w: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”</w:t>
            </w:r>
          </w:p>
        </w:tc>
      </w:tr>
      <w:tr w:rsidR="005F5E86" w:rsidRPr="005F5E86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E86" w:rsidRPr="005F5E86" w:rsidRDefault="005F5E86" w:rsidP="005F5E8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E86" w:rsidRPr="005F5E86" w:rsidRDefault="005F5E86" w:rsidP="005F5E86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ნინო 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E86" w:rsidRPr="005F5E86" w:rsidRDefault="005F5E86" w:rsidP="005F5E86">
            <w:pPr>
              <w:widowControl w:val="0"/>
              <w:spacing w:after="0" w:line="240" w:lineRule="auto"/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</w:pPr>
            <w:r w:rsidRPr="005F5E8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შპს - “დავით ტვილდიანის სახელობის სამედიცინო უნივერსიტეტის საზოგადოებრივი საექთნო კოლეჯი”</w:t>
            </w:r>
            <w:bookmarkStart w:id="0" w:name="_GoBack"/>
            <w:bookmarkEnd w:id="0"/>
          </w:p>
        </w:tc>
      </w:tr>
    </w:tbl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45C34" w:rsidRPr="005F5E86" w:rsidRDefault="00D45C34" w:rsidP="005F5E8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D45C34" w:rsidRPr="005F5E86" w:rsidRDefault="00D45C34" w:rsidP="005F5E8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sectPr w:rsidR="00D45C34" w:rsidRPr="005F5E86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D7" w:rsidRDefault="000C74D7">
      <w:pPr>
        <w:spacing w:after="0" w:line="240" w:lineRule="auto"/>
      </w:pPr>
      <w:r>
        <w:separator/>
      </w:r>
    </w:p>
  </w:endnote>
  <w:endnote w:type="continuationSeparator" w:id="0">
    <w:p w:rsidR="000C74D7" w:rsidRDefault="000C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34" w:rsidRDefault="000C74D7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5F5E86">
      <w:fldChar w:fldCharType="separate"/>
    </w:r>
    <w:r w:rsidR="005F5E86">
      <w:rPr>
        <w:noProof/>
      </w:rPr>
      <w:t>12</w:t>
    </w:r>
    <w:r>
      <w:fldChar w:fldCharType="end"/>
    </w:r>
  </w:p>
  <w:p w:rsidR="00D45C34" w:rsidRDefault="00D45C34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D7" w:rsidRDefault="000C74D7">
      <w:pPr>
        <w:spacing w:after="0" w:line="240" w:lineRule="auto"/>
      </w:pPr>
      <w:r>
        <w:separator/>
      </w:r>
    </w:p>
  </w:footnote>
  <w:footnote w:type="continuationSeparator" w:id="0">
    <w:p w:rsidR="000C74D7" w:rsidRDefault="000C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34" w:rsidRDefault="00D45C34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5A6C"/>
    <w:multiLevelType w:val="multilevel"/>
    <w:tmpl w:val="5516A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5066E1"/>
    <w:multiLevelType w:val="multilevel"/>
    <w:tmpl w:val="09C4ED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21643EF7"/>
    <w:multiLevelType w:val="multilevel"/>
    <w:tmpl w:val="AFC6A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740D"/>
    <w:multiLevelType w:val="multilevel"/>
    <w:tmpl w:val="E33863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B8733A"/>
    <w:multiLevelType w:val="multilevel"/>
    <w:tmpl w:val="B20A95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428AB"/>
    <w:multiLevelType w:val="hybridMultilevel"/>
    <w:tmpl w:val="C354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C0B12"/>
    <w:multiLevelType w:val="multilevel"/>
    <w:tmpl w:val="DEF4C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5D2150"/>
    <w:multiLevelType w:val="multilevel"/>
    <w:tmpl w:val="6D08492C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5C34"/>
    <w:rsid w:val="000C74D7"/>
    <w:rsid w:val="005F5E86"/>
    <w:rsid w:val="00D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35F58-FE5C-460B-BE97-328C1F93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F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2017-12-04T10:15:00Z</dcterms:created>
  <dcterms:modified xsi:type="dcterms:W3CDTF">2017-12-04T10:17:00Z</dcterms:modified>
</cp:coreProperties>
</file>