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E7AC5" w14:textId="77777777" w:rsidR="00E3095E" w:rsidRPr="00853984" w:rsidRDefault="00E3095E" w:rsidP="00BE1E09">
      <w:pPr>
        <w:pStyle w:val="Logo"/>
        <w:framePr w:wrap="around"/>
        <w:rPr>
          <w:lang w:val="en-GB"/>
        </w:rPr>
      </w:pPr>
      <w:r w:rsidRPr="00853984">
        <w:rPr>
          <w:lang w:eastAsia="en-US"/>
        </w:rPr>
        <w:drawing>
          <wp:inline distT="0" distB="0" distL="0" distR="0" wp14:anchorId="08EE7BBB" wp14:editId="08EE7BBC">
            <wp:extent cx="2192655" cy="925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mblem-ENG-b.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215" cy="925195"/>
                    </a:xfrm>
                    <a:prstGeom prst="rect">
                      <a:avLst/>
                    </a:prstGeom>
                  </pic:spPr>
                </pic:pic>
              </a:graphicData>
            </a:graphic>
          </wp:inline>
        </w:drawing>
      </w:r>
    </w:p>
    <w:tbl>
      <w:tblPr>
        <w:tblW w:w="9072" w:type="dxa"/>
        <w:jc w:val="center"/>
        <w:tblLayout w:type="fixed"/>
        <w:tblCellMar>
          <w:left w:w="0" w:type="dxa"/>
          <w:right w:w="0" w:type="dxa"/>
        </w:tblCellMar>
        <w:tblLook w:val="04A0" w:firstRow="1" w:lastRow="0" w:firstColumn="1" w:lastColumn="0" w:noHBand="0" w:noVBand="1"/>
      </w:tblPr>
      <w:tblGrid>
        <w:gridCol w:w="5671"/>
        <w:gridCol w:w="3401"/>
      </w:tblGrid>
      <w:tr w:rsidR="003655E4" w:rsidRPr="00853984" w14:paraId="08EE7AC8" w14:textId="77777777" w:rsidTr="007803B0">
        <w:trPr>
          <w:trHeight w:val="369"/>
          <w:jc w:val="center"/>
        </w:trPr>
        <w:tc>
          <w:tcPr>
            <w:tcW w:w="5671" w:type="dxa"/>
            <w:tcMar>
              <w:top w:w="120" w:type="dxa"/>
              <w:left w:w="0" w:type="dxa"/>
              <w:right w:w="0" w:type="dxa"/>
            </w:tcMar>
            <w:vAlign w:val="center"/>
          </w:tcPr>
          <w:p w14:paraId="08EE7AC6" w14:textId="3D332F52" w:rsidR="003655E4" w:rsidRPr="00853984" w:rsidRDefault="003655E4" w:rsidP="00D67F2E">
            <w:pPr>
              <w:pStyle w:val="MetaEventName"/>
              <w:rPr>
                <w:lang w:val="en-GB"/>
              </w:rPr>
            </w:pPr>
          </w:p>
        </w:tc>
        <w:tc>
          <w:tcPr>
            <w:tcW w:w="3401" w:type="dxa"/>
            <w:tcMar>
              <w:top w:w="120" w:type="dxa"/>
              <w:left w:w="0" w:type="dxa"/>
              <w:right w:w="0" w:type="dxa"/>
            </w:tcMar>
          </w:tcPr>
          <w:p w14:paraId="08EE7AC7" w14:textId="3EC691F0" w:rsidR="003655E4" w:rsidRPr="00853984" w:rsidRDefault="003655E4" w:rsidP="00491AC2">
            <w:pPr>
              <w:pStyle w:val="DocNumber"/>
              <w:rPr>
                <w:lang w:val="en-GB"/>
              </w:rPr>
            </w:pPr>
            <w:r w:rsidRPr="00853984">
              <w:rPr>
                <w:lang w:val="en-GB"/>
              </w:rPr>
              <w:t>EUR/</w:t>
            </w:r>
            <w:r w:rsidR="00042E96" w:rsidRPr="00853984">
              <w:rPr>
                <w:lang w:val="en-GB"/>
              </w:rPr>
              <w:t>12</w:t>
            </w:r>
          </w:p>
        </w:tc>
      </w:tr>
      <w:tr w:rsidR="00C76ABE" w:rsidRPr="00853984" w14:paraId="08EE7ACB" w14:textId="77777777" w:rsidTr="0080458E">
        <w:trPr>
          <w:trHeight w:val="283"/>
          <w:jc w:val="center"/>
        </w:trPr>
        <w:tc>
          <w:tcPr>
            <w:tcW w:w="5671" w:type="dxa"/>
            <w:tcMar>
              <w:left w:w="0" w:type="dxa"/>
              <w:right w:w="0" w:type="dxa"/>
            </w:tcMar>
            <w:vAlign w:val="center"/>
          </w:tcPr>
          <w:p w14:paraId="08EE7AC9" w14:textId="6FAB2385" w:rsidR="00C76ABE" w:rsidRPr="00853984" w:rsidRDefault="00C76ABE" w:rsidP="00D67F2E">
            <w:pPr>
              <w:pStyle w:val="MetaSessionName"/>
              <w:rPr>
                <w:lang w:val="en-GB"/>
              </w:rPr>
            </w:pPr>
          </w:p>
        </w:tc>
        <w:tc>
          <w:tcPr>
            <w:tcW w:w="3401" w:type="dxa"/>
            <w:tcMar>
              <w:left w:w="0" w:type="dxa"/>
              <w:right w:w="0" w:type="dxa"/>
            </w:tcMar>
            <w:vAlign w:val="center"/>
          </w:tcPr>
          <w:p w14:paraId="08EE7ACA" w14:textId="6FDE70BA" w:rsidR="00C76ABE" w:rsidRPr="00853984" w:rsidRDefault="00442008" w:rsidP="00680435">
            <w:pPr>
              <w:pStyle w:val="MetaRight"/>
              <w:rPr>
                <w:lang w:val="en-GB"/>
              </w:rPr>
            </w:pPr>
            <w:r>
              <w:rPr>
                <w:rFonts w:cs="Arial"/>
                <w:szCs w:val="20"/>
                <w:lang w:val="en-GB"/>
              </w:rPr>
              <w:t>1</w:t>
            </w:r>
            <w:r w:rsidR="00C76ABE" w:rsidRPr="00853984">
              <w:rPr>
                <w:rFonts w:cs="Arial"/>
                <w:szCs w:val="20"/>
                <w:lang w:val="en-GB"/>
              </w:rPr>
              <w:t> </w:t>
            </w:r>
            <w:r>
              <w:rPr>
                <w:rFonts w:cs="Arial"/>
                <w:szCs w:val="20"/>
                <w:lang w:val="en-GB"/>
              </w:rPr>
              <w:t>May</w:t>
            </w:r>
            <w:r w:rsidR="00C76ABE" w:rsidRPr="00853984">
              <w:rPr>
                <w:rFonts w:cs="Arial"/>
                <w:szCs w:val="20"/>
                <w:lang w:val="en-GB"/>
              </w:rPr>
              <w:t xml:space="preserve"> 20</w:t>
            </w:r>
            <w:r w:rsidR="00680435">
              <w:rPr>
                <w:rFonts w:cs="Arial"/>
                <w:szCs w:val="20"/>
                <w:lang w:val="en-GB"/>
              </w:rPr>
              <w:t>18</w:t>
            </w:r>
            <w:r w:rsidR="00C76ABE" w:rsidRPr="00853984">
              <w:rPr>
                <w:rFonts w:cs="Arial"/>
                <w:szCs w:val="20"/>
                <w:lang w:val="en-GB"/>
              </w:rPr>
              <w:t xml:space="preserve"> </w:t>
            </w:r>
          </w:p>
        </w:tc>
      </w:tr>
      <w:tr w:rsidR="00C76ABE" w:rsidRPr="00853984" w14:paraId="08EE7ACE" w14:textId="77777777" w:rsidTr="0080458E">
        <w:trPr>
          <w:trHeight w:val="283"/>
          <w:jc w:val="center"/>
        </w:trPr>
        <w:tc>
          <w:tcPr>
            <w:tcW w:w="5671" w:type="dxa"/>
            <w:tcMar>
              <w:left w:w="0" w:type="dxa"/>
              <w:right w:w="0" w:type="dxa"/>
            </w:tcMar>
            <w:vAlign w:val="center"/>
          </w:tcPr>
          <w:p w14:paraId="08EE7ACC" w14:textId="77777777" w:rsidR="00C76ABE" w:rsidRPr="00853984" w:rsidRDefault="00C76ABE" w:rsidP="006A3347">
            <w:pPr>
              <w:tabs>
                <w:tab w:val="left" w:pos="567"/>
              </w:tabs>
              <w:rPr>
                <w:rFonts w:ascii="Arial" w:hAnsi="Arial" w:cs="Arial"/>
                <w:sz w:val="20"/>
                <w:szCs w:val="20"/>
                <w:lang w:val="en-GB"/>
              </w:rPr>
            </w:pPr>
          </w:p>
        </w:tc>
        <w:tc>
          <w:tcPr>
            <w:tcW w:w="3401" w:type="dxa"/>
            <w:tcMar>
              <w:left w:w="0" w:type="dxa"/>
              <w:right w:w="0" w:type="dxa"/>
            </w:tcMar>
            <w:vAlign w:val="center"/>
          </w:tcPr>
          <w:p w14:paraId="08EE7ACD" w14:textId="77777777" w:rsidR="00C76ABE" w:rsidRPr="00853984" w:rsidRDefault="00C76ABE" w:rsidP="0028111C">
            <w:pPr>
              <w:pStyle w:val="MetaRight"/>
              <w:rPr>
                <w:rFonts w:cs="Arial"/>
                <w:szCs w:val="20"/>
                <w:lang w:val="en-GB"/>
              </w:rPr>
            </w:pPr>
            <w:bookmarkStart w:id="0" w:name="_GoBack"/>
            <w:bookmarkEnd w:id="0"/>
            <w:r w:rsidRPr="00853984">
              <w:rPr>
                <w:lang w:val="en-GB"/>
              </w:rPr>
              <w:t>1</w:t>
            </w:r>
            <w:r w:rsidR="00042E96" w:rsidRPr="00853984">
              <w:rPr>
                <w:lang w:val="en-GB"/>
              </w:rPr>
              <w:t>80223</w:t>
            </w:r>
          </w:p>
        </w:tc>
      </w:tr>
      <w:tr w:rsidR="00C76ABE" w:rsidRPr="00853984" w14:paraId="08EE7AD1" w14:textId="77777777" w:rsidTr="0080458E">
        <w:trPr>
          <w:trHeight w:val="283"/>
          <w:jc w:val="center"/>
        </w:trPr>
        <w:tc>
          <w:tcPr>
            <w:tcW w:w="5671" w:type="dxa"/>
            <w:tcMar>
              <w:left w:w="0" w:type="dxa"/>
              <w:right w:w="0" w:type="dxa"/>
            </w:tcMar>
            <w:vAlign w:val="center"/>
          </w:tcPr>
          <w:p w14:paraId="08EE7ACF" w14:textId="137E9124" w:rsidR="00C76ABE" w:rsidRPr="00853984" w:rsidRDefault="00C76ABE" w:rsidP="00E639D7">
            <w:pPr>
              <w:pStyle w:val="MetaVenue"/>
              <w:rPr>
                <w:lang w:val="en-GB"/>
              </w:rPr>
            </w:pPr>
          </w:p>
        </w:tc>
        <w:tc>
          <w:tcPr>
            <w:tcW w:w="3401" w:type="dxa"/>
            <w:tcMar>
              <w:left w:w="0" w:type="dxa"/>
              <w:right w:w="0" w:type="dxa"/>
            </w:tcMar>
            <w:vAlign w:val="center"/>
          </w:tcPr>
          <w:p w14:paraId="08EE7AD0" w14:textId="77777777" w:rsidR="00C76ABE" w:rsidRPr="00853984" w:rsidRDefault="00C76ABE" w:rsidP="002C7AED">
            <w:pPr>
              <w:pStyle w:val="MetaRight"/>
              <w:rPr>
                <w:lang w:val="en-GB"/>
              </w:rPr>
            </w:pPr>
            <w:r w:rsidRPr="00853984">
              <w:rPr>
                <w:lang w:val="en-GB"/>
              </w:rPr>
              <w:t>ORIGINAL: ENGLISH</w:t>
            </w:r>
          </w:p>
        </w:tc>
      </w:tr>
    </w:tbl>
    <w:p w14:paraId="08EE7AD2" w14:textId="77777777" w:rsidR="00A31E25" w:rsidRPr="00853984" w:rsidRDefault="00042E96" w:rsidP="00042E96">
      <w:pPr>
        <w:pStyle w:val="DocTitle"/>
        <w:rPr>
          <w:lang w:val="en-GB"/>
        </w:rPr>
      </w:pPr>
      <w:r w:rsidRPr="00853984">
        <w:rPr>
          <w:lang w:val="en-GB"/>
        </w:rPr>
        <w:t>Action plan to improve public health preparedness and response in the WHO European Region, 2018–2023</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70" w:type="dxa"/>
          <w:left w:w="170" w:type="dxa"/>
          <w:right w:w="170" w:type="dxa"/>
        </w:tblCellMar>
        <w:tblLook w:val="04A0" w:firstRow="1" w:lastRow="0" w:firstColumn="1" w:lastColumn="0" w:noHBand="0" w:noVBand="1"/>
      </w:tblPr>
      <w:tblGrid>
        <w:gridCol w:w="8504"/>
      </w:tblGrid>
      <w:tr w:rsidR="00D6545C" w:rsidRPr="00853984" w14:paraId="08EE7AD6" w14:textId="77777777" w:rsidTr="0053765A">
        <w:trPr>
          <w:jc w:val="center"/>
        </w:trPr>
        <w:tc>
          <w:tcPr>
            <w:tcW w:w="8504" w:type="dxa"/>
            <w:tcMar>
              <w:top w:w="113" w:type="dxa"/>
              <w:left w:w="113" w:type="dxa"/>
              <w:bottom w:w="113" w:type="dxa"/>
              <w:right w:w="113" w:type="dxa"/>
            </w:tcMar>
          </w:tcPr>
          <w:p w14:paraId="08EE7AD3" w14:textId="7BCD7268" w:rsidR="00042E96" w:rsidRPr="00853984" w:rsidRDefault="00042E96" w:rsidP="00042E96">
            <w:pPr>
              <w:pStyle w:val="BoxText"/>
              <w:rPr>
                <w:lang w:val="en-GB"/>
              </w:rPr>
            </w:pPr>
            <w:r w:rsidRPr="00853984">
              <w:rPr>
                <w:lang w:val="en-GB"/>
              </w:rPr>
              <w:t>The draft action plan to improve public health preparedness and response in the WHO European Region, 2018–2023</w:t>
            </w:r>
            <w:r w:rsidR="002422F2" w:rsidRPr="00853984">
              <w:rPr>
                <w:lang w:val="en-GB"/>
              </w:rPr>
              <w:t>,</w:t>
            </w:r>
            <w:r w:rsidRPr="00853984">
              <w:rPr>
                <w:lang w:val="en-GB"/>
              </w:rPr>
              <w:t xml:space="preserve"> aims to strengthen and maintain regional capacities to effectively prevent, prepare for, detect and respond to public health threats and to provide assistance to affected countries, when necessary. It takes into account actions taken and lessons learned in the European Region since the International Health Regulations (IHR) (2005) entered into force in 2007, and as presented in the guiding document EUR/RC67/13, on accelerating implementation of the </w:t>
            </w:r>
            <w:r w:rsidR="002422F2" w:rsidRPr="00853984">
              <w:rPr>
                <w:lang w:val="en-GB"/>
              </w:rPr>
              <w:t xml:space="preserve">IHR </w:t>
            </w:r>
            <w:r w:rsidRPr="00853984">
              <w:rPr>
                <w:lang w:val="en-GB"/>
              </w:rPr>
              <w:t xml:space="preserve">(2005) and strengthening laboratory capacities for better health in the European Region, at the 67th session of the Regional Committee </w:t>
            </w:r>
            <w:r w:rsidR="00B41E5F" w:rsidRPr="00853984">
              <w:rPr>
                <w:lang w:val="en-GB"/>
              </w:rPr>
              <w:t xml:space="preserve">for Europe </w:t>
            </w:r>
            <w:r w:rsidR="002422F2" w:rsidRPr="00853984">
              <w:rPr>
                <w:lang w:val="en-GB"/>
              </w:rPr>
              <w:t xml:space="preserve">(RC67) </w:t>
            </w:r>
            <w:r w:rsidRPr="00853984">
              <w:rPr>
                <w:lang w:val="en-GB"/>
              </w:rPr>
              <w:t>in Sept</w:t>
            </w:r>
            <w:r w:rsidR="00B41E5F" w:rsidRPr="00853984">
              <w:rPr>
                <w:lang w:val="en-GB"/>
              </w:rPr>
              <w:t>ember 2017. It builds on the draft five-year global strategic plan to improve public health preparedness and r</w:t>
            </w:r>
            <w:r w:rsidRPr="00853984">
              <w:rPr>
                <w:lang w:val="en-GB"/>
              </w:rPr>
              <w:t>esponse</w:t>
            </w:r>
            <w:r w:rsidR="00780E01" w:rsidRPr="00853984">
              <w:rPr>
                <w:lang w:val="en-GB"/>
              </w:rPr>
              <w:t>,</w:t>
            </w:r>
            <w:r w:rsidRPr="00853984">
              <w:rPr>
                <w:lang w:val="en-GB"/>
              </w:rPr>
              <w:t xml:space="preserve"> 2018–2023</w:t>
            </w:r>
            <w:r w:rsidR="002422F2" w:rsidRPr="00853984">
              <w:rPr>
                <w:lang w:val="en-GB"/>
              </w:rPr>
              <w:t>,</w:t>
            </w:r>
            <w:r w:rsidRPr="00853984">
              <w:rPr>
                <w:lang w:val="en-GB"/>
              </w:rPr>
              <w:t xml:space="preserve"> and is tailored to the needs of the European Region.</w:t>
            </w:r>
          </w:p>
          <w:p w14:paraId="08EE7AD4" w14:textId="1E65EDEC" w:rsidR="00042E96" w:rsidRPr="00853984" w:rsidRDefault="00042E96" w:rsidP="00042E96">
            <w:pPr>
              <w:pStyle w:val="BoxText"/>
              <w:rPr>
                <w:lang w:val="en-GB"/>
              </w:rPr>
            </w:pPr>
            <w:r w:rsidRPr="00853984">
              <w:rPr>
                <w:lang w:val="en-GB"/>
              </w:rPr>
              <w:t xml:space="preserve">The present document outlines the draft action plan to be implemented by States Parties and the WHO Regional Office for Europe in collaboration with key partners and in line with the requirements of the IHR (2005). It is structured around the three strategic pillars described in the </w:t>
            </w:r>
            <w:r w:rsidR="00FC3778" w:rsidRPr="00853984">
              <w:rPr>
                <w:lang w:val="en-GB"/>
              </w:rPr>
              <w:t xml:space="preserve">draft </w:t>
            </w:r>
            <w:r w:rsidRPr="00853984">
              <w:rPr>
                <w:lang w:val="en-GB"/>
              </w:rPr>
              <w:t>global stra</w:t>
            </w:r>
            <w:r w:rsidR="00FC3778" w:rsidRPr="00853984">
              <w:rPr>
                <w:lang w:val="en-GB"/>
              </w:rPr>
              <w:t>tegic plan: (1) building and main</w:t>
            </w:r>
            <w:r w:rsidRPr="00853984">
              <w:rPr>
                <w:lang w:val="en-GB"/>
              </w:rPr>
              <w:t xml:space="preserve">taining States Parties’ core capacities required by the IHR (2005); (2) strengthening event management and compliance with the requirements under the IHR (2005); and (3) measuring progress and promoting accountability. The action plan will be accompanied by a monitoring framework containing indicators for each technical area of the strategic pillars. </w:t>
            </w:r>
          </w:p>
          <w:p w14:paraId="08EE7AD5" w14:textId="3675032E" w:rsidR="0053765A" w:rsidRPr="00853984" w:rsidRDefault="00042E96" w:rsidP="00FC3778">
            <w:pPr>
              <w:pStyle w:val="BoxText"/>
              <w:spacing w:after="0"/>
              <w:rPr>
                <w:lang w:val="en-GB"/>
              </w:rPr>
            </w:pPr>
            <w:r w:rsidRPr="00853984">
              <w:rPr>
                <w:lang w:val="en-GB"/>
              </w:rPr>
              <w:t>This draft action plan is submitted for rev</w:t>
            </w:r>
            <w:r w:rsidR="00FC3778" w:rsidRPr="00853984">
              <w:rPr>
                <w:lang w:val="en-GB"/>
              </w:rPr>
              <w:t>iew by the Standing Committee of</w:t>
            </w:r>
            <w:r w:rsidRPr="00853984">
              <w:rPr>
                <w:lang w:val="en-GB"/>
              </w:rPr>
              <w:t xml:space="preserve"> the Regional Committee </w:t>
            </w:r>
            <w:r w:rsidR="00FC3778" w:rsidRPr="00853984">
              <w:rPr>
                <w:lang w:val="en-GB"/>
              </w:rPr>
              <w:t>for Europe</w:t>
            </w:r>
            <w:r w:rsidRPr="00853984">
              <w:rPr>
                <w:lang w:val="en-GB"/>
              </w:rPr>
              <w:t xml:space="preserve"> in May 2018, to be followed by a web-based consultation with State</w:t>
            </w:r>
            <w:r w:rsidR="00A43548" w:rsidRPr="00853984">
              <w:rPr>
                <w:lang w:val="en-GB"/>
              </w:rPr>
              <w:t>s</w:t>
            </w:r>
            <w:r w:rsidRPr="00853984">
              <w:rPr>
                <w:lang w:val="en-GB"/>
              </w:rPr>
              <w:t xml:space="preserve"> Parties and relevant stakeholders. The draft action plan will be revised on the basis of the feedback received during this process and then submitted to </w:t>
            </w:r>
            <w:r w:rsidR="00C74957" w:rsidRPr="00853984">
              <w:rPr>
                <w:lang w:val="en-GB"/>
              </w:rPr>
              <w:t>RC68</w:t>
            </w:r>
            <w:r w:rsidRPr="00853984">
              <w:rPr>
                <w:lang w:val="en-GB"/>
              </w:rPr>
              <w:t xml:space="preserve"> together with a resolution for its adoption.</w:t>
            </w:r>
          </w:p>
        </w:tc>
      </w:tr>
    </w:tbl>
    <w:p w14:paraId="08EE7AD7" w14:textId="77777777" w:rsidR="00893BED" w:rsidRPr="00853984" w:rsidRDefault="00893BED" w:rsidP="001B239D">
      <w:pPr>
        <w:pStyle w:val="BodyText"/>
        <w:rPr>
          <w:lang w:val="en-GB"/>
        </w:rPr>
      </w:pPr>
    </w:p>
    <w:p w14:paraId="08EE7AD8" w14:textId="77777777" w:rsidR="00975F3E" w:rsidRPr="00853984" w:rsidRDefault="00975F3E" w:rsidP="001B239D">
      <w:pPr>
        <w:pStyle w:val="BodyText"/>
        <w:rPr>
          <w:lang w:val="en-GB"/>
        </w:rPr>
        <w:sectPr w:rsidR="00975F3E" w:rsidRPr="00853984" w:rsidSect="004E61C7">
          <w:headerReference w:type="default" r:id="rId13"/>
          <w:footerReference w:type="first" r:id="rId14"/>
          <w:pgSz w:w="11907" w:h="16840" w:code="9"/>
          <w:pgMar w:top="1701" w:right="1418" w:bottom="1418" w:left="1418" w:header="567" w:footer="284" w:gutter="0"/>
          <w:cols w:space="708"/>
          <w:titlePg/>
          <w:docGrid w:linePitch="360"/>
        </w:sectPr>
      </w:pPr>
    </w:p>
    <w:p w14:paraId="08EE7AD9" w14:textId="77777777" w:rsidR="00FF0E9C" w:rsidRPr="00853984" w:rsidRDefault="007D54FB" w:rsidP="00D25F08">
      <w:pPr>
        <w:pStyle w:val="TOCHeading"/>
        <w:rPr>
          <w:lang w:val="en-GB"/>
        </w:rPr>
      </w:pPr>
      <w:r w:rsidRPr="00853984">
        <w:rPr>
          <w:lang w:val="en-GB"/>
        </w:rPr>
        <w:lastRenderedPageBreak/>
        <w:t>C</w:t>
      </w:r>
      <w:r w:rsidR="00FF0E9C" w:rsidRPr="00853984">
        <w:rPr>
          <w:lang w:val="en-GB"/>
        </w:rPr>
        <w:t>ontents</w:t>
      </w:r>
    </w:p>
    <w:p w14:paraId="6B7F5A28" w14:textId="77777777" w:rsidR="005D26CB" w:rsidRDefault="005246C8">
      <w:pPr>
        <w:pStyle w:val="TOC1"/>
        <w:rPr>
          <w:rFonts w:asciiTheme="minorHAnsi" w:hAnsiTheme="minorHAnsi" w:cstheme="minorBidi"/>
          <w:bCs w:val="0"/>
          <w:noProof/>
          <w:sz w:val="22"/>
          <w:szCs w:val="22"/>
          <w:lang w:eastAsia="zh-CN"/>
        </w:rPr>
      </w:pPr>
      <w:r w:rsidRPr="00853984">
        <w:rPr>
          <w:lang w:val="en-GB"/>
        </w:rPr>
        <w:fldChar w:fldCharType="begin"/>
      </w:r>
      <w:r w:rsidRPr="00853984">
        <w:rPr>
          <w:lang w:val="en-GB"/>
        </w:rPr>
        <w:instrText xml:space="preserve"> TOC </w:instrText>
      </w:r>
      <w:r w:rsidR="007B7008" w:rsidRPr="00853984">
        <w:rPr>
          <w:lang w:val="en-GB"/>
        </w:rPr>
        <w:instrText>\o "1-</w:instrText>
      </w:r>
      <w:r w:rsidR="005627DA" w:rsidRPr="00853984">
        <w:rPr>
          <w:lang w:val="en-GB"/>
        </w:rPr>
        <w:instrText>2</w:instrText>
      </w:r>
      <w:r w:rsidR="007B7008" w:rsidRPr="00853984">
        <w:rPr>
          <w:lang w:val="en-GB"/>
        </w:rPr>
        <w:instrText>" \h \z \u</w:instrText>
      </w:r>
      <w:r w:rsidRPr="00853984">
        <w:rPr>
          <w:lang w:val="en-GB"/>
        </w:rPr>
        <w:instrText xml:space="preserve"> </w:instrText>
      </w:r>
      <w:r w:rsidRPr="00853984">
        <w:rPr>
          <w:lang w:val="en-GB"/>
        </w:rPr>
        <w:fldChar w:fldCharType="separate"/>
      </w:r>
      <w:hyperlink w:anchor="_Toc512875090" w:history="1">
        <w:r w:rsidR="005D26CB" w:rsidRPr="00FE2EBA">
          <w:rPr>
            <w:rStyle w:val="Hyperlink"/>
            <w:noProof/>
            <w:lang w:val="en-GB"/>
          </w:rPr>
          <w:t>Introduction</w:t>
        </w:r>
        <w:r w:rsidR="005D26CB">
          <w:rPr>
            <w:noProof/>
            <w:webHidden/>
          </w:rPr>
          <w:tab/>
        </w:r>
        <w:r w:rsidR="005D26CB">
          <w:rPr>
            <w:noProof/>
            <w:webHidden/>
          </w:rPr>
          <w:fldChar w:fldCharType="begin"/>
        </w:r>
        <w:r w:rsidR="005D26CB">
          <w:rPr>
            <w:noProof/>
            <w:webHidden/>
          </w:rPr>
          <w:instrText xml:space="preserve"> PAGEREF _Toc512875090 \h </w:instrText>
        </w:r>
        <w:r w:rsidR="005D26CB">
          <w:rPr>
            <w:noProof/>
            <w:webHidden/>
          </w:rPr>
        </w:r>
        <w:r w:rsidR="005D26CB">
          <w:rPr>
            <w:noProof/>
            <w:webHidden/>
          </w:rPr>
          <w:fldChar w:fldCharType="separate"/>
        </w:r>
        <w:r w:rsidR="00980567">
          <w:rPr>
            <w:noProof/>
            <w:webHidden/>
          </w:rPr>
          <w:t>3</w:t>
        </w:r>
        <w:r w:rsidR="005D26CB">
          <w:rPr>
            <w:noProof/>
            <w:webHidden/>
          </w:rPr>
          <w:fldChar w:fldCharType="end"/>
        </w:r>
      </w:hyperlink>
    </w:p>
    <w:p w14:paraId="0FB2A2CD" w14:textId="77777777" w:rsidR="005D26CB" w:rsidRDefault="00FF6168">
      <w:pPr>
        <w:pStyle w:val="TOC1"/>
        <w:rPr>
          <w:rFonts w:asciiTheme="minorHAnsi" w:hAnsiTheme="minorHAnsi" w:cstheme="minorBidi"/>
          <w:bCs w:val="0"/>
          <w:noProof/>
          <w:sz w:val="22"/>
          <w:szCs w:val="22"/>
          <w:lang w:eastAsia="zh-CN"/>
        </w:rPr>
      </w:pPr>
      <w:hyperlink w:anchor="_Toc512875091" w:history="1">
        <w:r w:rsidR="005D26CB" w:rsidRPr="00FE2EBA">
          <w:rPr>
            <w:rStyle w:val="Hyperlink"/>
            <w:noProof/>
            <w:lang w:val="en-GB"/>
          </w:rPr>
          <w:t>Current situation, issues and challenges</w:t>
        </w:r>
        <w:r w:rsidR="005D26CB">
          <w:rPr>
            <w:noProof/>
            <w:webHidden/>
          </w:rPr>
          <w:tab/>
        </w:r>
        <w:r w:rsidR="005D26CB">
          <w:rPr>
            <w:noProof/>
            <w:webHidden/>
          </w:rPr>
          <w:fldChar w:fldCharType="begin"/>
        </w:r>
        <w:r w:rsidR="005D26CB">
          <w:rPr>
            <w:noProof/>
            <w:webHidden/>
          </w:rPr>
          <w:instrText xml:space="preserve"> PAGEREF _Toc512875091 \h </w:instrText>
        </w:r>
        <w:r w:rsidR="005D26CB">
          <w:rPr>
            <w:noProof/>
            <w:webHidden/>
          </w:rPr>
        </w:r>
        <w:r w:rsidR="005D26CB">
          <w:rPr>
            <w:noProof/>
            <w:webHidden/>
          </w:rPr>
          <w:fldChar w:fldCharType="separate"/>
        </w:r>
        <w:r w:rsidR="00980567">
          <w:rPr>
            <w:noProof/>
            <w:webHidden/>
          </w:rPr>
          <w:t>3</w:t>
        </w:r>
        <w:r w:rsidR="005D26CB">
          <w:rPr>
            <w:noProof/>
            <w:webHidden/>
          </w:rPr>
          <w:fldChar w:fldCharType="end"/>
        </w:r>
      </w:hyperlink>
    </w:p>
    <w:p w14:paraId="531C4619" w14:textId="77777777" w:rsidR="005D26CB" w:rsidRDefault="00FF6168">
      <w:pPr>
        <w:pStyle w:val="TOC1"/>
        <w:rPr>
          <w:rFonts w:asciiTheme="minorHAnsi" w:hAnsiTheme="minorHAnsi" w:cstheme="minorBidi"/>
          <w:bCs w:val="0"/>
          <w:noProof/>
          <w:sz w:val="22"/>
          <w:szCs w:val="22"/>
          <w:lang w:eastAsia="zh-CN"/>
        </w:rPr>
      </w:pPr>
      <w:hyperlink w:anchor="_Toc512875092" w:history="1">
        <w:r w:rsidR="005D26CB" w:rsidRPr="00FE2EBA">
          <w:rPr>
            <w:rStyle w:val="Hyperlink"/>
            <w:noProof/>
            <w:lang w:val="en-GB"/>
          </w:rPr>
          <w:t>Vision</w:t>
        </w:r>
        <w:r w:rsidR="005D26CB">
          <w:rPr>
            <w:noProof/>
            <w:webHidden/>
          </w:rPr>
          <w:tab/>
        </w:r>
        <w:r w:rsidR="005D26CB">
          <w:rPr>
            <w:noProof/>
            <w:webHidden/>
          </w:rPr>
          <w:fldChar w:fldCharType="begin"/>
        </w:r>
        <w:r w:rsidR="005D26CB">
          <w:rPr>
            <w:noProof/>
            <w:webHidden/>
          </w:rPr>
          <w:instrText xml:space="preserve"> PAGEREF _Toc512875092 \h </w:instrText>
        </w:r>
        <w:r w:rsidR="005D26CB">
          <w:rPr>
            <w:noProof/>
            <w:webHidden/>
          </w:rPr>
        </w:r>
        <w:r w:rsidR="005D26CB">
          <w:rPr>
            <w:noProof/>
            <w:webHidden/>
          </w:rPr>
          <w:fldChar w:fldCharType="separate"/>
        </w:r>
        <w:r w:rsidR="00980567">
          <w:rPr>
            <w:noProof/>
            <w:webHidden/>
          </w:rPr>
          <w:t>5</w:t>
        </w:r>
        <w:r w:rsidR="005D26CB">
          <w:rPr>
            <w:noProof/>
            <w:webHidden/>
          </w:rPr>
          <w:fldChar w:fldCharType="end"/>
        </w:r>
      </w:hyperlink>
    </w:p>
    <w:p w14:paraId="7EBA0CB0" w14:textId="77777777" w:rsidR="005D26CB" w:rsidRDefault="00FF6168">
      <w:pPr>
        <w:pStyle w:val="TOC1"/>
        <w:rPr>
          <w:rFonts w:asciiTheme="minorHAnsi" w:hAnsiTheme="minorHAnsi" w:cstheme="minorBidi"/>
          <w:bCs w:val="0"/>
          <w:noProof/>
          <w:sz w:val="22"/>
          <w:szCs w:val="22"/>
          <w:lang w:eastAsia="zh-CN"/>
        </w:rPr>
      </w:pPr>
      <w:hyperlink w:anchor="_Toc512875093" w:history="1">
        <w:r w:rsidR="005D26CB" w:rsidRPr="00FE2EBA">
          <w:rPr>
            <w:rStyle w:val="Hyperlink"/>
            <w:noProof/>
            <w:lang w:val="en-GB"/>
          </w:rPr>
          <w:t>Goal</w:t>
        </w:r>
        <w:r w:rsidR="005D26CB">
          <w:rPr>
            <w:noProof/>
            <w:webHidden/>
          </w:rPr>
          <w:tab/>
        </w:r>
        <w:r w:rsidR="005D26CB">
          <w:rPr>
            <w:noProof/>
            <w:webHidden/>
          </w:rPr>
          <w:fldChar w:fldCharType="begin"/>
        </w:r>
        <w:r w:rsidR="005D26CB">
          <w:rPr>
            <w:noProof/>
            <w:webHidden/>
          </w:rPr>
          <w:instrText xml:space="preserve"> PAGEREF _Toc512875093 \h </w:instrText>
        </w:r>
        <w:r w:rsidR="005D26CB">
          <w:rPr>
            <w:noProof/>
            <w:webHidden/>
          </w:rPr>
        </w:r>
        <w:r w:rsidR="005D26CB">
          <w:rPr>
            <w:noProof/>
            <w:webHidden/>
          </w:rPr>
          <w:fldChar w:fldCharType="separate"/>
        </w:r>
        <w:r w:rsidR="00980567">
          <w:rPr>
            <w:noProof/>
            <w:webHidden/>
          </w:rPr>
          <w:t>5</w:t>
        </w:r>
        <w:r w:rsidR="005D26CB">
          <w:rPr>
            <w:noProof/>
            <w:webHidden/>
          </w:rPr>
          <w:fldChar w:fldCharType="end"/>
        </w:r>
      </w:hyperlink>
    </w:p>
    <w:p w14:paraId="4285B373" w14:textId="77777777" w:rsidR="005D26CB" w:rsidRDefault="00FF6168">
      <w:pPr>
        <w:pStyle w:val="TOC1"/>
        <w:rPr>
          <w:rFonts w:asciiTheme="minorHAnsi" w:hAnsiTheme="minorHAnsi" w:cstheme="minorBidi"/>
          <w:bCs w:val="0"/>
          <w:noProof/>
          <w:sz w:val="22"/>
          <w:szCs w:val="22"/>
          <w:lang w:eastAsia="zh-CN"/>
        </w:rPr>
      </w:pPr>
      <w:hyperlink w:anchor="_Toc512875094" w:history="1">
        <w:r w:rsidR="005D26CB" w:rsidRPr="00FE2EBA">
          <w:rPr>
            <w:rStyle w:val="Hyperlink"/>
            <w:noProof/>
            <w:lang w:val="en-GB"/>
          </w:rPr>
          <w:t>Guiding principles of the draft action plan</w:t>
        </w:r>
        <w:r w:rsidR="005D26CB">
          <w:rPr>
            <w:noProof/>
            <w:webHidden/>
          </w:rPr>
          <w:tab/>
        </w:r>
        <w:r w:rsidR="005D26CB">
          <w:rPr>
            <w:noProof/>
            <w:webHidden/>
          </w:rPr>
          <w:fldChar w:fldCharType="begin"/>
        </w:r>
        <w:r w:rsidR="005D26CB">
          <w:rPr>
            <w:noProof/>
            <w:webHidden/>
          </w:rPr>
          <w:instrText xml:space="preserve"> PAGEREF _Toc512875094 \h </w:instrText>
        </w:r>
        <w:r w:rsidR="005D26CB">
          <w:rPr>
            <w:noProof/>
            <w:webHidden/>
          </w:rPr>
        </w:r>
        <w:r w:rsidR="005D26CB">
          <w:rPr>
            <w:noProof/>
            <w:webHidden/>
          </w:rPr>
          <w:fldChar w:fldCharType="separate"/>
        </w:r>
        <w:r w:rsidR="00980567">
          <w:rPr>
            <w:noProof/>
            <w:webHidden/>
          </w:rPr>
          <w:t>5</w:t>
        </w:r>
        <w:r w:rsidR="005D26CB">
          <w:rPr>
            <w:noProof/>
            <w:webHidden/>
          </w:rPr>
          <w:fldChar w:fldCharType="end"/>
        </w:r>
      </w:hyperlink>
    </w:p>
    <w:p w14:paraId="1E4211D4" w14:textId="77777777" w:rsidR="005D26CB" w:rsidRDefault="00FF6168">
      <w:pPr>
        <w:pStyle w:val="TOC2"/>
        <w:rPr>
          <w:rFonts w:asciiTheme="minorHAnsi" w:hAnsiTheme="minorHAnsi" w:cstheme="minorBidi"/>
          <w:iCs w:val="0"/>
          <w:noProof/>
          <w:sz w:val="22"/>
          <w:szCs w:val="22"/>
          <w:lang w:eastAsia="zh-CN"/>
        </w:rPr>
      </w:pPr>
      <w:hyperlink w:anchor="_Toc512875095" w:history="1">
        <w:r w:rsidR="005D26CB" w:rsidRPr="00FE2EBA">
          <w:rPr>
            <w:rStyle w:val="Hyperlink"/>
            <w:noProof/>
            <w:lang w:val="en-GB"/>
          </w:rPr>
          <w:t>Strategic pillar 1. Build, strengthen and maintain States Parties’ core capacities required under the IHR (2005)</w:t>
        </w:r>
        <w:r w:rsidR="005D26CB">
          <w:rPr>
            <w:noProof/>
            <w:webHidden/>
          </w:rPr>
          <w:tab/>
        </w:r>
        <w:r w:rsidR="005D26CB">
          <w:rPr>
            <w:noProof/>
            <w:webHidden/>
          </w:rPr>
          <w:fldChar w:fldCharType="begin"/>
        </w:r>
        <w:r w:rsidR="005D26CB">
          <w:rPr>
            <w:noProof/>
            <w:webHidden/>
          </w:rPr>
          <w:instrText xml:space="preserve"> PAGEREF _Toc512875095 \h </w:instrText>
        </w:r>
        <w:r w:rsidR="005D26CB">
          <w:rPr>
            <w:noProof/>
            <w:webHidden/>
          </w:rPr>
        </w:r>
        <w:r w:rsidR="005D26CB">
          <w:rPr>
            <w:noProof/>
            <w:webHidden/>
          </w:rPr>
          <w:fldChar w:fldCharType="separate"/>
        </w:r>
        <w:r w:rsidR="00980567">
          <w:rPr>
            <w:noProof/>
            <w:webHidden/>
          </w:rPr>
          <w:t>6</w:t>
        </w:r>
        <w:r w:rsidR="005D26CB">
          <w:rPr>
            <w:noProof/>
            <w:webHidden/>
          </w:rPr>
          <w:fldChar w:fldCharType="end"/>
        </w:r>
      </w:hyperlink>
    </w:p>
    <w:p w14:paraId="67B2BDB1" w14:textId="77777777" w:rsidR="005D26CB" w:rsidRDefault="00FF6168">
      <w:pPr>
        <w:pStyle w:val="TOC2"/>
        <w:rPr>
          <w:rFonts w:asciiTheme="minorHAnsi" w:hAnsiTheme="minorHAnsi" w:cstheme="minorBidi"/>
          <w:iCs w:val="0"/>
          <w:noProof/>
          <w:sz w:val="22"/>
          <w:szCs w:val="22"/>
          <w:lang w:eastAsia="zh-CN"/>
        </w:rPr>
      </w:pPr>
      <w:hyperlink w:anchor="_Toc512875096" w:history="1">
        <w:r w:rsidR="005D26CB" w:rsidRPr="00FE2EBA">
          <w:rPr>
            <w:rStyle w:val="Hyperlink"/>
            <w:noProof/>
            <w:lang w:val="en-GB"/>
          </w:rPr>
          <w:t>Strategic pillar 2. Strengthen event management and compliance with the requirements under the IHR (2005)</w:t>
        </w:r>
        <w:r w:rsidR="005D26CB">
          <w:rPr>
            <w:noProof/>
            <w:webHidden/>
          </w:rPr>
          <w:tab/>
        </w:r>
        <w:r w:rsidR="005D26CB">
          <w:rPr>
            <w:noProof/>
            <w:webHidden/>
          </w:rPr>
          <w:fldChar w:fldCharType="begin"/>
        </w:r>
        <w:r w:rsidR="005D26CB">
          <w:rPr>
            <w:noProof/>
            <w:webHidden/>
          </w:rPr>
          <w:instrText xml:space="preserve"> PAGEREF _Toc512875096 \h </w:instrText>
        </w:r>
        <w:r w:rsidR="005D26CB">
          <w:rPr>
            <w:noProof/>
            <w:webHidden/>
          </w:rPr>
        </w:r>
        <w:r w:rsidR="005D26CB">
          <w:rPr>
            <w:noProof/>
            <w:webHidden/>
          </w:rPr>
          <w:fldChar w:fldCharType="separate"/>
        </w:r>
        <w:r w:rsidR="00980567">
          <w:rPr>
            <w:noProof/>
            <w:webHidden/>
          </w:rPr>
          <w:t>12</w:t>
        </w:r>
        <w:r w:rsidR="005D26CB">
          <w:rPr>
            <w:noProof/>
            <w:webHidden/>
          </w:rPr>
          <w:fldChar w:fldCharType="end"/>
        </w:r>
      </w:hyperlink>
    </w:p>
    <w:p w14:paraId="4F241AAC" w14:textId="77777777" w:rsidR="005D26CB" w:rsidRDefault="00FF6168">
      <w:pPr>
        <w:pStyle w:val="TOC2"/>
        <w:rPr>
          <w:rFonts w:asciiTheme="minorHAnsi" w:hAnsiTheme="minorHAnsi" w:cstheme="minorBidi"/>
          <w:iCs w:val="0"/>
          <w:noProof/>
          <w:sz w:val="22"/>
          <w:szCs w:val="22"/>
          <w:lang w:eastAsia="zh-CN"/>
        </w:rPr>
      </w:pPr>
      <w:hyperlink w:anchor="_Toc512875097" w:history="1">
        <w:r w:rsidR="005D26CB" w:rsidRPr="00FE2EBA">
          <w:rPr>
            <w:rStyle w:val="Hyperlink"/>
            <w:noProof/>
            <w:lang w:val="en-GB"/>
          </w:rPr>
          <w:t>Strategic pillar 3. Measure progress and promote accountability</w:t>
        </w:r>
        <w:r w:rsidR="005D26CB">
          <w:rPr>
            <w:noProof/>
            <w:webHidden/>
          </w:rPr>
          <w:tab/>
        </w:r>
        <w:r w:rsidR="005D26CB">
          <w:rPr>
            <w:noProof/>
            <w:webHidden/>
          </w:rPr>
          <w:fldChar w:fldCharType="begin"/>
        </w:r>
        <w:r w:rsidR="005D26CB">
          <w:rPr>
            <w:noProof/>
            <w:webHidden/>
          </w:rPr>
          <w:instrText xml:space="preserve"> PAGEREF _Toc512875097 \h </w:instrText>
        </w:r>
        <w:r w:rsidR="005D26CB">
          <w:rPr>
            <w:noProof/>
            <w:webHidden/>
          </w:rPr>
        </w:r>
        <w:r w:rsidR="005D26CB">
          <w:rPr>
            <w:noProof/>
            <w:webHidden/>
          </w:rPr>
          <w:fldChar w:fldCharType="separate"/>
        </w:r>
        <w:r w:rsidR="00980567">
          <w:rPr>
            <w:noProof/>
            <w:webHidden/>
          </w:rPr>
          <w:t>14</w:t>
        </w:r>
        <w:r w:rsidR="005D26CB">
          <w:rPr>
            <w:noProof/>
            <w:webHidden/>
          </w:rPr>
          <w:fldChar w:fldCharType="end"/>
        </w:r>
      </w:hyperlink>
    </w:p>
    <w:p w14:paraId="08EE7AE2" w14:textId="77777777" w:rsidR="00972F5C" w:rsidRPr="00853984" w:rsidRDefault="005246C8" w:rsidP="0038119B">
      <w:pPr>
        <w:pStyle w:val="BodyTextNoSpacing"/>
        <w:rPr>
          <w:lang w:val="en-GB"/>
        </w:rPr>
      </w:pPr>
      <w:r w:rsidRPr="00853984">
        <w:rPr>
          <w:lang w:val="en-GB"/>
        </w:rPr>
        <w:fldChar w:fldCharType="end"/>
      </w:r>
    </w:p>
    <w:p w14:paraId="1E70D0E8" w14:textId="77777777" w:rsidR="005D26CB" w:rsidRDefault="00E64ACD">
      <w:pPr>
        <w:pStyle w:val="TOC6"/>
        <w:rPr>
          <w:rFonts w:cstheme="minorBidi"/>
          <w:noProof/>
          <w:sz w:val="22"/>
          <w:szCs w:val="22"/>
          <w:lang w:eastAsia="zh-CN"/>
        </w:rPr>
      </w:pPr>
      <w:r w:rsidRPr="00853984">
        <w:rPr>
          <w:bCs/>
          <w:lang w:val="en-GB"/>
        </w:rPr>
        <w:fldChar w:fldCharType="begin"/>
      </w:r>
      <w:r w:rsidRPr="00853984">
        <w:rPr>
          <w:lang w:val="en-GB"/>
        </w:rPr>
        <w:instrText xml:space="preserve"> TOC \o "6-6" \h \z \u </w:instrText>
      </w:r>
      <w:r w:rsidRPr="00853984">
        <w:rPr>
          <w:bCs/>
          <w:lang w:val="en-GB"/>
        </w:rPr>
        <w:fldChar w:fldCharType="separate"/>
      </w:r>
      <w:hyperlink w:anchor="_Toc512875098" w:history="1">
        <w:r w:rsidR="005D26CB" w:rsidRPr="007261F1">
          <w:rPr>
            <w:rStyle w:val="Hyperlink"/>
            <w:noProof/>
            <w:lang w:val="en-GB"/>
          </w:rPr>
          <w:t>Annex. Summary of the draft action plan to improve public health preparedness and response in the WHO European Region,  2018–2023</w:t>
        </w:r>
        <w:r w:rsidR="005D26CB">
          <w:rPr>
            <w:noProof/>
            <w:webHidden/>
          </w:rPr>
          <w:tab/>
        </w:r>
        <w:r w:rsidR="005D26CB">
          <w:rPr>
            <w:noProof/>
            <w:webHidden/>
          </w:rPr>
          <w:fldChar w:fldCharType="begin"/>
        </w:r>
        <w:r w:rsidR="005D26CB">
          <w:rPr>
            <w:noProof/>
            <w:webHidden/>
          </w:rPr>
          <w:instrText xml:space="preserve"> PAGEREF _Toc512875098 \h </w:instrText>
        </w:r>
        <w:r w:rsidR="005D26CB">
          <w:rPr>
            <w:noProof/>
            <w:webHidden/>
          </w:rPr>
        </w:r>
        <w:r w:rsidR="005D26CB">
          <w:rPr>
            <w:noProof/>
            <w:webHidden/>
          </w:rPr>
          <w:fldChar w:fldCharType="separate"/>
        </w:r>
        <w:r w:rsidR="00980567">
          <w:rPr>
            <w:noProof/>
            <w:webHidden/>
          </w:rPr>
          <w:t>16</w:t>
        </w:r>
        <w:r w:rsidR="005D26CB">
          <w:rPr>
            <w:noProof/>
            <w:webHidden/>
          </w:rPr>
          <w:fldChar w:fldCharType="end"/>
        </w:r>
      </w:hyperlink>
    </w:p>
    <w:p w14:paraId="08EE7AE4" w14:textId="77777777" w:rsidR="00E64ACD" w:rsidRPr="00853984" w:rsidRDefault="00E64ACD" w:rsidP="00EA7467">
      <w:pPr>
        <w:pStyle w:val="BodyTextNoSpacing"/>
        <w:rPr>
          <w:lang w:val="en-GB"/>
        </w:rPr>
      </w:pPr>
      <w:r w:rsidRPr="00853984">
        <w:rPr>
          <w:lang w:val="en-GB"/>
        </w:rPr>
        <w:fldChar w:fldCharType="end"/>
      </w:r>
    </w:p>
    <w:p w14:paraId="08EE7AE5" w14:textId="77777777" w:rsidR="001320A6" w:rsidRPr="00853984" w:rsidRDefault="00042E96" w:rsidP="00042E96">
      <w:pPr>
        <w:pStyle w:val="Heading1"/>
        <w:pageBreakBefore/>
        <w:spacing w:before="0"/>
        <w:rPr>
          <w:lang w:val="en-GB"/>
        </w:rPr>
      </w:pPr>
      <w:bookmarkStart w:id="1" w:name="_Toc512875090"/>
      <w:r w:rsidRPr="00853984">
        <w:rPr>
          <w:lang w:val="en-GB"/>
        </w:rPr>
        <w:lastRenderedPageBreak/>
        <w:t>Introduction</w:t>
      </w:r>
      <w:bookmarkEnd w:id="1"/>
    </w:p>
    <w:p w14:paraId="08EE7AE6" w14:textId="5BB3CD54" w:rsidR="00042E96" w:rsidRPr="00853984" w:rsidRDefault="00042E96" w:rsidP="00042E96">
      <w:pPr>
        <w:pStyle w:val="ParaNumberNo1"/>
        <w:rPr>
          <w:lang w:val="en-GB"/>
        </w:rPr>
      </w:pPr>
      <w:r w:rsidRPr="00853984">
        <w:rPr>
          <w:lang w:val="en-GB"/>
        </w:rPr>
        <w:t xml:space="preserve">When the International Health Regulations (IHR) (2005) entered into force on </w:t>
      </w:r>
      <w:r w:rsidR="00700931">
        <w:rPr>
          <w:lang w:val="en-GB"/>
        </w:rPr>
        <w:br/>
      </w:r>
      <w:r w:rsidRPr="00853984">
        <w:rPr>
          <w:lang w:val="en-GB"/>
        </w:rPr>
        <w:t>15 June 2007, States Parties unanimously agreed to “develop, strengthen and maintain … the capacity to respond promptly and effectively to public health risks and public health emergencies of international concern” by 2012. Further extensions were granted for the periods 2012–2014 and 2014–2016 to allow State</w:t>
      </w:r>
      <w:r w:rsidR="00D062A3" w:rsidRPr="00853984">
        <w:rPr>
          <w:lang w:val="en-GB"/>
        </w:rPr>
        <w:t>s</w:t>
      </w:r>
      <w:r w:rsidRPr="00853984">
        <w:rPr>
          <w:lang w:val="en-GB"/>
        </w:rPr>
        <w:t xml:space="preserve"> Parties to undertake the necessary capacity</w:t>
      </w:r>
      <w:r w:rsidR="00D062A3" w:rsidRPr="00853984">
        <w:rPr>
          <w:lang w:val="en-GB"/>
        </w:rPr>
        <w:t xml:space="preserve"> </w:t>
      </w:r>
      <w:r w:rsidRPr="00853984">
        <w:rPr>
          <w:lang w:val="en-GB"/>
        </w:rPr>
        <w:t xml:space="preserve">building </w:t>
      </w:r>
      <w:r w:rsidR="00556139" w:rsidRPr="00853984">
        <w:rPr>
          <w:lang w:val="en-GB"/>
        </w:rPr>
        <w:t>to</w:t>
      </w:r>
      <w:r w:rsidRPr="00853984">
        <w:rPr>
          <w:lang w:val="en-GB"/>
        </w:rPr>
        <w:t xml:space="preserve"> comply with the IHR (2005) requirements.</w:t>
      </w:r>
    </w:p>
    <w:p w14:paraId="08EE7AE7" w14:textId="027B8962" w:rsidR="00042E96" w:rsidRPr="00853984" w:rsidRDefault="00042E96" w:rsidP="00042E96">
      <w:pPr>
        <w:pStyle w:val="ParaNumber"/>
        <w:rPr>
          <w:lang w:val="en-GB"/>
        </w:rPr>
      </w:pPr>
      <w:r w:rsidRPr="00853984">
        <w:rPr>
          <w:lang w:val="en-GB"/>
        </w:rPr>
        <w:t xml:space="preserve">In 2017, in its decision WHA70(11), the World Health Assembly requested the Director-General “to develop, in full consultation with Member States, including through the regional committees, a draft five-year global strategic plan to improve public health preparedness and response … to be submitted for consideration and adoption by the </w:t>
      </w:r>
      <w:r w:rsidR="00C02E7F">
        <w:rPr>
          <w:lang w:val="en-GB"/>
        </w:rPr>
        <w:br/>
      </w:r>
      <w:r w:rsidRPr="00853984">
        <w:rPr>
          <w:lang w:val="en-GB"/>
        </w:rPr>
        <w:t>Seventy-first World Health Assembly” in 2018.</w:t>
      </w:r>
    </w:p>
    <w:p w14:paraId="08EE7AE8" w14:textId="171F0F9E" w:rsidR="00042E96" w:rsidRPr="00853984" w:rsidRDefault="00042E96" w:rsidP="00042E96">
      <w:pPr>
        <w:pStyle w:val="ParaNumber"/>
        <w:rPr>
          <w:lang w:val="en-GB"/>
        </w:rPr>
      </w:pPr>
      <w:r w:rsidRPr="00853984">
        <w:rPr>
          <w:lang w:val="en-GB"/>
        </w:rPr>
        <w:t xml:space="preserve">The feedback received from Member States during meetings of the </w:t>
      </w:r>
      <w:r w:rsidR="00D062A3" w:rsidRPr="00853984">
        <w:rPr>
          <w:lang w:val="en-GB"/>
        </w:rPr>
        <w:t>WHO r</w:t>
      </w:r>
      <w:r w:rsidRPr="00853984">
        <w:rPr>
          <w:lang w:val="en-GB"/>
        </w:rPr>
        <w:t xml:space="preserve">egional </w:t>
      </w:r>
      <w:r w:rsidR="00D062A3" w:rsidRPr="00853984">
        <w:rPr>
          <w:lang w:val="en-GB"/>
        </w:rPr>
        <w:t>c</w:t>
      </w:r>
      <w:r w:rsidRPr="00853984">
        <w:rPr>
          <w:lang w:val="en-GB"/>
        </w:rPr>
        <w:t>ommittees and through web-based and face-to-face consultations was incorporat</w:t>
      </w:r>
      <w:r w:rsidR="003D44CE" w:rsidRPr="00853984">
        <w:rPr>
          <w:lang w:val="en-GB"/>
        </w:rPr>
        <w:t>ed into a revised draft of the five-year global s</w:t>
      </w:r>
      <w:r w:rsidRPr="00853984">
        <w:rPr>
          <w:lang w:val="en-GB"/>
        </w:rPr>
        <w:t>tra</w:t>
      </w:r>
      <w:r w:rsidR="003D44CE" w:rsidRPr="00853984">
        <w:rPr>
          <w:lang w:val="en-GB"/>
        </w:rPr>
        <w:t>tegic plan to improve public health preparedness and r</w:t>
      </w:r>
      <w:r w:rsidRPr="00853984">
        <w:rPr>
          <w:lang w:val="en-GB"/>
        </w:rPr>
        <w:t xml:space="preserve">esponse, submitted to the Executive Board at its 142nd session in January 2018 and </w:t>
      </w:r>
      <w:r w:rsidR="00D062A3" w:rsidRPr="00853984">
        <w:rPr>
          <w:lang w:val="en-GB"/>
        </w:rPr>
        <w:t xml:space="preserve">to be </w:t>
      </w:r>
      <w:r w:rsidR="00930ABD" w:rsidRPr="00853984">
        <w:rPr>
          <w:lang w:val="en-GB"/>
        </w:rPr>
        <w:t>submit</w:t>
      </w:r>
      <w:r w:rsidRPr="00853984">
        <w:rPr>
          <w:lang w:val="en-GB"/>
        </w:rPr>
        <w:t>ted for adoption at the Seventy-first World Health Assembly in May 2018.</w:t>
      </w:r>
    </w:p>
    <w:p w14:paraId="08EE7AE9" w14:textId="24DA4C09" w:rsidR="00042E96" w:rsidRPr="00853984" w:rsidRDefault="00042E96" w:rsidP="00042E96">
      <w:pPr>
        <w:pStyle w:val="ParaNumber"/>
        <w:rPr>
          <w:lang w:val="en-GB"/>
        </w:rPr>
      </w:pPr>
      <w:r w:rsidRPr="00853984">
        <w:rPr>
          <w:lang w:val="en-GB"/>
        </w:rPr>
        <w:t xml:space="preserve">To present the regional priorities for IHR (2005) implementation in the WHO European Region, the WHO Regional Office for Europe, in consultation with Member States and key partners, submitted document EUR/RC67/13, </w:t>
      </w:r>
      <w:r w:rsidR="00B37D63">
        <w:rPr>
          <w:lang w:val="en-GB"/>
        </w:rPr>
        <w:t>A</w:t>
      </w:r>
      <w:r w:rsidRPr="00853984">
        <w:rPr>
          <w:lang w:val="en-GB"/>
        </w:rPr>
        <w:t xml:space="preserve">ccelerating implementation of the </w:t>
      </w:r>
      <w:r w:rsidR="00D062A3" w:rsidRPr="00853984">
        <w:rPr>
          <w:lang w:val="en-GB"/>
        </w:rPr>
        <w:t>IHR </w:t>
      </w:r>
      <w:r w:rsidRPr="00853984">
        <w:rPr>
          <w:lang w:val="en-GB"/>
        </w:rPr>
        <w:t>(2005) and strengthening laboratory capacities for better health in the European Region, for consideration by the 67th Regional Committee</w:t>
      </w:r>
      <w:r w:rsidR="00D062A3" w:rsidRPr="00853984">
        <w:rPr>
          <w:lang w:val="en-GB"/>
        </w:rPr>
        <w:t xml:space="preserve"> (RC67)</w:t>
      </w:r>
      <w:r w:rsidRPr="00853984">
        <w:rPr>
          <w:lang w:val="en-GB"/>
        </w:rPr>
        <w:t xml:space="preserve"> in September 2017. It was agreed that the document should serve as the basis for the development of a regional action plan aligned with the forthcoming five-year global strategic plan. It would, in addition, allow for the prioritization of </w:t>
      </w:r>
      <w:r w:rsidR="00BA45C4">
        <w:rPr>
          <w:lang w:val="en-GB"/>
        </w:rPr>
        <w:t xml:space="preserve">all </w:t>
      </w:r>
      <w:r w:rsidRPr="00853984">
        <w:rPr>
          <w:lang w:val="en-GB"/>
        </w:rPr>
        <w:t xml:space="preserve">accelerated actions during 2017–2018. </w:t>
      </w:r>
    </w:p>
    <w:p w14:paraId="08EE7AEA" w14:textId="7E8DF130" w:rsidR="00786992" w:rsidRPr="00853984" w:rsidRDefault="00042E96" w:rsidP="00042E96">
      <w:pPr>
        <w:pStyle w:val="ParaNumber"/>
        <w:rPr>
          <w:lang w:val="en-GB"/>
        </w:rPr>
      </w:pPr>
      <w:r w:rsidRPr="00853984">
        <w:rPr>
          <w:lang w:val="en-GB"/>
        </w:rPr>
        <w:t xml:space="preserve">The final draft of the action plan will be presented to </w:t>
      </w:r>
      <w:r w:rsidR="00D062A3" w:rsidRPr="00853984">
        <w:rPr>
          <w:lang w:val="en-GB"/>
        </w:rPr>
        <w:t xml:space="preserve">RC68 </w:t>
      </w:r>
      <w:r w:rsidRPr="00853984">
        <w:rPr>
          <w:lang w:val="en-GB"/>
        </w:rPr>
        <w:t>in September 2018, accompanied by a resolution for its adoption.</w:t>
      </w:r>
    </w:p>
    <w:p w14:paraId="08EE7AEB" w14:textId="77777777" w:rsidR="00042E96" w:rsidRPr="00853984" w:rsidRDefault="00042E96" w:rsidP="00042E96">
      <w:pPr>
        <w:pStyle w:val="Heading1"/>
        <w:rPr>
          <w:lang w:val="en-GB"/>
        </w:rPr>
      </w:pPr>
      <w:bookmarkStart w:id="2" w:name="_Toc512875091"/>
      <w:r w:rsidRPr="00853984">
        <w:rPr>
          <w:lang w:val="en-GB"/>
        </w:rPr>
        <w:t>Current situation, issues and challenges</w:t>
      </w:r>
      <w:bookmarkEnd w:id="2"/>
    </w:p>
    <w:p w14:paraId="08EE7AEC" w14:textId="0B9AC0F3" w:rsidR="00042E96" w:rsidRPr="00853984" w:rsidRDefault="00042E96" w:rsidP="00042E96">
      <w:pPr>
        <w:pStyle w:val="ParaNumber"/>
        <w:rPr>
          <w:lang w:val="en-GB"/>
        </w:rPr>
      </w:pPr>
      <w:r w:rsidRPr="00853984">
        <w:rPr>
          <w:lang w:val="en-GB"/>
        </w:rPr>
        <w:t xml:space="preserve">Member States of the WHO European Region are diverse in terms of their geographical and population sizes, economic performance, epidemiological and risk profiles, health system maturity and other factors that have direct and indirect effects on their health emergency preparedness and response capacity. The Region is also home to major global air and sea transportation hubs that enable the movement of passengers and cargo </w:t>
      </w:r>
      <w:r w:rsidR="00A11796" w:rsidRPr="00853984">
        <w:rPr>
          <w:lang w:val="en-GB"/>
        </w:rPr>
        <w:t>around the world</w:t>
      </w:r>
      <w:r w:rsidRPr="00853984">
        <w:rPr>
          <w:lang w:val="en-GB"/>
        </w:rPr>
        <w:t xml:space="preserve">. Several Member States also have overseas territories, which introduce additional challenges to ensuring health emergency preparedness across the Region. </w:t>
      </w:r>
    </w:p>
    <w:p w14:paraId="08EE7AED" w14:textId="02653ACC" w:rsidR="00042E96" w:rsidRPr="00853984" w:rsidRDefault="00042E96" w:rsidP="00042E96">
      <w:pPr>
        <w:pStyle w:val="ParaNumber"/>
        <w:rPr>
          <w:lang w:val="en-GB"/>
        </w:rPr>
      </w:pPr>
      <w:r w:rsidRPr="00853984">
        <w:rPr>
          <w:lang w:val="en-GB"/>
        </w:rPr>
        <w:t>Since the entry into force of the IHR (2005) in 2007, WHO has been actively assisting States Parties in further developing their IHR (2005) core capacities and, where necessary, has coordinated and assisted in the provision of essential services to vulnerable populations affected by emergencies. In the WHO European Region, most State</w:t>
      </w:r>
      <w:r w:rsidR="00FC3553" w:rsidRPr="00853984">
        <w:rPr>
          <w:lang w:val="en-GB"/>
        </w:rPr>
        <w:t>s</w:t>
      </w:r>
      <w:r w:rsidRPr="00853984">
        <w:rPr>
          <w:lang w:val="en-GB"/>
        </w:rPr>
        <w:t xml:space="preserve"> Parties have made good progress in implementing the IHR (2005), but some challenges remain.</w:t>
      </w:r>
    </w:p>
    <w:p w14:paraId="08EE7AEE" w14:textId="580DF9B0" w:rsidR="00042E96" w:rsidRPr="00853984" w:rsidRDefault="00042E96" w:rsidP="00042E96">
      <w:pPr>
        <w:pStyle w:val="ParaNumber"/>
        <w:rPr>
          <w:lang w:val="en-GB"/>
        </w:rPr>
      </w:pPr>
      <w:r w:rsidRPr="00853984">
        <w:rPr>
          <w:lang w:val="en-GB"/>
        </w:rPr>
        <w:lastRenderedPageBreak/>
        <w:t xml:space="preserve">The information-sharing network under the IHR (2005) is </w:t>
      </w:r>
      <w:r w:rsidR="00B37D63">
        <w:rPr>
          <w:lang w:val="en-GB"/>
        </w:rPr>
        <w:t xml:space="preserve">one of the </w:t>
      </w:r>
      <w:r w:rsidRPr="00853984">
        <w:rPr>
          <w:lang w:val="en-GB"/>
        </w:rPr>
        <w:t>key element</w:t>
      </w:r>
      <w:r w:rsidR="00B37D63">
        <w:rPr>
          <w:lang w:val="en-GB"/>
        </w:rPr>
        <w:t>s</w:t>
      </w:r>
      <w:r w:rsidRPr="00853984">
        <w:rPr>
          <w:lang w:val="en-GB"/>
        </w:rPr>
        <w:t xml:space="preserve"> of success in the Region’s overall health security. National IHR </w:t>
      </w:r>
      <w:r w:rsidR="008E26C9" w:rsidRPr="00853984">
        <w:rPr>
          <w:lang w:val="en-GB"/>
        </w:rPr>
        <w:t>F</w:t>
      </w:r>
      <w:r w:rsidRPr="00853984">
        <w:rPr>
          <w:lang w:val="en-GB"/>
        </w:rPr>
        <w:t xml:space="preserve">ocal </w:t>
      </w:r>
      <w:r w:rsidR="008E26C9" w:rsidRPr="00853984">
        <w:rPr>
          <w:lang w:val="en-GB"/>
        </w:rPr>
        <w:t>P</w:t>
      </w:r>
      <w:r w:rsidRPr="00853984">
        <w:rPr>
          <w:lang w:val="en-GB"/>
        </w:rPr>
        <w:t xml:space="preserve">oints (NFPs) notify WHO of any </w:t>
      </w:r>
      <w:r w:rsidR="00BA45C4" w:rsidRPr="00853984">
        <w:rPr>
          <w:lang w:val="en-GB"/>
        </w:rPr>
        <w:t xml:space="preserve">potential </w:t>
      </w:r>
      <w:r w:rsidRPr="00853984">
        <w:rPr>
          <w:lang w:val="en-GB"/>
        </w:rPr>
        <w:t xml:space="preserve">public health events of international concern. On average, 55% of events detected by WHO in 2017 were reported by NFPs, an increase from just 24% in 2007. The timeliness of </w:t>
      </w:r>
      <w:r w:rsidR="00C91CF2" w:rsidRPr="00853984">
        <w:rPr>
          <w:lang w:val="en-GB"/>
        </w:rPr>
        <w:t xml:space="preserve">information </w:t>
      </w:r>
      <w:r w:rsidRPr="00853984">
        <w:rPr>
          <w:lang w:val="en-GB"/>
        </w:rPr>
        <w:t xml:space="preserve">sharing has also improved and the use of the Event Information System, through which event-related information is disseminated to NFPs, has increased continuously over the </w:t>
      </w:r>
      <w:r w:rsidR="00C91CF2" w:rsidRPr="00853984">
        <w:rPr>
          <w:lang w:val="en-GB"/>
        </w:rPr>
        <w:t>p</w:t>
      </w:r>
      <w:r w:rsidRPr="00853984">
        <w:rPr>
          <w:lang w:val="en-GB"/>
        </w:rPr>
        <w:t xml:space="preserve">ast 10 years. Progress has also been seen in the level of reporting of different types of public health hazards, including zoonotic, chemical, radionuclear, foodborne and </w:t>
      </w:r>
      <w:r w:rsidR="00C91CF2" w:rsidRPr="00853984">
        <w:rPr>
          <w:lang w:val="en-GB"/>
        </w:rPr>
        <w:t>hu</w:t>
      </w:r>
      <w:r w:rsidRPr="00853984">
        <w:rPr>
          <w:lang w:val="en-GB"/>
        </w:rPr>
        <w:t>man-</w:t>
      </w:r>
      <w:r w:rsidR="00B37D63">
        <w:rPr>
          <w:lang w:val="en-GB"/>
        </w:rPr>
        <w:t>induced</w:t>
      </w:r>
      <w:r w:rsidR="00B37D63" w:rsidRPr="00853984">
        <w:rPr>
          <w:lang w:val="en-GB"/>
        </w:rPr>
        <w:t xml:space="preserve"> </w:t>
      </w:r>
      <w:r w:rsidRPr="00853984">
        <w:rPr>
          <w:lang w:val="en-GB"/>
        </w:rPr>
        <w:t>hazards.</w:t>
      </w:r>
    </w:p>
    <w:p w14:paraId="08EE7AEF" w14:textId="4158854D" w:rsidR="00042E96" w:rsidRPr="00853984" w:rsidRDefault="00042E96" w:rsidP="00042E96">
      <w:pPr>
        <w:pStyle w:val="ParaNumber"/>
        <w:rPr>
          <w:lang w:val="en-GB"/>
        </w:rPr>
      </w:pPr>
      <w:r w:rsidRPr="00853984">
        <w:rPr>
          <w:lang w:val="en-GB"/>
        </w:rPr>
        <w:t xml:space="preserve">States Parties have made efforts to encourage sectors </w:t>
      </w:r>
      <w:r w:rsidR="005E1333" w:rsidRPr="00853984">
        <w:rPr>
          <w:lang w:val="en-GB"/>
        </w:rPr>
        <w:t>other than</w:t>
      </w:r>
      <w:r w:rsidRPr="00853984">
        <w:rPr>
          <w:lang w:val="en-GB"/>
        </w:rPr>
        <w:t xml:space="preserve"> health to contribute to assessments, planning and interventions aimed at strengthening preparedness and response capacities under the IHR (2005). Nevertheless, effective multisectoral collaboration remains a challenge. In some States Parties, the IHR (2005) are perceived as the sole responsibility of the national health sector. Insufficient legislation or authority to fully operationalize </w:t>
      </w:r>
      <w:r w:rsidR="00A701DB" w:rsidRPr="00853984">
        <w:rPr>
          <w:lang w:val="en-GB"/>
        </w:rPr>
        <w:br/>
      </w:r>
      <w:r w:rsidRPr="00853984">
        <w:rPr>
          <w:lang w:val="en-GB"/>
        </w:rPr>
        <w:t xml:space="preserve">IHR (2005) requirements and to convene the necessary sectors often hinders the effective operation of the NFPs. Legislation outlining roles and responsibilities during emergency situations often lacks the necessary </w:t>
      </w:r>
      <w:r w:rsidR="00780E01" w:rsidRPr="00853984">
        <w:rPr>
          <w:lang w:val="en-GB"/>
        </w:rPr>
        <w:t>provision</w:t>
      </w:r>
      <w:r w:rsidR="00C91CF2" w:rsidRPr="00853984">
        <w:rPr>
          <w:lang w:val="en-GB"/>
        </w:rPr>
        <w:t>s</w:t>
      </w:r>
      <w:r w:rsidR="00780E01" w:rsidRPr="00853984">
        <w:rPr>
          <w:lang w:val="en-GB"/>
        </w:rPr>
        <w:t xml:space="preserve"> for coordinating</w:t>
      </w:r>
      <w:r w:rsidRPr="00853984">
        <w:rPr>
          <w:lang w:val="en-GB"/>
        </w:rPr>
        <w:t xml:space="preserve"> an effective and timely response. The importance of establishing public health emergency operation centres to coordinate health interventions during emergencies has been recognized and acted on in many, but not all, States Parties.</w:t>
      </w:r>
    </w:p>
    <w:p w14:paraId="08EE7AF0" w14:textId="3A93AD67" w:rsidR="00042E96" w:rsidRPr="00853984" w:rsidRDefault="00042E96" w:rsidP="00042E96">
      <w:pPr>
        <w:pStyle w:val="ParaNumber"/>
        <w:rPr>
          <w:lang w:val="en-GB"/>
        </w:rPr>
      </w:pPr>
      <w:r w:rsidRPr="00853984">
        <w:rPr>
          <w:lang w:val="en-GB"/>
        </w:rPr>
        <w:t>Surveillance systems are frequently under-resourced and do not allow for reliable and timely detection, assessment and notification</w:t>
      </w:r>
      <w:r w:rsidR="008326B1" w:rsidRPr="00853984">
        <w:rPr>
          <w:lang w:val="en-GB"/>
        </w:rPr>
        <w:t xml:space="preserve"> of </w:t>
      </w:r>
      <w:r w:rsidR="00BA45C4" w:rsidRPr="00853984">
        <w:rPr>
          <w:lang w:val="en-GB"/>
        </w:rPr>
        <w:t xml:space="preserve">potential </w:t>
      </w:r>
      <w:r w:rsidR="008326B1" w:rsidRPr="00853984">
        <w:rPr>
          <w:lang w:val="en-GB"/>
        </w:rPr>
        <w:t>public health events of international concern</w:t>
      </w:r>
      <w:r w:rsidRPr="00853984">
        <w:rPr>
          <w:lang w:val="en-GB"/>
        </w:rPr>
        <w:t>. Furthermore, formal mechanisms for sharing data between sectors, such as agriculture, veterinary, environment and trade, are often insufficient. Workforce capacity remains limited, particularly in the areas of diagnosis, clinical management, investigation and response.</w:t>
      </w:r>
    </w:p>
    <w:p w14:paraId="08EE7AF1" w14:textId="77777777" w:rsidR="00042E96" w:rsidRPr="00853984" w:rsidRDefault="00042E96" w:rsidP="00042E96">
      <w:pPr>
        <w:pStyle w:val="ParaNumber"/>
        <w:rPr>
          <w:lang w:val="en-GB"/>
        </w:rPr>
      </w:pPr>
      <w:r w:rsidRPr="00853984">
        <w:rPr>
          <w:lang w:val="en-GB"/>
        </w:rPr>
        <w:t xml:space="preserve">Laboratory capacity and collaboration through networks has been developed in Member States of the European Region, particularly for disease-specific programmes, such as poliomyelitis, measles and rubella, tuberculosis, HIV/AIDS and influenza. However, national public health laboratories and national networks in some Member States of the Region have not yet reached adequate capacity. </w:t>
      </w:r>
    </w:p>
    <w:p w14:paraId="08EE7AF2" w14:textId="6C968956" w:rsidR="00042E96" w:rsidRPr="00853984" w:rsidRDefault="00042E96" w:rsidP="00042E96">
      <w:pPr>
        <w:pStyle w:val="ParaNumber"/>
        <w:rPr>
          <w:lang w:val="en-GB"/>
        </w:rPr>
      </w:pPr>
      <w:r w:rsidRPr="00853984">
        <w:rPr>
          <w:lang w:val="en-GB"/>
        </w:rPr>
        <w:t xml:space="preserve">An emphasis on </w:t>
      </w:r>
      <w:r w:rsidR="008326B1" w:rsidRPr="00853984">
        <w:rPr>
          <w:lang w:val="en-GB"/>
        </w:rPr>
        <w:t xml:space="preserve">strengthening </w:t>
      </w:r>
      <w:r w:rsidRPr="00853984">
        <w:rPr>
          <w:lang w:val="en-GB"/>
        </w:rPr>
        <w:t>public health capacities at points of entry has improved arrangements for the management of infectious disease</w:t>
      </w:r>
      <w:r w:rsidR="008326B1" w:rsidRPr="00853984">
        <w:rPr>
          <w:lang w:val="en-GB"/>
        </w:rPr>
        <w:t>,</w:t>
      </w:r>
      <w:r w:rsidRPr="00853984">
        <w:rPr>
          <w:lang w:val="en-GB"/>
        </w:rPr>
        <w:t xml:space="preserve"> and many States Parties have developed multisectoral public health emergency response plans at designated points of entry. Nevertheless, coordination between national health surveillance mechanisms, the NFPs and the various sectors and authorities operating at the point</w:t>
      </w:r>
      <w:r w:rsidR="005A5A8F">
        <w:rPr>
          <w:lang w:val="en-GB"/>
        </w:rPr>
        <w:t>s</w:t>
      </w:r>
      <w:r w:rsidRPr="00853984">
        <w:rPr>
          <w:lang w:val="en-GB"/>
        </w:rPr>
        <w:t xml:space="preserve"> of entry is often insufficient. </w:t>
      </w:r>
    </w:p>
    <w:p w14:paraId="08EE7AF3" w14:textId="52FEFE1C" w:rsidR="00042E96" w:rsidRPr="00853984" w:rsidRDefault="00042E96" w:rsidP="00042E96">
      <w:pPr>
        <w:pStyle w:val="ParaNumber"/>
        <w:rPr>
          <w:lang w:val="en-GB"/>
        </w:rPr>
      </w:pPr>
      <w:r w:rsidRPr="00853984">
        <w:rPr>
          <w:lang w:val="en-GB"/>
        </w:rPr>
        <w:t xml:space="preserve">States Parties have scaled up risk communication preparedness in compliance with </w:t>
      </w:r>
      <w:r w:rsidR="00C726BA" w:rsidRPr="00853984">
        <w:rPr>
          <w:lang w:val="en-GB"/>
        </w:rPr>
        <w:br/>
      </w:r>
      <w:r w:rsidRPr="00853984">
        <w:rPr>
          <w:lang w:val="en-GB"/>
        </w:rPr>
        <w:t>IHR (2005) requirements. Yet the coordination among response agencies, sustained human and financial resources and e</w:t>
      </w:r>
      <w:r w:rsidR="00C726BA" w:rsidRPr="00853984">
        <w:rPr>
          <w:lang w:val="en-GB"/>
        </w:rPr>
        <w:t>ngagement with communities need</w:t>
      </w:r>
      <w:r w:rsidRPr="00853984">
        <w:rPr>
          <w:lang w:val="en-GB"/>
        </w:rPr>
        <w:t xml:space="preserve"> to be improved. </w:t>
      </w:r>
    </w:p>
    <w:p w14:paraId="08EE7AF4" w14:textId="765617C8" w:rsidR="00042E96" w:rsidRPr="00853984" w:rsidRDefault="00042E96" w:rsidP="00161B30">
      <w:pPr>
        <w:pStyle w:val="ParaNumber"/>
        <w:rPr>
          <w:lang w:val="en-GB"/>
        </w:rPr>
      </w:pPr>
      <w:r w:rsidRPr="00853984">
        <w:rPr>
          <w:lang w:val="en-GB"/>
        </w:rPr>
        <w:t xml:space="preserve">A final challenge is that there is often a lack of accurate information on the status of IHR (2005) capacities and implementation at the country level, which therefore impedes the further needs-based capacity development that is required. In 2016, in the European Region, only 35 </w:t>
      </w:r>
      <w:r w:rsidRPr="005D4C33">
        <w:rPr>
          <w:lang w:val="en-GB"/>
        </w:rPr>
        <w:t>of 5</w:t>
      </w:r>
      <w:r w:rsidR="00F54537">
        <w:rPr>
          <w:lang w:val="en-GB"/>
        </w:rPr>
        <w:t>5</w:t>
      </w:r>
      <w:r w:rsidRPr="005D4C33">
        <w:rPr>
          <w:lang w:val="en-GB"/>
        </w:rPr>
        <w:t xml:space="preserve"> States</w:t>
      </w:r>
      <w:r w:rsidRPr="00853984">
        <w:rPr>
          <w:lang w:val="en-GB"/>
        </w:rPr>
        <w:t xml:space="preserve"> Parties fulfilled their annual reporting obligations. In 2016 and 2017 </w:t>
      </w:r>
      <w:r w:rsidRPr="00853984">
        <w:rPr>
          <w:lang w:val="en-GB"/>
        </w:rPr>
        <w:lastRenderedPageBreak/>
        <w:t xml:space="preserve">States Parties and WHO have taken steps to build a more accurate picture of capacities </w:t>
      </w:r>
      <w:r w:rsidR="00FE026C" w:rsidRPr="00853984">
        <w:rPr>
          <w:lang w:val="en-GB"/>
        </w:rPr>
        <w:t>using other forms of assessment</w:t>
      </w:r>
      <w:r w:rsidRPr="00853984">
        <w:rPr>
          <w:lang w:val="en-GB"/>
        </w:rPr>
        <w:t xml:space="preserve"> </w:t>
      </w:r>
      <w:r w:rsidR="00556139" w:rsidRPr="00853984">
        <w:rPr>
          <w:lang w:val="en-GB"/>
        </w:rPr>
        <w:t>to</w:t>
      </w:r>
      <w:r w:rsidRPr="00853984">
        <w:rPr>
          <w:lang w:val="en-GB"/>
        </w:rPr>
        <w:t xml:space="preserve"> complement the obligatory annual reporting.</w:t>
      </w:r>
    </w:p>
    <w:p w14:paraId="08EE7AF5" w14:textId="77777777" w:rsidR="00042E96" w:rsidRPr="00853984" w:rsidRDefault="00042E96" w:rsidP="00042E96">
      <w:pPr>
        <w:pStyle w:val="Heading1"/>
        <w:rPr>
          <w:lang w:val="en-GB"/>
        </w:rPr>
      </w:pPr>
      <w:bookmarkStart w:id="3" w:name="_Toc512875092"/>
      <w:r w:rsidRPr="00853984">
        <w:rPr>
          <w:lang w:val="en-GB"/>
        </w:rPr>
        <w:t>Vision</w:t>
      </w:r>
      <w:bookmarkEnd w:id="3"/>
    </w:p>
    <w:p w14:paraId="08EE7AF6" w14:textId="6323EFA2" w:rsidR="00042E96" w:rsidRPr="00853984" w:rsidRDefault="00042E96" w:rsidP="00042E96">
      <w:pPr>
        <w:pStyle w:val="ParaNumber"/>
        <w:rPr>
          <w:lang w:val="en-GB"/>
        </w:rPr>
      </w:pPr>
      <w:r w:rsidRPr="00853984">
        <w:rPr>
          <w:lang w:val="en-GB"/>
        </w:rPr>
        <w:t>The vision reflects a joint commitment by Member S</w:t>
      </w:r>
      <w:r w:rsidR="00E61D41" w:rsidRPr="00853984">
        <w:rPr>
          <w:lang w:val="en-GB"/>
        </w:rPr>
        <w:t>tates, key partners, and the</w:t>
      </w:r>
      <w:r w:rsidRPr="00853984">
        <w:rPr>
          <w:lang w:val="en-GB"/>
        </w:rPr>
        <w:t xml:space="preserve"> Regional Office to the following common purpose:</w:t>
      </w:r>
    </w:p>
    <w:p w14:paraId="08EE7AF7" w14:textId="1A9E18C0" w:rsidR="00042E96" w:rsidRPr="00853984" w:rsidRDefault="00FE026C" w:rsidP="00042E96">
      <w:pPr>
        <w:pStyle w:val="ParaNumber"/>
        <w:numPr>
          <w:ilvl w:val="0"/>
          <w:numId w:val="0"/>
        </w:numPr>
        <w:rPr>
          <w:lang w:val="en-GB"/>
        </w:rPr>
      </w:pPr>
      <w:r w:rsidRPr="00853984">
        <w:rPr>
          <w:lang w:val="en-GB"/>
        </w:rPr>
        <w:t>“</w:t>
      </w:r>
      <w:r w:rsidR="00042E96" w:rsidRPr="00853984">
        <w:rPr>
          <w:lang w:val="en-GB"/>
        </w:rPr>
        <w:t xml:space="preserve">A WHO European </w:t>
      </w:r>
      <w:r w:rsidR="00C91CF2" w:rsidRPr="00853984">
        <w:rPr>
          <w:lang w:val="en-GB"/>
        </w:rPr>
        <w:t>R</w:t>
      </w:r>
      <w:r w:rsidR="00042E96" w:rsidRPr="00853984">
        <w:rPr>
          <w:lang w:val="en-GB"/>
        </w:rPr>
        <w:t>egion in which the impact of emergencies on health is prevented or minimized</w:t>
      </w:r>
      <w:r w:rsidRPr="00853984">
        <w:rPr>
          <w:lang w:val="en-GB"/>
        </w:rPr>
        <w:t>”</w:t>
      </w:r>
      <w:r w:rsidR="00042E96" w:rsidRPr="00853984">
        <w:rPr>
          <w:lang w:val="en-GB"/>
        </w:rPr>
        <w:t>.</w:t>
      </w:r>
    </w:p>
    <w:p w14:paraId="08EE7AF8" w14:textId="77777777" w:rsidR="00042E96" w:rsidRPr="00853984" w:rsidRDefault="00042E96" w:rsidP="00042E96">
      <w:pPr>
        <w:pStyle w:val="Heading1"/>
        <w:rPr>
          <w:lang w:val="en-GB"/>
        </w:rPr>
      </w:pPr>
      <w:bookmarkStart w:id="4" w:name="_Toc512875093"/>
      <w:r w:rsidRPr="00853984">
        <w:rPr>
          <w:lang w:val="en-GB"/>
        </w:rPr>
        <w:t>Goal</w:t>
      </w:r>
      <w:bookmarkEnd w:id="4"/>
    </w:p>
    <w:p w14:paraId="08EE7AF9" w14:textId="77777777" w:rsidR="00042E96" w:rsidRPr="00853984" w:rsidRDefault="00042E96" w:rsidP="00042E96">
      <w:pPr>
        <w:pStyle w:val="ParaNumber"/>
        <w:rPr>
          <w:lang w:val="en-GB"/>
        </w:rPr>
      </w:pPr>
      <w:r w:rsidRPr="00853984">
        <w:rPr>
          <w:lang w:val="en-GB"/>
        </w:rPr>
        <w:t>The goal is to strengthen and maintain the capacities within the European Region to effectively prevent, prepare for, detect and respond to public health threats, and to provide assistance to affected countries, when necessary, through three strategic pillars:</w:t>
      </w:r>
    </w:p>
    <w:p w14:paraId="08EE7AFB" w14:textId="3B65894A" w:rsidR="00042E96" w:rsidRPr="00853984" w:rsidRDefault="00E81336" w:rsidP="00F56CBC">
      <w:pPr>
        <w:pStyle w:val="ListNumber3"/>
        <w:rPr>
          <w:lang w:val="en-GB"/>
        </w:rPr>
      </w:pPr>
      <w:r w:rsidRPr="00853984">
        <w:rPr>
          <w:lang w:val="en-GB"/>
        </w:rPr>
        <w:t>Strategic pillar 1.</w:t>
      </w:r>
      <w:r w:rsidR="002F2B15" w:rsidRPr="00853984">
        <w:rPr>
          <w:lang w:val="en-GB"/>
        </w:rPr>
        <w:t xml:space="preserve"> Build</w:t>
      </w:r>
      <w:r w:rsidR="00042E96" w:rsidRPr="00853984">
        <w:rPr>
          <w:lang w:val="en-GB"/>
        </w:rPr>
        <w:t xml:space="preserve"> and maintain States Parties’ core capacities required under the </w:t>
      </w:r>
      <w:r w:rsidR="00C91CF2" w:rsidRPr="00853984">
        <w:rPr>
          <w:lang w:val="en-GB"/>
        </w:rPr>
        <w:t>IHR</w:t>
      </w:r>
      <w:r w:rsidR="00042E96" w:rsidRPr="00853984">
        <w:rPr>
          <w:lang w:val="en-GB"/>
        </w:rPr>
        <w:t xml:space="preserve"> (2005)</w:t>
      </w:r>
      <w:r w:rsidR="00177AEF" w:rsidRPr="00853984">
        <w:rPr>
          <w:lang w:val="en-GB"/>
        </w:rPr>
        <w:t>;</w:t>
      </w:r>
    </w:p>
    <w:p w14:paraId="08EE7AFC" w14:textId="3C49C8F0" w:rsidR="00042E96" w:rsidRPr="00853984" w:rsidRDefault="00E81336" w:rsidP="00F56CBC">
      <w:pPr>
        <w:pStyle w:val="ListNumber3"/>
        <w:rPr>
          <w:lang w:val="en-GB"/>
        </w:rPr>
      </w:pPr>
      <w:r w:rsidRPr="00853984">
        <w:rPr>
          <w:lang w:val="en-GB"/>
        </w:rPr>
        <w:t>Strategic pillar 2.</w:t>
      </w:r>
      <w:r w:rsidR="00042E96" w:rsidRPr="00853984">
        <w:rPr>
          <w:lang w:val="en-GB"/>
        </w:rPr>
        <w:t xml:space="preserve"> Strengthen event management and compliance with the requirements under the </w:t>
      </w:r>
      <w:r w:rsidR="00C91CF2" w:rsidRPr="00853984">
        <w:rPr>
          <w:lang w:val="en-GB"/>
        </w:rPr>
        <w:t xml:space="preserve">IHR </w:t>
      </w:r>
      <w:r w:rsidR="00042E96" w:rsidRPr="00853984">
        <w:rPr>
          <w:lang w:val="en-GB"/>
        </w:rPr>
        <w:t>(2005)</w:t>
      </w:r>
      <w:r w:rsidR="00177AEF" w:rsidRPr="00853984">
        <w:rPr>
          <w:lang w:val="en-GB"/>
        </w:rPr>
        <w:t>;</w:t>
      </w:r>
    </w:p>
    <w:p w14:paraId="08EE7AFD" w14:textId="3D9E0FE2" w:rsidR="00042E96" w:rsidRPr="00853984" w:rsidRDefault="00042E96" w:rsidP="00042E96">
      <w:pPr>
        <w:pStyle w:val="ListNumber3"/>
        <w:rPr>
          <w:lang w:val="en-GB"/>
        </w:rPr>
      </w:pPr>
      <w:r w:rsidRPr="00853984">
        <w:rPr>
          <w:lang w:val="en-GB"/>
        </w:rPr>
        <w:t>Strategic pillar</w:t>
      </w:r>
      <w:r w:rsidR="00E81336" w:rsidRPr="00853984">
        <w:rPr>
          <w:lang w:val="en-GB"/>
        </w:rPr>
        <w:t xml:space="preserve"> 3.</w:t>
      </w:r>
      <w:r w:rsidRPr="00853984">
        <w:rPr>
          <w:lang w:val="en-GB"/>
        </w:rPr>
        <w:t xml:space="preserve"> Measure progress and promote accountability</w:t>
      </w:r>
      <w:r w:rsidR="00177AEF" w:rsidRPr="00853984">
        <w:rPr>
          <w:lang w:val="en-GB"/>
        </w:rPr>
        <w:t>.</w:t>
      </w:r>
    </w:p>
    <w:p w14:paraId="08EE7AFE" w14:textId="18727D47" w:rsidR="00401449" w:rsidRPr="00853984" w:rsidRDefault="00401449" w:rsidP="00401449">
      <w:pPr>
        <w:pStyle w:val="Heading1"/>
        <w:rPr>
          <w:lang w:val="en-GB"/>
        </w:rPr>
      </w:pPr>
      <w:bookmarkStart w:id="5" w:name="_Toc512875094"/>
      <w:r w:rsidRPr="00853984">
        <w:rPr>
          <w:lang w:val="en-GB"/>
        </w:rPr>
        <w:t xml:space="preserve">Guiding principles of the </w:t>
      </w:r>
      <w:r w:rsidR="00177AEF" w:rsidRPr="00853984">
        <w:rPr>
          <w:lang w:val="en-GB"/>
        </w:rPr>
        <w:t xml:space="preserve">draft </w:t>
      </w:r>
      <w:r w:rsidRPr="00853984">
        <w:rPr>
          <w:lang w:val="en-GB"/>
        </w:rPr>
        <w:t>action plan</w:t>
      </w:r>
      <w:bookmarkEnd w:id="5"/>
    </w:p>
    <w:p w14:paraId="08EE7AFF" w14:textId="462E3269" w:rsidR="00401449" w:rsidRPr="00853984" w:rsidRDefault="00401449" w:rsidP="00401449">
      <w:pPr>
        <w:pStyle w:val="ParaNumber"/>
        <w:rPr>
          <w:lang w:val="en-GB"/>
        </w:rPr>
      </w:pPr>
      <w:r w:rsidRPr="00853984">
        <w:rPr>
          <w:lang w:val="en-GB"/>
        </w:rPr>
        <w:t xml:space="preserve">Building on the </w:t>
      </w:r>
      <w:r w:rsidR="00C15AFE" w:rsidRPr="00853984">
        <w:rPr>
          <w:lang w:val="en-GB"/>
        </w:rPr>
        <w:t>draft global strategic plan to improve public health preparedness and r</w:t>
      </w:r>
      <w:r w:rsidRPr="00853984">
        <w:rPr>
          <w:lang w:val="en-GB"/>
        </w:rPr>
        <w:t xml:space="preserve">esponse, 2018–2023, the </w:t>
      </w:r>
      <w:r w:rsidR="00177AEF" w:rsidRPr="00853984">
        <w:rPr>
          <w:lang w:val="en-GB"/>
        </w:rPr>
        <w:t xml:space="preserve">draft European </w:t>
      </w:r>
      <w:r w:rsidRPr="00853984">
        <w:rPr>
          <w:lang w:val="en-GB"/>
        </w:rPr>
        <w:t>action plan recognizes the interdependence between health emergency preparedness, health systems strengthening</w:t>
      </w:r>
      <w:r w:rsidR="00C15AFE" w:rsidRPr="00853984">
        <w:rPr>
          <w:lang w:val="en-GB"/>
        </w:rPr>
        <w:t xml:space="preserve"> a</w:t>
      </w:r>
      <w:r w:rsidRPr="00853984">
        <w:rPr>
          <w:lang w:val="en-GB"/>
        </w:rPr>
        <w:t xml:space="preserve">nd the essential public health functions. The action plan adheres to the principle set out in the Sustainable Development Goals of leaving no one behind, through the promotion of universal health coverage, </w:t>
      </w:r>
      <w:r w:rsidR="00F6473F" w:rsidRPr="00853984">
        <w:rPr>
          <w:lang w:val="en-GB"/>
        </w:rPr>
        <w:t>and</w:t>
      </w:r>
      <w:r w:rsidRPr="00853984">
        <w:rPr>
          <w:lang w:val="en-GB"/>
        </w:rPr>
        <w:t xml:space="preserve"> complies with other international norms, such as the Sendai Framework for Disaster Risk Reduction. The action plan also recogni</w:t>
      </w:r>
      <w:r w:rsidR="00177AEF" w:rsidRPr="00853984">
        <w:rPr>
          <w:lang w:val="en-GB"/>
        </w:rPr>
        <w:t>z</w:t>
      </w:r>
      <w:r w:rsidRPr="00853984">
        <w:rPr>
          <w:lang w:val="en-GB"/>
        </w:rPr>
        <w:t>es the fundamental importance of country ownership that focuses on a needs-based approach to capacity development and draws, where possible, on domestic sources of funding in order to ensure sustainability. All preparedness strategies and actions undertaken by States Parties should be based on national risk, hazard and vulnerability profiles and should involve all relevant national stakeholders.</w:t>
      </w:r>
    </w:p>
    <w:p w14:paraId="08EE7B00" w14:textId="2CB2B156" w:rsidR="00401449" w:rsidRPr="00853984" w:rsidRDefault="009841BE" w:rsidP="002E1797">
      <w:pPr>
        <w:pStyle w:val="ParaNumber"/>
        <w:rPr>
          <w:lang w:val="en-GB"/>
        </w:rPr>
      </w:pPr>
      <w:r w:rsidRPr="00853984">
        <w:rPr>
          <w:rFonts w:eastAsia="Times New Roman" w:cs="Times New Roman"/>
          <w:lang w:val="en-GB"/>
        </w:rPr>
        <w:t>The action plan emphasi</w:t>
      </w:r>
      <w:r w:rsidR="00F6473F">
        <w:rPr>
          <w:rFonts w:eastAsia="Times New Roman" w:cs="Times New Roman"/>
          <w:lang w:val="en-GB"/>
        </w:rPr>
        <w:t>z</w:t>
      </w:r>
      <w:r w:rsidRPr="00853984">
        <w:rPr>
          <w:rFonts w:eastAsia="Times New Roman" w:cs="Times New Roman"/>
          <w:lang w:val="en-GB"/>
        </w:rPr>
        <w:t xml:space="preserve">es the leadership role of WHO in coordinating key partners and stakeholders to support countries in </w:t>
      </w:r>
      <w:r w:rsidR="00177AEF" w:rsidRPr="00853984">
        <w:rPr>
          <w:rFonts w:eastAsia="Times New Roman" w:cs="Times New Roman"/>
          <w:lang w:val="en-GB"/>
        </w:rPr>
        <w:t>capacity</w:t>
      </w:r>
      <w:r w:rsidRPr="00853984">
        <w:rPr>
          <w:rFonts w:eastAsia="Times New Roman" w:cs="Times New Roman"/>
          <w:lang w:val="en-GB"/>
        </w:rPr>
        <w:t xml:space="preserve"> development </w:t>
      </w:r>
      <w:r w:rsidR="00177AEF" w:rsidRPr="00853984">
        <w:rPr>
          <w:rFonts w:eastAsia="Times New Roman" w:cs="Times New Roman"/>
          <w:lang w:val="en-GB"/>
        </w:rPr>
        <w:t xml:space="preserve">and </w:t>
      </w:r>
      <w:r w:rsidRPr="00853984">
        <w:rPr>
          <w:rFonts w:eastAsia="Times New Roman" w:cs="Times New Roman"/>
          <w:lang w:val="en-GB"/>
        </w:rPr>
        <w:t xml:space="preserve">in providing assistance during an emergency; prioritizes WHO </w:t>
      </w:r>
      <w:r w:rsidR="001B272E" w:rsidRPr="00853984">
        <w:rPr>
          <w:rFonts w:eastAsia="Times New Roman" w:cs="Times New Roman"/>
          <w:lang w:val="en-GB"/>
        </w:rPr>
        <w:t>support to 14</w:t>
      </w:r>
      <w:r w:rsidRPr="00853984">
        <w:rPr>
          <w:rFonts w:eastAsia="Times New Roman" w:cs="Times New Roman"/>
          <w:lang w:val="en-GB"/>
        </w:rPr>
        <w:t xml:space="preserve"> countries</w:t>
      </w:r>
      <w:r w:rsidRPr="00853984">
        <w:rPr>
          <w:rFonts w:eastAsia="Times New Roman" w:cs="Times New Roman"/>
          <w:vertAlign w:val="superscript"/>
          <w:lang w:val="en-GB"/>
        </w:rPr>
        <w:footnoteReference w:id="1"/>
      </w:r>
      <w:r w:rsidR="001B272E" w:rsidRPr="00853984">
        <w:rPr>
          <w:rFonts w:eastAsia="Times New Roman" w:cs="Times New Roman"/>
          <w:lang w:val="en-GB"/>
        </w:rPr>
        <w:t xml:space="preserve"> and Kosovo</w:t>
      </w:r>
      <w:r w:rsidR="001B272E" w:rsidRPr="00853984">
        <w:rPr>
          <w:rStyle w:val="FootnoteReference"/>
          <w:rFonts w:eastAsia="Times New Roman" w:cs="Times New Roman"/>
          <w:lang w:val="en-GB"/>
        </w:rPr>
        <w:footnoteReference w:id="2"/>
      </w:r>
      <w:r w:rsidRPr="00853984">
        <w:rPr>
          <w:rFonts w:eastAsia="Times New Roman" w:cs="Times New Roman"/>
          <w:vertAlign w:val="superscript"/>
          <w:lang w:val="en-GB"/>
        </w:rPr>
        <w:t xml:space="preserve"> </w:t>
      </w:r>
      <w:r w:rsidRPr="00853984">
        <w:rPr>
          <w:rFonts w:eastAsia="Times New Roman" w:cs="Times New Roman"/>
          <w:lang w:val="en-GB"/>
        </w:rPr>
        <w:t xml:space="preserve">in the European </w:t>
      </w:r>
      <w:r w:rsidRPr="00853984">
        <w:rPr>
          <w:rFonts w:eastAsia="Times New Roman" w:cs="Times New Roman"/>
          <w:lang w:val="en-GB"/>
        </w:rPr>
        <w:lastRenderedPageBreak/>
        <w:t>Region; and recogni</w:t>
      </w:r>
      <w:r w:rsidR="00177AEF" w:rsidRPr="00853984">
        <w:rPr>
          <w:rFonts w:eastAsia="Times New Roman" w:cs="Times New Roman"/>
          <w:lang w:val="en-GB"/>
        </w:rPr>
        <w:t>z</w:t>
      </w:r>
      <w:r w:rsidRPr="00853984">
        <w:rPr>
          <w:rFonts w:eastAsia="Times New Roman" w:cs="Times New Roman"/>
          <w:lang w:val="en-GB"/>
        </w:rPr>
        <w:t>es the importance of an all-hazard approach,</w:t>
      </w:r>
      <w:r w:rsidRPr="00853984">
        <w:rPr>
          <w:rFonts w:eastAsia="Times New Roman" w:cs="Times New Roman"/>
          <w:vertAlign w:val="superscript"/>
          <w:lang w:val="en-GB"/>
        </w:rPr>
        <w:footnoteReference w:id="3"/>
      </w:r>
      <w:r w:rsidRPr="00853984">
        <w:rPr>
          <w:rFonts w:eastAsia="Times New Roman" w:cs="Times New Roman"/>
          <w:lang w:val="en-GB"/>
        </w:rPr>
        <w:t xml:space="preserve"> focusing on all phases of the emergency management cycle.</w:t>
      </w:r>
      <w:r w:rsidRPr="00853984">
        <w:rPr>
          <w:rFonts w:eastAsia="Times New Roman" w:cs="Times New Roman"/>
          <w:vertAlign w:val="superscript"/>
          <w:lang w:val="en-GB"/>
        </w:rPr>
        <w:footnoteReference w:id="4"/>
      </w:r>
    </w:p>
    <w:p w14:paraId="08EE7B01" w14:textId="55A58D3E" w:rsidR="004608BF" w:rsidRPr="00853984" w:rsidRDefault="00906172" w:rsidP="004608BF">
      <w:pPr>
        <w:pStyle w:val="Heading2"/>
        <w:rPr>
          <w:lang w:val="en-GB"/>
        </w:rPr>
      </w:pPr>
      <w:bookmarkStart w:id="6" w:name="_Toc512875095"/>
      <w:r w:rsidRPr="00853984">
        <w:rPr>
          <w:lang w:val="en-GB"/>
        </w:rPr>
        <w:t>Strategic pillar 1.</w:t>
      </w:r>
      <w:r w:rsidR="004608BF" w:rsidRPr="00853984">
        <w:rPr>
          <w:lang w:val="en-GB"/>
        </w:rPr>
        <w:t xml:space="preserve"> Build, strengthen and maintain States Parties’ core capacities required under the IHR (2005)</w:t>
      </w:r>
      <w:bookmarkEnd w:id="6"/>
    </w:p>
    <w:p w14:paraId="08EE7B02" w14:textId="2DDFC73C" w:rsidR="004608BF" w:rsidRPr="00853984" w:rsidRDefault="004608BF" w:rsidP="004608BF">
      <w:pPr>
        <w:pStyle w:val="ParaNumber"/>
        <w:rPr>
          <w:lang w:val="en-GB"/>
        </w:rPr>
      </w:pPr>
      <w:r w:rsidRPr="00853984">
        <w:rPr>
          <w:lang w:val="en-GB"/>
        </w:rPr>
        <w:t xml:space="preserve">Establishing the capacities required to respond effectively and in a timely manner to </w:t>
      </w:r>
      <w:r w:rsidR="00BA45C4" w:rsidRPr="00853984">
        <w:rPr>
          <w:lang w:val="en-GB"/>
        </w:rPr>
        <w:t xml:space="preserve">potential </w:t>
      </w:r>
      <w:r w:rsidRPr="00853984">
        <w:rPr>
          <w:lang w:val="en-GB"/>
        </w:rPr>
        <w:t>public health emergencies of international concern is an obligation for States Parties under the IHR (2005). Developing these capacities should include efforts to strengthen health systems and to coordinate the mobilization of domestic and international funding through multisectoral action plans.</w:t>
      </w:r>
    </w:p>
    <w:p w14:paraId="08EE7B03" w14:textId="77777777" w:rsidR="00602563" w:rsidRPr="00853984" w:rsidRDefault="00602563" w:rsidP="00602563">
      <w:pPr>
        <w:pStyle w:val="Heading3"/>
        <w:rPr>
          <w:lang w:val="en-GB"/>
        </w:rPr>
      </w:pPr>
      <w:r w:rsidRPr="00853984">
        <w:rPr>
          <w:lang w:val="en-GB"/>
        </w:rPr>
        <w:t>National policies, plans and legislation</w:t>
      </w:r>
    </w:p>
    <w:p w14:paraId="08EE7B04" w14:textId="0D4AD8D5" w:rsidR="00602563" w:rsidRPr="00853984" w:rsidRDefault="00602563" w:rsidP="00602563">
      <w:pPr>
        <w:pStyle w:val="ParaNumber"/>
        <w:rPr>
          <w:lang w:val="en-GB"/>
        </w:rPr>
      </w:pPr>
      <w:r w:rsidRPr="00853984">
        <w:rPr>
          <w:lang w:val="en-GB"/>
        </w:rPr>
        <w:t xml:space="preserve">National legislation encompasses a broad range of legal, administrative and other governmental instruments that may facilitate the implementation of the IHR (2005) by States Parties. It serves to institutionalize and strengthen the role of </w:t>
      </w:r>
      <w:r w:rsidR="00986D2A" w:rsidRPr="00853984">
        <w:rPr>
          <w:lang w:val="en-GB"/>
        </w:rPr>
        <w:t xml:space="preserve">the </w:t>
      </w:r>
      <w:r w:rsidRPr="00853984">
        <w:rPr>
          <w:lang w:val="en-GB"/>
        </w:rPr>
        <w:t>IHR (2005) within a State Party and facilitates the necessary processes, including coordination and communication</w:t>
      </w:r>
      <w:r w:rsidR="00986D2A" w:rsidRPr="00853984">
        <w:rPr>
          <w:lang w:val="en-GB"/>
        </w:rPr>
        <w:t>,</w:t>
      </w:r>
      <w:r w:rsidRPr="00853984">
        <w:rPr>
          <w:lang w:val="en-GB"/>
        </w:rPr>
        <w:t xml:space="preserve"> among the different entities.</w:t>
      </w:r>
    </w:p>
    <w:p w14:paraId="08EE7B05" w14:textId="77777777" w:rsidR="00602563" w:rsidRPr="00853984" w:rsidRDefault="00602563" w:rsidP="00602563">
      <w:pPr>
        <w:pStyle w:val="ParaNumber"/>
        <w:rPr>
          <w:lang w:val="en-GB"/>
        </w:rPr>
      </w:pPr>
      <w:r w:rsidRPr="00853984">
        <w:rPr>
          <w:lang w:val="en-GB"/>
        </w:rPr>
        <w:t>States Parties will:</w:t>
      </w:r>
    </w:p>
    <w:p w14:paraId="08EE7B06" w14:textId="77777777" w:rsidR="00602563" w:rsidRPr="00853984" w:rsidRDefault="00602563" w:rsidP="00F56CBC">
      <w:pPr>
        <w:pStyle w:val="ListNumber2"/>
        <w:numPr>
          <w:ilvl w:val="1"/>
          <w:numId w:val="21"/>
        </w:numPr>
        <w:rPr>
          <w:lang w:val="en-GB"/>
        </w:rPr>
      </w:pPr>
      <w:r w:rsidRPr="00853984">
        <w:rPr>
          <w:lang w:val="en-GB"/>
        </w:rPr>
        <w:t>continue working with relevant sectors to ensure political and financial commitments to develop and maintain IHR (2005) implementation at both the national and local levels. This will include the development of national policies and action plans for health emergency preparedness that clearly define the relevant roles, responsibilities and timelines; and</w:t>
      </w:r>
    </w:p>
    <w:p w14:paraId="08EE7B07" w14:textId="4B286335" w:rsidR="00602563" w:rsidRPr="00853984" w:rsidRDefault="00602563" w:rsidP="00F56CBC">
      <w:pPr>
        <w:pStyle w:val="ListNumber2"/>
        <w:numPr>
          <w:ilvl w:val="1"/>
          <w:numId w:val="21"/>
        </w:numPr>
        <w:rPr>
          <w:lang w:val="en-GB"/>
        </w:rPr>
      </w:pPr>
      <w:r w:rsidRPr="00853984">
        <w:rPr>
          <w:lang w:val="en-GB"/>
        </w:rPr>
        <w:t xml:space="preserve">improve governance for multisectoral IHR (2005) implementation through </w:t>
      </w:r>
      <w:r w:rsidR="00906172" w:rsidRPr="00853984">
        <w:rPr>
          <w:lang w:val="en-GB"/>
        </w:rPr>
        <w:br/>
      </w:r>
      <w:r w:rsidRPr="00853984">
        <w:rPr>
          <w:lang w:val="en-GB"/>
        </w:rPr>
        <w:t>whole-of-government and whole-of-society approaches. This may include, where necessary, support for the revision of relevant legal and regulatory</w:t>
      </w:r>
      <w:r w:rsidR="00AE0C4D" w:rsidRPr="00853984">
        <w:rPr>
          <w:lang w:val="en-GB"/>
        </w:rPr>
        <w:t xml:space="preserve"> frameworks and the establishment of mechanisms to ensure coordination between sectors.</w:t>
      </w:r>
    </w:p>
    <w:p w14:paraId="08EE7B08" w14:textId="52C14335" w:rsidR="00AE0C4D" w:rsidRPr="00853984" w:rsidRDefault="00906172" w:rsidP="002E1797">
      <w:pPr>
        <w:pStyle w:val="ParaNumber"/>
        <w:rPr>
          <w:lang w:val="en-GB"/>
        </w:rPr>
      </w:pPr>
      <w:r w:rsidRPr="00853984">
        <w:rPr>
          <w:lang w:val="en-GB"/>
        </w:rPr>
        <w:t>The</w:t>
      </w:r>
      <w:r w:rsidR="00AE0C4D" w:rsidRPr="00853984">
        <w:rPr>
          <w:lang w:val="en-GB"/>
        </w:rPr>
        <w:t xml:space="preserve"> Regional Office</w:t>
      </w:r>
      <w:r w:rsidR="00986D2A" w:rsidRPr="00853984">
        <w:rPr>
          <w:lang w:val="en-GB"/>
        </w:rPr>
        <w:t>,</w:t>
      </w:r>
      <w:r w:rsidR="00AE0C4D" w:rsidRPr="00853984">
        <w:rPr>
          <w:lang w:val="en-GB"/>
        </w:rPr>
        <w:t xml:space="preserve"> in collaboration with key partners</w:t>
      </w:r>
      <w:r w:rsidR="00986D2A" w:rsidRPr="00853984">
        <w:rPr>
          <w:lang w:val="en-GB"/>
        </w:rPr>
        <w:t>,</w:t>
      </w:r>
      <w:r w:rsidR="00AE0C4D" w:rsidRPr="00853984">
        <w:rPr>
          <w:lang w:val="en-GB"/>
        </w:rPr>
        <w:t xml:space="preserve"> will:</w:t>
      </w:r>
    </w:p>
    <w:p w14:paraId="08EE7B09" w14:textId="68B937F8" w:rsidR="00AE0C4D" w:rsidRPr="00853984" w:rsidRDefault="00AE0C4D" w:rsidP="002E1797">
      <w:pPr>
        <w:pStyle w:val="ListNumber2"/>
        <w:numPr>
          <w:ilvl w:val="1"/>
          <w:numId w:val="22"/>
        </w:numPr>
        <w:rPr>
          <w:lang w:val="en-GB"/>
        </w:rPr>
      </w:pPr>
      <w:r w:rsidRPr="00853984">
        <w:rPr>
          <w:lang w:val="en-GB"/>
        </w:rPr>
        <w:t xml:space="preserve">advocate </w:t>
      </w:r>
      <w:r w:rsidR="00986D2A" w:rsidRPr="00853984">
        <w:rPr>
          <w:lang w:val="en-GB"/>
        </w:rPr>
        <w:t xml:space="preserve">for </w:t>
      </w:r>
      <w:r w:rsidRPr="00853984">
        <w:rPr>
          <w:lang w:val="en-GB"/>
        </w:rPr>
        <w:t>and support integrated multisectoral IHR (2005) implementation to ensure that non-health sectors are fully engaged and have clear roles and responsibilities;</w:t>
      </w:r>
    </w:p>
    <w:p w14:paraId="08EE7B0A" w14:textId="4A9CB73B" w:rsidR="00AE0C4D" w:rsidRPr="00853984" w:rsidRDefault="00AE0C4D" w:rsidP="002E1797">
      <w:pPr>
        <w:pStyle w:val="ListNumber2"/>
        <w:numPr>
          <w:ilvl w:val="1"/>
          <w:numId w:val="22"/>
        </w:numPr>
        <w:rPr>
          <w:lang w:val="en-GB"/>
        </w:rPr>
      </w:pPr>
      <w:r w:rsidRPr="00853984">
        <w:rPr>
          <w:lang w:val="en-GB"/>
        </w:rPr>
        <w:t>support States Parties, whenever necessary, in the development and revision of relevant national legislative</w:t>
      </w:r>
      <w:r w:rsidR="00986D2A" w:rsidRPr="00853984">
        <w:rPr>
          <w:lang w:val="en-GB"/>
        </w:rPr>
        <w:t xml:space="preserve"> and</w:t>
      </w:r>
      <w:r w:rsidRPr="00853984">
        <w:rPr>
          <w:lang w:val="en-GB"/>
        </w:rPr>
        <w:t xml:space="preserve"> regulatory frameworks</w:t>
      </w:r>
      <w:r w:rsidR="00986D2A" w:rsidRPr="00853984">
        <w:rPr>
          <w:lang w:val="en-GB"/>
        </w:rPr>
        <w:t>,</w:t>
      </w:r>
      <w:r w:rsidRPr="00853984">
        <w:rPr>
          <w:lang w:val="en-GB"/>
        </w:rPr>
        <w:t xml:space="preserve"> and standard operating procedures; and</w:t>
      </w:r>
    </w:p>
    <w:p w14:paraId="08EE7B0B" w14:textId="7765B587" w:rsidR="00AE0C4D" w:rsidRPr="00853984" w:rsidRDefault="00AE0C4D" w:rsidP="002E1797">
      <w:pPr>
        <w:pStyle w:val="ListNumber2"/>
        <w:numPr>
          <w:ilvl w:val="1"/>
          <w:numId w:val="22"/>
        </w:numPr>
        <w:rPr>
          <w:lang w:val="en-GB"/>
        </w:rPr>
      </w:pPr>
      <w:r w:rsidRPr="00853984">
        <w:rPr>
          <w:lang w:val="en-GB"/>
        </w:rPr>
        <w:t xml:space="preserve">support States Parties to develop, </w:t>
      </w:r>
      <w:r w:rsidR="00906172" w:rsidRPr="00853984">
        <w:rPr>
          <w:lang w:val="en-GB"/>
        </w:rPr>
        <w:t xml:space="preserve">assess the </w:t>
      </w:r>
      <w:r w:rsidRPr="00853984">
        <w:rPr>
          <w:lang w:val="en-GB"/>
        </w:rPr>
        <w:t>cost</w:t>
      </w:r>
      <w:r w:rsidR="00906172" w:rsidRPr="00853984">
        <w:rPr>
          <w:lang w:val="en-GB"/>
        </w:rPr>
        <w:t xml:space="preserve"> of</w:t>
      </w:r>
      <w:r w:rsidRPr="00853984">
        <w:rPr>
          <w:lang w:val="en-GB"/>
        </w:rPr>
        <w:t xml:space="preserve"> and, where necessary, engage technical and financial partners to enable the development and implementation of national policies and action plans for health emergency preparedness.</w:t>
      </w:r>
    </w:p>
    <w:p w14:paraId="08EE7B0C" w14:textId="77777777" w:rsidR="00AE0C4D" w:rsidRPr="00853984" w:rsidRDefault="00AE0C4D" w:rsidP="00AE0C4D">
      <w:pPr>
        <w:pStyle w:val="Heading3"/>
        <w:rPr>
          <w:lang w:val="en-GB"/>
        </w:rPr>
      </w:pPr>
      <w:r w:rsidRPr="00853984">
        <w:rPr>
          <w:lang w:val="en-GB"/>
        </w:rPr>
        <w:lastRenderedPageBreak/>
        <w:t>IHR (2005) coordination, communication and advocacy</w:t>
      </w:r>
    </w:p>
    <w:p w14:paraId="08EE7B0D" w14:textId="07198E06" w:rsidR="00AE0C4D" w:rsidRPr="00853984" w:rsidRDefault="00AE0C4D" w:rsidP="00AE0C4D">
      <w:pPr>
        <w:pStyle w:val="ParaNumber"/>
        <w:rPr>
          <w:lang w:val="en-GB"/>
        </w:rPr>
      </w:pPr>
      <w:r w:rsidRPr="00853984">
        <w:rPr>
          <w:lang w:val="en-GB"/>
        </w:rPr>
        <w:t>Effective IHR (2005) implementation requires strong collaboration among</w:t>
      </w:r>
      <w:r w:rsidR="00DD4856">
        <w:rPr>
          <w:lang w:val="en-GB"/>
        </w:rPr>
        <w:t xml:space="preserve"> and within relevant sectors,</w:t>
      </w:r>
      <w:r w:rsidRPr="00853984">
        <w:rPr>
          <w:lang w:val="en-GB"/>
        </w:rPr>
        <w:t xml:space="preserve"> responsible ministries and other governmental bodies at the national, </w:t>
      </w:r>
      <w:r w:rsidR="00BA45C4">
        <w:rPr>
          <w:lang w:val="en-GB"/>
        </w:rPr>
        <w:t>regional</w:t>
      </w:r>
      <w:r w:rsidRPr="00853984">
        <w:rPr>
          <w:lang w:val="en-GB"/>
        </w:rPr>
        <w:t xml:space="preserve"> and local levels, with the NFP engaged in the process. Fundamental to this multisectoral collaboration is the recognition that risks to human health can emerge from various sources, including domestic animals/livestock, wildlife, food, chemicals or radiation. Coordination and communication capacities a</w:t>
      </w:r>
      <w:r w:rsidR="0043422A" w:rsidRPr="00853984">
        <w:rPr>
          <w:lang w:val="en-GB"/>
        </w:rPr>
        <w:t>re essential for the prevention and</w:t>
      </w:r>
      <w:r w:rsidRPr="00853984">
        <w:rPr>
          <w:lang w:val="en-GB"/>
        </w:rPr>
        <w:t xml:space="preserve"> detection </w:t>
      </w:r>
      <w:r w:rsidR="0043422A" w:rsidRPr="00853984">
        <w:rPr>
          <w:lang w:val="en-GB"/>
        </w:rPr>
        <w:t xml:space="preserve">of, </w:t>
      </w:r>
      <w:r w:rsidRPr="00853984">
        <w:rPr>
          <w:lang w:val="en-GB"/>
        </w:rPr>
        <w:t>and response to</w:t>
      </w:r>
      <w:r w:rsidR="0043422A" w:rsidRPr="00853984">
        <w:rPr>
          <w:lang w:val="en-GB"/>
        </w:rPr>
        <w:t>,</w:t>
      </w:r>
      <w:r w:rsidRPr="00853984">
        <w:rPr>
          <w:lang w:val="en-GB"/>
        </w:rPr>
        <w:t xml:space="preserve"> public health risks and should exist within all relevant sectors. </w:t>
      </w:r>
    </w:p>
    <w:p w14:paraId="08EE7B0E" w14:textId="77777777" w:rsidR="00AE0C4D" w:rsidRPr="00853984" w:rsidRDefault="00AE0C4D" w:rsidP="00AE0C4D">
      <w:pPr>
        <w:pStyle w:val="ParaNumber"/>
        <w:rPr>
          <w:lang w:val="en-GB"/>
        </w:rPr>
      </w:pPr>
      <w:r w:rsidRPr="00853984">
        <w:rPr>
          <w:lang w:val="en-GB"/>
        </w:rPr>
        <w:t>States Parties will:</w:t>
      </w:r>
    </w:p>
    <w:p w14:paraId="08EE7B0F" w14:textId="77777777" w:rsidR="00AE0C4D" w:rsidRPr="00853984" w:rsidRDefault="00AE0C4D" w:rsidP="00F56CBC">
      <w:pPr>
        <w:pStyle w:val="ListNumber2"/>
        <w:numPr>
          <w:ilvl w:val="1"/>
          <w:numId w:val="23"/>
        </w:numPr>
        <w:rPr>
          <w:lang w:val="en-GB"/>
        </w:rPr>
      </w:pPr>
      <w:r w:rsidRPr="00853984">
        <w:rPr>
          <w:lang w:val="en-GB"/>
        </w:rPr>
        <w:t>establish, maintain and strengthen national multisectoral platforms for coordinated decision-making for IHR (2005) implementation; and</w:t>
      </w:r>
    </w:p>
    <w:p w14:paraId="08EE7B10" w14:textId="77777777" w:rsidR="00AE0C4D" w:rsidRPr="00853984" w:rsidRDefault="00AE0C4D" w:rsidP="00F56CBC">
      <w:pPr>
        <w:pStyle w:val="ListNumber2"/>
        <w:numPr>
          <w:ilvl w:val="1"/>
          <w:numId w:val="23"/>
        </w:numPr>
        <w:rPr>
          <w:lang w:val="en-GB"/>
        </w:rPr>
      </w:pPr>
      <w:r w:rsidRPr="00853984">
        <w:rPr>
          <w:lang w:val="en-GB"/>
        </w:rPr>
        <w:t>strengthen the functional capacity of the NFP through operational coordination and communication mechanisms between sectors.</w:t>
      </w:r>
    </w:p>
    <w:p w14:paraId="08EE7B11" w14:textId="52C2B63A" w:rsidR="00AE0C4D" w:rsidRPr="00853984" w:rsidRDefault="009D5BD6" w:rsidP="00AE0C4D">
      <w:pPr>
        <w:pStyle w:val="ParaNumber"/>
        <w:rPr>
          <w:lang w:val="en-GB"/>
        </w:rPr>
      </w:pPr>
      <w:r w:rsidRPr="00853984">
        <w:rPr>
          <w:lang w:val="en-GB"/>
        </w:rPr>
        <w:t>The Regional Office</w:t>
      </w:r>
      <w:r w:rsidR="00AE0C4D" w:rsidRPr="00853984">
        <w:rPr>
          <w:lang w:val="en-GB"/>
        </w:rPr>
        <w:t>, in collaboration with key partners, will:</w:t>
      </w:r>
    </w:p>
    <w:p w14:paraId="08EE7B12" w14:textId="56702043" w:rsidR="00AE0C4D" w:rsidRPr="00853984" w:rsidRDefault="00AE0C4D" w:rsidP="00F56CBC">
      <w:pPr>
        <w:pStyle w:val="ListNumber2"/>
        <w:numPr>
          <w:ilvl w:val="1"/>
          <w:numId w:val="24"/>
        </w:numPr>
        <w:rPr>
          <w:lang w:val="en-GB"/>
        </w:rPr>
      </w:pPr>
      <w:r w:rsidRPr="00853984">
        <w:rPr>
          <w:lang w:val="en-GB"/>
        </w:rPr>
        <w:t>assist State</w:t>
      </w:r>
      <w:r w:rsidR="00C96E32">
        <w:rPr>
          <w:lang w:val="en-GB"/>
        </w:rPr>
        <w:t>s</w:t>
      </w:r>
      <w:r w:rsidRPr="00853984">
        <w:rPr>
          <w:lang w:val="en-GB"/>
        </w:rPr>
        <w:t xml:space="preserve"> Parties in the developme</w:t>
      </w:r>
      <w:r w:rsidR="00B95108" w:rsidRPr="00853984">
        <w:rPr>
          <w:lang w:val="en-GB"/>
        </w:rPr>
        <w:t>nt of guidance, tools, training</w:t>
      </w:r>
      <w:r w:rsidRPr="00853984">
        <w:rPr>
          <w:lang w:val="en-GB"/>
        </w:rPr>
        <w:t xml:space="preserve"> and advocacy material</w:t>
      </w:r>
      <w:r w:rsidR="00986D2A" w:rsidRPr="00853984">
        <w:rPr>
          <w:lang w:val="en-GB"/>
        </w:rPr>
        <w:t>s</w:t>
      </w:r>
      <w:r w:rsidRPr="00853984">
        <w:rPr>
          <w:lang w:val="en-GB"/>
        </w:rPr>
        <w:t xml:space="preserve"> in order </w:t>
      </w:r>
      <w:r w:rsidR="00B95108" w:rsidRPr="00853984">
        <w:rPr>
          <w:lang w:val="en-GB"/>
        </w:rPr>
        <w:t xml:space="preserve">to </w:t>
      </w:r>
      <w:r w:rsidRPr="00853984">
        <w:rPr>
          <w:lang w:val="en-GB"/>
        </w:rPr>
        <w:t>improve understanding of the IHR (2005) and the role of the NFP</w:t>
      </w:r>
      <w:r w:rsidR="00B95108" w:rsidRPr="00853984">
        <w:rPr>
          <w:lang w:val="en-GB"/>
        </w:rPr>
        <w:t xml:space="preserve">, </w:t>
      </w:r>
      <w:r w:rsidRPr="00853984">
        <w:rPr>
          <w:lang w:val="en-GB"/>
        </w:rPr>
        <w:t>and to support the sustainable functioning and effective operations of the NFP;</w:t>
      </w:r>
    </w:p>
    <w:p w14:paraId="08EE7B13" w14:textId="77777777" w:rsidR="00AE0C4D" w:rsidRPr="00853984" w:rsidRDefault="00AE0C4D" w:rsidP="00F56CBC">
      <w:pPr>
        <w:pStyle w:val="ListNumber2"/>
        <w:numPr>
          <w:ilvl w:val="1"/>
          <w:numId w:val="24"/>
        </w:numPr>
        <w:rPr>
          <w:lang w:val="en-GB"/>
        </w:rPr>
      </w:pPr>
      <w:r w:rsidRPr="00853984">
        <w:rPr>
          <w:lang w:val="en-GB"/>
        </w:rPr>
        <w:t>support States Parties to establish, maintain or improve national multisectoral platforms for coordinated decision-making for IHR (2005) implementation; and</w:t>
      </w:r>
    </w:p>
    <w:p w14:paraId="08EE7B14" w14:textId="77777777" w:rsidR="00AE0C4D" w:rsidRPr="00853984" w:rsidRDefault="00AE0C4D" w:rsidP="00F56CBC">
      <w:pPr>
        <w:pStyle w:val="ListNumber2"/>
        <w:numPr>
          <w:ilvl w:val="1"/>
          <w:numId w:val="24"/>
        </w:numPr>
        <w:rPr>
          <w:lang w:val="en-GB"/>
        </w:rPr>
      </w:pPr>
      <w:r w:rsidRPr="00853984">
        <w:rPr>
          <w:lang w:val="en-GB"/>
        </w:rPr>
        <w:t>provide regional platforms to strengthen NFP networking and the exchange of best practices, including annual regional and subregional meetings.</w:t>
      </w:r>
    </w:p>
    <w:p w14:paraId="08EE7B15" w14:textId="6CCEB825" w:rsidR="00AE0C4D" w:rsidRPr="00853984" w:rsidRDefault="002622AF" w:rsidP="00AE0C4D">
      <w:pPr>
        <w:pStyle w:val="Heading3"/>
        <w:rPr>
          <w:lang w:val="en-GB"/>
        </w:rPr>
      </w:pPr>
      <w:r w:rsidRPr="00853984">
        <w:rPr>
          <w:lang w:val="en-GB"/>
        </w:rPr>
        <w:t>National laboratory s</w:t>
      </w:r>
      <w:r w:rsidR="00AE0C4D" w:rsidRPr="00853984">
        <w:rPr>
          <w:lang w:val="en-GB"/>
        </w:rPr>
        <w:t>ystem</w:t>
      </w:r>
      <w:r w:rsidRPr="00853984">
        <w:rPr>
          <w:lang w:val="en-GB"/>
        </w:rPr>
        <w:t>s</w:t>
      </w:r>
    </w:p>
    <w:p w14:paraId="08EE7B16" w14:textId="37C7D2C3" w:rsidR="00AE0C4D" w:rsidRPr="00853984" w:rsidRDefault="00AE0C4D" w:rsidP="00AE0C4D">
      <w:pPr>
        <w:pStyle w:val="ParaNumber"/>
        <w:rPr>
          <w:lang w:val="en-GB"/>
        </w:rPr>
      </w:pPr>
      <w:r w:rsidRPr="00853984">
        <w:rPr>
          <w:lang w:val="en-GB"/>
        </w:rPr>
        <w:t xml:space="preserve">A well-managed, quality-assured laboratory system plays a crucial role in health emergency preparedness and the timely detection of public health threats. </w:t>
      </w:r>
      <w:r w:rsidR="00986D2A" w:rsidRPr="00853984">
        <w:rPr>
          <w:lang w:val="en-GB"/>
        </w:rPr>
        <w:t>It is vital to m</w:t>
      </w:r>
      <w:r w:rsidRPr="00853984">
        <w:rPr>
          <w:lang w:val="en-GB"/>
        </w:rPr>
        <w:t>aint</w:t>
      </w:r>
      <w:r w:rsidR="00986D2A" w:rsidRPr="00853984">
        <w:rPr>
          <w:lang w:val="en-GB"/>
        </w:rPr>
        <w:t>ain</w:t>
      </w:r>
      <w:r w:rsidRPr="00853984">
        <w:rPr>
          <w:lang w:val="en-GB"/>
        </w:rPr>
        <w:t xml:space="preserve"> systems </w:t>
      </w:r>
      <w:r w:rsidR="00986D2A" w:rsidRPr="00853984">
        <w:rPr>
          <w:lang w:val="en-GB"/>
        </w:rPr>
        <w:t>that</w:t>
      </w:r>
      <w:r w:rsidRPr="00853984">
        <w:rPr>
          <w:lang w:val="en-GB"/>
        </w:rPr>
        <w:t xml:space="preserve"> </w:t>
      </w:r>
      <w:r w:rsidR="00986D2A" w:rsidRPr="00853984">
        <w:rPr>
          <w:lang w:val="en-GB"/>
        </w:rPr>
        <w:t>en</w:t>
      </w:r>
      <w:r w:rsidRPr="00853984">
        <w:rPr>
          <w:lang w:val="en-GB"/>
        </w:rPr>
        <w:t xml:space="preserve">sure reliable, safe and timely specimen collection, </w:t>
      </w:r>
      <w:r w:rsidR="00986D2A" w:rsidRPr="00853984">
        <w:rPr>
          <w:lang w:val="en-GB"/>
        </w:rPr>
        <w:t xml:space="preserve">and the </w:t>
      </w:r>
      <w:r w:rsidRPr="00853984">
        <w:rPr>
          <w:lang w:val="en-GB"/>
        </w:rPr>
        <w:t>transport, characterization and shipment of specimens of infectious agents and other hazards to reference laboratories</w:t>
      </w:r>
      <w:r w:rsidR="002622AF" w:rsidRPr="00853984">
        <w:rPr>
          <w:lang w:val="en-GB"/>
        </w:rPr>
        <w:t>,</w:t>
      </w:r>
      <w:r w:rsidRPr="00853984">
        <w:rPr>
          <w:lang w:val="en-GB"/>
        </w:rPr>
        <w:t xml:space="preserve"> as well as the timely sharing of the laboratory results. </w:t>
      </w:r>
    </w:p>
    <w:p w14:paraId="08EE7B17" w14:textId="77777777" w:rsidR="00AE0C4D" w:rsidRPr="00853984" w:rsidRDefault="00AE0C4D" w:rsidP="002E1797">
      <w:pPr>
        <w:pStyle w:val="ParaNumber"/>
        <w:rPr>
          <w:lang w:val="en-GB"/>
        </w:rPr>
      </w:pPr>
      <w:r w:rsidRPr="00853984">
        <w:rPr>
          <w:lang w:val="en-GB"/>
        </w:rPr>
        <w:t xml:space="preserve">States Parties will: </w:t>
      </w:r>
    </w:p>
    <w:p w14:paraId="08EE7B18" w14:textId="77777777" w:rsidR="00AE0C4D" w:rsidRPr="00853984" w:rsidRDefault="00AE0C4D" w:rsidP="002E1797">
      <w:pPr>
        <w:pStyle w:val="ListNumber2"/>
        <w:numPr>
          <w:ilvl w:val="1"/>
          <w:numId w:val="25"/>
        </w:numPr>
        <w:rPr>
          <w:lang w:val="en-GB"/>
        </w:rPr>
      </w:pPr>
      <w:r w:rsidRPr="00853984">
        <w:rPr>
          <w:lang w:val="en-GB"/>
        </w:rPr>
        <w:t>implement national laboratory strategies focusing on quality assurance of public health laboratories;</w:t>
      </w:r>
    </w:p>
    <w:p w14:paraId="08EE7B19" w14:textId="77777777" w:rsidR="00AE0C4D" w:rsidRPr="00853984" w:rsidRDefault="00AE0C4D" w:rsidP="002E1797">
      <w:pPr>
        <w:pStyle w:val="ListNumber2"/>
        <w:numPr>
          <w:ilvl w:val="1"/>
          <w:numId w:val="25"/>
        </w:numPr>
        <w:rPr>
          <w:lang w:val="en-GB"/>
        </w:rPr>
      </w:pPr>
      <w:r w:rsidRPr="00853984">
        <w:rPr>
          <w:lang w:val="en-GB"/>
        </w:rPr>
        <w:t>establish, maintain or strengthen national and international referral systems for biological and environmental specimens;</w:t>
      </w:r>
    </w:p>
    <w:p w14:paraId="08EE7B1A" w14:textId="32EB059B" w:rsidR="00AE0C4D" w:rsidRPr="00853984" w:rsidRDefault="00AE0C4D" w:rsidP="002E1797">
      <w:pPr>
        <w:pStyle w:val="ListNumber2"/>
        <w:numPr>
          <w:ilvl w:val="1"/>
          <w:numId w:val="25"/>
        </w:numPr>
        <w:rPr>
          <w:lang w:val="en-GB"/>
        </w:rPr>
      </w:pPr>
      <w:r w:rsidRPr="00E22152">
        <w:rPr>
          <w:lang w:val="en-GB"/>
        </w:rPr>
        <w:t>implement the biosafety regime in</w:t>
      </w:r>
      <w:r w:rsidRPr="00853984">
        <w:rPr>
          <w:lang w:val="en-GB"/>
        </w:rPr>
        <w:t xml:space="preserve"> the European </w:t>
      </w:r>
      <w:r w:rsidR="00986D2A" w:rsidRPr="00853984">
        <w:rPr>
          <w:lang w:val="en-GB"/>
        </w:rPr>
        <w:t>R</w:t>
      </w:r>
      <w:r w:rsidRPr="00853984">
        <w:rPr>
          <w:lang w:val="en-GB"/>
        </w:rPr>
        <w:t>egion; and</w:t>
      </w:r>
    </w:p>
    <w:p w14:paraId="08EE7B1B" w14:textId="67EA4F63" w:rsidR="00AE0C4D" w:rsidRPr="00853984" w:rsidRDefault="00AE0C4D" w:rsidP="002E1797">
      <w:pPr>
        <w:pStyle w:val="ListNumber2"/>
        <w:numPr>
          <w:ilvl w:val="1"/>
          <w:numId w:val="25"/>
        </w:numPr>
        <w:rPr>
          <w:lang w:val="en-GB"/>
        </w:rPr>
      </w:pPr>
      <w:r w:rsidRPr="00853984">
        <w:rPr>
          <w:lang w:val="en-GB"/>
        </w:rPr>
        <w:t>link</w:t>
      </w:r>
      <w:r w:rsidR="00C1701A" w:rsidRPr="00853984">
        <w:rPr>
          <w:lang w:val="en-GB"/>
        </w:rPr>
        <w:t xml:space="preserve"> networks of </w:t>
      </w:r>
      <w:r w:rsidRPr="00853984">
        <w:rPr>
          <w:lang w:val="en-GB"/>
        </w:rPr>
        <w:t>laboratories to effective reporting mechanisms and surveillance systems.</w:t>
      </w:r>
    </w:p>
    <w:p w14:paraId="08EE7B1C" w14:textId="3386B03C" w:rsidR="00AE0C4D" w:rsidRPr="00853984" w:rsidRDefault="00AE0C4D" w:rsidP="00161B30">
      <w:pPr>
        <w:pStyle w:val="ParaNumber"/>
        <w:keepNext/>
        <w:keepLines/>
        <w:rPr>
          <w:lang w:val="en-GB"/>
        </w:rPr>
      </w:pPr>
      <w:r w:rsidRPr="00853984">
        <w:rPr>
          <w:lang w:val="en-GB"/>
        </w:rPr>
        <w:lastRenderedPageBreak/>
        <w:t>The Regional Office, in collaboration with key partners, will:</w:t>
      </w:r>
    </w:p>
    <w:p w14:paraId="08EE7B1D" w14:textId="0D1E72E1" w:rsidR="00AE0C4D" w:rsidRPr="00853984" w:rsidRDefault="00AE0C4D" w:rsidP="00161B30">
      <w:pPr>
        <w:pStyle w:val="ListNumber2"/>
        <w:keepNext/>
        <w:keepLines/>
        <w:numPr>
          <w:ilvl w:val="1"/>
          <w:numId w:val="26"/>
        </w:numPr>
        <w:rPr>
          <w:lang w:val="en-GB"/>
        </w:rPr>
      </w:pPr>
      <w:r w:rsidRPr="00853984">
        <w:rPr>
          <w:lang w:val="en-GB"/>
        </w:rPr>
        <w:t xml:space="preserve">establish, maintain or strengthen national and regional laboratory networks for emergency preparedness and response, building on existing WHO and other international laboratory </w:t>
      </w:r>
      <w:r w:rsidR="00D94ED9" w:rsidRPr="00853984">
        <w:rPr>
          <w:lang w:val="en-GB"/>
        </w:rPr>
        <w:t>networks, and improving the networks’</w:t>
      </w:r>
      <w:r w:rsidRPr="00853984">
        <w:rPr>
          <w:lang w:val="en-GB"/>
        </w:rPr>
        <w:t xml:space="preserve"> quality-assurance systems;</w:t>
      </w:r>
    </w:p>
    <w:p w14:paraId="08EE7B1E" w14:textId="79869575" w:rsidR="00AE0C4D" w:rsidRPr="00853984" w:rsidRDefault="009F769D" w:rsidP="00F56CBC">
      <w:pPr>
        <w:pStyle w:val="ListNumber2"/>
        <w:numPr>
          <w:ilvl w:val="1"/>
          <w:numId w:val="26"/>
        </w:numPr>
        <w:rPr>
          <w:lang w:val="en-GB"/>
        </w:rPr>
      </w:pPr>
      <w:r w:rsidRPr="00853984">
        <w:rPr>
          <w:lang w:val="en-GB"/>
        </w:rPr>
        <w:t>support States Parties in improving</w:t>
      </w:r>
      <w:r w:rsidR="00AE0C4D" w:rsidRPr="00853984">
        <w:rPr>
          <w:lang w:val="en-GB"/>
        </w:rPr>
        <w:t xml:space="preserve"> national and international referral systems for clinical and environmental samples through the development of national sample referral guideline</w:t>
      </w:r>
      <w:r w:rsidR="005C160B" w:rsidRPr="00853984">
        <w:rPr>
          <w:lang w:val="en-GB"/>
        </w:rPr>
        <w:t>s</w:t>
      </w:r>
      <w:r w:rsidR="00AE0C4D" w:rsidRPr="00853984">
        <w:rPr>
          <w:lang w:val="en-GB"/>
        </w:rPr>
        <w:t xml:space="preserve"> and export permits, the WHO Infectious Substances Shipping Training</w:t>
      </w:r>
      <w:r w:rsidR="006D1AC7" w:rsidRPr="00853984">
        <w:rPr>
          <w:lang w:val="en-GB"/>
        </w:rPr>
        <w:t>,</w:t>
      </w:r>
      <w:r w:rsidR="00AE0C4D" w:rsidRPr="00853984">
        <w:rPr>
          <w:lang w:val="en-GB"/>
        </w:rPr>
        <w:t xml:space="preserve"> and training in bio-risk management;</w:t>
      </w:r>
    </w:p>
    <w:p w14:paraId="08EE7B1F" w14:textId="77777777" w:rsidR="00AE0C4D" w:rsidRPr="00853984" w:rsidRDefault="00AE0C4D" w:rsidP="00F56CBC">
      <w:pPr>
        <w:pStyle w:val="ListNumber2"/>
        <w:numPr>
          <w:ilvl w:val="1"/>
          <w:numId w:val="26"/>
        </w:numPr>
        <w:rPr>
          <w:lang w:val="en-GB"/>
        </w:rPr>
      </w:pPr>
      <w:r w:rsidRPr="00853984">
        <w:rPr>
          <w:lang w:val="en-GB"/>
        </w:rPr>
        <w:t>develop examples of national good practices of public health laboratory systems that can serve as models for countries undergoing laboratory restructuring and laboratory quality training; and</w:t>
      </w:r>
    </w:p>
    <w:p w14:paraId="08EE7B20" w14:textId="6DC256DD" w:rsidR="00AE0C4D" w:rsidRPr="00853984" w:rsidRDefault="00AE0C4D" w:rsidP="00F56CBC">
      <w:pPr>
        <w:pStyle w:val="ListNumber2"/>
        <w:numPr>
          <w:ilvl w:val="1"/>
          <w:numId w:val="26"/>
        </w:numPr>
        <w:rPr>
          <w:lang w:val="en-GB"/>
        </w:rPr>
      </w:pPr>
      <w:r w:rsidRPr="00853984">
        <w:rPr>
          <w:lang w:val="en-GB"/>
        </w:rPr>
        <w:t xml:space="preserve">support the development of laboratory human resources capacity. </w:t>
      </w:r>
    </w:p>
    <w:p w14:paraId="08EE7B21" w14:textId="5ECE481F" w:rsidR="00401ECD" w:rsidRPr="00853984" w:rsidRDefault="00484AEB" w:rsidP="00401ECD">
      <w:pPr>
        <w:pStyle w:val="Heading3"/>
        <w:rPr>
          <w:lang w:val="en-GB"/>
        </w:rPr>
      </w:pPr>
      <w:r w:rsidRPr="00853984">
        <w:rPr>
          <w:lang w:val="en-GB"/>
        </w:rPr>
        <w:t>National surveillance s</w:t>
      </w:r>
      <w:r w:rsidR="00401ECD" w:rsidRPr="00853984">
        <w:rPr>
          <w:lang w:val="en-GB"/>
        </w:rPr>
        <w:t>ystem</w:t>
      </w:r>
      <w:r w:rsidRPr="00853984">
        <w:rPr>
          <w:lang w:val="en-GB"/>
        </w:rPr>
        <w:t>s</w:t>
      </w:r>
    </w:p>
    <w:p w14:paraId="08EE7B22" w14:textId="47AB85CA" w:rsidR="00AE0C4D" w:rsidRPr="00853984" w:rsidRDefault="00691518" w:rsidP="00691518">
      <w:pPr>
        <w:pStyle w:val="ParaNumber"/>
        <w:rPr>
          <w:lang w:val="en-GB"/>
        </w:rPr>
      </w:pPr>
      <w:r w:rsidRPr="00853984">
        <w:rPr>
          <w:lang w:val="en-GB"/>
        </w:rPr>
        <w:t>The IHR (2005) require nat</w:t>
      </w:r>
      <w:r w:rsidR="00157077" w:rsidRPr="00853984">
        <w:rPr>
          <w:lang w:val="en-GB"/>
        </w:rPr>
        <w:t xml:space="preserve">ional surveillance systems </w:t>
      </w:r>
      <w:r w:rsidR="00C36AE8" w:rsidRPr="00853984">
        <w:rPr>
          <w:lang w:val="en-GB"/>
        </w:rPr>
        <w:t xml:space="preserve">to be </w:t>
      </w:r>
      <w:r w:rsidRPr="00853984">
        <w:rPr>
          <w:lang w:val="en-GB"/>
        </w:rPr>
        <w:t>capable of timely detection, assessment and analyses of epidemiological data, including laboratory results, for informed decision-making and reporting of outbreaks and other public health risks. These systems should also include early warning systems and community-based surveillance.</w:t>
      </w:r>
    </w:p>
    <w:p w14:paraId="08EE7B23" w14:textId="77777777" w:rsidR="00AB52E9" w:rsidRPr="00853984" w:rsidRDefault="00AB52E9" w:rsidP="00AB52E9">
      <w:pPr>
        <w:pStyle w:val="ParaNumber"/>
        <w:rPr>
          <w:lang w:val="en-GB"/>
        </w:rPr>
      </w:pPr>
      <w:r w:rsidRPr="00853984">
        <w:rPr>
          <w:lang w:val="en-GB"/>
        </w:rPr>
        <w:t xml:space="preserve">States Parties will: </w:t>
      </w:r>
    </w:p>
    <w:p w14:paraId="08EE7B24" w14:textId="0688BAB7" w:rsidR="00AB52E9" w:rsidRPr="00853984" w:rsidRDefault="00AB52E9" w:rsidP="00F56CBC">
      <w:pPr>
        <w:pStyle w:val="ListNumber2"/>
        <w:numPr>
          <w:ilvl w:val="1"/>
          <w:numId w:val="27"/>
        </w:numPr>
        <w:rPr>
          <w:lang w:val="en-GB"/>
        </w:rPr>
      </w:pPr>
      <w:r w:rsidRPr="00853984">
        <w:rPr>
          <w:lang w:val="en-GB"/>
        </w:rPr>
        <w:t xml:space="preserve">ensure </w:t>
      </w:r>
      <w:r w:rsidR="00431F2F" w:rsidRPr="00853984">
        <w:rPr>
          <w:lang w:val="en-GB"/>
        </w:rPr>
        <w:t xml:space="preserve">that </w:t>
      </w:r>
      <w:r w:rsidRPr="00853984">
        <w:rPr>
          <w:lang w:val="en-GB"/>
        </w:rPr>
        <w:t>an integrated early warning function for priority hazards</w:t>
      </w:r>
      <w:r w:rsidR="00431F2F" w:rsidRPr="00853984">
        <w:rPr>
          <w:lang w:val="en-GB"/>
        </w:rPr>
        <w:t xml:space="preserve"> is in place,</w:t>
      </w:r>
      <w:r w:rsidRPr="00853984">
        <w:rPr>
          <w:lang w:val="en-GB"/>
        </w:rPr>
        <w:t xml:space="preserve"> for timely detection of potential outbreaks and other public health risks;</w:t>
      </w:r>
    </w:p>
    <w:p w14:paraId="08EE7B25" w14:textId="515B0755" w:rsidR="00AB52E9" w:rsidRPr="00853984" w:rsidRDefault="00AB52E9" w:rsidP="00F56CBC">
      <w:pPr>
        <w:pStyle w:val="ListNumber2"/>
        <w:numPr>
          <w:ilvl w:val="1"/>
          <w:numId w:val="27"/>
        </w:numPr>
        <w:rPr>
          <w:lang w:val="en-GB"/>
        </w:rPr>
      </w:pPr>
      <w:r w:rsidRPr="00853984">
        <w:rPr>
          <w:lang w:val="en-GB"/>
        </w:rPr>
        <w:t>establish, maintain or strengthen formalized data</w:t>
      </w:r>
      <w:r w:rsidR="00C36AE8" w:rsidRPr="00853984">
        <w:rPr>
          <w:lang w:val="en-GB"/>
        </w:rPr>
        <w:t>-</w:t>
      </w:r>
      <w:r w:rsidRPr="00853984">
        <w:rPr>
          <w:lang w:val="en-GB"/>
        </w:rPr>
        <w:t xml:space="preserve">sharing procedures and tools across sectors and between </w:t>
      </w:r>
      <w:r w:rsidR="00C36AE8" w:rsidRPr="00853984">
        <w:rPr>
          <w:lang w:val="en-GB"/>
        </w:rPr>
        <w:t xml:space="preserve">the </w:t>
      </w:r>
      <w:r w:rsidRPr="00853984">
        <w:rPr>
          <w:lang w:val="en-GB"/>
        </w:rPr>
        <w:t>regional and national levels; and</w:t>
      </w:r>
    </w:p>
    <w:p w14:paraId="08EE7B26" w14:textId="77777777" w:rsidR="00AB52E9" w:rsidRPr="00853984" w:rsidRDefault="00AB52E9" w:rsidP="00F56CBC">
      <w:pPr>
        <w:pStyle w:val="ListNumber2"/>
        <w:numPr>
          <w:ilvl w:val="1"/>
          <w:numId w:val="27"/>
        </w:numPr>
        <w:rPr>
          <w:lang w:val="en-GB"/>
        </w:rPr>
      </w:pPr>
      <w:r w:rsidRPr="00853984">
        <w:rPr>
          <w:lang w:val="en-GB"/>
        </w:rPr>
        <w:t xml:space="preserve">establish, maintain or strengthen fully secure interoperable electronic tools for public health surveillance. </w:t>
      </w:r>
    </w:p>
    <w:p w14:paraId="08EE7B27" w14:textId="74A4C742" w:rsidR="003445C8" w:rsidRPr="00853984" w:rsidRDefault="00507A48" w:rsidP="002E1797">
      <w:pPr>
        <w:pStyle w:val="ParaNumber"/>
        <w:rPr>
          <w:lang w:val="en-GB"/>
        </w:rPr>
      </w:pPr>
      <w:r w:rsidRPr="00853984">
        <w:rPr>
          <w:lang w:val="en-GB"/>
        </w:rPr>
        <w:t>The Regional Office</w:t>
      </w:r>
      <w:r w:rsidR="00AB52E9" w:rsidRPr="00853984">
        <w:rPr>
          <w:lang w:val="en-GB"/>
        </w:rPr>
        <w:t>, in collaboration with key partners, will:</w:t>
      </w:r>
    </w:p>
    <w:p w14:paraId="08EE7B28" w14:textId="687F8251" w:rsidR="00AB52E9" w:rsidRPr="00853984" w:rsidRDefault="00AB52E9" w:rsidP="002E1797">
      <w:pPr>
        <w:pStyle w:val="ListNumber2"/>
        <w:numPr>
          <w:ilvl w:val="1"/>
          <w:numId w:val="28"/>
        </w:numPr>
        <w:rPr>
          <w:lang w:val="en-GB"/>
        </w:rPr>
      </w:pPr>
      <w:r w:rsidRPr="00853984">
        <w:rPr>
          <w:lang w:val="en-GB"/>
        </w:rPr>
        <w:t>support countries with analysis and strategic utilization of information collected through n</w:t>
      </w:r>
      <w:r w:rsidR="00517FB1" w:rsidRPr="00853984">
        <w:rPr>
          <w:lang w:val="en-GB"/>
        </w:rPr>
        <w:t>ational surveillance systems</w:t>
      </w:r>
      <w:r w:rsidR="00ED7FBA" w:rsidRPr="00853984">
        <w:rPr>
          <w:lang w:val="en-GB"/>
        </w:rPr>
        <w:t>,</w:t>
      </w:r>
      <w:r w:rsidR="00517FB1" w:rsidRPr="00853984">
        <w:rPr>
          <w:lang w:val="en-GB"/>
        </w:rPr>
        <w:t xml:space="preserve"> to inform policy-</w:t>
      </w:r>
      <w:r w:rsidRPr="00853984">
        <w:rPr>
          <w:lang w:val="en-GB"/>
        </w:rPr>
        <w:t>level decisions;</w:t>
      </w:r>
    </w:p>
    <w:p w14:paraId="08EE7B29" w14:textId="77777777" w:rsidR="00AB52E9" w:rsidRPr="00853984" w:rsidRDefault="00AB52E9" w:rsidP="002E1797">
      <w:pPr>
        <w:pStyle w:val="ListNumber2"/>
        <w:numPr>
          <w:ilvl w:val="1"/>
          <w:numId w:val="28"/>
        </w:numPr>
        <w:rPr>
          <w:lang w:val="en-GB"/>
        </w:rPr>
      </w:pPr>
      <w:r w:rsidRPr="00853984">
        <w:rPr>
          <w:lang w:val="en-GB"/>
        </w:rPr>
        <w:t>support implementation and evaluation of early warning systems for priority health hazards and improve the regular and timely analysis and dissemination of epidemiological data, including laboratory results; and</w:t>
      </w:r>
    </w:p>
    <w:p w14:paraId="08EE7B2A" w14:textId="77777777" w:rsidR="00AB52E9" w:rsidRPr="00853984" w:rsidRDefault="00AB52E9" w:rsidP="002E1797">
      <w:pPr>
        <w:pStyle w:val="ListNumber2"/>
        <w:numPr>
          <w:ilvl w:val="1"/>
          <w:numId w:val="28"/>
        </w:numPr>
        <w:rPr>
          <w:lang w:val="en-GB"/>
        </w:rPr>
      </w:pPr>
      <w:r w:rsidRPr="00853984">
        <w:rPr>
          <w:lang w:val="en-GB"/>
        </w:rPr>
        <w:t>facilitate training and capacity-building on all-hazard risk assessment including biological, chemical, radiological, nuclear and natural hazards.</w:t>
      </w:r>
    </w:p>
    <w:p w14:paraId="08EE7B2B" w14:textId="7F43B560" w:rsidR="00214926" w:rsidRPr="00853984" w:rsidRDefault="00214926" w:rsidP="00214926">
      <w:pPr>
        <w:pStyle w:val="Heading3"/>
        <w:rPr>
          <w:lang w:val="en-GB"/>
        </w:rPr>
      </w:pPr>
      <w:r w:rsidRPr="00853984">
        <w:rPr>
          <w:lang w:val="en-GB"/>
        </w:rPr>
        <w:t xml:space="preserve">Human </w:t>
      </w:r>
      <w:r w:rsidR="00C36AE8" w:rsidRPr="00853984">
        <w:rPr>
          <w:lang w:val="en-GB"/>
        </w:rPr>
        <w:t>r</w:t>
      </w:r>
      <w:r w:rsidRPr="00853984">
        <w:rPr>
          <w:lang w:val="en-GB"/>
        </w:rPr>
        <w:t>esources</w:t>
      </w:r>
    </w:p>
    <w:p w14:paraId="08EE7B2C" w14:textId="26A20E58" w:rsidR="00214926" w:rsidRPr="00853984" w:rsidRDefault="00214926" w:rsidP="00214926">
      <w:pPr>
        <w:pStyle w:val="ParaNumber"/>
        <w:rPr>
          <w:lang w:val="en-GB"/>
        </w:rPr>
      </w:pPr>
      <w:r w:rsidRPr="00853984">
        <w:rPr>
          <w:lang w:val="en-GB"/>
        </w:rPr>
        <w:t>The availability of human resources with the appropriate mix of competencies, knowledge and skill</w:t>
      </w:r>
      <w:r w:rsidR="00384D84" w:rsidRPr="00853984">
        <w:rPr>
          <w:lang w:val="en-GB"/>
        </w:rPr>
        <w:t>s is an essential requirement for</w:t>
      </w:r>
      <w:r w:rsidRPr="00853984">
        <w:rPr>
          <w:lang w:val="en-GB"/>
        </w:rPr>
        <w:t xml:space="preserve"> fulfilling the IHR (2005) obligations and the management of health emergencies. It requires a sustainable approach to the continuous development of the knowledge and skills of public health personnel, who are essential for emergency preparedness and response. </w:t>
      </w:r>
    </w:p>
    <w:p w14:paraId="08EE7B2D" w14:textId="77777777" w:rsidR="006D4189" w:rsidRPr="00853984" w:rsidRDefault="006D4189" w:rsidP="006D4189">
      <w:pPr>
        <w:pStyle w:val="ParaNumber"/>
        <w:keepNext/>
        <w:rPr>
          <w:lang w:val="en-GB"/>
        </w:rPr>
      </w:pPr>
      <w:r w:rsidRPr="00853984">
        <w:rPr>
          <w:lang w:val="en-GB"/>
        </w:rPr>
        <w:lastRenderedPageBreak/>
        <w:t>States Parties will:</w:t>
      </w:r>
    </w:p>
    <w:p w14:paraId="08EE7B2E" w14:textId="11E0AB7A" w:rsidR="006D4189" w:rsidRPr="00853984" w:rsidRDefault="006D4189" w:rsidP="00F56CBC">
      <w:pPr>
        <w:pStyle w:val="ListNumber2"/>
        <w:numPr>
          <w:ilvl w:val="1"/>
          <w:numId w:val="29"/>
        </w:numPr>
        <w:rPr>
          <w:lang w:val="en-GB"/>
        </w:rPr>
      </w:pPr>
      <w:bookmarkStart w:id="7" w:name="_Hlk511923965"/>
      <w:r w:rsidRPr="00853984">
        <w:rPr>
          <w:lang w:val="en-GB"/>
        </w:rPr>
        <w:t xml:space="preserve">implement a needs-based workforce development strategy, including curriculum development, training, exercises and drills, in order to comply with IHR (2005) requirements and </w:t>
      </w:r>
      <w:r w:rsidR="00BA45C4">
        <w:rPr>
          <w:lang w:val="en-GB"/>
        </w:rPr>
        <w:t>effectively manage</w:t>
      </w:r>
      <w:r w:rsidRPr="00853984">
        <w:rPr>
          <w:lang w:val="en-GB"/>
        </w:rPr>
        <w:t xml:space="preserve"> health emergencies;</w:t>
      </w:r>
      <w:bookmarkEnd w:id="7"/>
    </w:p>
    <w:p w14:paraId="08EE7B2F" w14:textId="2C0215D3" w:rsidR="006D4189" w:rsidRPr="00853984" w:rsidRDefault="006D4189" w:rsidP="00F56CBC">
      <w:pPr>
        <w:pStyle w:val="ListNumber2"/>
        <w:numPr>
          <w:ilvl w:val="1"/>
          <w:numId w:val="29"/>
        </w:numPr>
        <w:rPr>
          <w:lang w:val="en-GB"/>
        </w:rPr>
      </w:pPr>
      <w:r w:rsidRPr="00853984">
        <w:rPr>
          <w:lang w:val="en-GB"/>
        </w:rPr>
        <w:t xml:space="preserve">develop and implement strategies to ensure </w:t>
      </w:r>
      <w:r w:rsidR="00C36AE8" w:rsidRPr="00853984">
        <w:rPr>
          <w:lang w:val="en-GB"/>
        </w:rPr>
        <w:t xml:space="preserve">that </w:t>
      </w:r>
      <w:r w:rsidRPr="00853984">
        <w:rPr>
          <w:lang w:val="en-GB"/>
        </w:rPr>
        <w:t>a multisectoral workforce is available and tr</w:t>
      </w:r>
      <w:r w:rsidR="0039489D" w:rsidRPr="00853984">
        <w:rPr>
          <w:lang w:val="en-GB"/>
        </w:rPr>
        <w:t>ained to enable early detection and</w:t>
      </w:r>
      <w:r w:rsidRPr="00853984">
        <w:rPr>
          <w:lang w:val="en-GB"/>
        </w:rPr>
        <w:t xml:space="preserve"> prevention</w:t>
      </w:r>
      <w:r w:rsidR="0039489D" w:rsidRPr="00853984">
        <w:rPr>
          <w:lang w:val="en-GB"/>
        </w:rPr>
        <w:t xml:space="preserve"> of</w:t>
      </w:r>
      <w:r w:rsidRPr="00853984">
        <w:rPr>
          <w:lang w:val="en-GB"/>
        </w:rPr>
        <w:t>, preparedness</w:t>
      </w:r>
      <w:r w:rsidR="0039489D" w:rsidRPr="00853984">
        <w:rPr>
          <w:lang w:val="en-GB"/>
        </w:rPr>
        <w:t xml:space="preserve"> for</w:t>
      </w:r>
      <w:r w:rsidRPr="00853984">
        <w:rPr>
          <w:lang w:val="en-GB"/>
        </w:rPr>
        <w:t xml:space="preserve"> and response to </w:t>
      </w:r>
      <w:r w:rsidR="00BA45C4" w:rsidRPr="00853984">
        <w:rPr>
          <w:lang w:val="en-GB"/>
        </w:rPr>
        <w:t xml:space="preserve">potential </w:t>
      </w:r>
      <w:r w:rsidRPr="00853984">
        <w:rPr>
          <w:lang w:val="en-GB"/>
        </w:rPr>
        <w:t>events of</w:t>
      </w:r>
      <w:r w:rsidR="0039489D" w:rsidRPr="00853984">
        <w:rPr>
          <w:lang w:val="en-GB"/>
        </w:rPr>
        <w:t xml:space="preserve"> international concern</w:t>
      </w:r>
      <w:r w:rsidRPr="00853984">
        <w:rPr>
          <w:lang w:val="en-GB"/>
        </w:rPr>
        <w:t xml:space="preserve"> at all levels of health systems; and</w:t>
      </w:r>
    </w:p>
    <w:p w14:paraId="08EE7B30" w14:textId="1EE7556F" w:rsidR="006D4189" w:rsidRPr="00853984" w:rsidRDefault="006D4189" w:rsidP="00F56CBC">
      <w:pPr>
        <w:pStyle w:val="ListNumber2"/>
        <w:numPr>
          <w:ilvl w:val="1"/>
          <w:numId w:val="29"/>
        </w:numPr>
        <w:rPr>
          <w:lang w:val="en-GB"/>
        </w:rPr>
      </w:pPr>
      <w:r w:rsidRPr="00853984">
        <w:rPr>
          <w:lang w:val="en-GB"/>
        </w:rPr>
        <w:t>develop policies a</w:t>
      </w:r>
      <w:r w:rsidR="0039489D" w:rsidRPr="00853984">
        <w:rPr>
          <w:lang w:val="en-GB"/>
        </w:rPr>
        <w:t>nd allocate responsibilities to</w:t>
      </w:r>
      <w:r w:rsidRPr="00853984">
        <w:rPr>
          <w:lang w:val="en-GB"/>
        </w:rPr>
        <w:t xml:space="preserve"> the workforce at all levels of government.</w:t>
      </w:r>
    </w:p>
    <w:p w14:paraId="08EE7B32" w14:textId="3899A531" w:rsidR="00986528" w:rsidRPr="00853984" w:rsidRDefault="00922013" w:rsidP="00922013">
      <w:pPr>
        <w:pStyle w:val="ParaNumber"/>
        <w:rPr>
          <w:lang w:val="en-GB"/>
        </w:rPr>
      </w:pPr>
      <w:r w:rsidRPr="00853984">
        <w:rPr>
          <w:lang w:val="en-GB"/>
        </w:rPr>
        <w:t>The Regional Office</w:t>
      </w:r>
      <w:r w:rsidR="00717063" w:rsidRPr="00853984">
        <w:rPr>
          <w:lang w:val="en-GB"/>
        </w:rPr>
        <w:t>, in collab</w:t>
      </w:r>
      <w:r w:rsidRPr="00853984">
        <w:rPr>
          <w:lang w:val="en-GB"/>
        </w:rPr>
        <w:t>oration with key partners, will support States P</w:t>
      </w:r>
      <w:r w:rsidR="00717063" w:rsidRPr="00853984">
        <w:rPr>
          <w:lang w:val="en-GB"/>
        </w:rPr>
        <w:t>arties to further develop health workforce capacities through face-to-face and online training, curriculum development, simulation exercises and meetings and workshops.</w:t>
      </w:r>
    </w:p>
    <w:p w14:paraId="08EE7B33" w14:textId="77777777" w:rsidR="00214926" w:rsidRPr="00853984" w:rsidRDefault="00986528" w:rsidP="00986528">
      <w:pPr>
        <w:pStyle w:val="Heading3"/>
        <w:rPr>
          <w:lang w:val="en-GB"/>
        </w:rPr>
      </w:pPr>
      <w:r w:rsidRPr="00853984">
        <w:rPr>
          <w:lang w:val="en-GB"/>
        </w:rPr>
        <w:t>Risk communication</w:t>
      </w:r>
    </w:p>
    <w:p w14:paraId="08EE7B34" w14:textId="10B6D72E" w:rsidR="00986528" w:rsidRPr="00853984" w:rsidRDefault="00986528" w:rsidP="00986528">
      <w:pPr>
        <w:pStyle w:val="ParaNumber"/>
        <w:rPr>
          <w:lang w:val="en-GB"/>
        </w:rPr>
      </w:pPr>
      <w:r w:rsidRPr="00853984">
        <w:rPr>
          <w:lang w:val="en-GB"/>
        </w:rPr>
        <w:t xml:space="preserve">The adverse effects of </w:t>
      </w:r>
      <w:r w:rsidR="00F6473F" w:rsidRPr="00853984">
        <w:rPr>
          <w:lang w:val="en-GB"/>
        </w:rPr>
        <w:t>an emergency</w:t>
      </w:r>
      <w:r w:rsidRPr="00853984">
        <w:rPr>
          <w:lang w:val="en-GB"/>
        </w:rPr>
        <w:t xml:space="preserve"> can be reduced through effective </w:t>
      </w:r>
      <w:r w:rsidR="003D78FF">
        <w:rPr>
          <w:lang w:val="en-GB"/>
        </w:rPr>
        <w:t xml:space="preserve">real-time </w:t>
      </w:r>
      <w:r w:rsidRPr="00853984">
        <w:rPr>
          <w:lang w:val="en-GB"/>
        </w:rPr>
        <w:t>exchange</w:t>
      </w:r>
      <w:r w:rsidR="00C36AE8" w:rsidRPr="00853984">
        <w:rPr>
          <w:lang w:val="en-GB"/>
        </w:rPr>
        <w:t>s</w:t>
      </w:r>
      <w:r w:rsidRPr="00853984">
        <w:rPr>
          <w:lang w:val="en-GB"/>
        </w:rPr>
        <w:t xml:space="preserve"> of information, advice and opinion between public health experts, officials and the public, which </w:t>
      </w:r>
      <w:r w:rsidR="0081407C" w:rsidRPr="00853984">
        <w:rPr>
          <w:lang w:val="en-GB"/>
        </w:rPr>
        <w:t>enables</w:t>
      </w:r>
      <w:r w:rsidRPr="00853984">
        <w:rPr>
          <w:lang w:val="en-GB"/>
        </w:rPr>
        <w:t xml:space="preserve"> informed decisions and actions to be taken to mitigate the harmful effects of the threat.</w:t>
      </w:r>
    </w:p>
    <w:p w14:paraId="08EE7B35" w14:textId="77777777" w:rsidR="00986528" w:rsidRPr="00853984" w:rsidRDefault="00986528" w:rsidP="00986528">
      <w:pPr>
        <w:pStyle w:val="ParaNumber"/>
        <w:rPr>
          <w:lang w:val="en-GB"/>
        </w:rPr>
      </w:pPr>
      <w:r w:rsidRPr="00853984">
        <w:rPr>
          <w:lang w:val="en-GB"/>
        </w:rPr>
        <w:t>States Parties will:</w:t>
      </w:r>
    </w:p>
    <w:p w14:paraId="08EE7B36" w14:textId="33C1A800" w:rsidR="00986528" w:rsidRPr="00853984" w:rsidRDefault="00986528" w:rsidP="00F56CBC">
      <w:pPr>
        <w:pStyle w:val="ListNumber2"/>
        <w:numPr>
          <w:ilvl w:val="1"/>
          <w:numId w:val="31"/>
        </w:numPr>
        <w:rPr>
          <w:lang w:val="en-GB"/>
        </w:rPr>
      </w:pPr>
      <w:r w:rsidRPr="00853984">
        <w:rPr>
          <w:lang w:val="en-GB"/>
        </w:rPr>
        <w:t>establish an intersectoral risk communication system at all levels to communicate public health threats transparently, in a timely and coordinated manner</w:t>
      </w:r>
      <w:r w:rsidR="00741F35" w:rsidRPr="00853984">
        <w:rPr>
          <w:lang w:val="en-GB"/>
        </w:rPr>
        <w:t>,</w:t>
      </w:r>
      <w:r w:rsidRPr="00853984">
        <w:rPr>
          <w:lang w:val="en-GB"/>
        </w:rPr>
        <w:t xml:space="preserve"> and taking into account stakeholders’ perceptions and the most effective channels </w:t>
      </w:r>
      <w:r w:rsidR="00741F35" w:rsidRPr="00853984">
        <w:rPr>
          <w:lang w:val="en-GB"/>
        </w:rPr>
        <w:t>for influencing</w:t>
      </w:r>
      <w:r w:rsidRPr="00853984">
        <w:rPr>
          <w:lang w:val="en-GB"/>
        </w:rPr>
        <w:t xml:space="preserve"> behavioural change for health protection; and</w:t>
      </w:r>
    </w:p>
    <w:p w14:paraId="08EE7B37" w14:textId="77777777" w:rsidR="00986528" w:rsidRPr="00853984" w:rsidRDefault="00986528" w:rsidP="00F56CBC">
      <w:pPr>
        <w:pStyle w:val="ListNumber2"/>
        <w:numPr>
          <w:ilvl w:val="1"/>
          <w:numId w:val="31"/>
        </w:numPr>
        <w:rPr>
          <w:lang w:val="en-GB"/>
        </w:rPr>
      </w:pPr>
      <w:r w:rsidRPr="00853984">
        <w:rPr>
          <w:lang w:val="en-GB"/>
        </w:rPr>
        <w:t>adopt and implement an all-hazard national health emergency risk communication plan and integrate it into new or existing national action plans for emergency preparedness and response under the IHR (2005).</w:t>
      </w:r>
    </w:p>
    <w:p w14:paraId="08EE7B39" w14:textId="370AC920" w:rsidR="00061569" w:rsidRPr="00D85AB6" w:rsidRDefault="006B327F">
      <w:pPr>
        <w:pStyle w:val="ParaNumber"/>
        <w:rPr>
          <w:lang w:val="en-GB"/>
        </w:rPr>
      </w:pPr>
      <w:r w:rsidRPr="00D85AB6">
        <w:rPr>
          <w:lang w:val="en-GB"/>
        </w:rPr>
        <w:t xml:space="preserve">The </w:t>
      </w:r>
      <w:r w:rsidR="00061569" w:rsidRPr="00D85AB6">
        <w:rPr>
          <w:lang w:val="en-GB"/>
        </w:rPr>
        <w:t>Regi</w:t>
      </w:r>
      <w:r w:rsidRPr="00D85AB6">
        <w:rPr>
          <w:lang w:val="en-GB"/>
        </w:rPr>
        <w:t>onal Office</w:t>
      </w:r>
      <w:r w:rsidR="00061569" w:rsidRPr="00D85AB6">
        <w:rPr>
          <w:lang w:val="en-GB"/>
        </w:rPr>
        <w:t>, in collab</w:t>
      </w:r>
      <w:r w:rsidR="00741F35" w:rsidRPr="00D85AB6">
        <w:rPr>
          <w:lang w:val="en-GB"/>
        </w:rPr>
        <w:t xml:space="preserve">oration with key partners, will </w:t>
      </w:r>
      <w:r w:rsidR="00061569" w:rsidRPr="00D85AB6">
        <w:rPr>
          <w:lang w:val="en-GB"/>
        </w:rPr>
        <w:t xml:space="preserve">provide States Parties with the necessary guidance, training, tools and on-site and remote support </w:t>
      </w:r>
      <w:r w:rsidR="003D78FF" w:rsidRPr="00D85AB6">
        <w:rPr>
          <w:lang w:val="en-GB"/>
        </w:rPr>
        <w:t xml:space="preserve">as part of the </w:t>
      </w:r>
      <w:r w:rsidR="00061569" w:rsidRPr="00D85AB6">
        <w:rPr>
          <w:lang w:val="en-GB"/>
        </w:rPr>
        <w:t>emergency risk communication five-step capacity-building package</w:t>
      </w:r>
      <w:r w:rsidRPr="00D85AB6">
        <w:rPr>
          <w:lang w:val="en-GB"/>
        </w:rPr>
        <w:t>, and support</w:t>
      </w:r>
      <w:r w:rsidR="00061569" w:rsidRPr="00D85AB6">
        <w:rPr>
          <w:lang w:val="en-GB"/>
        </w:rPr>
        <w:t xml:space="preserve"> integration </w:t>
      </w:r>
      <w:r w:rsidR="00104DE2" w:rsidRPr="00D85AB6">
        <w:rPr>
          <w:lang w:val="en-GB"/>
        </w:rPr>
        <w:t xml:space="preserve">of the package </w:t>
      </w:r>
      <w:r w:rsidR="00061569" w:rsidRPr="00D85AB6">
        <w:rPr>
          <w:lang w:val="en-GB"/>
        </w:rPr>
        <w:t>into national action plans for health emergency preparedness.</w:t>
      </w:r>
    </w:p>
    <w:p w14:paraId="08EE7B3A" w14:textId="77777777" w:rsidR="00061569" w:rsidRPr="00853984" w:rsidRDefault="00061569" w:rsidP="00061569">
      <w:pPr>
        <w:pStyle w:val="Heading3"/>
        <w:rPr>
          <w:lang w:val="en-GB"/>
        </w:rPr>
      </w:pPr>
      <w:r w:rsidRPr="00853984">
        <w:rPr>
          <w:lang w:val="en-GB"/>
        </w:rPr>
        <w:t>Points of entry</w:t>
      </w:r>
    </w:p>
    <w:p w14:paraId="08EE7B3B" w14:textId="6731B632" w:rsidR="00061569" w:rsidRPr="00853984" w:rsidRDefault="00061569" w:rsidP="00061569">
      <w:pPr>
        <w:pStyle w:val="ParaNumber"/>
        <w:rPr>
          <w:lang w:val="en-GB"/>
        </w:rPr>
      </w:pPr>
      <w:r w:rsidRPr="00853984">
        <w:rPr>
          <w:lang w:val="en-GB"/>
        </w:rPr>
        <w:t>Effective public health measures and response capacity at international ports, airports and ground crossings contribute to minimizing the risk of the international spread of diseases and other public health hazards</w:t>
      </w:r>
      <w:r w:rsidR="00F03B44" w:rsidRPr="00853984">
        <w:rPr>
          <w:lang w:val="en-GB"/>
        </w:rPr>
        <w:t>,</w:t>
      </w:r>
      <w:r w:rsidRPr="00853984">
        <w:rPr>
          <w:lang w:val="en-GB"/>
        </w:rPr>
        <w:t xml:space="preserve"> and are therefore an integral part of health emergency preparedness and response systems. The IHR (2005) require State</w:t>
      </w:r>
      <w:r w:rsidR="00104DE2" w:rsidRPr="00853984">
        <w:rPr>
          <w:lang w:val="en-GB"/>
        </w:rPr>
        <w:t>s</w:t>
      </w:r>
      <w:r w:rsidRPr="00853984">
        <w:rPr>
          <w:lang w:val="en-GB"/>
        </w:rPr>
        <w:t xml:space="preserve"> Parties to develop and maintain routine and emergency capacities at designated points of entry, including the development of public health emergency response plans and operating procedures.</w:t>
      </w:r>
    </w:p>
    <w:p w14:paraId="08EE7B3C" w14:textId="77777777" w:rsidR="00061569" w:rsidRPr="00853984" w:rsidRDefault="00061569" w:rsidP="005D26CB">
      <w:pPr>
        <w:pStyle w:val="ParaNumber"/>
        <w:keepNext/>
        <w:keepLines/>
        <w:rPr>
          <w:lang w:val="en-GB"/>
        </w:rPr>
      </w:pPr>
      <w:r w:rsidRPr="00853984">
        <w:rPr>
          <w:lang w:val="en-GB"/>
        </w:rPr>
        <w:lastRenderedPageBreak/>
        <w:t>States Parties will:</w:t>
      </w:r>
    </w:p>
    <w:p w14:paraId="08EE7B3D" w14:textId="77777777" w:rsidR="00510B36" w:rsidRPr="00853984" w:rsidRDefault="00510B36" w:rsidP="005D26CB">
      <w:pPr>
        <w:pStyle w:val="ListNumber2"/>
        <w:keepNext/>
        <w:keepLines/>
        <w:numPr>
          <w:ilvl w:val="1"/>
          <w:numId w:val="33"/>
        </w:numPr>
        <w:rPr>
          <w:lang w:val="en-GB"/>
        </w:rPr>
      </w:pPr>
      <w:r w:rsidRPr="00853984">
        <w:rPr>
          <w:lang w:val="en-GB"/>
        </w:rPr>
        <w:t>develop and maintain routine and emergency capacities at designated points of entry and ensure regular evaluation;</w:t>
      </w:r>
    </w:p>
    <w:p w14:paraId="08EE7B3E" w14:textId="77777777" w:rsidR="00510B36" w:rsidRPr="00853984" w:rsidRDefault="00510B36" w:rsidP="005D26CB">
      <w:pPr>
        <w:pStyle w:val="ListNumber2"/>
        <w:keepNext/>
        <w:keepLines/>
        <w:numPr>
          <w:ilvl w:val="1"/>
          <w:numId w:val="33"/>
        </w:numPr>
        <w:rPr>
          <w:lang w:val="en-GB"/>
        </w:rPr>
      </w:pPr>
      <w:r w:rsidRPr="00853984">
        <w:rPr>
          <w:lang w:val="en-GB"/>
        </w:rPr>
        <w:t>establish, maintain and strengthen competent authorities to ensure routine and emergency capacities at points of entry; and</w:t>
      </w:r>
    </w:p>
    <w:p w14:paraId="08EE7B3F" w14:textId="77777777" w:rsidR="00061569" w:rsidRPr="00853984" w:rsidRDefault="00510B36" w:rsidP="005D26CB">
      <w:pPr>
        <w:pStyle w:val="ListNumber2"/>
        <w:keepNext/>
        <w:keepLines/>
        <w:numPr>
          <w:ilvl w:val="1"/>
          <w:numId w:val="33"/>
        </w:numPr>
        <w:rPr>
          <w:lang w:val="en-GB"/>
        </w:rPr>
      </w:pPr>
      <w:r w:rsidRPr="00853984">
        <w:rPr>
          <w:lang w:val="en-GB"/>
        </w:rPr>
        <w:t>ensure compliance with maritime provisions in the IHR (2005).</w:t>
      </w:r>
    </w:p>
    <w:p w14:paraId="08EE7B40" w14:textId="735F56BC" w:rsidR="00FA3F96" w:rsidRPr="00853984" w:rsidRDefault="00F03B44" w:rsidP="00FA3F96">
      <w:pPr>
        <w:pStyle w:val="ParaNumber"/>
        <w:rPr>
          <w:lang w:val="en-GB"/>
        </w:rPr>
      </w:pPr>
      <w:r w:rsidRPr="00853984">
        <w:rPr>
          <w:lang w:val="en-GB"/>
        </w:rPr>
        <w:t>The Regional Office</w:t>
      </w:r>
      <w:r w:rsidR="00FA3F96" w:rsidRPr="00853984">
        <w:rPr>
          <w:lang w:val="en-GB"/>
        </w:rPr>
        <w:t>, in collaboration with key partners, will:</w:t>
      </w:r>
    </w:p>
    <w:p w14:paraId="08EE7B41" w14:textId="538B5DAF" w:rsidR="00FA3F96" w:rsidRPr="00853984" w:rsidRDefault="00FA3F96" w:rsidP="00F56CBC">
      <w:pPr>
        <w:pStyle w:val="ListNumber2"/>
        <w:numPr>
          <w:ilvl w:val="1"/>
          <w:numId w:val="34"/>
        </w:numPr>
        <w:rPr>
          <w:lang w:val="en-GB"/>
        </w:rPr>
      </w:pPr>
      <w:r w:rsidRPr="00853984">
        <w:rPr>
          <w:lang w:val="en-GB"/>
        </w:rPr>
        <w:t>support States Parties in strengthening and maintaining routine and emergency capacities at points of entry;</w:t>
      </w:r>
    </w:p>
    <w:p w14:paraId="08EE7B42" w14:textId="4422F736" w:rsidR="00FA3F96" w:rsidRPr="00853984" w:rsidRDefault="00FA3F96" w:rsidP="00F56CBC">
      <w:pPr>
        <w:pStyle w:val="ListNumber2"/>
        <w:numPr>
          <w:ilvl w:val="1"/>
          <w:numId w:val="34"/>
        </w:numPr>
        <w:rPr>
          <w:lang w:val="en-GB"/>
        </w:rPr>
      </w:pPr>
      <w:r w:rsidRPr="00853984">
        <w:rPr>
          <w:lang w:val="en-GB"/>
        </w:rPr>
        <w:t>coordinate activities aimed at strengthening health provisions at points of entry through formal and informal platforms and networks, such as the Collaborative Arrangement for the Prevention and Management of Public Health Events in Civil Aviation and the WHO Ports, Airports and Ground Crossing</w:t>
      </w:r>
      <w:r w:rsidR="00194776" w:rsidRPr="00853984">
        <w:rPr>
          <w:lang w:val="en-GB"/>
        </w:rPr>
        <w:t>s</w:t>
      </w:r>
      <w:r w:rsidRPr="00853984">
        <w:rPr>
          <w:lang w:val="en-GB"/>
        </w:rPr>
        <w:t xml:space="preserve"> Network; and</w:t>
      </w:r>
    </w:p>
    <w:p w14:paraId="08EE7B43" w14:textId="61D7EE1C" w:rsidR="00510B36" w:rsidRPr="00853984" w:rsidRDefault="00FA3F96" w:rsidP="00F56CBC">
      <w:pPr>
        <w:pStyle w:val="ListNumber2"/>
        <w:numPr>
          <w:ilvl w:val="1"/>
          <w:numId w:val="34"/>
        </w:numPr>
        <w:rPr>
          <w:lang w:val="en-GB"/>
        </w:rPr>
      </w:pPr>
      <w:r w:rsidRPr="00853984">
        <w:rPr>
          <w:lang w:val="en-GB"/>
        </w:rPr>
        <w:t>maintain and regularly update the list of international ports aut</w:t>
      </w:r>
      <w:r w:rsidR="00EE4036" w:rsidRPr="00853984">
        <w:rPr>
          <w:lang w:val="en-GB"/>
        </w:rPr>
        <w:t xml:space="preserve">horized for the issuance of </w:t>
      </w:r>
      <w:r w:rsidRPr="00853984">
        <w:rPr>
          <w:lang w:val="en-GB"/>
        </w:rPr>
        <w:t>Ship Sanitation Certificates.</w:t>
      </w:r>
    </w:p>
    <w:p w14:paraId="08EE7B44" w14:textId="228C2DBB" w:rsidR="009B28CD" w:rsidRPr="00853984" w:rsidRDefault="009B28CD" w:rsidP="009B28CD">
      <w:pPr>
        <w:pStyle w:val="Heading3"/>
        <w:rPr>
          <w:lang w:val="en-GB"/>
        </w:rPr>
      </w:pPr>
      <w:r w:rsidRPr="00853984">
        <w:rPr>
          <w:lang w:val="en-GB"/>
        </w:rPr>
        <w:t>Synergies between emergency preparedness and response, health system strengthening and essential public health functions</w:t>
      </w:r>
    </w:p>
    <w:p w14:paraId="08EE7B45" w14:textId="44B9AB87" w:rsidR="00627935" w:rsidRPr="00853984" w:rsidRDefault="00627935" w:rsidP="00627935">
      <w:pPr>
        <w:pStyle w:val="ParaNumber"/>
        <w:rPr>
          <w:lang w:val="en-GB"/>
        </w:rPr>
      </w:pPr>
      <w:r w:rsidRPr="00853984">
        <w:rPr>
          <w:lang w:val="en-GB"/>
        </w:rPr>
        <w:t xml:space="preserve">In order to prepare for and respond to public health emergencies, synergies at the intersections between IHR (2005) implementation and the strengthening of health system and public health functions require </w:t>
      </w:r>
      <w:r w:rsidR="00104DE2" w:rsidRPr="00853984">
        <w:rPr>
          <w:lang w:val="en-GB"/>
        </w:rPr>
        <w:t xml:space="preserve">identification </w:t>
      </w:r>
      <w:r w:rsidRPr="00853984">
        <w:rPr>
          <w:lang w:val="en-GB"/>
        </w:rPr>
        <w:t xml:space="preserve">and strengthening. </w:t>
      </w:r>
      <w:r w:rsidR="00104DE2" w:rsidRPr="00853984">
        <w:rPr>
          <w:lang w:val="en-GB"/>
        </w:rPr>
        <w:t>F</w:t>
      </w:r>
      <w:r w:rsidRPr="00853984">
        <w:rPr>
          <w:lang w:val="en-GB"/>
        </w:rPr>
        <w:t xml:space="preserve">ull implementation of the IHR (2005) will serve to strengthen health systems and essential public health functions. </w:t>
      </w:r>
      <w:r w:rsidR="00104DE2" w:rsidRPr="00853984">
        <w:rPr>
          <w:lang w:val="en-GB"/>
        </w:rPr>
        <w:t>I</w:t>
      </w:r>
      <w:r w:rsidRPr="00853984">
        <w:rPr>
          <w:lang w:val="en-GB"/>
        </w:rPr>
        <w:t xml:space="preserve">ntegration </w:t>
      </w:r>
      <w:r w:rsidR="00104DE2" w:rsidRPr="00853984">
        <w:rPr>
          <w:lang w:val="en-GB"/>
        </w:rPr>
        <w:t xml:space="preserve">of work in these areas </w:t>
      </w:r>
      <w:r w:rsidRPr="00853984">
        <w:rPr>
          <w:lang w:val="en-GB"/>
        </w:rPr>
        <w:t xml:space="preserve">will serve as a basis for the pursuit of universal health coverage. </w:t>
      </w:r>
    </w:p>
    <w:p w14:paraId="08EE7B46" w14:textId="77777777" w:rsidR="00627935" w:rsidRPr="00853984" w:rsidRDefault="00627935" w:rsidP="002E1797">
      <w:pPr>
        <w:pStyle w:val="ParaNumber"/>
        <w:keepNext/>
        <w:keepLines/>
        <w:rPr>
          <w:lang w:val="en-GB"/>
        </w:rPr>
      </w:pPr>
      <w:r w:rsidRPr="00853984">
        <w:rPr>
          <w:lang w:val="en-GB"/>
        </w:rPr>
        <w:t>States Parties will:</w:t>
      </w:r>
    </w:p>
    <w:p w14:paraId="08EE7B47" w14:textId="2BA0B68D" w:rsidR="00627935" w:rsidRPr="00853984" w:rsidRDefault="00627935" w:rsidP="002E1797">
      <w:pPr>
        <w:pStyle w:val="ListNumber2"/>
        <w:keepNext/>
        <w:keepLines/>
        <w:numPr>
          <w:ilvl w:val="1"/>
          <w:numId w:val="35"/>
        </w:numPr>
        <w:rPr>
          <w:lang w:val="en-GB"/>
        </w:rPr>
      </w:pPr>
      <w:r w:rsidRPr="00853984">
        <w:rPr>
          <w:lang w:val="en-GB"/>
        </w:rPr>
        <w:t>review ongoing activities for strengthening health systems and esse</w:t>
      </w:r>
      <w:r w:rsidR="001607CD" w:rsidRPr="00853984">
        <w:rPr>
          <w:lang w:val="en-GB"/>
        </w:rPr>
        <w:t>ntial public health functions</w:t>
      </w:r>
      <w:r w:rsidRPr="00853984">
        <w:rPr>
          <w:lang w:val="en-GB"/>
        </w:rPr>
        <w:t xml:space="preserve"> and IHR (2005) implementation</w:t>
      </w:r>
      <w:r w:rsidR="00E139FE" w:rsidRPr="00853984">
        <w:rPr>
          <w:lang w:val="en-GB"/>
        </w:rPr>
        <w:t>,</w:t>
      </w:r>
      <w:r w:rsidRPr="00853984">
        <w:rPr>
          <w:lang w:val="en-GB"/>
        </w:rPr>
        <w:t xml:space="preserve"> in order to identify synergies at their intersection; and</w:t>
      </w:r>
    </w:p>
    <w:p w14:paraId="08EE7B48" w14:textId="6FB056EA" w:rsidR="00627935" w:rsidRPr="00853984" w:rsidRDefault="00627935" w:rsidP="002E1797">
      <w:pPr>
        <w:pStyle w:val="ListNumber2"/>
        <w:keepNext/>
        <w:keepLines/>
        <w:numPr>
          <w:ilvl w:val="1"/>
          <w:numId w:val="35"/>
        </w:numPr>
        <w:rPr>
          <w:lang w:val="en-GB"/>
        </w:rPr>
      </w:pPr>
      <w:r w:rsidRPr="00853984">
        <w:rPr>
          <w:lang w:val="en-GB"/>
        </w:rPr>
        <w:t xml:space="preserve">address identified </w:t>
      </w:r>
      <w:r w:rsidR="00F61C84" w:rsidRPr="00853984">
        <w:rPr>
          <w:lang w:val="en-GB"/>
        </w:rPr>
        <w:t>lack of synergy</w:t>
      </w:r>
      <w:r w:rsidRPr="00853984">
        <w:rPr>
          <w:lang w:val="en-GB"/>
        </w:rPr>
        <w:t xml:space="preserve"> and weakness</w:t>
      </w:r>
      <w:r w:rsidR="00F61C84" w:rsidRPr="00853984">
        <w:rPr>
          <w:lang w:val="en-GB"/>
        </w:rPr>
        <w:t>es</w:t>
      </w:r>
      <w:r w:rsidRPr="00853984">
        <w:rPr>
          <w:lang w:val="en-GB"/>
        </w:rPr>
        <w:t xml:space="preserve"> in health systems and essential public functions for emergency pr</w:t>
      </w:r>
      <w:r w:rsidR="00F61C84" w:rsidRPr="00853984">
        <w:rPr>
          <w:lang w:val="en-GB"/>
        </w:rPr>
        <w:t>eparedness and response in the national action plan for health emergency p</w:t>
      </w:r>
      <w:r w:rsidRPr="00853984">
        <w:rPr>
          <w:lang w:val="en-GB"/>
        </w:rPr>
        <w:t xml:space="preserve">reparedness. </w:t>
      </w:r>
    </w:p>
    <w:p w14:paraId="08EE7B49" w14:textId="076BD8BD" w:rsidR="00B53730" w:rsidRPr="00853984" w:rsidRDefault="00022705" w:rsidP="00B53730">
      <w:pPr>
        <w:pStyle w:val="ParaNumber"/>
        <w:rPr>
          <w:lang w:val="en-GB"/>
        </w:rPr>
      </w:pPr>
      <w:r w:rsidRPr="00853984">
        <w:rPr>
          <w:lang w:val="en-GB"/>
        </w:rPr>
        <w:t>The Regional Office</w:t>
      </w:r>
      <w:r w:rsidR="00B53730" w:rsidRPr="00853984">
        <w:rPr>
          <w:lang w:val="en-GB"/>
        </w:rPr>
        <w:t>, in collaboration with key partners, will:</w:t>
      </w:r>
    </w:p>
    <w:p w14:paraId="08EE7B4A" w14:textId="19D718CB" w:rsidR="00B53730" w:rsidRPr="00853984" w:rsidRDefault="00B53730" w:rsidP="00F56CBC">
      <w:pPr>
        <w:pStyle w:val="ListNumber2"/>
        <w:numPr>
          <w:ilvl w:val="1"/>
          <w:numId w:val="36"/>
        </w:numPr>
        <w:rPr>
          <w:lang w:val="en-GB"/>
        </w:rPr>
      </w:pPr>
      <w:r w:rsidRPr="00853984">
        <w:rPr>
          <w:lang w:val="en-GB"/>
        </w:rPr>
        <w:t xml:space="preserve">guide </w:t>
      </w:r>
      <w:r w:rsidR="00E139FE" w:rsidRPr="00853984">
        <w:rPr>
          <w:lang w:val="en-GB"/>
        </w:rPr>
        <w:t>States Parties</w:t>
      </w:r>
      <w:r w:rsidRPr="00853984">
        <w:rPr>
          <w:lang w:val="en-GB"/>
        </w:rPr>
        <w:t xml:space="preserve"> in identifying synergies at the intersection between health system capacities and health emergency preparedness and the IHR (2005). This will be done in coordination with the Regional Office’s Division of Health Systems and Public Health;</w:t>
      </w:r>
    </w:p>
    <w:p w14:paraId="08EE7B4B" w14:textId="4DDC6D3C" w:rsidR="00B53730" w:rsidRPr="00853984" w:rsidRDefault="00B53730" w:rsidP="00F56CBC">
      <w:pPr>
        <w:pStyle w:val="ListNumber2"/>
        <w:numPr>
          <w:ilvl w:val="1"/>
          <w:numId w:val="36"/>
        </w:numPr>
        <w:rPr>
          <w:lang w:val="en-GB"/>
        </w:rPr>
      </w:pPr>
      <w:r w:rsidRPr="00853984">
        <w:rPr>
          <w:lang w:val="en-GB"/>
        </w:rPr>
        <w:t xml:space="preserve">support </w:t>
      </w:r>
      <w:r w:rsidR="00E139FE" w:rsidRPr="00853984">
        <w:rPr>
          <w:lang w:val="en-GB"/>
        </w:rPr>
        <w:t xml:space="preserve">States Parties </w:t>
      </w:r>
      <w:r w:rsidRPr="00853984">
        <w:rPr>
          <w:lang w:val="en-GB"/>
        </w:rPr>
        <w:t xml:space="preserve">in developing national action plans for emergency preparedness that integrate efforts </w:t>
      </w:r>
      <w:r w:rsidR="00E139FE" w:rsidRPr="00853984">
        <w:rPr>
          <w:lang w:val="en-GB"/>
        </w:rPr>
        <w:t>relating to</w:t>
      </w:r>
      <w:r w:rsidRPr="00853984">
        <w:rPr>
          <w:lang w:val="en-GB"/>
        </w:rPr>
        <w:t xml:space="preserve"> health system strengthening and emergency preparedness; </w:t>
      </w:r>
    </w:p>
    <w:p w14:paraId="08EE7B4C" w14:textId="0E5DFA81" w:rsidR="00B53730" w:rsidRPr="00853984" w:rsidRDefault="00B53730" w:rsidP="00F56CBC">
      <w:pPr>
        <w:pStyle w:val="ListNumber2"/>
        <w:numPr>
          <w:ilvl w:val="1"/>
          <w:numId w:val="36"/>
        </w:numPr>
        <w:rPr>
          <w:lang w:val="en-GB"/>
        </w:rPr>
      </w:pPr>
      <w:r w:rsidRPr="00853984">
        <w:rPr>
          <w:lang w:val="en-GB"/>
        </w:rPr>
        <w:t xml:space="preserve">support </w:t>
      </w:r>
      <w:r w:rsidR="00E139FE" w:rsidRPr="00853984">
        <w:rPr>
          <w:lang w:val="en-GB"/>
        </w:rPr>
        <w:t xml:space="preserve">States Parties </w:t>
      </w:r>
      <w:r w:rsidRPr="00853984">
        <w:rPr>
          <w:lang w:val="en-GB"/>
        </w:rPr>
        <w:t>in implementing national action plans; and</w:t>
      </w:r>
    </w:p>
    <w:p w14:paraId="08EE7B4D" w14:textId="2834F224" w:rsidR="009B28CD" w:rsidRPr="00B37D63" w:rsidRDefault="00B53730" w:rsidP="00B37D63">
      <w:pPr>
        <w:pStyle w:val="ListNumber2"/>
        <w:numPr>
          <w:ilvl w:val="1"/>
          <w:numId w:val="36"/>
        </w:numPr>
        <w:rPr>
          <w:lang w:val="en-GB"/>
        </w:rPr>
      </w:pPr>
      <w:r w:rsidRPr="00B37D63">
        <w:rPr>
          <w:lang w:val="en-GB"/>
        </w:rPr>
        <w:t xml:space="preserve">conduct regular assessments of the ability of State Parties to perform the essential public health functions relevant to the IHR (2005) and emergency response, including </w:t>
      </w:r>
      <w:r w:rsidR="00D85AB6">
        <w:rPr>
          <w:lang w:val="en-GB"/>
        </w:rPr>
        <w:t xml:space="preserve">the </w:t>
      </w:r>
      <w:r w:rsidR="00B37D63" w:rsidRPr="00B37D63">
        <w:rPr>
          <w:lang w:val="en-GB"/>
        </w:rPr>
        <w:t>Health System Capacity for Crisis Management and Hospital Safety Index</w:t>
      </w:r>
      <w:r w:rsidRPr="00B37D63">
        <w:rPr>
          <w:lang w:val="en-GB"/>
        </w:rPr>
        <w:t>.</w:t>
      </w:r>
    </w:p>
    <w:p w14:paraId="08EE7B4E" w14:textId="77777777" w:rsidR="00B53730" w:rsidRPr="00853984" w:rsidRDefault="00B53730" w:rsidP="00B53730">
      <w:pPr>
        <w:pStyle w:val="Heading3"/>
        <w:rPr>
          <w:lang w:val="en-GB"/>
        </w:rPr>
      </w:pPr>
      <w:r w:rsidRPr="00853984">
        <w:rPr>
          <w:lang w:val="en-GB"/>
        </w:rPr>
        <w:t>One Health</w:t>
      </w:r>
    </w:p>
    <w:p w14:paraId="08EE7B4F" w14:textId="587AC653" w:rsidR="00B53730" w:rsidRPr="00853984" w:rsidRDefault="00B53730" w:rsidP="00B53730">
      <w:pPr>
        <w:pStyle w:val="ParaNumber"/>
        <w:rPr>
          <w:lang w:val="en-GB"/>
        </w:rPr>
      </w:pPr>
      <w:r w:rsidRPr="00853984">
        <w:rPr>
          <w:lang w:val="en-GB"/>
        </w:rPr>
        <w:t xml:space="preserve">Close cooperation between </w:t>
      </w:r>
      <w:r w:rsidR="0035368F" w:rsidRPr="00853984">
        <w:rPr>
          <w:lang w:val="en-GB"/>
        </w:rPr>
        <w:t xml:space="preserve">the </w:t>
      </w:r>
      <w:r w:rsidRPr="00853984">
        <w:rPr>
          <w:lang w:val="en-GB"/>
        </w:rPr>
        <w:t xml:space="preserve">human and animal </w:t>
      </w:r>
      <w:r w:rsidR="0035368F" w:rsidRPr="00853984">
        <w:rPr>
          <w:lang w:val="en-GB"/>
        </w:rPr>
        <w:t xml:space="preserve">(domestic and wild) </w:t>
      </w:r>
      <w:r w:rsidR="00337035" w:rsidRPr="00853984">
        <w:rPr>
          <w:lang w:val="en-GB"/>
        </w:rPr>
        <w:t>health sectors</w:t>
      </w:r>
      <w:r w:rsidRPr="00853984">
        <w:rPr>
          <w:lang w:val="en-GB"/>
        </w:rPr>
        <w:t xml:space="preserve"> is necessary for the effective prevention and control of emerging and re-emerging infectious d</w:t>
      </w:r>
      <w:r w:rsidR="00337035" w:rsidRPr="00853984">
        <w:rPr>
          <w:lang w:val="en-GB"/>
        </w:rPr>
        <w:t>iseases. The foundation</w:t>
      </w:r>
      <w:r w:rsidR="00C30ED4">
        <w:rPr>
          <w:lang w:val="en-GB"/>
        </w:rPr>
        <w:t>s</w:t>
      </w:r>
      <w:r w:rsidR="00337035" w:rsidRPr="00853984">
        <w:rPr>
          <w:lang w:val="en-GB"/>
        </w:rPr>
        <w:t xml:space="preserve"> of the One Health</w:t>
      </w:r>
      <w:r w:rsidRPr="00853984">
        <w:rPr>
          <w:lang w:val="en-GB"/>
        </w:rPr>
        <w:t xml:space="preserve"> approach </w:t>
      </w:r>
      <w:r w:rsidR="00C30ED4">
        <w:rPr>
          <w:lang w:val="en-GB"/>
        </w:rPr>
        <w:t>are</w:t>
      </w:r>
      <w:r w:rsidR="00D31882" w:rsidRPr="00853984">
        <w:rPr>
          <w:lang w:val="en-GB"/>
        </w:rPr>
        <w:t xml:space="preserve"> collaboration, communication</w:t>
      </w:r>
      <w:r w:rsidRPr="00853984">
        <w:rPr>
          <w:lang w:val="en-GB"/>
        </w:rPr>
        <w:t xml:space="preserve"> and coordination across human, animal and environment sectors to address a shared health concern together, with the ultimate goal of achieving optimal health outcomes for both people and animals. </w:t>
      </w:r>
    </w:p>
    <w:p w14:paraId="08EE7B50" w14:textId="77777777" w:rsidR="00B53730" w:rsidRPr="00853984" w:rsidRDefault="00B53730" w:rsidP="00B53730">
      <w:pPr>
        <w:pStyle w:val="ParaNumber"/>
        <w:rPr>
          <w:lang w:val="en-GB"/>
        </w:rPr>
      </w:pPr>
      <w:r w:rsidRPr="00853984">
        <w:rPr>
          <w:lang w:val="en-GB"/>
        </w:rPr>
        <w:t>States Parties will:</w:t>
      </w:r>
    </w:p>
    <w:p w14:paraId="08EE7B51" w14:textId="43705B14" w:rsidR="001A36CB" w:rsidRPr="00853984" w:rsidRDefault="001A36CB" w:rsidP="00F56CBC">
      <w:pPr>
        <w:pStyle w:val="ListNumber2"/>
        <w:numPr>
          <w:ilvl w:val="1"/>
          <w:numId w:val="37"/>
        </w:numPr>
        <w:rPr>
          <w:lang w:val="en-GB"/>
        </w:rPr>
      </w:pPr>
      <w:r w:rsidRPr="00853984">
        <w:rPr>
          <w:lang w:val="en-GB"/>
        </w:rPr>
        <w:t>establish national mechanisms for cross-sectoral coordination, integrated planning and preparedness, investigation and response, surveillance and event information sharing, joint risk assessment, risk communication and risk reduction strateg</w:t>
      </w:r>
      <w:r w:rsidR="00BC0466" w:rsidRPr="00853984">
        <w:rPr>
          <w:lang w:val="en-GB"/>
        </w:rPr>
        <w:t>ies,</w:t>
      </w:r>
      <w:r w:rsidRPr="00853984">
        <w:rPr>
          <w:lang w:val="en-GB"/>
        </w:rPr>
        <w:t xml:space="preserve"> and training and workforce development </w:t>
      </w:r>
      <w:r w:rsidR="00BC0466" w:rsidRPr="00853984">
        <w:rPr>
          <w:lang w:val="en-GB"/>
        </w:rPr>
        <w:t>of the</w:t>
      </w:r>
      <w:r w:rsidRPr="00853984">
        <w:rPr>
          <w:lang w:val="en-GB"/>
        </w:rPr>
        <w:t xml:space="preserve"> human and animal health sectors; and</w:t>
      </w:r>
    </w:p>
    <w:p w14:paraId="08EE7B52" w14:textId="77777777" w:rsidR="00B53730" w:rsidRPr="00853984" w:rsidRDefault="001A36CB" w:rsidP="00F56CBC">
      <w:pPr>
        <w:pStyle w:val="ListNumber2"/>
        <w:numPr>
          <w:ilvl w:val="1"/>
          <w:numId w:val="37"/>
        </w:numPr>
        <w:rPr>
          <w:lang w:val="en-GB"/>
        </w:rPr>
      </w:pPr>
      <w:r w:rsidRPr="00853984">
        <w:rPr>
          <w:lang w:val="en-GB"/>
        </w:rPr>
        <w:t>institutionalize a One Health approach as part of comprehensive country health emergency preparedness efforts.</w:t>
      </w:r>
    </w:p>
    <w:p w14:paraId="08EE7B53" w14:textId="12A74099" w:rsidR="001A36CB" w:rsidRPr="00853984" w:rsidRDefault="001A36CB" w:rsidP="001A36CB">
      <w:pPr>
        <w:pStyle w:val="ParaNumber"/>
        <w:rPr>
          <w:lang w:val="en-GB"/>
        </w:rPr>
      </w:pPr>
      <w:r w:rsidRPr="00853984">
        <w:rPr>
          <w:lang w:val="en-GB"/>
        </w:rPr>
        <w:t>T</w:t>
      </w:r>
      <w:r w:rsidR="00516806" w:rsidRPr="00853984">
        <w:rPr>
          <w:lang w:val="en-GB"/>
        </w:rPr>
        <w:t>he Regional Office</w:t>
      </w:r>
      <w:r w:rsidRPr="00853984">
        <w:rPr>
          <w:lang w:val="en-GB"/>
        </w:rPr>
        <w:t>, in collaboration with key partners, will:</w:t>
      </w:r>
    </w:p>
    <w:p w14:paraId="08EE7B54" w14:textId="20B9F6CD" w:rsidR="001A36CB" w:rsidRPr="00853984" w:rsidRDefault="001A36CB" w:rsidP="00F56CBC">
      <w:pPr>
        <w:pStyle w:val="ListNumber2"/>
        <w:numPr>
          <w:ilvl w:val="1"/>
          <w:numId w:val="38"/>
        </w:numPr>
        <w:rPr>
          <w:lang w:val="en-GB"/>
        </w:rPr>
      </w:pPr>
      <w:r w:rsidRPr="00853984">
        <w:rPr>
          <w:lang w:val="en-GB"/>
        </w:rPr>
        <w:t xml:space="preserve">provide technical guidance, tools and best practices for implementing a One Health approach, including those contained in the revised </w:t>
      </w:r>
      <w:r w:rsidR="00BA45C4">
        <w:rPr>
          <w:lang w:val="en-GB"/>
        </w:rPr>
        <w:t>t</w:t>
      </w:r>
      <w:r w:rsidRPr="00853984">
        <w:rPr>
          <w:lang w:val="en-GB"/>
        </w:rPr>
        <w:t>ripartite zoonosis guide and toolkit;</w:t>
      </w:r>
    </w:p>
    <w:p w14:paraId="08EE7B55" w14:textId="5FBC240D" w:rsidR="001A36CB" w:rsidRPr="00853984" w:rsidRDefault="001A36CB" w:rsidP="00F56CBC">
      <w:pPr>
        <w:pStyle w:val="ListNumber2"/>
        <w:numPr>
          <w:ilvl w:val="1"/>
          <w:numId w:val="38"/>
        </w:numPr>
        <w:rPr>
          <w:lang w:val="en-GB"/>
        </w:rPr>
      </w:pPr>
      <w:r w:rsidRPr="00853984">
        <w:rPr>
          <w:lang w:val="en-GB"/>
        </w:rPr>
        <w:t>upon request, support States Parties with IHR</w:t>
      </w:r>
      <w:r w:rsidR="00BC0466" w:rsidRPr="00853984">
        <w:rPr>
          <w:lang w:val="en-GB"/>
        </w:rPr>
        <w:t xml:space="preserve"> (2005)</w:t>
      </w:r>
      <w:r w:rsidRPr="00853984">
        <w:rPr>
          <w:lang w:val="en-GB"/>
        </w:rPr>
        <w:t>/performance of veterinary services</w:t>
      </w:r>
      <w:r w:rsidR="00BC0466" w:rsidRPr="00853984">
        <w:rPr>
          <w:lang w:val="en-GB"/>
        </w:rPr>
        <w:t xml:space="preserve"> </w:t>
      </w:r>
      <w:r w:rsidRPr="00853984">
        <w:rPr>
          <w:lang w:val="en-GB"/>
        </w:rPr>
        <w:t>bridging workshops to enhance the linkages between human and animal health sectors; and</w:t>
      </w:r>
    </w:p>
    <w:p w14:paraId="08EE7B56" w14:textId="77777777" w:rsidR="001A36CB" w:rsidRPr="00853984" w:rsidRDefault="001A36CB" w:rsidP="00F56CBC">
      <w:pPr>
        <w:pStyle w:val="ListNumber2"/>
        <w:numPr>
          <w:ilvl w:val="1"/>
          <w:numId w:val="38"/>
        </w:numPr>
        <w:rPr>
          <w:lang w:val="en-GB"/>
        </w:rPr>
      </w:pPr>
      <w:r w:rsidRPr="00853984">
        <w:rPr>
          <w:lang w:val="en-GB"/>
        </w:rPr>
        <w:t>support States Parties in strengthening capacity for zoonoses under the IHR (2005).</w:t>
      </w:r>
    </w:p>
    <w:p w14:paraId="08EE7B57" w14:textId="77777777" w:rsidR="0036496D" w:rsidRPr="00853984" w:rsidRDefault="0036496D" w:rsidP="0036496D">
      <w:pPr>
        <w:pStyle w:val="Heading3"/>
        <w:rPr>
          <w:lang w:val="en-GB"/>
        </w:rPr>
      </w:pPr>
      <w:r w:rsidRPr="00853984">
        <w:rPr>
          <w:lang w:val="en-GB"/>
        </w:rPr>
        <w:t>Sustainable financing of IHR (2005) implementation</w:t>
      </w:r>
    </w:p>
    <w:p w14:paraId="08EE7B58" w14:textId="7EEA2B45" w:rsidR="0036496D" w:rsidRPr="00853984" w:rsidRDefault="0036496D" w:rsidP="0036496D">
      <w:pPr>
        <w:pStyle w:val="ParaNumber"/>
        <w:rPr>
          <w:lang w:val="en-GB"/>
        </w:rPr>
      </w:pPr>
      <w:r w:rsidRPr="00853984">
        <w:rPr>
          <w:lang w:val="en-GB"/>
        </w:rPr>
        <w:t xml:space="preserve">Provision of an adequate and consistent level of domestic financing for the full implementation of </w:t>
      </w:r>
      <w:r w:rsidR="00BC0466" w:rsidRPr="00853984">
        <w:rPr>
          <w:lang w:val="en-GB"/>
        </w:rPr>
        <w:t xml:space="preserve">the </w:t>
      </w:r>
      <w:r w:rsidRPr="00853984">
        <w:rPr>
          <w:lang w:val="en-GB"/>
        </w:rPr>
        <w:t xml:space="preserve">IHR (2005) will ensure long-term sustainability for the health emergency preparedness and response capacities of a State Party. National action plans for health emergency preparedness that outline the specific State Party actions for IHR (2005) implementation should be integrated into national health budgets and planning cycles. They should be linked, where relevant, to health system financing plans to ensure a rational use of resources. </w:t>
      </w:r>
    </w:p>
    <w:p w14:paraId="08EE7B59" w14:textId="77777777" w:rsidR="0036496D" w:rsidRPr="00853984" w:rsidRDefault="0036496D" w:rsidP="0036496D">
      <w:pPr>
        <w:pStyle w:val="ParaNumber"/>
        <w:rPr>
          <w:lang w:val="en-GB"/>
        </w:rPr>
      </w:pPr>
      <w:r w:rsidRPr="00853984">
        <w:rPr>
          <w:lang w:val="en-GB"/>
        </w:rPr>
        <w:t>States Parties will:</w:t>
      </w:r>
    </w:p>
    <w:p w14:paraId="08EE7B5A" w14:textId="5975378C" w:rsidR="0036496D" w:rsidRPr="00853984" w:rsidRDefault="0036496D" w:rsidP="00F56CBC">
      <w:pPr>
        <w:pStyle w:val="ListNumber2"/>
        <w:numPr>
          <w:ilvl w:val="1"/>
          <w:numId w:val="39"/>
        </w:numPr>
        <w:rPr>
          <w:lang w:val="en-GB"/>
        </w:rPr>
      </w:pPr>
      <w:r w:rsidRPr="00853984">
        <w:rPr>
          <w:lang w:val="en-GB"/>
        </w:rPr>
        <w:t xml:space="preserve">ensure </w:t>
      </w:r>
      <w:r w:rsidR="00BC0466" w:rsidRPr="00853984">
        <w:rPr>
          <w:lang w:val="en-GB"/>
        </w:rPr>
        <w:t xml:space="preserve">that </w:t>
      </w:r>
      <w:r w:rsidRPr="00853984">
        <w:rPr>
          <w:lang w:val="en-GB"/>
        </w:rPr>
        <w:t>national action plans for health emergency preparedness are included in national health budgets and health system financing plans; and</w:t>
      </w:r>
    </w:p>
    <w:p w14:paraId="08EE7B5B" w14:textId="77777777" w:rsidR="0036496D" w:rsidRPr="00853984" w:rsidRDefault="0036496D" w:rsidP="00F56CBC">
      <w:pPr>
        <w:pStyle w:val="ListNumber2"/>
        <w:numPr>
          <w:ilvl w:val="1"/>
          <w:numId w:val="39"/>
        </w:numPr>
        <w:rPr>
          <w:lang w:val="en-GB"/>
        </w:rPr>
      </w:pPr>
      <w:r w:rsidRPr="00853984">
        <w:rPr>
          <w:lang w:val="en-GB"/>
        </w:rPr>
        <w:t xml:space="preserve">mobilize additional resources, if necessary, to enable implementation of national action plans for public health emergency preparedness. </w:t>
      </w:r>
    </w:p>
    <w:p w14:paraId="08EE7B5D" w14:textId="32AB0A39" w:rsidR="0036496D" w:rsidRPr="00853984" w:rsidRDefault="0036496D" w:rsidP="00516806">
      <w:pPr>
        <w:pStyle w:val="ParaNumber"/>
        <w:rPr>
          <w:lang w:val="en-GB"/>
        </w:rPr>
      </w:pPr>
      <w:r w:rsidRPr="00853984">
        <w:rPr>
          <w:lang w:val="en-GB"/>
        </w:rPr>
        <w:t>The Regional</w:t>
      </w:r>
      <w:r w:rsidR="008D45B4" w:rsidRPr="00853984">
        <w:rPr>
          <w:lang w:val="en-GB"/>
        </w:rPr>
        <w:t xml:space="preserve"> Office</w:t>
      </w:r>
      <w:r w:rsidRPr="00853984">
        <w:rPr>
          <w:lang w:val="en-GB"/>
        </w:rPr>
        <w:t>, in collab</w:t>
      </w:r>
      <w:r w:rsidR="00516806" w:rsidRPr="00853984">
        <w:rPr>
          <w:lang w:val="en-GB"/>
        </w:rPr>
        <w:t xml:space="preserve">oration with key partners, will </w:t>
      </w:r>
      <w:r w:rsidRPr="00853984">
        <w:rPr>
          <w:lang w:val="en-GB"/>
        </w:rPr>
        <w:t xml:space="preserve">work with donors to mobilize additional resources when States Parties </w:t>
      </w:r>
      <w:r w:rsidR="00F6473F" w:rsidRPr="00853984">
        <w:rPr>
          <w:lang w:val="en-GB"/>
        </w:rPr>
        <w:t>need</w:t>
      </w:r>
      <w:r w:rsidRPr="00853984">
        <w:rPr>
          <w:lang w:val="en-GB"/>
        </w:rPr>
        <w:t xml:space="preserve"> external technical and financial support in costing and financing national actions plans.</w:t>
      </w:r>
    </w:p>
    <w:p w14:paraId="08EE7B5E" w14:textId="21C81B34" w:rsidR="00D96E4B" w:rsidRPr="00853984" w:rsidRDefault="006E4E13" w:rsidP="00D96E4B">
      <w:pPr>
        <w:pStyle w:val="Heading2"/>
        <w:rPr>
          <w:lang w:val="en-GB"/>
        </w:rPr>
      </w:pPr>
      <w:bookmarkStart w:id="8" w:name="_Toc512875096"/>
      <w:r w:rsidRPr="00853984">
        <w:rPr>
          <w:lang w:val="en-GB"/>
        </w:rPr>
        <w:t>Strategic pillar 2.</w:t>
      </w:r>
      <w:r w:rsidR="00D96E4B" w:rsidRPr="00853984">
        <w:rPr>
          <w:lang w:val="en-GB"/>
        </w:rPr>
        <w:t xml:space="preserve"> Strengthen event management and compliance with the requirements under the IHR (2005)</w:t>
      </w:r>
      <w:bookmarkEnd w:id="8"/>
    </w:p>
    <w:p w14:paraId="08EE7B5F" w14:textId="647C448D" w:rsidR="00D96E4B" w:rsidRPr="00853984" w:rsidRDefault="00D96E4B" w:rsidP="00D96E4B">
      <w:pPr>
        <w:pStyle w:val="ParaNumber"/>
        <w:rPr>
          <w:lang w:val="en-GB"/>
        </w:rPr>
      </w:pPr>
      <w:r w:rsidRPr="00853984">
        <w:rPr>
          <w:lang w:val="en-GB"/>
        </w:rPr>
        <w:t>The Secretariat and States Parties should continue to fu</w:t>
      </w:r>
      <w:r w:rsidR="000C54D3" w:rsidRPr="00853984">
        <w:rPr>
          <w:lang w:val="en-GB"/>
        </w:rPr>
        <w:t xml:space="preserve">lfil their obligations under </w:t>
      </w:r>
      <w:r w:rsidR="0003397D" w:rsidRPr="00853984">
        <w:rPr>
          <w:lang w:val="en-GB"/>
        </w:rPr>
        <w:t xml:space="preserve">the </w:t>
      </w:r>
      <w:r w:rsidR="000C54D3" w:rsidRPr="00853984">
        <w:rPr>
          <w:lang w:val="en-GB"/>
        </w:rPr>
        <w:br/>
      </w:r>
      <w:r w:rsidRPr="00853984">
        <w:rPr>
          <w:lang w:val="en-GB"/>
        </w:rPr>
        <w:t>IHR (2005) in relati</w:t>
      </w:r>
      <w:r w:rsidR="006E4E13" w:rsidRPr="00853984">
        <w:rPr>
          <w:lang w:val="en-GB"/>
        </w:rPr>
        <w:t>on to the detection, assessment and</w:t>
      </w:r>
      <w:r w:rsidRPr="00853984">
        <w:rPr>
          <w:lang w:val="en-GB"/>
        </w:rPr>
        <w:t xml:space="preserve"> notification of</w:t>
      </w:r>
      <w:r w:rsidR="006E4E13" w:rsidRPr="00853984">
        <w:rPr>
          <w:lang w:val="en-GB"/>
        </w:rPr>
        <w:t>,</w:t>
      </w:r>
      <w:r w:rsidRPr="00853984">
        <w:rPr>
          <w:lang w:val="en-GB"/>
        </w:rPr>
        <w:t xml:space="preserve"> and response to</w:t>
      </w:r>
      <w:r w:rsidR="006E4E13" w:rsidRPr="00853984">
        <w:rPr>
          <w:lang w:val="en-GB"/>
        </w:rPr>
        <w:t>,</w:t>
      </w:r>
      <w:r w:rsidRPr="00853984">
        <w:rPr>
          <w:lang w:val="en-GB"/>
        </w:rPr>
        <w:t xml:space="preserve"> public health risks. The sustainable and effective functioning of NFPs is essential to fulfilling this obligation. In addition, regionally coordinated processes, partnerships and mechanisms</w:t>
      </w:r>
      <w:r w:rsidR="006E4E13" w:rsidRPr="00853984">
        <w:rPr>
          <w:lang w:val="en-GB"/>
        </w:rPr>
        <w:t xml:space="preserve"> to provide assistance where necessary</w:t>
      </w:r>
      <w:r w:rsidRPr="00853984">
        <w:rPr>
          <w:lang w:val="en-GB"/>
        </w:rPr>
        <w:t>, led by the Regional Office in partnership with key stakeholders, are critical.</w:t>
      </w:r>
    </w:p>
    <w:p w14:paraId="08EE7B60" w14:textId="77777777" w:rsidR="0036496D" w:rsidRPr="00853984" w:rsidRDefault="00427285" w:rsidP="00427285">
      <w:pPr>
        <w:pStyle w:val="Heading3"/>
        <w:rPr>
          <w:lang w:val="en-GB"/>
        </w:rPr>
      </w:pPr>
      <w:r w:rsidRPr="00853984">
        <w:rPr>
          <w:lang w:val="en-GB"/>
        </w:rPr>
        <w:t>Notification and information sharing</w:t>
      </w:r>
    </w:p>
    <w:p w14:paraId="08EE7B61" w14:textId="0A9FBFB4" w:rsidR="00427285" w:rsidRPr="00853984" w:rsidRDefault="00427285" w:rsidP="00427285">
      <w:pPr>
        <w:pStyle w:val="ParaNumber"/>
        <w:rPr>
          <w:lang w:val="en-GB"/>
        </w:rPr>
      </w:pPr>
      <w:r w:rsidRPr="00853984">
        <w:rPr>
          <w:lang w:val="en-GB"/>
        </w:rPr>
        <w:t>The timely and accurate notification of public health events</w:t>
      </w:r>
      <w:r w:rsidR="00421DB7" w:rsidRPr="00853984">
        <w:rPr>
          <w:lang w:val="en-GB"/>
        </w:rPr>
        <w:t xml:space="preserve"> to WHO</w:t>
      </w:r>
      <w:r w:rsidRPr="00853984">
        <w:rPr>
          <w:lang w:val="en-GB"/>
        </w:rPr>
        <w:t>, assessed in accordance with An</w:t>
      </w:r>
      <w:r w:rsidR="00421DB7" w:rsidRPr="00853984">
        <w:rPr>
          <w:lang w:val="en-GB"/>
        </w:rPr>
        <w:t xml:space="preserve">nex </w:t>
      </w:r>
      <w:r w:rsidR="00F904F0" w:rsidRPr="00853984">
        <w:rPr>
          <w:lang w:val="en-GB"/>
        </w:rPr>
        <w:t>2</w:t>
      </w:r>
      <w:r w:rsidR="00421DB7" w:rsidRPr="00853984">
        <w:rPr>
          <w:lang w:val="en-GB"/>
        </w:rPr>
        <w:t xml:space="preserve"> of the IHR (2005),</w:t>
      </w:r>
      <w:r w:rsidRPr="00853984">
        <w:rPr>
          <w:lang w:val="en-GB"/>
        </w:rPr>
        <w:t xml:space="preserve"> is a critical function for all States Parties and requires the NFP responsible for that task to be sufficiently trained and resourced. Furthermore, the effective functioning of the NFP requires coordinated and multisectoral information exchange with clear procedures and mechanisms for communication. </w:t>
      </w:r>
    </w:p>
    <w:p w14:paraId="08EE7B62" w14:textId="77777777" w:rsidR="00427285" w:rsidRPr="00853984" w:rsidRDefault="00427285" w:rsidP="00427285">
      <w:pPr>
        <w:pStyle w:val="ParaNumber"/>
        <w:rPr>
          <w:lang w:val="en-GB"/>
        </w:rPr>
      </w:pPr>
      <w:r w:rsidRPr="00853984">
        <w:rPr>
          <w:lang w:val="en-GB"/>
        </w:rPr>
        <w:t>States Parties will:</w:t>
      </w:r>
    </w:p>
    <w:p w14:paraId="08EE7B63" w14:textId="404AA860" w:rsidR="00985D02" w:rsidRPr="00853984" w:rsidRDefault="00985D02" w:rsidP="00F56CBC">
      <w:pPr>
        <w:pStyle w:val="ListNumber2"/>
        <w:numPr>
          <w:ilvl w:val="1"/>
          <w:numId w:val="41"/>
        </w:numPr>
        <w:rPr>
          <w:lang w:val="en-GB"/>
        </w:rPr>
      </w:pPr>
      <w:r w:rsidRPr="00853984">
        <w:rPr>
          <w:lang w:val="en-GB"/>
        </w:rPr>
        <w:t xml:space="preserve">establish, maintain or strengthen a national system, including protocols and processes for multisectoral coordination, </w:t>
      </w:r>
      <w:r w:rsidR="00556139" w:rsidRPr="00853984">
        <w:rPr>
          <w:lang w:val="en-GB"/>
        </w:rPr>
        <w:t>to</w:t>
      </w:r>
      <w:r w:rsidRPr="00853984">
        <w:rPr>
          <w:lang w:val="en-GB"/>
        </w:rPr>
        <w:t xml:space="preserve"> ensure timely detection, investigation, risk assessment and information sharing among relevant national stakeholders; and</w:t>
      </w:r>
    </w:p>
    <w:p w14:paraId="08EE7B64" w14:textId="52C6DB60" w:rsidR="00985D02" w:rsidRPr="00853984" w:rsidRDefault="00985D02" w:rsidP="00F56CBC">
      <w:pPr>
        <w:pStyle w:val="ListNumber2"/>
        <w:numPr>
          <w:ilvl w:val="1"/>
          <w:numId w:val="41"/>
        </w:numPr>
        <w:rPr>
          <w:lang w:val="en-GB"/>
        </w:rPr>
      </w:pPr>
      <w:r w:rsidRPr="00853984">
        <w:rPr>
          <w:lang w:val="en-GB"/>
        </w:rPr>
        <w:t xml:space="preserve">ensure </w:t>
      </w:r>
      <w:r w:rsidR="0003397D" w:rsidRPr="00853984">
        <w:rPr>
          <w:lang w:val="en-GB"/>
        </w:rPr>
        <w:t xml:space="preserve">that </w:t>
      </w:r>
      <w:r w:rsidRPr="00853984">
        <w:rPr>
          <w:lang w:val="en-GB"/>
        </w:rPr>
        <w:t>the NFP has sufficient capacity to comply with obligations for notification, consultation, verification and information exchange with WHO.</w:t>
      </w:r>
    </w:p>
    <w:p w14:paraId="08EE7B65" w14:textId="7519D592" w:rsidR="00985D02" w:rsidRPr="00853984" w:rsidRDefault="00C6799E" w:rsidP="002E1797">
      <w:pPr>
        <w:pStyle w:val="ParaNumber"/>
        <w:keepNext/>
        <w:keepLines/>
        <w:rPr>
          <w:lang w:val="en-GB"/>
        </w:rPr>
      </w:pPr>
      <w:r w:rsidRPr="00853984">
        <w:rPr>
          <w:lang w:val="en-GB"/>
        </w:rPr>
        <w:t>The Regional Office</w:t>
      </w:r>
      <w:r w:rsidR="00985D02" w:rsidRPr="00853984">
        <w:rPr>
          <w:lang w:val="en-GB"/>
        </w:rPr>
        <w:t>, in collaboration with key partners, will:</w:t>
      </w:r>
    </w:p>
    <w:p w14:paraId="08EE7B66" w14:textId="77777777" w:rsidR="00985D02" w:rsidRPr="00853984" w:rsidRDefault="00985D02" w:rsidP="002E1797">
      <w:pPr>
        <w:pStyle w:val="ListNumber2"/>
        <w:keepNext/>
        <w:keepLines/>
        <w:numPr>
          <w:ilvl w:val="1"/>
          <w:numId w:val="42"/>
        </w:numPr>
        <w:rPr>
          <w:lang w:val="en-GB"/>
        </w:rPr>
      </w:pPr>
      <w:r w:rsidRPr="00853984">
        <w:rPr>
          <w:lang w:val="en-GB"/>
        </w:rPr>
        <w:t>strengthen the capacity of the Regional Office to fulfil its obligations under the IHR (2005);</w:t>
      </w:r>
    </w:p>
    <w:p w14:paraId="08EE7B67" w14:textId="77777777" w:rsidR="00985D02" w:rsidRPr="00853984" w:rsidRDefault="00985D02" w:rsidP="002E1797">
      <w:pPr>
        <w:pStyle w:val="ListNumber2"/>
        <w:keepNext/>
        <w:keepLines/>
        <w:numPr>
          <w:ilvl w:val="1"/>
          <w:numId w:val="42"/>
        </w:numPr>
        <w:rPr>
          <w:lang w:val="en-GB"/>
        </w:rPr>
      </w:pPr>
      <w:r w:rsidRPr="00853984">
        <w:rPr>
          <w:lang w:val="en-GB"/>
        </w:rPr>
        <w:t>support States Parties in building their capacities for effective notification, consultation, verification and information exchange through NFP training and the provision of technical support at the country level; and</w:t>
      </w:r>
    </w:p>
    <w:p w14:paraId="08EE7B68" w14:textId="77777777" w:rsidR="00985D02" w:rsidRPr="00853984" w:rsidRDefault="00985D02" w:rsidP="002E1797">
      <w:pPr>
        <w:pStyle w:val="ListNumber2"/>
        <w:keepNext/>
        <w:keepLines/>
        <w:numPr>
          <w:ilvl w:val="1"/>
          <w:numId w:val="42"/>
        </w:numPr>
        <w:rPr>
          <w:lang w:val="en-GB"/>
        </w:rPr>
      </w:pPr>
      <w:r w:rsidRPr="00853984">
        <w:rPr>
          <w:lang w:val="en-GB"/>
        </w:rPr>
        <w:t>support NFPs in conducting risk assessments for cross-border hazards.</w:t>
      </w:r>
    </w:p>
    <w:p w14:paraId="08EE7B69" w14:textId="6782D49D" w:rsidR="003863A9" w:rsidRPr="00853984" w:rsidRDefault="00C6799E" w:rsidP="003863A9">
      <w:pPr>
        <w:pStyle w:val="Heading3"/>
        <w:rPr>
          <w:lang w:val="en-GB"/>
        </w:rPr>
      </w:pPr>
      <w:r w:rsidRPr="00853984">
        <w:rPr>
          <w:lang w:val="en-GB"/>
        </w:rPr>
        <w:t>Emergency preparedness and response o</w:t>
      </w:r>
      <w:r w:rsidR="003863A9" w:rsidRPr="00853984">
        <w:rPr>
          <w:lang w:val="en-GB"/>
        </w:rPr>
        <w:t>perations</w:t>
      </w:r>
    </w:p>
    <w:p w14:paraId="08EE7B6A" w14:textId="6C7B10CC" w:rsidR="003863A9" w:rsidRPr="00853984" w:rsidRDefault="003863A9" w:rsidP="003863A9">
      <w:pPr>
        <w:pStyle w:val="ParaNumber"/>
        <w:rPr>
          <w:lang w:val="en-GB"/>
        </w:rPr>
      </w:pPr>
      <w:r w:rsidRPr="00853984">
        <w:rPr>
          <w:lang w:val="en-GB"/>
        </w:rPr>
        <w:t xml:space="preserve">National emergency frameworks and systems that include risk-based emergency preparedness and response plans, robust emergency management structures, including emergency operation centres, </w:t>
      </w:r>
      <w:r w:rsidR="0003397D" w:rsidRPr="00853984">
        <w:rPr>
          <w:lang w:val="en-GB"/>
        </w:rPr>
        <w:t xml:space="preserve">a </w:t>
      </w:r>
      <w:r w:rsidRPr="00853984">
        <w:rPr>
          <w:lang w:val="en-GB"/>
        </w:rPr>
        <w:t>trained workforce and mobilization of resources during an emergency, are critical for timely response. In cases where international as</w:t>
      </w:r>
      <w:r w:rsidR="00685CCB" w:rsidRPr="00853984">
        <w:rPr>
          <w:lang w:val="en-GB"/>
        </w:rPr>
        <w:t>sistance is required, supportive</w:t>
      </w:r>
      <w:r w:rsidRPr="00853984">
        <w:rPr>
          <w:lang w:val="en-GB"/>
        </w:rPr>
        <w:t xml:space="preserve"> national systems and legislation are necessary for a coordinated health response. </w:t>
      </w:r>
    </w:p>
    <w:p w14:paraId="08EE7B6B" w14:textId="77777777" w:rsidR="003863A9" w:rsidRPr="00853984" w:rsidRDefault="003863A9" w:rsidP="002E1797">
      <w:pPr>
        <w:pStyle w:val="ParaNumber"/>
        <w:keepNext/>
        <w:keepLines/>
        <w:rPr>
          <w:lang w:val="en-GB"/>
        </w:rPr>
      </w:pPr>
      <w:r w:rsidRPr="00853984">
        <w:rPr>
          <w:lang w:val="en-GB"/>
        </w:rPr>
        <w:t>States Parties will:</w:t>
      </w:r>
    </w:p>
    <w:p w14:paraId="08EE7B6C" w14:textId="77777777" w:rsidR="003863A9" w:rsidRPr="00853984" w:rsidRDefault="003863A9" w:rsidP="002E1797">
      <w:pPr>
        <w:pStyle w:val="ListNumber2"/>
        <w:keepNext/>
        <w:keepLines/>
        <w:numPr>
          <w:ilvl w:val="1"/>
          <w:numId w:val="43"/>
        </w:numPr>
        <w:rPr>
          <w:lang w:val="en-GB"/>
        </w:rPr>
      </w:pPr>
      <w:r w:rsidRPr="00853984">
        <w:rPr>
          <w:lang w:val="en-GB"/>
        </w:rPr>
        <w:t>conduct and update all-hazard risk mapping and share it among relevant stakeholders;</w:t>
      </w:r>
    </w:p>
    <w:p w14:paraId="08EE7B6D" w14:textId="2E46A233" w:rsidR="003863A9" w:rsidRPr="00853984" w:rsidRDefault="003863A9" w:rsidP="00F56CBC">
      <w:pPr>
        <w:pStyle w:val="ListNumber2"/>
        <w:numPr>
          <w:ilvl w:val="1"/>
          <w:numId w:val="43"/>
        </w:numPr>
        <w:rPr>
          <w:lang w:val="en-GB"/>
        </w:rPr>
      </w:pPr>
      <w:r w:rsidRPr="00853984">
        <w:rPr>
          <w:lang w:val="en-GB"/>
        </w:rPr>
        <w:t>develop and regularly update national multisectoral, all-hazard emergency preparedness and response plans and supporting policies and procedures with dedicated financial and human resources, based on the most up</w:t>
      </w:r>
      <w:r w:rsidR="00F6473F">
        <w:rPr>
          <w:lang w:val="en-GB"/>
        </w:rPr>
        <w:t xml:space="preserve"> </w:t>
      </w:r>
      <w:r w:rsidRPr="00853984">
        <w:rPr>
          <w:lang w:val="en-GB"/>
        </w:rPr>
        <w:t>to</w:t>
      </w:r>
      <w:r w:rsidR="00F6473F">
        <w:rPr>
          <w:lang w:val="en-GB"/>
        </w:rPr>
        <w:t xml:space="preserve"> </w:t>
      </w:r>
      <w:r w:rsidRPr="00853984">
        <w:rPr>
          <w:lang w:val="en-GB"/>
        </w:rPr>
        <w:t>date risk profile;</w:t>
      </w:r>
    </w:p>
    <w:p w14:paraId="08EE7B6E" w14:textId="77777777" w:rsidR="003863A9" w:rsidRPr="00853984" w:rsidRDefault="003863A9" w:rsidP="00F56CBC">
      <w:pPr>
        <w:pStyle w:val="ListNumber2"/>
        <w:numPr>
          <w:ilvl w:val="1"/>
          <w:numId w:val="43"/>
        </w:numPr>
        <w:rPr>
          <w:lang w:val="en-GB"/>
        </w:rPr>
      </w:pPr>
      <w:r w:rsidRPr="00853984">
        <w:rPr>
          <w:lang w:val="en-GB"/>
        </w:rPr>
        <w:t>establish, maintain or strengthen emergency response coordination mechanisms, including incident management systems and health emergency operations centres; and</w:t>
      </w:r>
    </w:p>
    <w:p w14:paraId="08EE7B6F" w14:textId="77777777" w:rsidR="003863A9" w:rsidRPr="00853984" w:rsidRDefault="003863A9" w:rsidP="00F56CBC">
      <w:pPr>
        <w:pStyle w:val="ListNumber2"/>
        <w:numPr>
          <w:ilvl w:val="1"/>
          <w:numId w:val="43"/>
        </w:numPr>
        <w:rPr>
          <w:lang w:val="en-GB"/>
        </w:rPr>
      </w:pPr>
      <w:r w:rsidRPr="00853984">
        <w:rPr>
          <w:lang w:val="en-GB"/>
        </w:rPr>
        <w:t>implement appropriate policies and standard operating procedures to ensure the continuous delivery of essential health service packages.</w:t>
      </w:r>
    </w:p>
    <w:p w14:paraId="08EE7B70" w14:textId="46D2BEE5" w:rsidR="003863A9" w:rsidRPr="00853984" w:rsidRDefault="00C9362F" w:rsidP="003863A9">
      <w:pPr>
        <w:pStyle w:val="ParaNumber"/>
        <w:rPr>
          <w:lang w:val="en-GB"/>
        </w:rPr>
      </w:pPr>
      <w:r w:rsidRPr="00853984">
        <w:rPr>
          <w:lang w:val="en-GB"/>
        </w:rPr>
        <w:t xml:space="preserve">The </w:t>
      </w:r>
      <w:r w:rsidR="003863A9" w:rsidRPr="00853984">
        <w:rPr>
          <w:lang w:val="en-GB"/>
        </w:rPr>
        <w:t>Regional Office, in collaboration with key partners, will:</w:t>
      </w:r>
    </w:p>
    <w:p w14:paraId="08EE7B71" w14:textId="77777777" w:rsidR="003863A9" w:rsidRPr="00853984" w:rsidRDefault="003863A9" w:rsidP="00F56CBC">
      <w:pPr>
        <w:pStyle w:val="ListNumber2"/>
        <w:numPr>
          <w:ilvl w:val="1"/>
          <w:numId w:val="44"/>
        </w:numPr>
        <w:rPr>
          <w:lang w:val="en-GB"/>
        </w:rPr>
      </w:pPr>
      <w:r w:rsidRPr="00853984">
        <w:rPr>
          <w:lang w:val="en-GB"/>
        </w:rPr>
        <w:t>support States Parties in conducting and regularly updating national risk profiles and national preparedness, response and contingency plans;</w:t>
      </w:r>
    </w:p>
    <w:p w14:paraId="08EE7B72" w14:textId="2A1720AA" w:rsidR="003863A9" w:rsidRPr="00853984" w:rsidRDefault="003863A9" w:rsidP="00F56CBC">
      <w:pPr>
        <w:pStyle w:val="ListNumber2"/>
        <w:numPr>
          <w:ilvl w:val="1"/>
          <w:numId w:val="44"/>
        </w:numPr>
        <w:rPr>
          <w:lang w:val="en-GB"/>
        </w:rPr>
      </w:pPr>
      <w:r w:rsidRPr="00853984">
        <w:rPr>
          <w:lang w:val="en-GB"/>
        </w:rPr>
        <w:t xml:space="preserve">coordinate the collective response by operational health partners and </w:t>
      </w:r>
      <w:r w:rsidR="006622CF">
        <w:rPr>
          <w:lang w:val="en-GB"/>
        </w:rPr>
        <w:t>agencies of the United Nations</w:t>
      </w:r>
      <w:r w:rsidRPr="00853984">
        <w:rPr>
          <w:lang w:val="en-GB"/>
        </w:rPr>
        <w:t xml:space="preserve"> to ensure equitable access to essential health services during emergencies;</w:t>
      </w:r>
    </w:p>
    <w:p w14:paraId="08EE7B73" w14:textId="6D38F211" w:rsidR="003863A9" w:rsidRPr="00853984" w:rsidRDefault="00FE2344" w:rsidP="00F56CBC">
      <w:pPr>
        <w:pStyle w:val="ListNumber2"/>
        <w:numPr>
          <w:ilvl w:val="1"/>
          <w:numId w:val="44"/>
        </w:numPr>
        <w:rPr>
          <w:lang w:val="en-GB"/>
        </w:rPr>
      </w:pPr>
      <w:r>
        <w:rPr>
          <w:lang w:val="en-GB"/>
        </w:rPr>
        <w:t xml:space="preserve">support countries’ </w:t>
      </w:r>
      <w:r w:rsidR="003863A9" w:rsidRPr="00853984">
        <w:rPr>
          <w:lang w:val="en-GB"/>
        </w:rPr>
        <w:t xml:space="preserve">communication </w:t>
      </w:r>
      <w:r w:rsidR="0003397D" w:rsidRPr="00853984">
        <w:rPr>
          <w:lang w:val="en-GB"/>
        </w:rPr>
        <w:t>work</w:t>
      </w:r>
      <w:r w:rsidR="003863A9" w:rsidRPr="00853984">
        <w:rPr>
          <w:lang w:val="en-GB"/>
        </w:rPr>
        <w:t xml:space="preserve"> </w:t>
      </w:r>
      <w:r w:rsidR="0003397D" w:rsidRPr="00853984">
        <w:rPr>
          <w:lang w:val="en-GB"/>
        </w:rPr>
        <w:t>relating</w:t>
      </w:r>
      <w:r w:rsidR="0038217B" w:rsidRPr="00853984">
        <w:rPr>
          <w:lang w:val="en-GB"/>
        </w:rPr>
        <w:t xml:space="preserve"> to</w:t>
      </w:r>
      <w:r>
        <w:rPr>
          <w:lang w:val="en-GB"/>
        </w:rPr>
        <w:t xml:space="preserve"> risk and</w:t>
      </w:r>
      <w:r w:rsidR="0038217B" w:rsidRPr="00853984">
        <w:rPr>
          <w:lang w:val="en-GB"/>
        </w:rPr>
        <w:t xml:space="preserve"> </w:t>
      </w:r>
      <w:r w:rsidR="003863A9" w:rsidRPr="00853984">
        <w:rPr>
          <w:lang w:val="en-GB"/>
        </w:rPr>
        <w:t xml:space="preserve">health emergency response </w:t>
      </w:r>
      <w:r w:rsidR="0038217B" w:rsidRPr="00853984">
        <w:rPr>
          <w:lang w:val="en-GB"/>
        </w:rPr>
        <w:t xml:space="preserve">by providing </w:t>
      </w:r>
      <w:r w:rsidR="003863A9" w:rsidRPr="00853984">
        <w:rPr>
          <w:lang w:val="en-GB"/>
        </w:rPr>
        <w:t xml:space="preserve">tools, guidance and on-the-ground </w:t>
      </w:r>
      <w:r w:rsidR="0003397D" w:rsidRPr="00853984">
        <w:rPr>
          <w:lang w:val="en-GB"/>
        </w:rPr>
        <w:t>support</w:t>
      </w:r>
      <w:r w:rsidR="0038217B" w:rsidRPr="00853984">
        <w:rPr>
          <w:lang w:val="en-GB"/>
        </w:rPr>
        <w:t>,</w:t>
      </w:r>
      <w:r w:rsidR="003863A9" w:rsidRPr="00853984">
        <w:rPr>
          <w:lang w:val="en-GB"/>
        </w:rPr>
        <w:t xml:space="preserve"> </w:t>
      </w:r>
      <w:r w:rsidR="005A290B">
        <w:rPr>
          <w:lang w:val="en-GB"/>
        </w:rPr>
        <w:t>including for the coordination of</w:t>
      </w:r>
      <w:r w:rsidR="0003397D" w:rsidRPr="00853984">
        <w:rPr>
          <w:lang w:val="en-GB"/>
        </w:rPr>
        <w:t xml:space="preserve"> communication efforts, </w:t>
      </w:r>
      <w:r w:rsidR="003863A9" w:rsidRPr="00853984">
        <w:rPr>
          <w:lang w:val="en-GB"/>
        </w:rPr>
        <w:t xml:space="preserve">as well as by providing visibility to health needs </w:t>
      </w:r>
      <w:r w:rsidR="0003397D" w:rsidRPr="00853984">
        <w:rPr>
          <w:lang w:val="en-GB"/>
        </w:rPr>
        <w:t>and</w:t>
      </w:r>
      <w:r w:rsidR="003863A9" w:rsidRPr="00853984">
        <w:rPr>
          <w:lang w:val="en-GB"/>
        </w:rPr>
        <w:t xml:space="preserve"> linking them with resource mobilization objectives; and</w:t>
      </w:r>
    </w:p>
    <w:p w14:paraId="08EE7B74" w14:textId="3415CDB7" w:rsidR="003863A9" w:rsidRPr="00853984" w:rsidRDefault="003863A9" w:rsidP="00F56CBC">
      <w:pPr>
        <w:pStyle w:val="ListNumber2"/>
        <w:numPr>
          <w:ilvl w:val="1"/>
          <w:numId w:val="44"/>
        </w:numPr>
        <w:rPr>
          <w:lang w:val="en-GB"/>
        </w:rPr>
      </w:pPr>
      <w:r w:rsidRPr="00853984">
        <w:rPr>
          <w:lang w:val="en-GB"/>
        </w:rPr>
        <w:t xml:space="preserve">ensure the capacity of the Regional Office to support </w:t>
      </w:r>
      <w:r w:rsidR="000B108B" w:rsidRPr="00853984">
        <w:rPr>
          <w:lang w:val="en-GB"/>
        </w:rPr>
        <w:t>health m</w:t>
      </w:r>
      <w:r w:rsidRPr="00853984">
        <w:rPr>
          <w:lang w:val="en-GB"/>
        </w:rPr>
        <w:t>inistries during emergencies.</w:t>
      </w:r>
    </w:p>
    <w:p w14:paraId="08EE7B75" w14:textId="77777777" w:rsidR="003863A9" w:rsidRPr="00853984" w:rsidRDefault="003863A9" w:rsidP="003863A9">
      <w:pPr>
        <w:pStyle w:val="Heading3"/>
        <w:rPr>
          <w:lang w:val="en-GB"/>
        </w:rPr>
      </w:pPr>
      <w:r w:rsidRPr="00853984">
        <w:rPr>
          <w:lang w:val="en-GB"/>
        </w:rPr>
        <w:t>Medical countermeasures and personnel deployment</w:t>
      </w:r>
    </w:p>
    <w:p w14:paraId="08EE7B76" w14:textId="57237727" w:rsidR="003863A9" w:rsidRPr="00853984" w:rsidRDefault="003863A9" w:rsidP="003863A9">
      <w:pPr>
        <w:pStyle w:val="ParaNumber"/>
        <w:rPr>
          <w:lang w:val="en-GB"/>
        </w:rPr>
      </w:pPr>
      <w:r w:rsidRPr="00853984">
        <w:rPr>
          <w:lang w:val="en-GB"/>
        </w:rPr>
        <w:t>The ability to enable a rapid and appropriate medical response during an emergency requires countries to have the necessary legal and regulatory processes and logistic plans</w:t>
      </w:r>
      <w:r w:rsidR="00AE7187" w:rsidRPr="00853984">
        <w:rPr>
          <w:lang w:val="en-GB"/>
        </w:rPr>
        <w:t xml:space="preserve"> in place</w:t>
      </w:r>
      <w:r w:rsidRPr="00853984">
        <w:rPr>
          <w:lang w:val="en-GB"/>
        </w:rPr>
        <w:t xml:space="preserve"> that </w:t>
      </w:r>
      <w:r w:rsidR="00AE7187" w:rsidRPr="00853984">
        <w:rPr>
          <w:lang w:val="en-GB"/>
        </w:rPr>
        <w:t>enable</w:t>
      </w:r>
      <w:r w:rsidRPr="00853984">
        <w:rPr>
          <w:lang w:val="en-GB"/>
        </w:rPr>
        <w:t xml:space="preserve"> the national or cross-border deployment of public health and medical personnel. Furthermore, the development and dissemination of case management </w:t>
      </w:r>
      <w:r w:rsidR="009229ED" w:rsidRPr="00853984">
        <w:rPr>
          <w:lang w:val="en-GB"/>
        </w:rPr>
        <w:t xml:space="preserve">guidance </w:t>
      </w:r>
      <w:r w:rsidRPr="00853984">
        <w:rPr>
          <w:lang w:val="en-GB"/>
        </w:rPr>
        <w:t xml:space="preserve">for priority health hazards is critical to providing an effective and appropriate response. </w:t>
      </w:r>
    </w:p>
    <w:p w14:paraId="08EE7B77" w14:textId="77777777" w:rsidR="003863A9" w:rsidRPr="00853984" w:rsidRDefault="003863A9" w:rsidP="003863A9">
      <w:pPr>
        <w:pStyle w:val="ParaNumber"/>
        <w:rPr>
          <w:lang w:val="en-GB"/>
        </w:rPr>
      </w:pPr>
      <w:r w:rsidRPr="00853984">
        <w:rPr>
          <w:lang w:val="en-GB"/>
        </w:rPr>
        <w:t>States Parties will:</w:t>
      </w:r>
    </w:p>
    <w:p w14:paraId="08EE7B78" w14:textId="77777777" w:rsidR="000C27C0" w:rsidRPr="00853984" w:rsidRDefault="000C27C0" w:rsidP="00F56CBC">
      <w:pPr>
        <w:pStyle w:val="ListNumber2"/>
        <w:numPr>
          <w:ilvl w:val="1"/>
          <w:numId w:val="45"/>
        </w:numPr>
        <w:rPr>
          <w:lang w:val="en-GB"/>
        </w:rPr>
      </w:pPr>
      <w:r w:rsidRPr="00853984">
        <w:rPr>
          <w:lang w:val="en-GB"/>
        </w:rPr>
        <w:t>develop a system for activating and coordinating medical countermeasures during a public health emergency, including mechanisms for sending and receiving medical countermeasures and deployed health personnel;</w:t>
      </w:r>
    </w:p>
    <w:p w14:paraId="08EE7B79" w14:textId="1F390041" w:rsidR="000C27C0" w:rsidRPr="00853984" w:rsidRDefault="000C27C0" w:rsidP="00F56CBC">
      <w:pPr>
        <w:pStyle w:val="ListNumber2"/>
        <w:numPr>
          <w:ilvl w:val="1"/>
          <w:numId w:val="45"/>
        </w:numPr>
        <w:rPr>
          <w:lang w:val="en-GB"/>
        </w:rPr>
      </w:pPr>
      <w:r w:rsidRPr="00853984">
        <w:rPr>
          <w:lang w:val="en-GB"/>
        </w:rPr>
        <w:t xml:space="preserve">establish, maintain or strengthen a stockpile of essential supplies </w:t>
      </w:r>
      <w:r w:rsidR="00E76471">
        <w:rPr>
          <w:lang w:val="en-GB"/>
        </w:rPr>
        <w:t>and</w:t>
      </w:r>
      <w:r w:rsidRPr="002257F4">
        <w:rPr>
          <w:lang w:val="en-GB"/>
        </w:rPr>
        <w:t xml:space="preserve"> pharmaceuticals o</w:t>
      </w:r>
      <w:r w:rsidRPr="00853984">
        <w:rPr>
          <w:lang w:val="en-GB"/>
        </w:rPr>
        <w:t>n the basis of national risk profiles; and</w:t>
      </w:r>
    </w:p>
    <w:p w14:paraId="08EE7B7A" w14:textId="77777777" w:rsidR="003863A9" w:rsidRPr="00853984" w:rsidRDefault="000C27C0" w:rsidP="00F56CBC">
      <w:pPr>
        <w:pStyle w:val="ListNumber2"/>
        <w:numPr>
          <w:ilvl w:val="1"/>
          <w:numId w:val="45"/>
        </w:numPr>
        <w:rPr>
          <w:lang w:val="en-GB"/>
        </w:rPr>
      </w:pPr>
      <w:r w:rsidRPr="00853984">
        <w:rPr>
          <w:lang w:val="en-GB"/>
        </w:rPr>
        <w:t>establish, maintain or strengthen a medical supply chain management system, including the cold chain.</w:t>
      </w:r>
    </w:p>
    <w:p w14:paraId="08EE7B7B" w14:textId="7551D59E" w:rsidR="000C27C0" w:rsidRPr="00853984" w:rsidRDefault="004F1244" w:rsidP="00161B30">
      <w:pPr>
        <w:pStyle w:val="ParaNumber"/>
        <w:keepNext/>
        <w:keepLines/>
        <w:rPr>
          <w:lang w:val="en-GB"/>
        </w:rPr>
      </w:pPr>
      <w:r w:rsidRPr="00853984">
        <w:rPr>
          <w:lang w:val="en-GB"/>
        </w:rPr>
        <w:t>The Regional Office</w:t>
      </w:r>
      <w:r w:rsidR="000C27C0" w:rsidRPr="00853984">
        <w:rPr>
          <w:lang w:val="en-GB"/>
        </w:rPr>
        <w:t>, in collaboration with key partners, will:</w:t>
      </w:r>
    </w:p>
    <w:p w14:paraId="08EE7B7C" w14:textId="77777777" w:rsidR="000C27C0" w:rsidRPr="00853984" w:rsidRDefault="000C27C0" w:rsidP="00161B30">
      <w:pPr>
        <w:pStyle w:val="ListNumber2"/>
        <w:keepNext/>
        <w:keepLines/>
        <w:numPr>
          <w:ilvl w:val="1"/>
          <w:numId w:val="46"/>
        </w:numPr>
        <w:rPr>
          <w:lang w:val="en-GB"/>
        </w:rPr>
      </w:pPr>
      <w:r w:rsidRPr="00853984">
        <w:rPr>
          <w:lang w:val="en-GB"/>
        </w:rPr>
        <w:t>ensure the provision of essential life-saving health services and public health interventions, including supplies and expertise, to populations affected by health emergencies;</w:t>
      </w:r>
    </w:p>
    <w:p w14:paraId="08EE7B7D" w14:textId="77777777" w:rsidR="000C27C0" w:rsidRPr="00853984" w:rsidRDefault="000C27C0" w:rsidP="00F56CBC">
      <w:pPr>
        <w:pStyle w:val="ListNumber2"/>
        <w:numPr>
          <w:ilvl w:val="1"/>
          <w:numId w:val="46"/>
        </w:numPr>
        <w:rPr>
          <w:lang w:val="en-GB"/>
        </w:rPr>
      </w:pPr>
      <w:r w:rsidRPr="00853984">
        <w:rPr>
          <w:lang w:val="en-GB"/>
        </w:rPr>
        <w:t>provide specific protocols for the clinical management of identified high-threat pathogens and other hazards;</w:t>
      </w:r>
    </w:p>
    <w:p w14:paraId="08EE7B7E" w14:textId="74707192" w:rsidR="000C27C0" w:rsidRPr="00853984" w:rsidRDefault="000C27C0" w:rsidP="00F56CBC">
      <w:pPr>
        <w:pStyle w:val="ListNumber2"/>
        <w:numPr>
          <w:ilvl w:val="1"/>
          <w:numId w:val="46"/>
        </w:numPr>
        <w:rPr>
          <w:lang w:val="en-GB"/>
        </w:rPr>
      </w:pPr>
      <w:r w:rsidRPr="00853984">
        <w:rPr>
          <w:lang w:val="en-GB"/>
        </w:rPr>
        <w:t xml:space="preserve">support States Parties in engaging with regional and global intergovernmental organizations </w:t>
      </w:r>
      <w:r w:rsidR="00DC0E5D" w:rsidRPr="00853984">
        <w:rPr>
          <w:lang w:val="en-GB"/>
        </w:rPr>
        <w:t>that provide</w:t>
      </w:r>
      <w:r w:rsidRPr="00853984">
        <w:rPr>
          <w:lang w:val="en-GB"/>
        </w:rPr>
        <w:t xml:space="preserve"> assistance during health emergencies, including </w:t>
      </w:r>
      <w:r w:rsidR="0003397D" w:rsidRPr="00853984">
        <w:rPr>
          <w:lang w:val="en-GB"/>
        </w:rPr>
        <w:t>e</w:t>
      </w:r>
      <w:r w:rsidRPr="00853984">
        <w:rPr>
          <w:lang w:val="en-GB"/>
        </w:rPr>
        <w:t xml:space="preserve">mergency </w:t>
      </w:r>
      <w:r w:rsidR="0003397D" w:rsidRPr="00853984">
        <w:rPr>
          <w:lang w:val="en-GB"/>
        </w:rPr>
        <w:t>m</w:t>
      </w:r>
      <w:r w:rsidRPr="00853984">
        <w:rPr>
          <w:lang w:val="en-GB"/>
        </w:rPr>
        <w:t xml:space="preserve">edical </w:t>
      </w:r>
      <w:r w:rsidR="0003397D" w:rsidRPr="00853984">
        <w:rPr>
          <w:lang w:val="en-GB"/>
        </w:rPr>
        <w:t>t</w:t>
      </w:r>
      <w:r w:rsidRPr="00853984">
        <w:rPr>
          <w:lang w:val="en-GB"/>
        </w:rPr>
        <w:t>eams, the Global Outbreak Alert and Response Network</w:t>
      </w:r>
      <w:r w:rsidR="0003397D" w:rsidRPr="00853984">
        <w:rPr>
          <w:lang w:val="en-GB"/>
        </w:rPr>
        <w:t>,</w:t>
      </w:r>
      <w:r w:rsidRPr="00853984">
        <w:rPr>
          <w:lang w:val="en-GB"/>
        </w:rPr>
        <w:t xml:space="preserve"> and </w:t>
      </w:r>
      <w:r w:rsidR="0003397D" w:rsidRPr="00853984">
        <w:rPr>
          <w:lang w:val="en-GB"/>
        </w:rPr>
        <w:t>s</w:t>
      </w:r>
      <w:r w:rsidRPr="00853984">
        <w:rPr>
          <w:lang w:val="en-GB"/>
        </w:rPr>
        <w:t xml:space="preserve">tandby </w:t>
      </w:r>
      <w:r w:rsidR="0003397D" w:rsidRPr="00853984">
        <w:rPr>
          <w:lang w:val="en-GB"/>
        </w:rPr>
        <w:t>p</w:t>
      </w:r>
      <w:r w:rsidRPr="00853984">
        <w:rPr>
          <w:lang w:val="en-GB"/>
        </w:rPr>
        <w:t>artners;</w:t>
      </w:r>
    </w:p>
    <w:p w14:paraId="08EE7B7F" w14:textId="7C01F033" w:rsidR="000C27C0" w:rsidRPr="00853984" w:rsidRDefault="000C27C0" w:rsidP="00F56CBC">
      <w:pPr>
        <w:pStyle w:val="ListNumber2"/>
        <w:numPr>
          <w:ilvl w:val="1"/>
          <w:numId w:val="46"/>
        </w:numPr>
        <w:rPr>
          <w:lang w:val="en-GB"/>
        </w:rPr>
      </w:pPr>
      <w:r w:rsidRPr="00853984">
        <w:rPr>
          <w:lang w:val="en-GB"/>
        </w:rPr>
        <w:t xml:space="preserve">provide support for the coordination of </w:t>
      </w:r>
      <w:r w:rsidR="00BA45C4">
        <w:rPr>
          <w:lang w:val="en-GB"/>
        </w:rPr>
        <w:t xml:space="preserve">the </w:t>
      </w:r>
      <w:r w:rsidRPr="00853984">
        <w:rPr>
          <w:lang w:val="en-GB"/>
        </w:rPr>
        <w:t>health sector and activation of the health cluster, according to WHO standard operating procedures and guidelines;</w:t>
      </w:r>
    </w:p>
    <w:p w14:paraId="08EE7B80" w14:textId="0ED46D49" w:rsidR="000C27C0" w:rsidRPr="00853984" w:rsidRDefault="000C27C0" w:rsidP="00F56CBC">
      <w:pPr>
        <w:pStyle w:val="ListNumber2"/>
        <w:numPr>
          <w:ilvl w:val="1"/>
          <w:numId w:val="46"/>
        </w:numPr>
        <w:rPr>
          <w:lang w:val="en-GB"/>
        </w:rPr>
      </w:pPr>
      <w:r w:rsidRPr="00853984">
        <w:rPr>
          <w:lang w:val="en-GB"/>
        </w:rPr>
        <w:t>provide assistance to national institutions and ne</w:t>
      </w:r>
      <w:r w:rsidR="00DC0E5D" w:rsidRPr="00853984">
        <w:rPr>
          <w:lang w:val="en-GB"/>
        </w:rPr>
        <w:t>tworks in the European Region in</w:t>
      </w:r>
      <w:r w:rsidRPr="00853984">
        <w:rPr>
          <w:lang w:val="en-GB"/>
        </w:rPr>
        <w:t xml:space="preserve"> join</w:t>
      </w:r>
      <w:r w:rsidR="00DC0E5D" w:rsidRPr="00853984">
        <w:rPr>
          <w:lang w:val="en-GB"/>
        </w:rPr>
        <w:t>ing</w:t>
      </w:r>
      <w:r w:rsidRPr="00853984">
        <w:rPr>
          <w:lang w:val="en-GB"/>
        </w:rPr>
        <w:t xml:space="preserve"> the Global Outbreak Alert and Response Network; and</w:t>
      </w:r>
    </w:p>
    <w:p w14:paraId="08EE7B81" w14:textId="123A1F2E" w:rsidR="000C27C0" w:rsidRPr="00853984" w:rsidRDefault="000C27C0" w:rsidP="00F56CBC">
      <w:pPr>
        <w:pStyle w:val="ListNumber2"/>
        <w:numPr>
          <w:ilvl w:val="1"/>
          <w:numId w:val="46"/>
        </w:numPr>
        <w:rPr>
          <w:lang w:val="en-GB"/>
        </w:rPr>
      </w:pPr>
      <w:r w:rsidRPr="00853984">
        <w:rPr>
          <w:lang w:val="en-GB"/>
        </w:rPr>
        <w:t xml:space="preserve">support </w:t>
      </w:r>
      <w:r w:rsidR="000B108B" w:rsidRPr="00853984">
        <w:rPr>
          <w:lang w:val="en-GB"/>
        </w:rPr>
        <w:t>health ministries</w:t>
      </w:r>
      <w:r w:rsidRPr="00853984">
        <w:rPr>
          <w:lang w:val="en-GB"/>
        </w:rPr>
        <w:t xml:space="preserve"> </w:t>
      </w:r>
      <w:r w:rsidR="00B37D63" w:rsidRPr="005209B7">
        <w:rPr>
          <w:lang w:val="en-GB"/>
        </w:rPr>
        <w:t xml:space="preserve">or relevant government bodies </w:t>
      </w:r>
      <w:r w:rsidRPr="00853984">
        <w:rPr>
          <w:lang w:val="en-GB"/>
        </w:rPr>
        <w:t xml:space="preserve">in strengthening national capacities and mechanisms to coordinate the timely and effective response of </w:t>
      </w:r>
      <w:r w:rsidR="000B108B" w:rsidRPr="00853984">
        <w:rPr>
          <w:lang w:val="en-GB"/>
        </w:rPr>
        <w:t>e</w:t>
      </w:r>
      <w:r w:rsidRPr="00853984">
        <w:rPr>
          <w:lang w:val="en-GB"/>
        </w:rPr>
        <w:t xml:space="preserve">mergency </w:t>
      </w:r>
      <w:r w:rsidR="000B108B" w:rsidRPr="00853984">
        <w:rPr>
          <w:lang w:val="en-GB"/>
        </w:rPr>
        <w:t>m</w:t>
      </w:r>
      <w:r w:rsidRPr="00853984">
        <w:rPr>
          <w:lang w:val="en-GB"/>
        </w:rPr>
        <w:t xml:space="preserve">edical </w:t>
      </w:r>
      <w:r w:rsidR="000B108B" w:rsidRPr="00853984">
        <w:rPr>
          <w:lang w:val="en-GB"/>
        </w:rPr>
        <w:t>t</w:t>
      </w:r>
      <w:r w:rsidRPr="00853984">
        <w:rPr>
          <w:lang w:val="en-GB"/>
        </w:rPr>
        <w:t>eams.</w:t>
      </w:r>
    </w:p>
    <w:p w14:paraId="08EE7B82" w14:textId="74D40A31" w:rsidR="000C27C0" w:rsidRPr="00853984" w:rsidRDefault="00DC0E5D" w:rsidP="0054558C">
      <w:pPr>
        <w:pStyle w:val="Heading2"/>
        <w:rPr>
          <w:lang w:val="en-GB"/>
        </w:rPr>
      </w:pPr>
      <w:bookmarkStart w:id="9" w:name="_Toc512875097"/>
      <w:r w:rsidRPr="00853984">
        <w:rPr>
          <w:lang w:val="en-GB"/>
        </w:rPr>
        <w:t>Strategic pillar 3.</w:t>
      </w:r>
      <w:r w:rsidR="0054558C" w:rsidRPr="00853984">
        <w:rPr>
          <w:lang w:val="en-GB"/>
        </w:rPr>
        <w:t xml:space="preserve"> Measure progress and promote accountability</w:t>
      </w:r>
      <w:bookmarkEnd w:id="9"/>
    </w:p>
    <w:p w14:paraId="08EE7B83" w14:textId="166AB4E3" w:rsidR="000E0786" w:rsidRPr="00853984" w:rsidRDefault="000E0786" w:rsidP="000E0786">
      <w:pPr>
        <w:pStyle w:val="ParaNumber"/>
        <w:rPr>
          <w:lang w:val="en-GB"/>
        </w:rPr>
      </w:pPr>
      <w:r w:rsidRPr="00853984">
        <w:rPr>
          <w:lang w:val="en-GB"/>
        </w:rPr>
        <w:t>To ensure that Member States establish and maintain adequate capacity for effective preparedne</w:t>
      </w:r>
      <w:r w:rsidR="00DC0E5D" w:rsidRPr="00853984">
        <w:rPr>
          <w:lang w:val="en-GB"/>
        </w:rPr>
        <w:t>ss and response, progress must</w:t>
      </w:r>
      <w:r w:rsidRPr="00853984">
        <w:rPr>
          <w:lang w:val="en-GB"/>
        </w:rPr>
        <w:t xml:space="preserve"> be continuously monitored and periodically evaluated. This includes annual reporting to the World Health Assembly</w:t>
      </w:r>
      <w:r w:rsidR="000B108B" w:rsidRPr="00853984">
        <w:rPr>
          <w:lang w:val="en-GB"/>
        </w:rPr>
        <w:t>, an obligation un</w:t>
      </w:r>
      <w:r w:rsidRPr="00853984">
        <w:rPr>
          <w:lang w:val="en-GB"/>
        </w:rPr>
        <w:t xml:space="preserve">der the IHR (2005), as well as other forms of qualitative and quantitative assessments, which can </w:t>
      </w:r>
      <w:r w:rsidR="00DC0E5D" w:rsidRPr="00853984">
        <w:rPr>
          <w:lang w:val="en-GB"/>
        </w:rPr>
        <w:t xml:space="preserve">assist in the </w:t>
      </w:r>
      <w:r w:rsidRPr="00853984">
        <w:rPr>
          <w:lang w:val="en-GB"/>
        </w:rPr>
        <w:t>develop</w:t>
      </w:r>
      <w:r w:rsidR="00DC0E5D" w:rsidRPr="00853984">
        <w:rPr>
          <w:lang w:val="en-GB"/>
        </w:rPr>
        <w:t>ment of</w:t>
      </w:r>
      <w:r w:rsidRPr="00853984">
        <w:rPr>
          <w:lang w:val="en-GB"/>
        </w:rPr>
        <w:t xml:space="preserve"> comprehensive national action plans to address identified weaknesses. </w:t>
      </w:r>
    </w:p>
    <w:p w14:paraId="08EE7B84" w14:textId="49F385B7" w:rsidR="000E0786" w:rsidRPr="00853984" w:rsidRDefault="000E0786" w:rsidP="000E0786">
      <w:pPr>
        <w:pStyle w:val="ParaNumber"/>
        <w:rPr>
          <w:lang w:val="en-GB"/>
        </w:rPr>
      </w:pPr>
      <w:r w:rsidRPr="00853984">
        <w:rPr>
          <w:lang w:val="en-GB"/>
        </w:rPr>
        <w:t xml:space="preserve">The fulfilment of this obligation by States Parties of the European Region contributes to mutual accountability and shared efforts </w:t>
      </w:r>
      <w:r w:rsidR="00DA0058" w:rsidRPr="00853984">
        <w:rPr>
          <w:lang w:val="en-GB"/>
        </w:rPr>
        <w:t xml:space="preserve">with regard to the </w:t>
      </w:r>
      <w:r w:rsidRPr="00853984">
        <w:rPr>
          <w:lang w:val="en-GB"/>
        </w:rPr>
        <w:t xml:space="preserve">building </w:t>
      </w:r>
      <w:r w:rsidR="00DA0058" w:rsidRPr="00853984">
        <w:rPr>
          <w:lang w:val="en-GB"/>
        </w:rPr>
        <w:t xml:space="preserve">of </w:t>
      </w:r>
      <w:r w:rsidRPr="00853984">
        <w:rPr>
          <w:lang w:val="en-GB"/>
        </w:rPr>
        <w:t>health security in the Region.</w:t>
      </w:r>
    </w:p>
    <w:p w14:paraId="08EE7B85" w14:textId="77777777" w:rsidR="0054558C" w:rsidRPr="00853984" w:rsidRDefault="00F15DF7" w:rsidP="00F15DF7">
      <w:pPr>
        <w:pStyle w:val="Heading3"/>
        <w:rPr>
          <w:lang w:val="en-GB"/>
        </w:rPr>
      </w:pPr>
      <w:r w:rsidRPr="00853984">
        <w:rPr>
          <w:lang w:val="en-GB"/>
        </w:rPr>
        <w:t>Mandatory annual reporting by States Parties</w:t>
      </w:r>
    </w:p>
    <w:p w14:paraId="08EE7B86" w14:textId="72E4A415" w:rsidR="00F15DF7" w:rsidRPr="00853984" w:rsidRDefault="00F15DF7" w:rsidP="002E1797">
      <w:pPr>
        <w:pStyle w:val="ParaNumber"/>
        <w:keepNext/>
        <w:keepLines/>
        <w:rPr>
          <w:lang w:val="en-GB"/>
        </w:rPr>
      </w:pPr>
      <w:r w:rsidRPr="00853984">
        <w:rPr>
          <w:lang w:val="en-GB"/>
        </w:rPr>
        <w:t xml:space="preserve">According to the IHR (2005), “States Parties and the Director-General shall report to the Health Assembly on the implementation of these Regulations as decided by the Health Assembly”. Such reports shall </w:t>
      </w:r>
      <w:r w:rsidR="00AB2DC1" w:rsidRPr="00853984">
        <w:rPr>
          <w:lang w:val="en-GB"/>
        </w:rPr>
        <w:t>describe</w:t>
      </w:r>
      <w:r w:rsidRPr="00853984">
        <w:rPr>
          <w:lang w:val="en-GB"/>
        </w:rPr>
        <w:t xml:space="preserve"> the status of core capacities, as defined in Annex 1 </w:t>
      </w:r>
      <w:r w:rsidR="00F904F0" w:rsidRPr="00853984">
        <w:rPr>
          <w:lang w:val="en-GB"/>
        </w:rPr>
        <w:t>of</w:t>
      </w:r>
      <w:r w:rsidRPr="00853984">
        <w:rPr>
          <w:lang w:val="en-GB"/>
        </w:rPr>
        <w:t xml:space="preserve"> the Regulations, on an annual basis. Since 2010, the Secretariat has proposed a self-assessment tool, focusing on core capacities, for use by States Parties</w:t>
      </w:r>
      <w:r w:rsidR="00F904F0" w:rsidRPr="00853984">
        <w:rPr>
          <w:lang w:val="en-GB"/>
        </w:rPr>
        <w:t xml:space="preserve"> in</w:t>
      </w:r>
      <w:r w:rsidRPr="00853984">
        <w:rPr>
          <w:lang w:val="en-GB"/>
        </w:rPr>
        <w:t xml:space="preserve"> fulfil</w:t>
      </w:r>
      <w:r w:rsidR="00F904F0" w:rsidRPr="00853984">
        <w:rPr>
          <w:lang w:val="en-GB"/>
        </w:rPr>
        <w:t>ling</w:t>
      </w:r>
      <w:r w:rsidRPr="00853984">
        <w:rPr>
          <w:lang w:val="en-GB"/>
        </w:rPr>
        <w:t xml:space="preserve"> the annual reporting obligation to the World Health Assembly.</w:t>
      </w:r>
    </w:p>
    <w:p w14:paraId="08EE7B88" w14:textId="0705C06D" w:rsidR="00ED3E95" w:rsidRPr="00853984" w:rsidRDefault="005A7017" w:rsidP="005A7017">
      <w:pPr>
        <w:pStyle w:val="ParaNumber"/>
        <w:rPr>
          <w:lang w:val="en-GB"/>
        </w:rPr>
      </w:pPr>
      <w:r w:rsidRPr="00853984">
        <w:rPr>
          <w:lang w:val="en-GB"/>
        </w:rPr>
        <w:t xml:space="preserve">States Parties will </w:t>
      </w:r>
      <w:r w:rsidR="00ED3E95" w:rsidRPr="00853984">
        <w:rPr>
          <w:lang w:val="en-GB"/>
        </w:rPr>
        <w:t>continue to report annually to the World Health Assembly on the status of implementation of the IHR (2005).</w:t>
      </w:r>
    </w:p>
    <w:p w14:paraId="08EE7B89" w14:textId="305E2676" w:rsidR="00D31D2A" w:rsidRPr="00853984" w:rsidRDefault="00F63A76" w:rsidP="005D26CB">
      <w:pPr>
        <w:pStyle w:val="ParaNumber"/>
        <w:keepNext/>
        <w:rPr>
          <w:lang w:val="en-GB"/>
        </w:rPr>
      </w:pPr>
      <w:r w:rsidRPr="00853984">
        <w:rPr>
          <w:lang w:val="en-GB"/>
        </w:rPr>
        <w:t xml:space="preserve">The </w:t>
      </w:r>
      <w:r w:rsidR="00D31D2A" w:rsidRPr="00853984">
        <w:rPr>
          <w:lang w:val="en-GB"/>
        </w:rPr>
        <w:t>Regional Of</w:t>
      </w:r>
      <w:r w:rsidRPr="00853984">
        <w:rPr>
          <w:lang w:val="en-GB"/>
        </w:rPr>
        <w:t>fice</w:t>
      </w:r>
      <w:r w:rsidR="00D31D2A" w:rsidRPr="00853984">
        <w:rPr>
          <w:lang w:val="en-GB"/>
        </w:rPr>
        <w:t>, in collaboration with key partners, will:</w:t>
      </w:r>
    </w:p>
    <w:p w14:paraId="08EE7B8A" w14:textId="6B466174" w:rsidR="00D31D2A" w:rsidRPr="00853984" w:rsidRDefault="00376C35" w:rsidP="005D26CB">
      <w:pPr>
        <w:pStyle w:val="ListNumber2"/>
        <w:keepNext/>
        <w:numPr>
          <w:ilvl w:val="1"/>
          <w:numId w:val="48"/>
        </w:numPr>
        <w:rPr>
          <w:lang w:val="en-GB"/>
        </w:rPr>
      </w:pPr>
      <w:r w:rsidRPr="00853984">
        <w:rPr>
          <w:lang w:val="en-GB"/>
        </w:rPr>
        <w:t>c</w:t>
      </w:r>
      <w:r w:rsidR="00D31D2A" w:rsidRPr="00853984">
        <w:rPr>
          <w:lang w:val="en-GB"/>
        </w:rPr>
        <w:t>oordinate</w:t>
      </w:r>
      <w:r w:rsidR="00F63A76" w:rsidRPr="00853984">
        <w:rPr>
          <w:lang w:val="en-GB"/>
        </w:rPr>
        <w:t>,</w:t>
      </w:r>
      <w:r w:rsidR="00D31D2A" w:rsidRPr="00853984">
        <w:rPr>
          <w:lang w:val="en-GB"/>
        </w:rPr>
        <w:t xml:space="preserve"> with WHO headquarters</w:t>
      </w:r>
      <w:r w:rsidR="00F63A76" w:rsidRPr="00853984">
        <w:rPr>
          <w:lang w:val="en-GB"/>
        </w:rPr>
        <w:t>,</w:t>
      </w:r>
      <w:r w:rsidR="00D31D2A" w:rsidRPr="00853984">
        <w:rPr>
          <w:lang w:val="en-GB"/>
        </w:rPr>
        <w:t xml:space="preserve"> the revision of the self-assessment annual reporting tool proposed to State Parties (by May 2019); and</w:t>
      </w:r>
    </w:p>
    <w:p w14:paraId="08EE7B8B" w14:textId="313EB4D0" w:rsidR="00F15DF7" w:rsidRPr="00853984" w:rsidRDefault="00D31D2A" w:rsidP="005D26CB">
      <w:pPr>
        <w:pStyle w:val="ListNumber2"/>
        <w:keepNext/>
        <w:numPr>
          <w:ilvl w:val="1"/>
          <w:numId w:val="48"/>
        </w:numPr>
        <w:rPr>
          <w:lang w:val="en-GB"/>
        </w:rPr>
      </w:pPr>
      <w:r w:rsidRPr="00853984">
        <w:rPr>
          <w:lang w:val="en-GB"/>
        </w:rPr>
        <w:t>assist States Parties in building capacity for translating assessment results into action and facilitate cross-country sharing of experiences and good practices.</w:t>
      </w:r>
    </w:p>
    <w:p w14:paraId="08EE7B8C" w14:textId="77777777" w:rsidR="00507C4B" w:rsidRPr="00853984" w:rsidRDefault="00507C4B" w:rsidP="00507C4B">
      <w:pPr>
        <w:pStyle w:val="Heading3"/>
        <w:rPr>
          <w:lang w:val="en-GB"/>
        </w:rPr>
      </w:pPr>
      <w:r w:rsidRPr="00853984">
        <w:rPr>
          <w:lang w:val="en-GB"/>
        </w:rPr>
        <w:t>Assessment of capacities through use of voluntary tools</w:t>
      </w:r>
    </w:p>
    <w:p w14:paraId="08EE7B8D" w14:textId="2A0C70BA" w:rsidR="00507C4B" w:rsidRPr="00853984" w:rsidRDefault="00507C4B" w:rsidP="00507C4B">
      <w:pPr>
        <w:pStyle w:val="ParaNumber"/>
        <w:rPr>
          <w:lang w:val="en-GB"/>
        </w:rPr>
      </w:pPr>
      <w:r w:rsidRPr="00853984">
        <w:rPr>
          <w:lang w:val="en-GB"/>
        </w:rPr>
        <w:t xml:space="preserve">In compliance with resolution WHA68.5 (2015) on the recommendations of the Review Committee on Second Extensions for Establishing National Public Health Capacities and on IHR Implementation, including the recommendation that the Secretariat should develop options “to move from exclusive self-evaluation to approaches that combine self-evaluation, peer review and voluntary external evaluations involving a combination of domestic and independent experts”, the action plan </w:t>
      </w:r>
      <w:r w:rsidR="00B37D63" w:rsidRPr="005209B7">
        <w:rPr>
          <w:lang w:val="en-GB"/>
        </w:rPr>
        <w:t>propose</w:t>
      </w:r>
      <w:r w:rsidR="00B37D63">
        <w:rPr>
          <w:lang w:val="en-GB"/>
        </w:rPr>
        <w:t>s</w:t>
      </w:r>
      <w:r w:rsidR="00B37D63" w:rsidRPr="001847BB">
        <w:t xml:space="preserve"> </w:t>
      </w:r>
      <w:r w:rsidR="00B37D63" w:rsidRPr="001847BB">
        <w:rPr>
          <w:lang w:val="en-GB"/>
        </w:rPr>
        <w:t>voluntary instruments</w:t>
      </w:r>
      <w:r w:rsidR="00B37D63" w:rsidRPr="001847BB">
        <w:rPr>
          <w:rFonts w:eastAsia="SimSun" w:cs="Times New Roman"/>
          <w:lang w:val="en-GB"/>
        </w:rPr>
        <w:t xml:space="preserve"> that could be applied upon request of the State</w:t>
      </w:r>
      <w:r w:rsidR="00B37D63">
        <w:rPr>
          <w:rFonts w:eastAsia="SimSun" w:cs="Times New Roman"/>
          <w:lang w:val="en-GB"/>
        </w:rPr>
        <w:t>s</w:t>
      </w:r>
      <w:r w:rsidR="00B37D63" w:rsidRPr="001847BB">
        <w:rPr>
          <w:rFonts w:eastAsia="SimSun" w:cs="Times New Roman"/>
          <w:lang w:val="en-GB"/>
        </w:rPr>
        <w:t xml:space="preserve"> Parties</w:t>
      </w:r>
      <w:r w:rsidR="00B37D63">
        <w:rPr>
          <w:rFonts w:eastAsia="SimSun" w:cs="Times New Roman"/>
          <w:lang w:val="en-GB"/>
        </w:rPr>
        <w:t>,</w:t>
      </w:r>
      <w:r w:rsidR="00B37D63" w:rsidRPr="001847BB">
        <w:rPr>
          <w:lang w:val="en-GB"/>
        </w:rPr>
        <w:t xml:space="preserve"> </w:t>
      </w:r>
      <w:r w:rsidR="00B37D63">
        <w:rPr>
          <w:lang w:val="en-GB"/>
        </w:rPr>
        <w:t xml:space="preserve">such as joint external evaluation, simulation exercises and after action reviews. </w:t>
      </w:r>
      <w:r w:rsidRPr="00853984">
        <w:rPr>
          <w:lang w:val="en-GB"/>
        </w:rPr>
        <w:t xml:space="preserve">The Secretariat has developed technical tools and will revise and adapt them in the light of experience gained </w:t>
      </w:r>
      <w:r w:rsidR="00556139" w:rsidRPr="00853984">
        <w:rPr>
          <w:lang w:val="en-GB"/>
        </w:rPr>
        <w:t>using</w:t>
      </w:r>
      <w:r w:rsidR="00106091" w:rsidRPr="00853984">
        <w:rPr>
          <w:lang w:val="en-GB"/>
        </w:rPr>
        <w:t xml:space="preserve"> </w:t>
      </w:r>
      <w:r w:rsidRPr="00853984">
        <w:rPr>
          <w:lang w:val="en-GB"/>
        </w:rPr>
        <w:t>the voluntary instruments. The provision of support to States Parties is not conditional on conducting these voluntary assessments.</w:t>
      </w:r>
    </w:p>
    <w:p w14:paraId="08EE7B8F" w14:textId="45E03DAE" w:rsidR="00461F0A" w:rsidRPr="00853984" w:rsidRDefault="00522C5A" w:rsidP="00522C5A">
      <w:pPr>
        <w:pStyle w:val="ParaNumber"/>
        <w:rPr>
          <w:lang w:val="en-GB"/>
        </w:rPr>
      </w:pPr>
      <w:r w:rsidRPr="00853984">
        <w:rPr>
          <w:lang w:val="en-GB"/>
        </w:rPr>
        <w:t xml:space="preserve">States Parties will </w:t>
      </w:r>
      <w:r w:rsidR="00461F0A" w:rsidRPr="00853984">
        <w:rPr>
          <w:lang w:val="en-GB"/>
        </w:rPr>
        <w:t>consider the use of additional voluntary tools to complement the assessment and monitoring of core capacities under the IHR (2005).</w:t>
      </w:r>
    </w:p>
    <w:p w14:paraId="08EE7B92" w14:textId="67B29235" w:rsidR="00461F0A" w:rsidRPr="00853984" w:rsidRDefault="00E02684" w:rsidP="00A139C3">
      <w:pPr>
        <w:pStyle w:val="ParaNumber"/>
        <w:rPr>
          <w:lang w:val="en-GB"/>
        </w:rPr>
      </w:pPr>
      <w:r w:rsidRPr="00B37D63">
        <w:rPr>
          <w:lang w:val="en-GB"/>
        </w:rPr>
        <w:t>The Regional Office</w:t>
      </w:r>
      <w:r w:rsidR="00461F0A" w:rsidRPr="00B37D63">
        <w:rPr>
          <w:lang w:val="en-GB"/>
        </w:rPr>
        <w:t>, in collaboration with key partners, will</w:t>
      </w:r>
      <w:r w:rsidR="00B37D63">
        <w:rPr>
          <w:lang w:val="en-GB"/>
        </w:rPr>
        <w:t xml:space="preserve"> </w:t>
      </w:r>
      <w:r w:rsidR="00461F0A" w:rsidRPr="00B37D63">
        <w:rPr>
          <w:lang w:val="en-GB"/>
        </w:rPr>
        <w:t xml:space="preserve">provide technical support to States Parties </w:t>
      </w:r>
      <w:r w:rsidR="00B37D63" w:rsidRPr="00B37D63">
        <w:rPr>
          <w:lang w:val="en-GB"/>
        </w:rPr>
        <w:t xml:space="preserve">upon request to use </w:t>
      </w:r>
      <w:r w:rsidR="00461F0A" w:rsidRPr="00B37D63">
        <w:rPr>
          <w:lang w:val="en-GB"/>
        </w:rPr>
        <w:t>the voluntary instruments for monitoring and evaluation of IHR implementation</w:t>
      </w:r>
      <w:r w:rsidR="00B37D63">
        <w:rPr>
          <w:lang w:val="en-GB"/>
        </w:rPr>
        <w:t>.</w:t>
      </w:r>
    </w:p>
    <w:p w14:paraId="08EE7B93" w14:textId="77777777" w:rsidR="00461F0A" w:rsidRPr="00853984" w:rsidRDefault="00461F0A" w:rsidP="00461F0A">
      <w:pPr>
        <w:rPr>
          <w:lang w:val="en-GB"/>
        </w:rPr>
      </w:pPr>
    </w:p>
    <w:p w14:paraId="08EE7B94" w14:textId="356A87D4" w:rsidR="00A407F3" w:rsidRPr="00853984" w:rsidRDefault="00304332" w:rsidP="00D37AC5">
      <w:pPr>
        <w:pStyle w:val="Heading6"/>
        <w:numPr>
          <w:ilvl w:val="0"/>
          <w:numId w:val="0"/>
        </w:numPr>
        <w:ind w:left="142"/>
        <w:rPr>
          <w:lang w:val="en-GB"/>
        </w:rPr>
      </w:pPr>
      <w:bookmarkStart w:id="10" w:name="_Toc512875098"/>
      <w:bookmarkStart w:id="11" w:name="_Toc503970573"/>
      <w:r w:rsidRPr="00853984">
        <w:rPr>
          <w:lang w:val="en-GB"/>
        </w:rPr>
        <w:t xml:space="preserve">Annex. </w:t>
      </w:r>
      <w:r w:rsidR="005C62FB" w:rsidRPr="00853984">
        <w:rPr>
          <w:lang w:val="en-GB"/>
        </w:rPr>
        <w:t xml:space="preserve">Summary of the </w:t>
      </w:r>
      <w:r w:rsidR="00F904F0" w:rsidRPr="00853984">
        <w:rPr>
          <w:lang w:val="en-GB"/>
        </w:rPr>
        <w:t xml:space="preserve">draft </w:t>
      </w:r>
      <w:r w:rsidR="005C62FB" w:rsidRPr="00853984">
        <w:rPr>
          <w:lang w:val="en-GB"/>
        </w:rPr>
        <w:t>action plan to improve public health preparedness and respo</w:t>
      </w:r>
      <w:r w:rsidR="00300265" w:rsidRPr="00853984">
        <w:rPr>
          <w:lang w:val="en-GB"/>
        </w:rPr>
        <w:t xml:space="preserve">nse in the WHO European Region, </w:t>
      </w:r>
      <w:r w:rsidR="00300265" w:rsidRPr="00853984">
        <w:rPr>
          <w:lang w:val="en-GB"/>
        </w:rPr>
        <w:br/>
      </w:r>
      <w:r w:rsidR="005C62FB" w:rsidRPr="00853984">
        <w:rPr>
          <w:lang w:val="en-GB"/>
        </w:rPr>
        <w:t>2018–2023</w:t>
      </w:r>
      <w:bookmarkEnd w:id="10"/>
    </w:p>
    <w:p w14:paraId="08EE7B95" w14:textId="77777777" w:rsidR="009B1BEE" w:rsidRPr="00853984" w:rsidRDefault="009B1BEE" w:rsidP="009B1BEE">
      <w:pPr>
        <w:rPr>
          <w:lang w:val="en-GB"/>
        </w:rPr>
      </w:pPr>
    </w:p>
    <w:tbl>
      <w:tblPr>
        <w:tblStyle w:val="TableGrid40"/>
        <w:tblW w:w="0" w:type="auto"/>
        <w:jc w:val="center"/>
        <w:tblBorders>
          <w:top w:val="single" w:sz="12" w:space="0" w:color="0069B0" w:themeColor="accent1"/>
          <w:left w:val="single" w:sz="12" w:space="0" w:color="0069B0" w:themeColor="accent1"/>
          <w:bottom w:val="single" w:sz="12" w:space="0" w:color="0069B0" w:themeColor="accent1"/>
          <w:right w:val="single" w:sz="12" w:space="0" w:color="0069B0" w:themeColor="accent1"/>
          <w:insideH w:val="single" w:sz="12" w:space="0" w:color="0069B0" w:themeColor="accent1"/>
          <w:insideV w:val="single" w:sz="12" w:space="0" w:color="0069B0" w:themeColor="accent1"/>
        </w:tblBorders>
        <w:tblCellMar>
          <w:top w:w="57" w:type="dxa"/>
          <w:bottom w:w="57" w:type="dxa"/>
        </w:tblCellMar>
        <w:tblLook w:val="04A0" w:firstRow="1" w:lastRow="0" w:firstColumn="1" w:lastColumn="0" w:noHBand="0" w:noVBand="1"/>
      </w:tblPr>
      <w:tblGrid>
        <w:gridCol w:w="2518"/>
        <w:gridCol w:w="6203"/>
      </w:tblGrid>
      <w:tr w:rsidR="009B1BEE" w:rsidRPr="00853984" w14:paraId="08EE7B97" w14:textId="77777777" w:rsidTr="00300265">
        <w:trPr>
          <w:trHeight w:val="416"/>
          <w:jc w:val="center"/>
        </w:trPr>
        <w:tc>
          <w:tcPr>
            <w:tcW w:w="8721" w:type="dxa"/>
            <w:gridSpan w:val="2"/>
            <w:shd w:val="clear" w:color="auto" w:fill="0069B0" w:themeFill="accent1"/>
            <w:vAlign w:val="center"/>
          </w:tcPr>
          <w:bookmarkEnd w:id="11"/>
          <w:p w14:paraId="08EE7B96" w14:textId="77777777" w:rsidR="009B1BEE" w:rsidRPr="00853984" w:rsidRDefault="009B1BEE" w:rsidP="009B1BEE">
            <w:pPr>
              <w:tabs>
                <w:tab w:val="left" w:pos="1410"/>
              </w:tabs>
              <w:spacing w:before="60" w:after="60"/>
              <w:rPr>
                <w:rFonts w:asciiTheme="majorHAnsi" w:hAnsiTheme="majorHAnsi" w:cstheme="majorHAnsi"/>
                <w:b/>
                <w:sz w:val="24"/>
                <w:lang w:val="en-GB"/>
              </w:rPr>
            </w:pPr>
            <w:r w:rsidRPr="00853984">
              <w:rPr>
                <w:rFonts w:asciiTheme="majorHAnsi" w:hAnsiTheme="majorHAnsi" w:cstheme="majorHAnsi"/>
                <w:b/>
                <w:bCs/>
                <w:sz w:val="24"/>
                <w:lang w:val="en-GB"/>
              </w:rPr>
              <w:t>ACTION PLAN TO IMPROVE PUBLIC HEALTH PREPAREDNESS AND RESPONSE IN THE WHO EUROPEAN REGION, 2018–2023</w:t>
            </w:r>
          </w:p>
        </w:tc>
      </w:tr>
      <w:tr w:rsidR="009B1BEE" w:rsidRPr="00853984" w14:paraId="08EE7B9A" w14:textId="77777777" w:rsidTr="00300265">
        <w:trPr>
          <w:trHeight w:val="416"/>
          <w:jc w:val="center"/>
        </w:trPr>
        <w:tc>
          <w:tcPr>
            <w:tcW w:w="2518" w:type="dxa"/>
            <w:shd w:val="clear" w:color="auto" w:fill="FFFFFF" w:themeFill="background1"/>
            <w:vAlign w:val="center"/>
          </w:tcPr>
          <w:p w14:paraId="08EE7B98" w14:textId="77777777" w:rsidR="009B1BEE" w:rsidRPr="00853984" w:rsidRDefault="009B1BEE" w:rsidP="009B1BEE">
            <w:pPr>
              <w:rPr>
                <w:rFonts w:asciiTheme="majorHAnsi" w:hAnsiTheme="majorHAnsi" w:cstheme="majorHAnsi"/>
                <w:b/>
                <w:sz w:val="24"/>
                <w:lang w:val="en-GB"/>
              </w:rPr>
            </w:pPr>
            <w:r w:rsidRPr="00853984">
              <w:rPr>
                <w:rFonts w:asciiTheme="majorHAnsi" w:hAnsiTheme="majorHAnsi" w:cstheme="majorHAnsi"/>
                <w:b/>
                <w:sz w:val="24"/>
                <w:lang w:val="en-GB"/>
              </w:rPr>
              <w:t>VISION</w:t>
            </w:r>
          </w:p>
        </w:tc>
        <w:tc>
          <w:tcPr>
            <w:tcW w:w="6203" w:type="dxa"/>
            <w:vAlign w:val="center"/>
          </w:tcPr>
          <w:p w14:paraId="08EE7B99" w14:textId="77777777" w:rsidR="009B1BEE" w:rsidRPr="00853984" w:rsidRDefault="009B1BEE" w:rsidP="009B1BEE">
            <w:pPr>
              <w:tabs>
                <w:tab w:val="left" w:pos="1410"/>
              </w:tabs>
              <w:spacing w:after="60"/>
              <w:rPr>
                <w:rFonts w:asciiTheme="majorHAnsi" w:hAnsiTheme="majorHAnsi" w:cstheme="majorHAnsi"/>
                <w:lang w:val="en-GB"/>
              </w:rPr>
            </w:pPr>
            <w:r w:rsidRPr="00853984">
              <w:rPr>
                <w:rFonts w:asciiTheme="majorHAnsi" w:hAnsiTheme="majorHAnsi" w:cstheme="majorHAnsi"/>
                <w:lang w:val="en-GB"/>
              </w:rPr>
              <w:t>A European Region in which the impact of emergencies on health is prevented or minimized.</w:t>
            </w:r>
          </w:p>
        </w:tc>
      </w:tr>
      <w:tr w:rsidR="009B1BEE" w:rsidRPr="00853984" w14:paraId="08EE7B9D" w14:textId="77777777" w:rsidTr="00300265">
        <w:trPr>
          <w:trHeight w:val="277"/>
          <w:jc w:val="center"/>
        </w:trPr>
        <w:tc>
          <w:tcPr>
            <w:tcW w:w="2518" w:type="dxa"/>
            <w:shd w:val="clear" w:color="auto" w:fill="FFFFFF" w:themeFill="background1"/>
            <w:vAlign w:val="center"/>
          </w:tcPr>
          <w:p w14:paraId="08EE7B9B" w14:textId="77777777" w:rsidR="009B1BEE" w:rsidRPr="00853984" w:rsidRDefault="009B1BEE" w:rsidP="009B1BEE">
            <w:pPr>
              <w:rPr>
                <w:rFonts w:asciiTheme="majorHAnsi" w:hAnsiTheme="majorHAnsi" w:cstheme="majorHAnsi"/>
                <w:b/>
                <w:sz w:val="24"/>
                <w:lang w:val="en-GB"/>
              </w:rPr>
            </w:pPr>
            <w:r w:rsidRPr="00853984">
              <w:rPr>
                <w:rFonts w:asciiTheme="majorHAnsi" w:hAnsiTheme="majorHAnsi" w:cstheme="majorHAnsi"/>
                <w:b/>
                <w:sz w:val="24"/>
                <w:lang w:val="en-GB"/>
              </w:rPr>
              <w:t>GOAL</w:t>
            </w:r>
          </w:p>
        </w:tc>
        <w:tc>
          <w:tcPr>
            <w:tcW w:w="6203" w:type="dxa"/>
            <w:vAlign w:val="center"/>
          </w:tcPr>
          <w:p w14:paraId="08EE7B9C" w14:textId="77777777" w:rsidR="009B1BEE" w:rsidRPr="00853984" w:rsidRDefault="009B1BEE" w:rsidP="009B1BEE">
            <w:pPr>
              <w:spacing w:before="60" w:after="60"/>
              <w:rPr>
                <w:rFonts w:asciiTheme="majorHAnsi" w:hAnsiTheme="majorHAnsi" w:cstheme="majorHAnsi"/>
                <w:lang w:val="en-GB"/>
              </w:rPr>
            </w:pPr>
            <w:r w:rsidRPr="00853984">
              <w:rPr>
                <w:rFonts w:asciiTheme="majorHAnsi" w:hAnsiTheme="majorHAnsi" w:cstheme="majorHAnsi"/>
                <w:lang w:val="en-GB"/>
              </w:rPr>
              <w:t>To strengthen and maintain adequate capacities in the European Region to effectively prevent, prepare for, detect and respond to public health threats and to provide assistance to affected countries</w:t>
            </w:r>
          </w:p>
        </w:tc>
      </w:tr>
      <w:tr w:rsidR="009B1BEE" w:rsidRPr="00853984" w14:paraId="08EE7B9F" w14:textId="77777777" w:rsidTr="00300265">
        <w:trPr>
          <w:trHeight w:val="393"/>
          <w:jc w:val="center"/>
        </w:trPr>
        <w:tc>
          <w:tcPr>
            <w:tcW w:w="8721" w:type="dxa"/>
            <w:gridSpan w:val="2"/>
            <w:shd w:val="clear" w:color="auto" w:fill="0069B0" w:themeFill="accent1"/>
            <w:vAlign w:val="center"/>
          </w:tcPr>
          <w:p w14:paraId="08EE7B9E" w14:textId="77777777" w:rsidR="009B1BEE" w:rsidRPr="00853984" w:rsidRDefault="009B1BEE" w:rsidP="009B1BEE">
            <w:pPr>
              <w:spacing w:before="40" w:after="40"/>
              <w:contextualSpacing/>
              <w:rPr>
                <w:rFonts w:asciiTheme="majorHAnsi" w:hAnsiTheme="majorHAnsi" w:cstheme="majorHAnsi"/>
                <w:i/>
                <w:sz w:val="24"/>
                <w:lang w:val="en-GB"/>
              </w:rPr>
            </w:pPr>
            <w:r w:rsidRPr="00853984">
              <w:rPr>
                <w:rFonts w:asciiTheme="majorHAnsi" w:hAnsiTheme="majorHAnsi" w:cstheme="majorHAnsi"/>
                <w:b/>
                <w:bCs/>
                <w:sz w:val="24"/>
                <w:lang w:val="en-GB"/>
              </w:rPr>
              <w:t>THREE STRATEGIC PILLARS OF INTERVENTION AND OBJECTIVES</w:t>
            </w:r>
          </w:p>
        </w:tc>
      </w:tr>
      <w:tr w:rsidR="009B1BEE" w:rsidRPr="00853984" w14:paraId="08EE7BA2" w14:textId="77777777" w:rsidTr="00300265">
        <w:trPr>
          <w:trHeight w:val="1757"/>
          <w:jc w:val="center"/>
        </w:trPr>
        <w:tc>
          <w:tcPr>
            <w:tcW w:w="8721" w:type="dxa"/>
            <w:gridSpan w:val="2"/>
            <w:shd w:val="clear" w:color="auto" w:fill="FFFFFF" w:themeFill="background1"/>
            <w:vAlign w:val="center"/>
          </w:tcPr>
          <w:p w14:paraId="08EE7BA0" w14:textId="77777777" w:rsidR="009B1BEE" w:rsidRPr="00853984" w:rsidRDefault="009B1BEE" w:rsidP="009B1BEE">
            <w:pPr>
              <w:numPr>
                <w:ilvl w:val="0"/>
                <w:numId w:val="52"/>
              </w:numPr>
              <w:contextualSpacing/>
              <w:rPr>
                <w:rFonts w:asciiTheme="majorHAnsi" w:hAnsiTheme="majorHAnsi" w:cstheme="majorHAnsi"/>
                <w:b/>
                <w:bCs/>
                <w:sz w:val="24"/>
                <w:lang w:val="en-GB"/>
              </w:rPr>
            </w:pPr>
            <w:r w:rsidRPr="00853984">
              <w:rPr>
                <w:rFonts w:asciiTheme="majorHAnsi" w:hAnsiTheme="majorHAnsi" w:cstheme="majorHAnsi"/>
                <w:b/>
                <w:bCs/>
                <w:sz w:val="24"/>
                <w:lang w:val="en-GB"/>
              </w:rPr>
              <w:t>Build, strengthen and maintain States Parties’ core capacities required under the International Health Regulations (IHR) (2005)</w:t>
            </w:r>
          </w:p>
          <w:p w14:paraId="08EE7BA1" w14:textId="16E45B25" w:rsidR="009B1BEE" w:rsidRPr="00853984" w:rsidRDefault="009B1BEE" w:rsidP="009B1BEE">
            <w:pPr>
              <w:spacing w:before="240"/>
              <w:rPr>
                <w:rFonts w:asciiTheme="majorHAnsi" w:hAnsiTheme="majorHAnsi" w:cstheme="majorHAnsi"/>
                <w:lang w:val="en-GB"/>
              </w:rPr>
            </w:pPr>
            <w:r w:rsidRPr="00853984">
              <w:rPr>
                <w:rFonts w:asciiTheme="majorHAnsi" w:hAnsiTheme="majorHAnsi" w:cstheme="majorHAnsi"/>
                <w:lang w:val="en-GB"/>
              </w:rPr>
              <w:t xml:space="preserve">Establishing the capacities required to respond effectively and in a timely manner to </w:t>
            </w:r>
            <w:r w:rsidR="00BA45C4" w:rsidRPr="00853984">
              <w:rPr>
                <w:rFonts w:asciiTheme="majorHAnsi" w:hAnsiTheme="majorHAnsi" w:cstheme="majorHAnsi"/>
                <w:lang w:val="en-GB"/>
              </w:rPr>
              <w:t xml:space="preserve">potential </w:t>
            </w:r>
            <w:r w:rsidRPr="00853984">
              <w:rPr>
                <w:rFonts w:asciiTheme="majorHAnsi" w:hAnsiTheme="majorHAnsi" w:cstheme="majorHAnsi"/>
                <w:lang w:val="en-GB"/>
              </w:rPr>
              <w:t xml:space="preserve">public health emergencies of international concern is required by States Parties under the IHR (2005). These capacities should include efforts to strengthen health systems and to coordinate mobilization of domestic and international funding through multisectoral action plans. </w:t>
            </w:r>
          </w:p>
        </w:tc>
      </w:tr>
      <w:tr w:rsidR="009B1BEE" w:rsidRPr="00853984" w14:paraId="08EE7BA5" w14:textId="77777777" w:rsidTr="00300265">
        <w:trPr>
          <w:trHeight w:val="277"/>
          <w:jc w:val="center"/>
        </w:trPr>
        <w:tc>
          <w:tcPr>
            <w:tcW w:w="8721" w:type="dxa"/>
            <w:gridSpan w:val="2"/>
            <w:shd w:val="clear" w:color="auto" w:fill="FFFFFF" w:themeFill="background1"/>
            <w:vAlign w:val="center"/>
          </w:tcPr>
          <w:p w14:paraId="08EE7BA3" w14:textId="5939066B" w:rsidR="009B1BEE" w:rsidRPr="00853984" w:rsidRDefault="00195724" w:rsidP="00195724">
            <w:pPr>
              <w:numPr>
                <w:ilvl w:val="0"/>
                <w:numId w:val="52"/>
              </w:numPr>
              <w:contextualSpacing/>
              <w:rPr>
                <w:rFonts w:asciiTheme="majorHAnsi" w:hAnsiTheme="majorHAnsi" w:cstheme="majorHAnsi"/>
                <w:b/>
                <w:bCs/>
                <w:sz w:val="24"/>
                <w:lang w:val="en-GB"/>
              </w:rPr>
            </w:pPr>
            <w:r w:rsidRPr="00195724">
              <w:rPr>
                <w:rFonts w:asciiTheme="majorHAnsi" w:hAnsiTheme="majorHAnsi" w:cstheme="majorHAnsi"/>
                <w:b/>
                <w:bCs/>
                <w:sz w:val="24"/>
                <w:lang w:val="en-GB"/>
              </w:rPr>
              <w:t xml:space="preserve">Strengthen event </w:t>
            </w:r>
            <w:r w:rsidR="009B1BEE" w:rsidRPr="00853984">
              <w:rPr>
                <w:rFonts w:asciiTheme="majorHAnsi" w:hAnsiTheme="majorHAnsi" w:cstheme="majorHAnsi"/>
                <w:b/>
                <w:bCs/>
                <w:sz w:val="24"/>
                <w:lang w:val="en-GB"/>
              </w:rPr>
              <w:t>management and compliance with the requirements under the IHR (2005)</w:t>
            </w:r>
          </w:p>
          <w:p w14:paraId="08EE7BA4" w14:textId="07B12A19" w:rsidR="009B1BEE" w:rsidRPr="00853984" w:rsidRDefault="009B1BEE" w:rsidP="009B1BEE">
            <w:pPr>
              <w:spacing w:before="240"/>
              <w:rPr>
                <w:rFonts w:asciiTheme="majorHAnsi" w:hAnsiTheme="majorHAnsi" w:cstheme="majorHAnsi"/>
                <w:lang w:val="en-GB"/>
              </w:rPr>
            </w:pPr>
            <w:r w:rsidRPr="00853984">
              <w:rPr>
                <w:rFonts w:asciiTheme="majorHAnsi" w:hAnsiTheme="majorHAnsi" w:cstheme="majorHAnsi"/>
                <w:lang w:val="en-GB"/>
              </w:rPr>
              <w:t>The Secretariat and States Parties should continue to fulfil their obligations under the IHR (2005) in relati</w:t>
            </w:r>
            <w:r w:rsidR="00F904F0" w:rsidRPr="00853984">
              <w:rPr>
                <w:rFonts w:asciiTheme="majorHAnsi" w:hAnsiTheme="majorHAnsi" w:cstheme="majorHAnsi"/>
                <w:lang w:val="en-GB"/>
              </w:rPr>
              <w:t>on to the detection, assessment and</w:t>
            </w:r>
            <w:r w:rsidRPr="00853984">
              <w:rPr>
                <w:rFonts w:asciiTheme="majorHAnsi" w:hAnsiTheme="majorHAnsi" w:cstheme="majorHAnsi"/>
                <w:lang w:val="en-GB"/>
              </w:rPr>
              <w:t xml:space="preserve"> notification of</w:t>
            </w:r>
            <w:r w:rsidR="00F904F0" w:rsidRPr="00853984">
              <w:rPr>
                <w:rFonts w:asciiTheme="majorHAnsi" w:hAnsiTheme="majorHAnsi" w:cstheme="majorHAnsi"/>
                <w:lang w:val="en-GB"/>
              </w:rPr>
              <w:t>,</w:t>
            </w:r>
            <w:r w:rsidRPr="00853984">
              <w:rPr>
                <w:rFonts w:asciiTheme="majorHAnsi" w:hAnsiTheme="majorHAnsi" w:cstheme="majorHAnsi"/>
                <w:lang w:val="en-GB"/>
              </w:rPr>
              <w:t xml:space="preserve"> and response to</w:t>
            </w:r>
            <w:r w:rsidR="00F904F0" w:rsidRPr="00853984">
              <w:rPr>
                <w:rFonts w:asciiTheme="majorHAnsi" w:hAnsiTheme="majorHAnsi" w:cstheme="majorHAnsi"/>
                <w:lang w:val="en-GB"/>
              </w:rPr>
              <w:t>,</w:t>
            </w:r>
            <w:r w:rsidRPr="00853984">
              <w:rPr>
                <w:rFonts w:asciiTheme="majorHAnsi" w:hAnsiTheme="majorHAnsi" w:cstheme="majorHAnsi"/>
                <w:lang w:val="en-GB"/>
              </w:rPr>
              <w:t xml:space="preserve"> public health risks. Sustainable and effective functioning of the National IHR Focal Point (NFP) is essential to fulfilling this obligation. In addition, regionally coordinated processes, partnerships and mechanisms led by the Regional Office, in partnership with key stakeholders, to provide assistance where necessary are critical.</w:t>
            </w:r>
          </w:p>
        </w:tc>
      </w:tr>
      <w:tr w:rsidR="009B1BEE" w:rsidRPr="00853984" w14:paraId="08EE7BA9" w14:textId="77777777" w:rsidTr="00300265">
        <w:trPr>
          <w:trHeight w:val="277"/>
          <w:jc w:val="center"/>
        </w:trPr>
        <w:tc>
          <w:tcPr>
            <w:tcW w:w="8721" w:type="dxa"/>
            <w:gridSpan w:val="2"/>
            <w:shd w:val="clear" w:color="auto" w:fill="FFFFFF" w:themeFill="background1"/>
            <w:vAlign w:val="center"/>
          </w:tcPr>
          <w:p w14:paraId="08EE7BA6" w14:textId="77777777" w:rsidR="009B1BEE" w:rsidRPr="00853984" w:rsidRDefault="009B1BEE" w:rsidP="009B1BEE">
            <w:pPr>
              <w:numPr>
                <w:ilvl w:val="0"/>
                <w:numId w:val="52"/>
              </w:numPr>
              <w:contextualSpacing/>
              <w:rPr>
                <w:rFonts w:asciiTheme="majorHAnsi" w:hAnsiTheme="majorHAnsi" w:cstheme="majorHAnsi"/>
                <w:b/>
                <w:bCs/>
                <w:sz w:val="24"/>
                <w:lang w:val="en-GB"/>
              </w:rPr>
            </w:pPr>
            <w:r w:rsidRPr="00853984">
              <w:rPr>
                <w:rFonts w:asciiTheme="majorHAnsi" w:hAnsiTheme="majorHAnsi" w:cstheme="majorHAnsi"/>
                <w:b/>
                <w:bCs/>
                <w:sz w:val="24"/>
                <w:lang w:val="en-GB"/>
              </w:rPr>
              <w:t>Measuring progress and promoting accountability</w:t>
            </w:r>
          </w:p>
          <w:p w14:paraId="08EE7BA7" w14:textId="76F55B40" w:rsidR="009B1BEE" w:rsidRPr="00853984" w:rsidRDefault="009B1BEE" w:rsidP="009B1BEE">
            <w:pPr>
              <w:spacing w:before="240"/>
              <w:rPr>
                <w:rFonts w:asciiTheme="majorHAnsi" w:hAnsiTheme="majorHAnsi" w:cstheme="majorHAnsi"/>
                <w:lang w:val="en-GB"/>
              </w:rPr>
            </w:pPr>
            <w:r w:rsidRPr="00853984">
              <w:rPr>
                <w:rFonts w:asciiTheme="majorHAnsi" w:hAnsiTheme="majorHAnsi" w:cstheme="majorHAnsi"/>
                <w:lang w:val="en-GB"/>
              </w:rPr>
              <w:t xml:space="preserve">To ensure that Member States establish and maintain adequate capacity for effective preparedness and response, progress </w:t>
            </w:r>
            <w:r w:rsidR="00556139" w:rsidRPr="00853984">
              <w:rPr>
                <w:rFonts w:asciiTheme="majorHAnsi" w:hAnsiTheme="majorHAnsi" w:cstheme="majorHAnsi"/>
                <w:lang w:val="en-GB"/>
              </w:rPr>
              <w:t>must</w:t>
            </w:r>
            <w:r w:rsidRPr="00853984">
              <w:rPr>
                <w:rFonts w:asciiTheme="majorHAnsi" w:hAnsiTheme="majorHAnsi" w:cstheme="majorHAnsi"/>
                <w:lang w:val="en-GB"/>
              </w:rPr>
              <w:t xml:space="preserve"> be continuously monitored and periodically evaluated</w:t>
            </w:r>
            <w:r w:rsidR="00346112" w:rsidRPr="009C053F">
              <w:rPr>
                <w:rFonts w:asciiTheme="majorHAnsi" w:hAnsiTheme="majorHAnsi" w:cstheme="majorHAnsi"/>
                <w:lang w:val="en-GB"/>
              </w:rPr>
              <w:t xml:space="preserve"> to identify weaknesses and address them. States Parties are obligated to report annually to the World Health Assembly under the IHR (2005). Other forms</w:t>
            </w:r>
            <w:r w:rsidR="00346112">
              <w:rPr>
                <w:rFonts w:asciiTheme="majorHAnsi" w:hAnsiTheme="majorHAnsi" w:cstheme="majorHAnsi"/>
                <w:lang w:val="en-GB"/>
              </w:rPr>
              <w:t xml:space="preserve"> </w:t>
            </w:r>
            <w:r w:rsidR="00346112" w:rsidRPr="009C053F">
              <w:rPr>
                <w:rFonts w:asciiTheme="majorHAnsi" w:hAnsiTheme="majorHAnsi" w:cstheme="majorHAnsi"/>
                <w:lang w:val="en-GB"/>
              </w:rPr>
              <w:t>of qualitative and quantitative assessments can be undertaken voluntarily.</w:t>
            </w:r>
            <w:r w:rsidRPr="00853984">
              <w:rPr>
                <w:rFonts w:asciiTheme="majorHAnsi" w:hAnsiTheme="majorHAnsi" w:cstheme="majorHAnsi"/>
                <w:lang w:val="en-GB"/>
              </w:rPr>
              <w:t xml:space="preserve"> </w:t>
            </w:r>
          </w:p>
          <w:p w14:paraId="08EE7BA8" w14:textId="77777777" w:rsidR="009B1BEE" w:rsidRPr="00853984" w:rsidRDefault="009B1BEE" w:rsidP="009B1BEE">
            <w:pPr>
              <w:spacing w:before="240"/>
              <w:rPr>
                <w:rFonts w:asciiTheme="majorHAnsi" w:hAnsiTheme="majorHAnsi" w:cstheme="majorHAnsi"/>
                <w:sz w:val="24"/>
                <w:lang w:val="en-GB"/>
              </w:rPr>
            </w:pPr>
            <w:r w:rsidRPr="00853984">
              <w:rPr>
                <w:rFonts w:asciiTheme="majorHAnsi" w:hAnsiTheme="majorHAnsi" w:cstheme="majorHAnsi"/>
                <w:lang w:val="en-GB"/>
              </w:rPr>
              <w:t>The fulfilment of this obligation by States Parties of the European Region contributes to mutual accountability and shared efforts to building health security in the Region.</w:t>
            </w:r>
          </w:p>
        </w:tc>
      </w:tr>
      <w:tr w:rsidR="009B1BEE" w:rsidRPr="00853984" w14:paraId="08EE7BAE" w14:textId="77777777" w:rsidTr="00300265">
        <w:trPr>
          <w:trHeight w:val="288"/>
          <w:jc w:val="center"/>
        </w:trPr>
        <w:tc>
          <w:tcPr>
            <w:tcW w:w="2518" w:type="dxa"/>
            <w:vMerge w:val="restart"/>
            <w:shd w:val="clear" w:color="auto" w:fill="FFFFFF" w:themeFill="background1"/>
            <w:vAlign w:val="center"/>
          </w:tcPr>
          <w:p w14:paraId="08EE7BAA" w14:textId="77777777" w:rsidR="009B1BEE" w:rsidRPr="00853984" w:rsidRDefault="009B1BEE" w:rsidP="009B1BEE">
            <w:pPr>
              <w:rPr>
                <w:rFonts w:asciiTheme="majorHAnsi" w:hAnsiTheme="majorHAnsi" w:cstheme="majorHAnsi"/>
                <w:b/>
                <w:sz w:val="24"/>
                <w:lang w:val="en-GB"/>
              </w:rPr>
            </w:pPr>
            <w:r w:rsidRPr="00853984">
              <w:rPr>
                <w:rFonts w:asciiTheme="majorHAnsi" w:hAnsiTheme="majorHAnsi" w:cstheme="majorHAnsi"/>
                <w:b/>
                <w:sz w:val="24"/>
                <w:lang w:val="en-GB"/>
              </w:rPr>
              <w:t>TARGETS</w:t>
            </w:r>
          </w:p>
          <w:p w14:paraId="08EE7BAB" w14:textId="77777777" w:rsidR="009B1BEE" w:rsidRPr="00853984" w:rsidRDefault="009B1BEE" w:rsidP="009B1BEE">
            <w:pPr>
              <w:rPr>
                <w:rFonts w:asciiTheme="majorHAnsi" w:hAnsiTheme="majorHAnsi" w:cstheme="majorHAnsi"/>
                <w:b/>
                <w:sz w:val="24"/>
                <w:lang w:val="en-GB"/>
              </w:rPr>
            </w:pPr>
            <w:r w:rsidRPr="00853984">
              <w:rPr>
                <w:rFonts w:asciiTheme="majorHAnsi" w:hAnsiTheme="majorHAnsi" w:cstheme="majorHAnsi"/>
                <w:b/>
                <w:sz w:val="24"/>
                <w:lang w:val="en-GB"/>
              </w:rPr>
              <w:t>(to be achieved by 2023)</w:t>
            </w:r>
          </w:p>
        </w:tc>
        <w:tc>
          <w:tcPr>
            <w:tcW w:w="6203" w:type="dxa"/>
            <w:vAlign w:val="center"/>
          </w:tcPr>
          <w:p w14:paraId="08EE7BAC" w14:textId="3D967AAA" w:rsidR="009B1BEE" w:rsidRPr="00853984" w:rsidRDefault="009B1BEE" w:rsidP="009B1BEE">
            <w:pPr>
              <w:spacing w:before="60" w:after="60"/>
              <w:contextualSpacing/>
              <w:rPr>
                <w:rFonts w:asciiTheme="majorHAnsi" w:hAnsiTheme="majorHAnsi" w:cstheme="majorHAnsi"/>
                <w:b/>
                <w:bCs/>
                <w:sz w:val="24"/>
                <w:lang w:val="en-GB"/>
              </w:rPr>
            </w:pPr>
            <w:r w:rsidRPr="00853984">
              <w:rPr>
                <w:rFonts w:asciiTheme="majorHAnsi" w:hAnsiTheme="majorHAnsi" w:cstheme="majorHAnsi"/>
                <w:b/>
                <w:bCs/>
                <w:sz w:val="24"/>
                <w:lang w:val="en-GB"/>
              </w:rPr>
              <w:t xml:space="preserve">Strategic </w:t>
            </w:r>
            <w:r w:rsidR="00553C50" w:rsidRPr="00853984">
              <w:rPr>
                <w:rFonts w:asciiTheme="majorHAnsi" w:hAnsiTheme="majorHAnsi" w:cstheme="majorHAnsi"/>
                <w:b/>
                <w:bCs/>
                <w:sz w:val="24"/>
                <w:lang w:val="en-GB"/>
              </w:rPr>
              <w:t>p</w:t>
            </w:r>
            <w:r w:rsidRPr="00853984">
              <w:rPr>
                <w:rFonts w:asciiTheme="majorHAnsi" w:hAnsiTheme="majorHAnsi" w:cstheme="majorHAnsi"/>
                <w:b/>
                <w:bCs/>
                <w:sz w:val="24"/>
                <w:lang w:val="en-GB"/>
              </w:rPr>
              <w:t>illar 1:</w:t>
            </w:r>
          </w:p>
          <w:p w14:paraId="08EE7BAD" w14:textId="77777777" w:rsidR="009B1BEE" w:rsidRPr="00853984" w:rsidRDefault="009B1BEE" w:rsidP="009B1BEE">
            <w:pPr>
              <w:numPr>
                <w:ilvl w:val="0"/>
                <w:numId w:val="51"/>
              </w:numPr>
              <w:spacing w:before="60" w:after="60"/>
              <w:contextualSpacing/>
              <w:rPr>
                <w:rFonts w:asciiTheme="majorHAnsi" w:hAnsiTheme="majorHAnsi" w:cstheme="majorHAnsi"/>
                <w:lang w:val="en-GB"/>
              </w:rPr>
            </w:pPr>
            <w:r w:rsidRPr="00853984">
              <w:rPr>
                <w:rFonts w:asciiTheme="majorHAnsi" w:hAnsiTheme="majorHAnsi" w:cstheme="majorHAnsi"/>
                <w:lang w:val="en-GB"/>
              </w:rPr>
              <w:t>all countries maintain and/or strengthen their core capacities for health emergency preparedness and disaster risk management under the IHR (2005) in order to reach sufficient levels, as assessed through annual reporting scores.</w:t>
            </w:r>
          </w:p>
        </w:tc>
      </w:tr>
      <w:tr w:rsidR="009B1BEE" w:rsidRPr="00853984" w14:paraId="08EE7BB4" w14:textId="77777777" w:rsidTr="00300265">
        <w:trPr>
          <w:trHeight w:val="277"/>
          <w:jc w:val="center"/>
        </w:trPr>
        <w:tc>
          <w:tcPr>
            <w:tcW w:w="2518" w:type="dxa"/>
            <w:vMerge/>
            <w:shd w:val="clear" w:color="auto" w:fill="FFFFFF" w:themeFill="background1"/>
            <w:vAlign w:val="center"/>
          </w:tcPr>
          <w:p w14:paraId="08EE7BAF" w14:textId="77777777" w:rsidR="009B1BEE" w:rsidRPr="00853984" w:rsidRDefault="009B1BEE" w:rsidP="009B1BEE">
            <w:pPr>
              <w:rPr>
                <w:rFonts w:asciiTheme="majorHAnsi" w:hAnsiTheme="majorHAnsi" w:cstheme="majorHAnsi"/>
                <w:b/>
                <w:sz w:val="24"/>
                <w:lang w:val="en-GB"/>
              </w:rPr>
            </w:pPr>
          </w:p>
        </w:tc>
        <w:tc>
          <w:tcPr>
            <w:tcW w:w="6203" w:type="dxa"/>
            <w:vAlign w:val="center"/>
          </w:tcPr>
          <w:p w14:paraId="08EE7BB0" w14:textId="3B22DE6C" w:rsidR="009B1BEE" w:rsidRPr="00853984" w:rsidRDefault="009B1BEE" w:rsidP="009B1BEE">
            <w:pPr>
              <w:spacing w:before="60" w:after="60"/>
              <w:contextualSpacing/>
              <w:rPr>
                <w:rFonts w:asciiTheme="majorHAnsi" w:hAnsiTheme="majorHAnsi" w:cstheme="majorHAnsi"/>
                <w:b/>
                <w:bCs/>
                <w:sz w:val="24"/>
                <w:lang w:val="en-GB"/>
              </w:rPr>
            </w:pPr>
            <w:r w:rsidRPr="00853984">
              <w:rPr>
                <w:rFonts w:asciiTheme="majorHAnsi" w:hAnsiTheme="majorHAnsi" w:cstheme="majorHAnsi"/>
                <w:b/>
                <w:bCs/>
                <w:sz w:val="24"/>
                <w:lang w:val="en-GB"/>
              </w:rPr>
              <w:t xml:space="preserve">Strategic </w:t>
            </w:r>
            <w:r w:rsidR="00553C50" w:rsidRPr="00853984">
              <w:rPr>
                <w:rFonts w:asciiTheme="majorHAnsi" w:hAnsiTheme="majorHAnsi" w:cstheme="majorHAnsi"/>
                <w:b/>
                <w:bCs/>
                <w:sz w:val="24"/>
                <w:lang w:val="en-GB"/>
              </w:rPr>
              <w:t>p</w:t>
            </w:r>
            <w:r w:rsidRPr="00853984">
              <w:rPr>
                <w:rFonts w:asciiTheme="majorHAnsi" w:hAnsiTheme="majorHAnsi" w:cstheme="majorHAnsi"/>
                <w:b/>
                <w:bCs/>
                <w:sz w:val="24"/>
                <w:lang w:val="en-GB"/>
              </w:rPr>
              <w:t>illar 2:</w:t>
            </w:r>
          </w:p>
          <w:p w14:paraId="08EE7BB1" w14:textId="77777777" w:rsidR="009B1BEE" w:rsidRPr="00853984" w:rsidRDefault="009B1BEE" w:rsidP="009B1BEE">
            <w:pPr>
              <w:numPr>
                <w:ilvl w:val="0"/>
                <w:numId w:val="51"/>
              </w:numPr>
              <w:spacing w:before="60" w:after="60"/>
              <w:contextualSpacing/>
              <w:rPr>
                <w:rFonts w:asciiTheme="majorHAnsi" w:hAnsiTheme="majorHAnsi" w:cstheme="majorHAnsi"/>
                <w:lang w:val="en-GB"/>
              </w:rPr>
            </w:pPr>
            <w:r w:rsidRPr="00853984">
              <w:rPr>
                <w:rFonts w:asciiTheme="majorHAnsi" w:hAnsiTheme="majorHAnsi" w:cstheme="majorHAnsi"/>
                <w:lang w:val="en-GB"/>
              </w:rPr>
              <w:t>all health events are detected and, if necessary, any risks are assessed and communicated in a timely manner for appropriate action by countries in the European Region;</w:t>
            </w:r>
          </w:p>
          <w:p w14:paraId="08EE7BB2" w14:textId="0C9EF35E" w:rsidR="009B1BEE" w:rsidRPr="00853984" w:rsidRDefault="00553C50" w:rsidP="009B1BEE">
            <w:pPr>
              <w:numPr>
                <w:ilvl w:val="0"/>
                <w:numId w:val="51"/>
              </w:numPr>
              <w:spacing w:before="60" w:after="60"/>
              <w:contextualSpacing/>
              <w:rPr>
                <w:rFonts w:asciiTheme="majorHAnsi" w:hAnsiTheme="majorHAnsi" w:cstheme="majorHAnsi"/>
                <w:lang w:val="en-GB"/>
              </w:rPr>
            </w:pPr>
            <w:r w:rsidRPr="00853984">
              <w:rPr>
                <w:rFonts w:asciiTheme="majorHAnsi" w:hAnsiTheme="majorHAnsi" w:cstheme="majorHAnsi"/>
                <w:lang w:val="en-GB"/>
              </w:rPr>
              <w:t>S</w:t>
            </w:r>
            <w:r w:rsidR="009B1BEE" w:rsidRPr="00853984">
              <w:rPr>
                <w:rFonts w:asciiTheme="majorHAnsi" w:hAnsiTheme="majorHAnsi" w:cstheme="majorHAnsi"/>
                <w:lang w:val="en-GB"/>
              </w:rPr>
              <w:t>ecretariat support is provided to the NFPs for the implementation of the IHR (2005), when requested;</w:t>
            </w:r>
          </w:p>
          <w:p w14:paraId="08EE7BB3" w14:textId="77777777" w:rsidR="009B1BEE" w:rsidRPr="00853984" w:rsidRDefault="009B1BEE" w:rsidP="009B1BEE">
            <w:pPr>
              <w:numPr>
                <w:ilvl w:val="0"/>
                <w:numId w:val="51"/>
              </w:numPr>
              <w:spacing w:before="60" w:after="60"/>
              <w:contextualSpacing/>
              <w:rPr>
                <w:rFonts w:asciiTheme="majorHAnsi" w:hAnsiTheme="majorHAnsi" w:cstheme="majorHAnsi"/>
                <w:sz w:val="24"/>
                <w:lang w:val="en-GB"/>
              </w:rPr>
            </w:pPr>
            <w:r w:rsidRPr="00853984">
              <w:rPr>
                <w:rFonts w:asciiTheme="majorHAnsi" w:hAnsiTheme="majorHAnsi" w:cstheme="majorHAnsi"/>
                <w:lang w:val="en-GB"/>
              </w:rPr>
              <w:t>populations affected by health emergencies have access to essential life-saving health services and public health interventions.</w:t>
            </w:r>
          </w:p>
        </w:tc>
      </w:tr>
      <w:tr w:rsidR="009B1BEE" w:rsidRPr="00853984" w14:paraId="08EE7BB9" w14:textId="77777777" w:rsidTr="00300265">
        <w:trPr>
          <w:trHeight w:val="856"/>
          <w:jc w:val="center"/>
        </w:trPr>
        <w:tc>
          <w:tcPr>
            <w:tcW w:w="2518" w:type="dxa"/>
            <w:vMerge/>
            <w:shd w:val="clear" w:color="auto" w:fill="FFFFFF" w:themeFill="background1"/>
            <w:vAlign w:val="center"/>
          </w:tcPr>
          <w:p w14:paraId="08EE7BB5" w14:textId="77777777" w:rsidR="009B1BEE" w:rsidRPr="00853984" w:rsidRDefault="009B1BEE" w:rsidP="009B1BEE">
            <w:pPr>
              <w:rPr>
                <w:rFonts w:asciiTheme="majorHAnsi" w:hAnsiTheme="majorHAnsi" w:cstheme="majorHAnsi"/>
                <w:b/>
                <w:sz w:val="24"/>
                <w:lang w:val="en-GB"/>
              </w:rPr>
            </w:pPr>
          </w:p>
        </w:tc>
        <w:tc>
          <w:tcPr>
            <w:tcW w:w="6203" w:type="dxa"/>
            <w:vAlign w:val="center"/>
          </w:tcPr>
          <w:p w14:paraId="08EE7BB6" w14:textId="1323332B" w:rsidR="009B1BEE" w:rsidRPr="00853984" w:rsidRDefault="009B1BEE" w:rsidP="009B1BEE">
            <w:pPr>
              <w:spacing w:before="60" w:after="60"/>
              <w:contextualSpacing/>
              <w:rPr>
                <w:rFonts w:asciiTheme="majorHAnsi" w:hAnsiTheme="majorHAnsi" w:cstheme="majorHAnsi"/>
                <w:b/>
                <w:bCs/>
                <w:sz w:val="24"/>
                <w:lang w:val="en-GB"/>
              </w:rPr>
            </w:pPr>
            <w:r w:rsidRPr="00853984">
              <w:rPr>
                <w:rFonts w:asciiTheme="majorHAnsi" w:hAnsiTheme="majorHAnsi" w:cstheme="majorHAnsi"/>
                <w:b/>
                <w:bCs/>
                <w:sz w:val="24"/>
                <w:lang w:val="en-GB"/>
              </w:rPr>
              <w:t xml:space="preserve">Strategic </w:t>
            </w:r>
            <w:r w:rsidR="00553C50" w:rsidRPr="00853984">
              <w:rPr>
                <w:rFonts w:asciiTheme="majorHAnsi" w:hAnsiTheme="majorHAnsi" w:cstheme="majorHAnsi"/>
                <w:b/>
                <w:bCs/>
                <w:sz w:val="24"/>
                <w:lang w:val="en-GB"/>
              </w:rPr>
              <w:t>p</w:t>
            </w:r>
            <w:r w:rsidRPr="00853984">
              <w:rPr>
                <w:rFonts w:asciiTheme="majorHAnsi" w:hAnsiTheme="majorHAnsi" w:cstheme="majorHAnsi"/>
                <w:b/>
                <w:bCs/>
                <w:sz w:val="24"/>
                <w:lang w:val="en-GB"/>
              </w:rPr>
              <w:t>illar 3:</w:t>
            </w:r>
          </w:p>
          <w:p w14:paraId="08EE7BB7" w14:textId="77777777" w:rsidR="009B1BEE" w:rsidRPr="00853984" w:rsidRDefault="009B1BEE" w:rsidP="009B1BEE">
            <w:pPr>
              <w:numPr>
                <w:ilvl w:val="0"/>
                <w:numId w:val="51"/>
              </w:numPr>
              <w:spacing w:before="60" w:after="60"/>
              <w:ind w:left="278" w:hanging="244"/>
              <w:contextualSpacing/>
              <w:rPr>
                <w:rFonts w:asciiTheme="majorHAnsi" w:hAnsiTheme="majorHAnsi" w:cstheme="majorHAnsi"/>
                <w:lang w:val="en-GB"/>
              </w:rPr>
            </w:pPr>
            <w:r w:rsidRPr="00853984">
              <w:rPr>
                <w:rFonts w:asciiTheme="majorHAnsi" w:hAnsiTheme="majorHAnsi" w:cstheme="majorHAnsi"/>
                <w:lang w:val="en-GB"/>
              </w:rPr>
              <w:t>all States Parties report annually to the World Health Assembly on implementation of the IHR (2005) using the self-assessment annual reporting tool;</w:t>
            </w:r>
          </w:p>
          <w:p w14:paraId="08EE7BB8" w14:textId="1F2B804E" w:rsidR="009B1BEE" w:rsidRPr="00853984" w:rsidRDefault="00346112" w:rsidP="00346112">
            <w:pPr>
              <w:numPr>
                <w:ilvl w:val="0"/>
                <w:numId w:val="51"/>
              </w:numPr>
              <w:spacing w:before="60" w:after="60"/>
              <w:ind w:left="278" w:hanging="244"/>
              <w:contextualSpacing/>
              <w:rPr>
                <w:rFonts w:asciiTheme="majorHAnsi" w:hAnsiTheme="majorHAnsi" w:cstheme="majorHAnsi"/>
                <w:sz w:val="24"/>
                <w:lang w:val="en-GB"/>
              </w:rPr>
            </w:pPr>
            <w:r w:rsidRPr="00346112">
              <w:rPr>
                <w:rFonts w:asciiTheme="majorHAnsi" w:hAnsiTheme="majorHAnsi" w:cstheme="majorHAnsi"/>
                <w:lang w:val="en-GB"/>
              </w:rPr>
              <w:t>The Secretariat provides technical support to States Parties, upon request, for the use of instruments for monitoring and evaluation of IHR implementation</w:t>
            </w:r>
            <w:r w:rsidR="009B1BEE" w:rsidRPr="00853984">
              <w:rPr>
                <w:rFonts w:asciiTheme="majorHAnsi" w:hAnsiTheme="majorHAnsi" w:cstheme="majorHAnsi"/>
                <w:lang w:val="en-GB"/>
              </w:rPr>
              <w:t>.</w:t>
            </w:r>
            <w:r w:rsidR="009B1BEE" w:rsidRPr="00853984">
              <w:rPr>
                <w:rFonts w:asciiTheme="majorHAnsi" w:hAnsiTheme="majorHAnsi" w:cstheme="majorHAnsi"/>
                <w:sz w:val="24"/>
                <w:lang w:val="en-GB"/>
              </w:rPr>
              <w:t xml:space="preserve"> </w:t>
            </w:r>
          </w:p>
        </w:tc>
      </w:tr>
    </w:tbl>
    <w:p w14:paraId="08EE7BBA" w14:textId="77777777" w:rsidR="002F62B5" w:rsidRPr="00853984" w:rsidRDefault="002F62B5" w:rsidP="007C498E">
      <w:pPr>
        <w:pStyle w:val="EndofDocument"/>
        <w:rPr>
          <w:lang w:val="en-GB"/>
        </w:rPr>
      </w:pPr>
    </w:p>
    <w:sectPr w:rsidR="002F62B5" w:rsidRPr="00853984" w:rsidSect="004E61C7">
      <w:footerReference w:type="first" r:id="rId15"/>
      <w:pgSz w:w="11907" w:h="16840" w:code="9"/>
      <w:pgMar w:top="1701" w:right="1418" w:bottom="141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6B378" w14:textId="77777777" w:rsidR="00FF6168" w:rsidRDefault="00FF6168" w:rsidP="00CB4156">
      <w:r>
        <w:separator/>
      </w:r>
    </w:p>
  </w:endnote>
  <w:endnote w:type="continuationSeparator" w:id="0">
    <w:p w14:paraId="2515A57C" w14:textId="77777777" w:rsidR="00FF6168" w:rsidRDefault="00FF6168" w:rsidP="00CB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11">
    <w:altName w:val="Times New Roman"/>
    <w:panose1 w:val="00000000000000000000"/>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7BCD" w14:textId="77777777" w:rsidR="00F61C84" w:rsidRPr="00AB3487" w:rsidRDefault="00F61C84" w:rsidP="00411299">
    <w:pPr>
      <w:pStyle w:val="FooterFrontPageLine1"/>
    </w:pPr>
    <w:r w:rsidRPr="00AB3487">
      <w:t>WORLD HEALTH ORGANIZATION REGIONAL OFFICE FOR EUROPE</w:t>
    </w:r>
  </w:p>
  <w:p w14:paraId="08EE7BCE" w14:textId="77777777" w:rsidR="00F61C84" w:rsidRPr="00A47700" w:rsidRDefault="00F61C84" w:rsidP="00C10F4A">
    <w:pPr>
      <w:pStyle w:val="FooterFrontPageLine2ff"/>
    </w:pPr>
    <w:r w:rsidRPr="00A47700">
      <w:t>UN City, Marmorvej 51, DK-2100 Copenhagen Ø, Denmark</w:t>
    </w:r>
    <w:r>
      <w:t> </w:t>
    </w:r>
    <w:r w:rsidRPr="00A47700">
      <w:t>Telephone: +45 45 33 70 00</w:t>
    </w:r>
    <w:r>
      <w:t> </w:t>
    </w:r>
    <w:r w:rsidRPr="00A47700">
      <w:t>Fax: +45 45 33 70 01</w:t>
    </w:r>
  </w:p>
  <w:p w14:paraId="08EE7BCF" w14:textId="77777777" w:rsidR="00F61C84" w:rsidRPr="00A47700" w:rsidRDefault="00F61C84" w:rsidP="00C10F4A">
    <w:pPr>
      <w:pStyle w:val="FooterFrontPageLine2ff"/>
    </w:pPr>
    <w:r w:rsidRPr="00A47700">
      <w:t>Email: eugovernance@who.int</w:t>
    </w:r>
    <w:r>
      <w:t> </w:t>
    </w:r>
    <w:r w:rsidRPr="00A47700">
      <w:t>Web: http://www.euro.who.int/en/who-we-are/governance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7BD0" w14:textId="77777777" w:rsidR="00F61C84" w:rsidRPr="00893BED" w:rsidRDefault="00F61C84" w:rsidP="00893B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A7735" w14:textId="77777777" w:rsidR="00FF6168" w:rsidRDefault="00FF6168" w:rsidP="00CB4156">
      <w:r>
        <w:separator/>
      </w:r>
    </w:p>
  </w:footnote>
  <w:footnote w:type="continuationSeparator" w:id="0">
    <w:p w14:paraId="73FD5B2D" w14:textId="77777777" w:rsidR="00FF6168" w:rsidRDefault="00FF6168" w:rsidP="00CB4156">
      <w:r>
        <w:continuationSeparator/>
      </w:r>
    </w:p>
  </w:footnote>
  <w:footnote w:id="1">
    <w:p w14:paraId="08EE7BD2" w14:textId="532E82A0" w:rsidR="00F61C84" w:rsidRPr="00C9271C" w:rsidRDefault="00F61C84" w:rsidP="009841BE">
      <w:pPr>
        <w:pStyle w:val="FootnoteText"/>
      </w:pPr>
      <w:r>
        <w:rPr>
          <w:rStyle w:val="FootnoteReference"/>
        </w:rPr>
        <w:footnoteRef/>
      </w:r>
      <w:r>
        <w:t xml:space="preserve"> </w:t>
      </w:r>
      <w:r w:rsidR="005B74D3">
        <w:t xml:space="preserve">Based on countries’ </w:t>
      </w:r>
      <w:r w:rsidR="005B74D3" w:rsidRPr="005B74D3">
        <w:t xml:space="preserve">hazards mapping, vulnerability and health </w:t>
      </w:r>
      <w:r w:rsidR="00683F92">
        <w:t>system maturity the following</w:t>
      </w:r>
      <w:r w:rsidR="005B74D3" w:rsidRPr="005B74D3">
        <w:t xml:space="preserve"> priority countries were selected:</w:t>
      </w:r>
      <w:r w:rsidR="005B74D3">
        <w:t xml:space="preserve"> </w:t>
      </w:r>
      <w:r>
        <w:t xml:space="preserve">Albania, Armenia, Azerbaijan, Bosnia and Herzegovina, Georgia, Kazakhstan, Kyrgyzstan, Republic of Moldova, Serbia, Tajikistan, </w:t>
      </w:r>
      <w:r w:rsidR="001E34B0" w:rsidRPr="001E34B0">
        <w:t>the former</w:t>
      </w:r>
      <w:r w:rsidR="001E34B0">
        <w:t xml:space="preserve"> Yugoslav Republic of Macedonia, Turkey, Ukraine and Uzbekistan.</w:t>
      </w:r>
    </w:p>
  </w:footnote>
  <w:footnote w:id="2">
    <w:p w14:paraId="34EFE5CD" w14:textId="1C2372B6" w:rsidR="00F61C84" w:rsidRDefault="00F61C84">
      <w:pPr>
        <w:pStyle w:val="FootnoteText"/>
      </w:pPr>
      <w:r>
        <w:rPr>
          <w:rStyle w:val="FootnoteReference"/>
        </w:rPr>
        <w:footnoteRef/>
      </w:r>
      <w:r>
        <w:t xml:space="preserve"> </w:t>
      </w:r>
      <w:r w:rsidRPr="001B272E">
        <w:t>In accordance with United Nations Security Council Resolution 1244 (1999).</w:t>
      </w:r>
    </w:p>
  </w:footnote>
  <w:footnote w:id="3">
    <w:p w14:paraId="08EE7BD3" w14:textId="77777777" w:rsidR="00F61C84" w:rsidRPr="00DA58FB" w:rsidRDefault="00F61C84" w:rsidP="009841BE">
      <w:pPr>
        <w:rPr>
          <w:sz w:val="20"/>
          <w:szCs w:val="20"/>
        </w:rPr>
      </w:pPr>
      <w:r>
        <w:rPr>
          <w:rStyle w:val="FootnoteReference"/>
          <w:sz w:val="20"/>
          <w:szCs w:val="20"/>
        </w:rPr>
        <w:footnoteRef/>
      </w:r>
      <w:r w:rsidRPr="004160FE">
        <w:rPr>
          <w:sz w:val="20"/>
          <w:szCs w:val="20"/>
        </w:rPr>
        <w:t xml:space="preserve"> </w:t>
      </w:r>
      <w:r w:rsidRPr="00051878">
        <w:rPr>
          <w:sz w:val="20"/>
          <w:szCs w:val="20"/>
        </w:rPr>
        <w:t xml:space="preserve">In adopting </w:t>
      </w:r>
      <w:r>
        <w:rPr>
          <w:sz w:val="20"/>
          <w:szCs w:val="20"/>
        </w:rPr>
        <w:t xml:space="preserve">the </w:t>
      </w:r>
      <w:r w:rsidRPr="00051878">
        <w:rPr>
          <w:sz w:val="20"/>
          <w:szCs w:val="20"/>
        </w:rPr>
        <w:t xml:space="preserve">IHR (2005), States Parties agreed to broaden the scope of the Regulations from specific infectious diseases to a risk-based approach </w:t>
      </w:r>
      <w:r>
        <w:rPr>
          <w:sz w:val="20"/>
          <w:szCs w:val="20"/>
        </w:rPr>
        <w:t>that</w:t>
      </w:r>
      <w:r w:rsidRPr="00051878">
        <w:rPr>
          <w:sz w:val="20"/>
          <w:szCs w:val="20"/>
        </w:rPr>
        <w:t xml:space="preserve"> includes biological, chemical, f</w:t>
      </w:r>
      <w:r>
        <w:rPr>
          <w:sz w:val="20"/>
          <w:szCs w:val="20"/>
        </w:rPr>
        <w:t>oodborne, radiological, nuclear</w:t>
      </w:r>
      <w:r w:rsidRPr="00051878">
        <w:rPr>
          <w:sz w:val="20"/>
          <w:szCs w:val="20"/>
        </w:rPr>
        <w:t xml:space="preserve"> and other hazards that might affect human health. </w:t>
      </w:r>
    </w:p>
  </w:footnote>
  <w:footnote w:id="4">
    <w:p w14:paraId="08EE7BD4" w14:textId="77777777" w:rsidR="00F61C84" w:rsidRPr="00DA58FB" w:rsidRDefault="00F61C84" w:rsidP="009841BE">
      <w:pPr>
        <w:pStyle w:val="FootnoteText"/>
      </w:pPr>
      <w:r>
        <w:rPr>
          <w:rStyle w:val="FootnoteReference"/>
        </w:rPr>
        <w:footnoteRef/>
      </w:r>
      <w:r>
        <w:t xml:space="preserve"> </w:t>
      </w:r>
      <w:r w:rsidRPr="00DA58FB">
        <w:t xml:space="preserve">The emergency management cycle illustrates the </w:t>
      </w:r>
      <w:r>
        <w:t>continuous</w:t>
      </w:r>
      <w:r w:rsidRPr="00DA58FB">
        <w:t xml:space="preserve"> process by which all organizations should plan for and reduce the impact of disasters, react during and i</w:t>
      </w:r>
      <w:r>
        <w:t>mmediately following a disaster</w:t>
      </w:r>
      <w:r w:rsidRPr="00DA58FB">
        <w:t xml:space="preserve"> and take steps to recover after a disaster has occurred.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7BC8" w14:textId="2D8E2407" w:rsidR="00F61C84" w:rsidRPr="005A1F9E" w:rsidRDefault="00491AC2" w:rsidP="000338EA">
    <w:pPr>
      <w:pStyle w:val="Header"/>
    </w:pPr>
    <w:fldSimple w:instr=" StyleRef &quot;Doc Number&quot; ">
      <w:r w:rsidR="004E2059">
        <w:rPr>
          <w:noProof/>
        </w:rPr>
        <w:t>EUR/12</w:t>
      </w:r>
    </w:fldSimple>
  </w:p>
  <w:p w14:paraId="08EE7BC9" w14:textId="10BF502C" w:rsidR="00F61C84" w:rsidRDefault="00F61C84" w:rsidP="000338EA">
    <w:pPr>
      <w:pStyle w:val="Header"/>
    </w:pPr>
    <w:r w:rsidRPr="005A1F9E">
      <w:t xml:space="preserve">page </w:t>
    </w:r>
    <w:r>
      <w:fldChar w:fldCharType="begin"/>
    </w:r>
    <w:r>
      <w:instrText xml:space="preserve"> PAGE </w:instrText>
    </w:r>
    <w:r>
      <w:fldChar w:fldCharType="separate"/>
    </w:r>
    <w:r w:rsidR="004E2059">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88C17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AE0ED1BC"/>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556805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DA25A7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DBAD3E6"/>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CB070F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C5392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4CC039A"/>
    <w:multiLevelType w:val="hybridMultilevel"/>
    <w:tmpl w:val="579A33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331569"/>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3712C3"/>
    <w:multiLevelType w:val="multilevel"/>
    <w:tmpl w:val="0406001D"/>
    <w:styleLink w:val="ListStyleTab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47215B"/>
    <w:multiLevelType w:val="hybridMultilevel"/>
    <w:tmpl w:val="2D6CF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47A07"/>
    <w:multiLevelType w:val="multilevel"/>
    <w:tmpl w:val="0ADE32CE"/>
    <w:styleLink w:val="ListStyleHeading"/>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lvlRestart w:val="0"/>
      <w:pStyle w:val="Heading6"/>
      <w:suff w:val="space"/>
      <w:lvlText w:val="Annex %6."/>
      <w:lvlJc w:val="center"/>
      <w:pPr>
        <w:ind w:left="851"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374F082B"/>
    <w:multiLevelType w:val="multilevel"/>
    <w:tmpl w:val="8D264FA4"/>
    <w:styleLink w:val="ListStyleNumber"/>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567"/>
        </w:tabs>
        <w:ind w:left="567" w:hanging="567"/>
      </w:pPr>
      <w:rPr>
        <w:rFonts w:hint="default"/>
      </w:rPr>
    </w:lvl>
    <w:lvl w:ilvl="2">
      <w:start w:val="1"/>
      <w:numFmt w:val="bullet"/>
      <w:pStyle w:val="ListNumber3"/>
      <w:lvlText w:val="•"/>
      <w:lvlJc w:val="left"/>
      <w:pPr>
        <w:tabs>
          <w:tab w:val="num" w:pos="1134"/>
        </w:tabs>
        <w:ind w:left="1134" w:hanging="567"/>
      </w:pPr>
      <w:rPr>
        <w:rFonts w:ascii="font311" w:hAnsi="font311" w:cs="Times New Roman" w:hint="default"/>
        <w:color w:val="auto"/>
      </w:rPr>
    </w:lvl>
    <w:lvl w:ilvl="3">
      <w:start w:val="1"/>
      <w:numFmt w:val="bullet"/>
      <w:pStyle w:val="ListNumber4"/>
      <w:lvlText w:val="–"/>
      <w:lvlJc w:val="left"/>
      <w:pPr>
        <w:tabs>
          <w:tab w:val="num" w:pos="1134"/>
        </w:tabs>
        <w:ind w:left="1134" w:hanging="567"/>
      </w:pPr>
      <w:rPr>
        <w:rFonts w:ascii="Times New Roman" w:hAnsi="Times New Roman" w:cs="Times New Roman" w:hint="default"/>
      </w:rPr>
    </w:lvl>
    <w:lvl w:ilvl="4">
      <w:start w:val="1"/>
      <w:numFmt w:val="none"/>
      <w:suff w:val="nothing"/>
      <w:lvlText w:val=""/>
      <w:lvlJc w:val="left"/>
      <w:pPr>
        <w:ind w:left="1134" w:hanging="567"/>
      </w:pPr>
      <w:rPr>
        <w:rFonts w:hint="default"/>
      </w:rPr>
    </w:lvl>
    <w:lvl w:ilvl="5">
      <w:start w:val="1"/>
      <w:numFmt w:val="none"/>
      <w:suff w:val="nothing"/>
      <w:lvlText w:val=""/>
      <w:lvlJc w:val="left"/>
      <w:pPr>
        <w:ind w:left="1134" w:hanging="567"/>
      </w:pPr>
      <w:rPr>
        <w:rFonts w:hint="default"/>
      </w:rPr>
    </w:lvl>
    <w:lvl w:ilvl="6">
      <w:start w:val="1"/>
      <w:numFmt w:val="none"/>
      <w:suff w:val="nothing"/>
      <w:lvlText w:val=""/>
      <w:lvlJc w:val="left"/>
      <w:pPr>
        <w:ind w:left="1134" w:hanging="567"/>
      </w:pPr>
      <w:rPr>
        <w:rFonts w:hint="default"/>
      </w:rPr>
    </w:lvl>
    <w:lvl w:ilvl="7">
      <w:start w:val="1"/>
      <w:numFmt w:val="none"/>
      <w:suff w:val="nothing"/>
      <w:lvlText w:val=""/>
      <w:lvlJc w:val="left"/>
      <w:pPr>
        <w:ind w:left="1134" w:hanging="567"/>
      </w:pPr>
      <w:rPr>
        <w:rFonts w:hint="default"/>
      </w:rPr>
    </w:lvl>
    <w:lvl w:ilvl="8">
      <w:start w:val="1"/>
      <w:numFmt w:val="none"/>
      <w:suff w:val="nothing"/>
      <w:lvlText w:val=""/>
      <w:lvlJc w:val="left"/>
      <w:pPr>
        <w:ind w:left="1134" w:hanging="567"/>
      </w:pPr>
      <w:rPr>
        <w:rFonts w:hint="default"/>
      </w:rPr>
    </w:lvl>
  </w:abstractNum>
  <w:abstractNum w:abstractNumId="13" w15:restartNumberingAfterBreak="0">
    <w:nsid w:val="37E8102B"/>
    <w:multiLevelType w:val="multilevel"/>
    <w:tmpl w:val="0ADE32CE"/>
    <w:numStyleLink w:val="ListStyleHeading"/>
  </w:abstractNum>
  <w:abstractNum w:abstractNumId="14" w15:restartNumberingAfterBreak="0">
    <w:nsid w:val="3F903BC7"/>
    <w:multiLevelType w:val="multilevel"/>
    <w:tmpl w:val="0A8AC386"/>
    <w:numStyleLink w:val="ListStyleParaNumber"/>
  </w:abstractNum>
  <w:abstractNum w:abstractNumId="15" w15:restartNumberingAfterBreak="0">
    <w:nsid w:val="425D2BCE"/>
    <w:multiLevelType w:val="multilevel"/>
    <w:tmpl w:val="0406001D"/>
    <w:styleLink w:val="ListSty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D9E740A"/>
    <w:multiLevelType w:val="multilevel"/>
    <w:tmpl w:val="D0D4091E"/>
    <w:styleLink w:val="ListStyleReference"/>
    <w:lvl w:ilvl="0">
      <w:start w:val="1"/>
      <w:numFmt w:val="decimal"/>
      <w:pStyle w:val="Reference"/>
      <w:lvlText w:val="(%1)"/>
      <w:lvlJc w:val="left"/>
      <w:pPr>
        <w:tabs>
          <w:tab w:val="num" w:pos="567"/>
        </w:tabs>
        <w:ind w:left="567" w:hanging="567"/>
      </w:pPr>
      <w:rPr>
        <w:rFonts w:hint="default"/>
        <w:position w:val="0"/>
      </w:rPr>
    </w:lvl>
    <w:lvl w:ilvl="1">
      <w:start w:val="1"/>
      <w:numFmt w:val="none"/>
      <w:lvlText w:val=""/>
      <w:lvlJc w:val="left"/>
      <w:pPr>
        <w:ind w:left="567" w:hanging="567"/>
      </w:pPr>
      <w:rPr>
        <w:rFonts w:hint="default"/>
      </w:rPr>
    </w:lvl>
    <w:lvl w:ilvl="2">
      <w:start w:val="1"/>
      <w:numFmt w:val="none"/>
      <w:lvlText w:val=""/>
      <w:lvlJc w:val="righ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540103A3"/>
    <w:multiLevelType w:val="multilevel"/>
    <w:tmpl w:val="8D16F326"/>
    <w:lvl w:ilvl="0">
      <w:start w:val="1"/>
      <w:numFmt w:val="none"/>
      <w:pStyle w:val="EndofDocument"/>
      <w:suff w:val="nothing"/>
      <w:lvlText w:val="=   =   ="/>
      <w:lvlJc w:val="left"/>
      <w:pPr>
        <w:ind w:left="0" w:firstLine="0"/>
      </w:pPr>
      <w:rPr>
        <w:rFonts w:hint="default"/>
        <w:color w:val="auto"/>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center"/>
      <w:pPr>
        <w:ind w:left="0" w:firstLine="0"/>
      </w:pPr>
      <w:rPr>
        <w:rFonts w:hint="default"/>
      </w:rPr>
    </w:lvl>
  </w:abstractNum>
  <w:abstractNum w:abstractNumId="18" w15:restartNumberingAfterBreak="0">
    <w:nsid w:val="6A5E58B6"/>
    <w:multiLevelType w:val="multilevel"/>
    <w:tmpl w:val="8D264FA4"/>
    <w:numStyleLink w:val="ListStyleNumber"/>
  </w:abstractNum>
  <w:abstractNum w:abstractNumId="19" w15:restartNumberingAfterBreak="0">
    <w:nsid w:val="6C8C0C78"/>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1" w15:restartNumberingAfterBreak="0">
    <w:nsid w:val="76C95006"/>
    <w:multiLevelType w:val="multilevel"/>
    <w:tmpl w:val="0406001D"/>
    <w:styleLink w:val="ListStyleTable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15"/>
  </w:num>
  <w:num w:numId="9">
    <w:abstractNumId w:val="12"/>
  </w:num>
  <w:num w:numId="10">
    <w:abstractNumId w:val="9"/>
  </w:num>
  <w:num w:numId="11">
    <w:abstractNumId w:val="21"/>
  </w:num>
  <w:num w:numId="12">
    <w:abstractNumId w:val="17"/>
  </w:num>
  <w:num w:numId="13">
    <w:abstractNumId w:val="19"/>
  </w:num>
  <w:num w:numId="14">
    <w:abstractNumId w:val="8"/>
  </w:num>
  <w:num w:numId="15">
    <w:abstractNumId w:val="6"/>
  </w:num>
  <w:num w:numId="16">
    <w:abstractNumId w:val="20"/>
  </w:num>
  <w:num w:numId="17">
    <w:abstractNumId w:val="13"/>
  </w:num>
  <w:num w:numId="18">
    <w:abstractNumId w:val="18"/>
  </w:num>
  <w:num w:numId="19">
    <w:abstractNumId w:val="16"/>
  </w:num>
  <w:num w:numId="20">
    <w:abstractNumId w:val="1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7"/>
  </w:num>
  <w:num w:numId="53">
    <w:abstractNumId w:val="18"/>
  </w:num>
  <w:num w:numId="54">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hyphenationZone w:val="425"/>
  <w:characterSpacingControl w:val="doNotCompress"/>
  <w:hdrShapeDefaults>
    <o:shapedefaults v:ext="edit" spidmax="2049"/>
  </w:hdrShapeDefaults>
  <w:footnotePr>
    <w:footnote w:id="-1"/>
    <w:footnote w:id="0"/>
  </w:footnotePr>
  <w:endnotePr>
    <w:endnote w:id="-1"/>
    <w:endnote w:id="0"/>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_Bullets" w:val="Black"/>
    <w:docVar w:name="Color_Shading" w:val="255,255,255"/>
    <w:docVar w:name="Color_TableBorders" w:val="Black"/>
    <w:docVar w:name="DocTools_XREF_AboveBelow_Heading custom" w:val="0"/>
    <w:docVar w:name="DocTools_XREF_ApplyStyleChk_Heading custom" w:val="0"/>
    <w:docVar w:name="DocTools_XREF_HiddenBookmarks_Heading custom" w:val="0"/>
    <w:docVar w:name="DocTools_XREF_Hyperlink_Heading custom" w:val="1"/>
    <w:docVar w:name="DocTools_XREF_Item" w:val="Annex 1.  _x0015_"/>
    <w:docVar w:name="DocTools_XREF_Item_Heading custom" w:val="Annex 1.  _x0015_"/>
    <w:docVar w:name="DocTools_XREF_Level1_Heading custom" w:val="1-3"/>
    <w:docVar w:name="DocTools_XREF_To" w:val="Number"/>
    <w:docVar w:name="DocTools_XREF_To_Heading custom" w:val="Number"/>
    <w:docVar w:name="DocTools_XREF_Type" w:val="Heading custom"/>
  </w:docVars>
  <w:rsids>
    <w:rsidRoot w:val="00E9399F"/>
    <w:rsid w:val="0002049B"/>
    <w:rsid w:val="00022705"/>
    <w:rsid w:val="000338EA"/>
    <w:rsid w:val="0003397D"/>
    <w:rsid w:val="0003768A"/>
    <w:rsid w:val="00042E96"/>
    <w:rsid w:val="00047494"/>
    <w:rsid w:val="000557DC"/>
    <w:rsid w:val="00055E6F"/>
    <w:rsid w:val="00057F1D"/>
    <w:rsid w:val="00061569"/>
    <w:rsid w:val="000717A8"/>
    <w:rsid w:val="00094918"/>
    <w:rsid w:val="000A02EA"/>
    <w:rsid w:val="000A0F97"/>
    <w:rsid w:val="000A5FF9"/>
    <w:rsid w:val="000B108B"/>
    <w:rsid w:val="000C27C0"/>
    <w:rsid w:val="000C54D3"/>
    <w:rsid w:val="000D1E81"/>
    <w:rsid w:val="000D3F2E"/>
    <w:rsid w:val="000D4000"/>
    <w:rsid w:val="000D59B5"/>
    <w:rsid w:val="000E0786"/>
    <w:rsid w:val="000E2F18"/>
    <w:rsid w:val="000E5BDE"/>
    <w:rsid w:val="000E6332"/>
    <w:rsid w:val="000E6AF5"/>
    <w:rsid w:val="00102551"/>
    <w:rsid w:val="001036BF"/>
    <w:rsid w:val="00104DE2"/>
    <w:rsid w:val="00106091"/>
    <w:rsid w:val="00120091"/>
    <w:rsid w:val="001269CD"/>
    <w:rsid w:val="001320A6"/>
    <w:rsid w:val="00144BF0"/>
    <w:rsid w:val="00145338"/>
    <w:rsid w:val="00147AA5"/>
    <w:rsid w:val="00150270"/>
    <w:rsid w:val="00157077"/>
    <w:rsid w:val="001607CD"/>
    <w:rsid w:val="001614A8"/>
    <w:rsid w:val="00161A3E"/>
    <w:rsid w:val="00161B30"/>
    <w:rsid w:val="00166A55"/>
    <w:rsid w:val="00174C27"/>
    <w:rsid w:val="00174CD0"/>
    <w:rsid w:val="00177AEF"/>
    <w:rsid w:val="00194776"/>
    <w:rsid w:val="00195724"/>
    <w:rsid w:val="001A36CB"/>
    <w:rsid w:val="001A5896"/>
    <w:rsid w:val="001B0C18"/>
    <w:rsid w:val="001B239D"/>
    <w:rsid w:val="001B272E"/>
    <w:rsid w:val="001B6526"/>
    <w:rsid w:val="001C2FAF"/>
    <w:rsid w:val="001D2778"/>
    <w:rsid w:val="001D5A10"/>
    <w:rsid w:val="001E34B0"/>
    <w:rsid w:val="001F6DCC"/>
    <w:rsid w:val="002003DC"/>
    <w:rsid w:val="002007A0"/>
    <w:rsid w:val="002031AE"/>
    <w:rsid w:val="00210991"/>
    <w:rsid w:val="00214926"/>
    <w:rsid w:val="00215F36"/>
    <w:rsid w:val="00217FF7"/>
    <w:rsid w:val="0022159E"/>
    <w:rsid w:val="00224577"/>
    <w:rsid w:val="002257F4"/>
    <w:rsid w:val="00236442"/>
    <w:rsid w:val="0024127F"/>
    <w:rsid w:val="002422F2"/>
    <w:rsid w:val="00243568"/>
    <w:rsid w:val="00246F02"/>
    <w:rsid w:val="00253857"/>
    <w:rsid w:val="002542BF"/>
    <w:rsid w:val="00256277"/>
    <w:rsid w:val="00257B42"/>
    <w:rsid w:val="0026060B"/>
    <w:rsid w:val="002622AF"/>
    <w:rsid w:val="00264D87"/>
    <w:rsid w:val="00273708"/>
    <w:rsid w:val="0027526D"/>
    <w:rsid w:val="0028111C"/>
    <w:rsid w:val="00282D0D"/>
    <w:rsid w:val="00284D7D"/>
    <w:rsid w:val="0028687E"/>
    <w:rsid w:val="00295110"/>
    <w:rsid w:val="002A1495"/>
    <w:rsid w:val="002A3322"/>
    <w:rsid w:val="002A4AF2"/>
    <w:rsid w:val="002A78B7"/>
    <w:rsid w:val="002B0F12"/>
    <w:rsid w:val="002C03D7"/>
    <w:rsid w:val="002C60F2"/>
    <w:rsid w:val="002C7AED"/>
    <w:rsid w:val="002E1797"/>
    <w:rsid w:val="002E248F"/>
    <w:rsid w:val="002F0417"/>
    <w:rsid w:val="002F2B15"/>
    <w:rsid w:val="002F2E3C"/>
    <w:rsid w:val="002F352E"/>
    <w:rsid w:val="002F367C"/>
    <w:rsid w:val="002F62B5"/>
    <w:rsid w:val="002F64EC"/>
    <w:rsid w:val="00300265"/>
    <w:rsid w:val="00304332"/>
    <w:rsid w:val="00322A82"/>
    <w:rsid w:val="00323403"/>
    <w:rsid w:val="00337035"/>
    <w:rsid w:val="00343F89"/>
    <w:rsid w:val="003445C8"/>
    <w:rsid w:val="00346112"/>
    <w:rsid w:val="0034704C"/>
    <w:rsid w:val="0035368F"/>
    <w:rsid w:val="003549A9"/>
    <w:rsid w:val="0035705D"/>
    <w:rsid w:val="00360732"/>
    <w:rsid w:val="0036496D"/>
    <w:rsid w:val="003655E4"/>
    <w:rsid w:val="00376A80"/>
    <w:rsid w:val="00376C35"/>
    <w:rsid w:val="00380D16"/>
    <w:rsid w:val="0038119B"/>
    <w:rsid w:val="0038217B"/>
    <w:rsid w:val="003840C2"/>
    <w:rsid w:val="003842A0"/>
    <w:rsid w:val="00384D84"/>
    <w:rsid w:val="003863A9"/>
    <w:rsid w:val="0039489D"/>
    <w:rsid w:val="00394940"/>
    <w:rsid w:val="00394B8F"/>
    <w:rsid w:val="00394FB5"/>
    <w:rsid w:val="003B7EF8"/>
    <w:rsid w:val="003C4763"/>
    <w:rsid w:val="003C67F1"/>
    <w:rsid w:val="003D0FBF"/>
    <w:rsid w:val="003D3258"/>
    <w:rsid w:val="003D44CE"/>
    <w:rsid w:val="003D78FF"/>
    <w:rsid w:val="003F7858"/>
    <w:rsid w:val="0040118F"/>
    <w:rsid w:val="00401449"/>
    <w:rsid w:val="00401ECD"/>
    <w:rsid w:val="00405504"/>
    <w:rsid w:val="00407258"/>
    <w:rsid w:val="00411299"/>
    <w:rsid w:val="004205AB"/>
    <w:rsid w:val="00421DB7"/>
    <w:rsid w:val="00423FF1"/>
    <w:rsid w:val="00427285"/>
    <w:rsid w:val="00427983"/>
    <w:rsid w:val="00431029"/>
    <w:rsid w:val="00431F2F"/>
    <w:rsid w:val="0043300D"/>
    <w:rsid w:val="0043422A"/>
    <w:rsid w:val="004362DE"/>
    <w:rsid w:val="00440D44"/>
    <w:rsid w:val="00442008"/>
    <w:rsid w:val="00452BC3"/>
    <w:rsid w:val="004549ED"/>
    <w:rsid w:val="004608BF"/>
    <w:rsid w:val="00461F0A"/>
    <w:rsid w:val="004648A9"/>
    <w:rsid w:val="004654CC"/>
    <w:rsid w:val="00465D37"/>
    <w:rsid w:val="00467FBA"/>
    <w:rsid w:val="0047205C"/>
    <w:rsid w:val="004725AB"/>
    <w:rsid w:val="004746AD"/>
    <w:rsid w:val="00475421"/>
    <w:rsid w:val="00475DA5"/>
    <w:rsid w:val="00476C99"/>
    <w:rsid w:val="004800CE"/>
    <w:rsid w:val="00480557"/>
    <w:rsid w:val="00481B65"/>
    <w:rsid w:val="00481E00"/>
    <w:rsid w:val="00484AEB"/>
    <w:rsid w:val="00491AC2"/>
    <w:rsid w:val="004A0E63"/>
    <w:rsid w:val="004A2FAF"/>
    <w:rsid w:val="004A3FB7"/>
    <w:rsid w:val="004A6C01"/>
    <w:rsid w:val="004B0755"/>
    <w:rsid w:val="004B5EFA"/>
    <w:rsid w:val="004B72A1"/>
    <w:rsid w:val="004B7331"/>
    <w:rsid w:val="004C6115"/>
    <w:rsid w:val="004D3C95"/>
    <w:rsid w:val="004D5B5E"/>
    <w:rsid w:val="004E2059"/>
    <w:rsid w:val="004E5A68"/>
    <w:rsid w:val="004E61BA"/>
    <w:rsid w:val="004E61C7"/>
    <w:rsid w:val="004F1244"/>
    <w:rsid w:val="004F5059"/>
    <w:rsid w:val="00503199"/>
    <w:rsid w:val="00505F22"/>
    <w:rsid w:val="00507A48"/>
    <w:rsid w:val="00507C4B"/>
    <w:rsid w:val="00510B36"/>
    <w:rsid w:val="00516806"/>
    <w:rsid w:val="005169FF"/>
    <w:rsid w:val="00516BEE"/>
    <w:rsid w:val="00517FB1"/>
    <w:rsid w:val="00522C5A"/>
    <w:rsid w:val="005246C8"/>
    <w:rsid w:val="00526253"/>
    <w:rsid w:val="005315AB"/>
    <w:rsid w:val="005344CB"/>
    <w:rsid w:val="00534D12"/>
    <w:rsid w:val="005352F5"/>
    <w:rsid w:val="0053765A"/>
    <w:rsid w:val="00543AC6"/>
    <w:rsid w:val="0054558C"/>
    <w:rsid w:val="00550470"/>
    <w:rsid w:val="00553C50"/>
    <w:rsid w:val="00556139"/>
    <w:rsid w:val="0055697B"/>
    <w:rsid w:val="00561BAA"/>
    <w:rsid w:val="005627DA"/>
    <w:rsid w:val="0056762E"/>
    <w:rsid w:val="00571067"/>
    <w:rsid w:val="00575758"/>
    <w:rsid w:val="005802F5"/>
    <w:rsid w:val="0059410B"/>
    <w:rsid w:val="0059722C"/>
    <w:rsid w:val="005A169A"/>
    <w:rsid w:val="005A1F9E"/>
    <w:rsid w:val="005A290B"/>
    <w:rsid w:val="005A5A8F"/>
    <w:rsid w:val="005A6A68"/>
    <w:rsid w:val="005A7017"/>
    <w:rsid w:val="005B74D3"/>
    <w:rsid w:val="005C160B"/>
    <w:rsid w:val="005C28D4"/>
    <w:rsid w:val="005C2F9D"/>
    <w:rsid w:val="005C62FB"/>
    <w:rsid w:val="005D1D27"/>
    <w:rsid w:val="005D26CB"/>
    <w:rsid w:val="005D3E68"/>
    <w:rsid w:val="005D4C33"/>
    <w:rsid w:val="005D5327"/>
    <w:rsid w:val="005D6486"/>
    <w:rsid w:val="005E116E"/>
    <w:rsid w:val="005E1333"/>
    <w:rsid w:val="005F0C8F"/>
    <w:rsid w:val="005F63A1"/>
    <w:rsid w:val="00602563"/>
    <w:rsid w:val="00602C64"/>
    <w:rsid w:val="006033F3"/>
    <w:rsid w:val="00627935"/>
    <w:rsid w:val="00634685"/>
    <w:rsid w:val="00644015"/>
    <w:rsid w:val="00646114"/>
    <w:rsid w:val="006472DC"/>
    <w:rsid w:val="00656652"/>
    <w:rsid w:val="006622CF"/>
    <w:rsid w:val="00667D36"/>
    <w:rsid w:val="00671AD1"/>
    <w:rsid w:val="006731BB"/>
    <w:rsid w:val="00680435"/>
    <w:rsid w:val="006814D9"/>
    <w:rsid w:val="00683F92"/>
    <w:rsid w:val="00685CCB"/>
    <w:rsid w:val="00691518"/>
    <w:rsid w:val="006948E5"/>
    <w:rsid w:val="006A0814"/>
    <w:rsid w:val="006A25A3"/>
    <w:rsid w:val="006A3347"/>
    <w:rsid w:val="006B327F"/>
    <w:rsid w:val="006B6B16"/>
    <w:rsid w:val="006B7339"/>
    <w:rsid w:val="006D1AC7"/>
    <w:rsid w:val="006D35C7"/>
    <w:rsid w:val="006D4189"/>
    <w:rsid w:val="006E2B93"/>
    <w:rsid w:val="006E4E13"/>
    <w:rsid w:val="006F0752"/>
    <w:rsid w:val="00700931"/>
    <w:rsid w:val="00703203"/>
    <w:rsid w:val="00705540"/>
    <w:rsid w:val="00710EA6"/>
    <w:rsid w:val="0071116C"/>
    <w:rsid w:val="00717063"/>
    <w:rsid w:val="00717AFF"/>
    <w:rsid w:val="007209B6"/>
    <w:rsid w:val="0072126C"/>
    <w:rsid w:val="00722ADD"/>
    <w:rsid w:val="00733FF6"/>
    <w:rsid w:val="00736063"/>
    <w:rsid w:val="00741F35"/>
    <w:rsid w:val="00755FE0"/>
    <w:rsid w:val="00766031"/>
    <w:rsid w:val="007667E6"/>
    <w:rsid w:val="00772A60"/>
    <w:rsid w:val="007803B0"/>
    <w:rsid w:val="00780E01"/>
    <w:rsid w:val="00786992"/>
    <w:rsid w:val="007A3D6B"/>
    <w:rsid w:val="007A456A"/>
    <w:rsid w:val="007A7F14"/>
    <w:rsid w:val="007B038D"/>
    <w:rsid w:val="007B0992"/>
    <w:rsid w:val="007B3739"/>
    <w:rsid w:val="007B37FD"/>
    <w:rsid w:val="007B7008"/>
    <w:rsid w:val="007C498E"/>
    <w:rsid w:val="007D5115"/>
    <w:rsid w:val="007D54FB"/>
    <w:rsid w:val="007E5EE8"/>
    <w:rsid w:val="007E693B"/>
    <w:rsid w:val="007F2224"/>
    <w:rsid w:val="007F4651"/>
    <w:rsid w:val="00802018"/>
    <w:rsid w:val="0080458E"/>
    <w:rsid w:val="00810577"/>
    <w:rsid w:val="0081407C"/>
    <w:rsid w:val="00816436"/>
    <w:rsid w:val="00820274"/>
    <w:rsid w:val="008245C3"/>
    <w:rsid w:val="00824B7E"/>
    <w:rsid w:val="008251D6"/>
    <w:rsid w:val="00827529"/>
    <w:rsid w:val="008326B1"/>
    <w:rsid w:val="0084018A"/>
    <w:rsid w:val="0084061A"/>
    <w:rsid w:val="00846EF6"/>
    <w:rsid w:val="00853984"/>
    <w:rsid w:val="00855F15"/>
    <w:rsid w:val="0085755D"/>
    <w:rsid w:val="00860D47"/>
    <w:rsid w:val="0087131D"/>
    <w:rsid w:val="00871547"/>
    <w:rsid w:val="00875197"/>
    <w:rsid w:val="0087781A"/>
    <w:rsid w:val="0088753E"/>
    <w:rsid w:val="00892C1B"/>
    <w:rsid w:val="00893BED"/>
    <w:rsid w:val="008A37FB"/>
    <w:rsid w:val="008C679A"/>
    <w:rsid w:val="008D2A3F"/>
    <w:rsid w:val="008D45B4"/>
    <w:rsid w:val="008D59C3"/>
    <w:rsid w:val="008E1205"/>
    <w:rsid w:val="008E26C9"/>
    <w:rsid w:val="008F04BE"/>
    <w:rsid w:val="008F574B"/>
    <w:rsid w:val="00906172"/>
    <w:rsid w:val="0091681B"/>
    <w:rsid w:val="00922013"/>
    <w:rsid w:val="009229ED"/>
    <w:rsid w:val="00925160"/>
    <w:rsid w:val="00927335"/>
    <w:rsid w:val="00930ABD"/>
    <w:rsid w:val="00930D37"/>
    <w:rsid w:val="00935641"/>
    <w:rsid w:val="00937EF7"/>
    <w:rsid w:val="00940465"/>
    <w:rsid w:val="009426F4"/>
    <w:rsid w:val="00945B49"/>
    <w:rsid w:val="00946CA6"/>
    <w:rsid w:val="00952D81"/>
    <w:rsid w:val="00952D89"/>
    <w:rsid w:val="00957B1F"/>
    <w:rsid w:val="00961ECF"/>
    <w:rsid w:val="00963B05"/>
    <w:rsid w:val="00971060"/>
    <w:rsid w:val="00972F5C"/>
    <w:rsid w:val="00975F3E"/>
    <w:rsid w:val="00976724"/>
    <w:rsid w:val="009771D7"/>
    <w:rsid w:val="00980567"/>
    <w:rsid w:val="009834E2"/>
    <w:rsid w:val="009841BE"/>
    <w:rsid w:val="00985D02"/>
    <w:rsid w:val="00986528"/>
    <w:rsid w:val="00986D2A"/>
    <w:rsid w:val="009974C2"/>
    <w:rsid w:val="009975FA"/>
    <w:rsid w:val="009A1FC3"/>
    <w:rsid w:val="009A2282"/>
    <w:rsid w:val="009A2B0C"/>
    <w:rsid w:val="009A7E52"/>
    <w:rsid w:val="009B1BEE"/>
    <w:rsid w:val="009B28CD"/>
    <w:rsid w:val="009C3149"/>
    <w:rsid w:val="009C3620"/>
    <w:rsid w:val="009D5BD6"/>
    <w:rsid w:val="009E28A5"/>
    <w:rsid w:val="009F769D"/>
    <w:rsid w:val="00A0004A"/>
    <w:rsid w:val="00A04749"/>
    <w:rsid w:val="00A06192"/>
    <w:rsid w:val="00A076F5"/>
    <w:rsid w:val="00A1159D"/>
    <w:rsid w:val="00A11796"/>
    <w:rsid w:val="00A139C3"/>
    <w:rsid w:val="00A13F58"/>
    <w:rsid w:val="00A20128"/>
    <w:rsid w:val="00A203DD"/>
    <w:rsid w:val="00A26050"/>
    <w:rsid w:val="00A30F2B"/>
    <w:rsid w:val="00A31E25"/>
    <w:rsid w:val="00A33704"/>
    <w:rsid w:val="00A3517D"/>
    <w:rsid w:val="00A35B61"/>
    <w:rsid w:val="00A35D87"/>
    <w:rsid w:val="00A407F3"/>
    <w:rsid w:val="00A426D7"/>
    <w:rsid w:val="00A43548"/>
    <w:rsid w:val="00A45D64"/>
    <w:rsid w:val="00A47700"/>
    <w:rsid w:val="00A479BA"/>
    <w:rsid w:val="00A63ED3"/>
    <w:rsid w:val="00A66573"/>
    <w:rsid w:val="00A701DB"/>
    <w:rsid w:val="00A83E06"/>
    <w:rsid w:val="00A85066"/>
    <w:rsid w:val="00A903D7"/>
    <w:rsid w:val="00A96219"/>
    <w:rsid w:val="00A977BF"/>
    <w:rsid w:val="00AA0A54"/>
    <w:rsid w:val="00AB2DC1"/>
    <w:rsid w:val="00AB3487"/>
    <w:rsid w:val="00AB3B6E"/>
    <w:rsid w:val="00AB52E9"/>
    <w:rsid w:val="00AB6AC8"/>
    <w:rsid w:val="00AB7369"/>
    <w:rsid w:val="00AC186E"/>
    <w:rsid w:val="00AC2DA0"/>
    <w:rsid w:val="00AC5D14"/>
    <w:rsid w:val="00AD08AD"/>
    <w:rsid w:val="00AD297B"/>
    <w:rsid w:val="00AD2D82"/>
    <w:rsid w:val="00AE0C4D"/>
    <w:rsid w:val="00AE2DF6"/>
    <w:rsid w:val="00AE2E27"/>
    <w:rsid w:val="00AE7187"/>
    <w:rsid w:val="00AE71C8"/>
    <w:rsid w:val="00AF395E"/>
    <w:rsid w:val="00B003A6"/>
    <w:rsid w:val="00B0126F"/>
    <w:rsid w:val="00B01786"/>
    <w:rsid w:val="00B01EA7"/>
    <w:rsid w:val="00B110F1"/>
    <w:rsid w:val="00B1371A"/>
    <w:rsid w:val="00B13761"/>
    <w:rsid w:val="00B3637B"/>
    <w:rsid w:val="00B37D63"/>
    <w:rsid w:val="00B41E5F"/>
    <w:rsid w:val="00B42DA6"/>
    <w:rsid w:val="00B43F06"/>
    <w:rsid w:val="00B4419E"/>
    <w:rsid w:val="00B519F0"/>
    <w:rsid w:val="00B53730"/>
    <w:rsid w:val="00B57354"/>
    <w:rsid w:val="00B654FC"/>
    <w:rsid w:val="00B67758"/>
    <w:rsid w:val="00B76724"/>
    <w:rsid w:val="00B779C3"/>
    <w:rsid w:val="00B91616"/>
    <w:rsid w:val="00B95108"/>
    <w:rsid w:val="00B96A2D"/>
    <w:rsid w:val="00BA45C4"/>
    <w:rsid w:val="00BB17C2"/>
    <w:rsid w:val="00BB20D4"/>
    <w:rsid w:val="00BC0466"/>
    <w:rsid w:val="00BC7B3A"/>
    <w:rsid w:val="00BD5713"/>
    <w:rsid w:val="00BE1E09"/>
    <w:rsid w:val="00BE207A"/>
    <w:rsid w:val="00BE211D"/>
    <w:rsid w:val="00BE510F"/>
    <w:rsid w:val="00BF3468"/>
    <w:rsid w:val="00BF7A82"/>
    <w:rsid w:val="00C02E7F"/>
    <w:rsid w:val="00C03583"/>
    <w:rsid w:val="00C05B1B"/>
    <w:rsid w:val="00C07C9F"/>
    <w:rsid w:val="00C10F4A"/>
    <w:rsid w:val="00C15AFE"/>
    <w:rsid w:val="00C1701A"/>
    <w:rsid w:val="00C17A78"/>
    <w:rsid w:val="00C30ED4"/>
    <w:rsid w:val="00C336BC"/>
    <w:rsid w:val="00C36AE8"/>
    <w:rsid w:val="00C4524A"/>
    <w:rsid w:val="00C611A3"/>
    <w:rsid w:val="00C64F34"/>
    <w:rsid w:val="00C6799E"/>
    <w:rsid w:val="00C70E25"/>
    <w:rsid w:val="00C726BA"/>
    <w:rsid w:val="00C74957"/>
    <w:rsid w:val="00C76ABE"/>
    <w:rsid w:val="00C858BE"/>
    <w:rsid w:val="00C87004"/>
    <w:rsid w:val="00C87726"/>
    <w:rsid w:val="00C91CF2"/>
    <w:rsid w:val="00C9362F"/>
    <w:rsid w:val="00C93C5E"/>
    <w:rsid w:val="00C96E32"/>
    <w:rsid w:val="00CA1D61"/>
    <w:rsid w:val="00CA27D9"/>
    <w:rsid w:val="00CA521F"/>
    <w:rsid w:val="00CB4156"/>
    <w:rsid w:val="00CC3497"/>
    <w:rsid w:val="00CC4D0D"/>
    <w:rsid w:val="00CC639F"/>
    <w:rsid w:val="00CD0B6E"/>
    <w:rsid w:val="00CD23AD"/>
    <w:rsid w:val="00CF7C7C"/>
    <w:rsid w:val="00CF7ED2"/>
    <w:rsid w:val="00D00132"/>
    <w:rsid w:val="00D03AC8"/>
    <w:rsid w:val="00D062A3"/>
    <w:rsid w:val="00D16E24"/>
    <w:rsid w:val="00D20027"/>
    <w:rsid w:val="00D25F08"/>
    <w:rsid w:val="00D26ADB"/>
    <w:rsid w:val="00D314B6"/>
    <w:rsid w:val="00D31882"/>
    <w:rsid w:val="00D31D2A"/>
    <w:rsid w:val="00D35813"/>
    <w:rsid w:val="00D37AC5"/>
    <w:rsid w:val="00D46DB5"/>
    <w:rsid w:val="00D508EF"/>
    <w:rsid w:val="00D52937"/>
    <w:rsid w:val="00D5496F"/>
    <w:rsid w:val="00D6217B"/>
    <w:rsid w:val="00D63453"/>
    <w:rsid w:val="00D63518"/>
    <w:rsid w:val="00D641B6"/>
    <w:rsid w:val="00D6545C"/>
    <w:rsid w:val="00D66837"/>
    <w:rsid w:val="00D67F2E"/>
    <w:rsid w:val="00D82864"/>
    <w:rsid w:val="00D82CE5"/>
    <w:rsid w:val="00D85AB6"/>
    <w:rsid w:val="00D85F66"/>
    <w:rsid w:val="00D91FAE"/>
    <w:rsid w:val="00D94ED9"/>
    <w:rsid w:val="00D96E4B"/>
    <w:rsid w:val="00DA0058"/>
    <w:rsid w:val="00DA1087"/>
    <w:rsid w:val="00DA29BE"/>
    <w:rsid w:val="00DA6DDD"/>
    <w:rsid w:val="00DB5B36"/>
    <w:rsid w:val="00DB69D4"/>
    <w:rsid w:val="00DC0E5D"/>
    <w:rsid w:val="00DD27C9"/>
    <w:rsid w:val="00DD3DB7"/>
    <w:rsid w:val="00DD4856"/>
    <w:rsid w:val="00DD6503"/>
    <w:rsid w:val="00DD68FF"/>
    <w:rsid w:val="00DE0E92"/>
    <w:rsid w:val="00DE255D"/>
    <w:rsid w:val="00DE6604"/>
    <w:rsid w:val="00DE7560"/>
    <w:rsid w:val="00DE78A5"/>
    <w:rsid w:val="00DF12BD"/>
    <w:rsid w:val="00E02684"/>
    <w:rsid w:val="00E07A3D"/>
    <w:rsid w:val="00E139FE"/>
    <w:rsid w:val="00E22152"/>
    <w:rsid w:val="00E22F5F"/>
    <w:rsid w:val="00E3095E"/>
    <w:rsid w:val="00E31BAE"/>
    <w:rsid w:val="00E45235"/>
    <w:rsid w:val="00E46233"/>
    <w:rsid w:val="00E55CF9"/>
    <w:rsid w:val="00E6133A"/>
    <w:rsid w:val="00E61D41"/>
    <w:rsid w:val="00E639D7"/>
    <w:rsid w:val="00E64ACD"/>
    <w:rsid w:val="00E66227"/>
    <w:rsid w:val="00E66C9F"/>
    <w:rsid w:val="00E71718"/>
    <w:rsid w:val="00E73895"/>
    <w:rsid w:val="00E75433"/>
    <w:rsid w:val="00E76471"/>
    <w:rsid w:val="00E81336"/>
    <w:rsid w:val="00E84E56"/>
    <w:rsid w:val="00E91F63"/>
    <w:rsid w:val="00E9399F"/>
    <w:rsid w:val="00EA5D8A"/>
    <w:rsid w:val="00EA7467"/>
    <w:rsid w:val="00EB3C82"/>
    <w:rsid w:val="00EC4019"/>
    <w:rsid w:val="00ED160A"/>
    <w:rsid w:val="00ED3E95"/>
    <w:rsid w:val="00ED6135"/>
    <w:rsid w:val="00ED6C78"/>
    <w:rsid w:val="00ED7FBA"/>
    <w:rsid w:val="00EE31B6"/>
    <w:rsid w:val="00EE4036"/>
    <w:rsid w:val="00F03B44"/>
    <w:rsid w:val="00F15DF7"/>
    <w:rsid w:val="00F1651E"/>
    <w:rsid w:val="00F24C80"/>
    <w:rsid w:val="00F42811"/>
    <w:rsid w:val="00F442B0"/>
    <w:rsid w:val="00F45454"/>
    <w:rsid w:val="00F524F4"/>
    <w:rsid w:val="00F54537"/>
    <w:rsid w:val="00F54F36"/>
    <w:rsid w:val="00F56CBC"/>
    <w:rsid w:val="00F61C84"/>
    <w:rsid w:val="00F63A76"/>
    <w:rsid w:val="00F6473F"/>
    <w:rsid w:val="00F70420"/>
    <w:rsid w:val="00F76CA4"/>
    <w:rsid w:val="00F801FB"/>
    <w:rsid w:val="00F904F0"/>
    <w:rsid w:val="00F96DB2"/>
    <w:rsid w:val="00F97576"/>
    <w:rsid w:val="00FA09E4"/>
    <w:rsid w:val="00FA3E9C"/>
    <w:rsid w:val="00FA3F96"/>
    <w:rsid w:val="00FA79D6"/>
    <w:rsid w:val="00FB1FD7"/>
    <w:rsid w:val="00FB45D9"/>
    <w:rsid w:val="00FB4FD1"/>
    <w:rsid w:val="00FB5ACF"/>
    <w:rsid w:val="00FC3553"/>
    <w:rsid w:val="00FC3778"/>
    <w:rsid w:val="00FC59E9"/>
    <w:rsid w:val="00FD251B"/>
    <w:rsid w:val="00FD3188"/>
    <w:rsid w:val="00FD4858"/>
    <w:rsid w:val="00FD5BD6"/>
    <w:rsid w:val="00FE026C"/>
    <w:rsid w:val="00FE2344"/>
    <w:rsid w:val="00FF0B26"/>
    <w:rsid w:val="00FF0E9C"/>
    <w:rsid w:val="00FF388D"/>
    <w:rsid w:val="00FF61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E7AC5"/>
  <w15:docId w15:val="{05E12C4C-38C6-4E44-AD28-532D177E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font311"/>
        <w:sz w:val="24"/>
        <w:szCs w:val="24"/>
        <w:lang w:val="en-US" w:eastAsia="en-US" w:bidi="ar-SA"/>
      </w:rPr>
    </w:rPrDefault>
    <w:pPrDefault/>
  </w:docDefaults>
  <w:latentStyles w:defLockedState="0" w:defUIPriority="99" w:defSemiHidden="0" w:defUnhideWhenUsed="0" w:defQFormat="0" w:count="371">
    <w:lsdException w:name="heading 1" w:uiPriority="13" w:qFormat="1"/>
    <w:lsdException w:name="heading 2" w:semiHidden="1" w:uiPriority="14" w:unhideWhenUsed="1" w:qFormat="1"/>
    <w:lsdException w:name="heading 3" w:semiHidden="1" w:uiPriority="15" w:unhideWhenUsed="1" w:qFormat="1"/>
    <w:lsdException w:name="heading 4" w:semiHidden="1" w:uiPriority="16" w:unhideWhenUsed="1" w:qFormat="1"/>
    <w:lsdException w:name="heading 5" w:semiHidden="1" w:unhideWhenUsed="1"/>
    <w:lsdException w:name="heading 6" w:semiHidden="1" w:uiPriority="17" w:unhideWhenUsed="1" w:qFormat="1"/>
    <w:lsdException w:name="heading 7" w:semiHidden="1" w:uiPriority="18" w:unhideWhenUsed="1" w:qFormat="1"/>
    <w:lsdException w:name="heading 8" w:semiHidden="1" w:uiPriority="19" w:unhideWhenUsed="1" w:qFormat="1"/>
    <w:lsdException w:name="heading 9" w:semiHidden="1" w:uiPriority="2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9" w:unhideWhenUsed="1"/>
    <w:lsdException w:name="annotation text" w:semiHidden="1" w:unhideWhenUsed="1"/>
    <w:lsdException w:name="header" w:semiHidden="1" w:uiPriority="35" w:unhideWhenUsed="1"/>
    <w:lsdException w:name="footer" w:semiHidden="1" w:uiPriority="36" w:unhideWhenUsed="1"/>
    <w:lsdException w:name="index heading" w:semiHidden="1" w:unhideWhenUsed="1"/>
    <w:lsdException w:name="caption" w:semiHidden="1" w:uiPriority="33" w:unhideWhenUsed="1"/>
    <w:lsdException w:name="table of figures" w:semiHidden="1" w:unhideWhenUsed="1"/>
    <w:lsdException w:name="envelope addres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semiHidden="1" w:unhideWhenUsed="1"/>
    <w:lsdException w:name="endnote reference" w:semiHidden="1" w:uiPriority="30" w:unhideWhenUsed="1"/>
    <w:lsdException w:name="endnote text" w:semiHidden="1" w:uiPriority="3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iPriority="5"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84018A"/>
  </w:style>
  <w:style w:type="paragraph" w:styleId="Heading1">
    <w:name w:val="heading 1"/>
    <w:next w:val="ParaNumber"/>
    <w:link w:val="Heading1Char"/>
    <w:uiPriority w:val="12"/>
    <w:unhideWhenUsed/>
    <w:qFormat/>
    <w:rsid w:val="0087131D"/>
    <w:pPr>
      <w:keepNext/>
      <w:keepLines/>
      <w:numPr>
        <w:numId w:val="17"/>
      </w:numPr>
      <w:suppressAutoHyphens/>
      <w:spacing w:before="480"/>
      <w:outlineLvl w:val="0"/>
    </w:pPr>
    <w:rPr>
      <w:rFonts w:ascii="Arial" w:eastAsiaTheme="majorEastAsia" w:hAnsi="Arial" w:cs="Arial"/>
      <w:b/>
      <w:bCs/>
      <w:sz w:val="28"/>
      <w:szCs w:val="28"/>
    </w:rPr>
  </w:style>
  <w:style w:type="paragraph" w:styleId="Heading2">
    <w:name w:val="heading 2"/>
    <w:next w:val="ParaNumber"/>
    <w:link w:val="Heading2Char"/>
    <w:uiPriority w:val="13"/>
    <w:unhideWhenUsed/>
    <w:qFormat/>
    <w:rsid w:val="0087131D"/>
    <w:pPr>
      <w:keepNext/>
      <w:keepLines/>
      <w:numPr>
        <w:ilvl w:val="1"/>
        <w:numId w:val="17"/>
      </w:numPr>
      <w:suppressAutoHyphens/>
      <w:spacing w:before="360"/>
      <w:outlineLvl w:val="1"/>
    </w:pPr>
    <w:rPr>
      <w:rFonts w:ascii="Arial" w:eastAsiaTheme="majorEastAsia" w:hAnsi="Arial" w:cs="Arial"/>
      <w:b/>
      <w:bCs/>
      <w:i/>
      <w:sz w:val="26"/>
      <w:szCs w:val="26"/>
    </w:rPr>
  </w:style>
  <w:style w:type="paragraph" w:styleId="Heading3">
    <w:name w:val="heading 3"/>
    <w:next w:val="ParaNumber"/>
    <w:link w:val="Heading3Char"/>
    <w:uiPriority w:val="14"/>
    <w:unhideWhenUsed/>
    <w:qFormat/>
    <w:rsid w:val="00534D12"/>
    <w:pPr>
      <w:keepNext/>
      <w:keepLines/>
      <w:numPr>
        <w:ilvl w:val="2"/>
        <w:numId w:val="17"/>
      </w:numPr>
      <w:suppressAutoHyphens/>
      <w:spacing w:before="240"/>
      <w:outlineLvl w:val="2"/>
    </w:pPr>
    <w:rPr>
      <w:rFonts w:ascii="Arial" w:eastAsiaTheme="majorEastAsia" w:hAnsi="Arial" w:cs="Arial"/>
      <w:b/>
      <w:bCs/>
      <w:sz w:val="22"/>
    </w:rPr>
  </w:style>
  <w:style w:type="paragraph" w:styleId="Heading4">
    <w:name w:val="heading 4"/>
    <w:next w:val="ParaNumber"/>
    <w:link w:val="Heading4Char"/>
    <w:uiPriority w:val="15"/>
    <w:unhideWhenUsed/>
    <w:qFormat/>
    <w:rsid w:val="0087131D"/>
    <w:pPr>
      <w:keepNext/>
      <w:keepLines/>
      <w:numPr>
        <w:ilvl w:val="3"/>
        <w:numId w:val="17"/>
      </w:numPr>
      <w:suppressAutoHyphens/>
      <w:spacing w:before="240"/>
      <w:outlineLvl w:val="3"/>
    </w:pPr>
    <w:rPr>
      <w:rFonts w:ascii="Arial" w:eastAsiaTheme="majorEastAsia" w:hAnsi="Arial" w:cs="Arial"/>
      <w:bCs/>
      <w:i/>
      <w:iCs/>
      <w:sz w:val="22"/>
    </w:rPr>
  </w:style>
  <w:style w:type="paragraph" w:styleId="Heading5">
    <w:name w:val="heading 5"/>
    <w:next w:val="ParaNumber"/>
    <w:link w:val="Heading5Char"/>
    <w:uiPriority w:val="99"/>
    <w:semiHidden/>
    <w:rsid w:val="0087131D"/>
    <w:pPr>
      <w:keepNext/>
      <w:keepLines/>
      <w:numPr>
        <w:ilvl w:val="4"/>
        <w:numId w:val="17"/>
      </w:numPr>
      <w:suppressAutoHyphens/>
      <w:spacing w:before="240"/>
      <w:outlineLvl w:val="4"/>
    </w:pPr>
    <w:rPr>
      <w:rFonts w:ascii="Arial" w:eastAsiaTheme="majorEastAsia" w:hAnsi="Arial" w:cs="Arial"/>
      <w:i/>
      <w:noProof/>
      <w:sz w:val="22"/>
    </w:rPr>
  </w:style>
  <w:style w:type="paragraph" w:styleId="Heading6">
    <w:name w:val="heading 6"/>
    <w:next w:val="ParaNumberNo1"/>
    <w:link w:val="Heading6Char"/>
    <w:uiPriority w:val="16"/>
    <w:unhideWhenUsed/>
    <w:qFormat/>
    <w:rsid w:val="0087131D"/>
    <w:pPr>
      <w:keepNext/>
      <w:keepLines/>
      <w:pageBreakBefore/>
      <w:numPr>
        <w:ilvl w:val="5"/>
        <w:numId w:val="17"/>
      </w:numPr>
      <w:suppressAutoHyphens/>
      <w:ind w:left="0"/>
      <w:jc w:val="center"/>
      <w:outlineLvl w:val="5"/>
    </w:pPr>
    <w:rPr>
      <w:rFonts w:ascii="Arial" w:eastAsiaTheme="majorEastAsia" w:hAnsi="Arial" w:cs="Arial"/>
      <w:b/>
      <w:iCs/>
      <w:sz w:val="28"/>
    </w:rPr>
  </w:style>
  <w:style w:type="paragraph" w:styleId="Heading7">
    <w:name w:val="heading 7"/>
    <w:next w:val="ParaNumberNo1"/>
    <w:link w:val="Heading7Char"/>
    <w:uiPriority w:val="17"/>
    <w:unhideWhenUsed/>
    <w:qFormat/>
    <w:rsid w:val="0087131D"/>
    <w:pPr>
      <w:keepNext/>
      <w:keepLines/>
      <w:numPr>
        <w:ilvl w:val="6"/>
        <w:numId w:val="17"/>
      </w:numPr>
      <w:suppressAutoHyphens/>
      <w:spacing w:before="360"/>
      <w:outlineLvl w:val="6"/>
    </w:pPr>
    <w:rPr>
      <w:rFonts w:ascii="Arial" w:eastAsiaTheme="majorEastAsia" w:hAnsi="Arial" w:cs="Arial"/>
      <w:b/>
      <w:iCs/>
    </w:rPr>
  </w:style>
  <w:style w:type="paragraph" w:styleId="Heading8">
    <w:name w:val="heading 8"/>
    <w:next w:val="ParaNumberNo1"/>
    <w:link w:val="Heading8Char"/>
    <w:uiPriority w:val="18"/>
    <w:unhideWhenUsed/>
    <w:qFormat/>
    <w:rsid w:val="0087131D"/>
    <w:pPr>
      <w:keepNext/>
      <w:keepLines/>
      <w:numPr>
        <w:ilvl w:val="7"/>
        <w:numId w:val="17"/>
      </w:numPr>
      <w:suppressAutoHyphens/>
      <w:spacing w:before="240"/>
      <w:outlineLvl w:val="7"/>
    </w:pPr>
    <w:rPr>
      <w:rFonts w:ascii="Arial" w:eastAsiaTheme="majorEastAsia" w:hAnsi="Arial" w:cs="Arial"/>
      <w:b/>
      <w:i/>
      <w:sz w:val="22"/>
      <w:szCs w:val="20"/>
    </w:rPr>
  </w:style>
  <w:style w:type="paragraph" w:styleId="Heading9">
    <w:name w:val="heading 9"/>
    <w:next w:val="ParaNumberNo1"/>
    <w:link w:val="Heading9Char"/>
    <w:uiPriority w:val="19"/>
    <w:unhideWhenUsed/>
    <w:qFormat/>
    <w:rsid w:val="0087131D"/>
    <w:pPr>
      <w:keepNext/>
      <w:keepLines/>
      <w:numPr>
        <w:ilvl w:val="8"/>
        <w:numId w:val="17"/>
      </w:numPr>
      <w:suppressAutoHyphens/>
      <w:spacing w:before="240"/>
      <w:outlineLvl w:val="8"/>
    </w:pPr>
    <w:rPr>
      <w:rFonts w:ascii="Arial" w:eastAsiaTheme="majorEastAsia" w:hAnsi="Arial" w:cs="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2"/>
    <w:rsid w:val="0087131D"/>
    <w:rPr>
      <w:rFonts w:ascii="Arial" w:eastAsiaTheme="majorEastAsia" w:hAnsi="Arial" w:cs="Arial"/>
      <w:b/>
      <w:bCs/>
      <w:sz w:val="28"/>
      <w:szCs w:val="28"/>
    </w:rPr>
  </w:style>
  <w:style w:type="character" w:customStyle="1" w:styleId="Heading2Char">
    <w:name w:val="Heading 2 Char"/>
    <w:basedOn w:val="DefaultParagraphFont"/>
    <w:link w:val="Heading2"/>
    <w:uiPriority w:val="13"/>
    <w:rsid w:val="0087131D"/>
    <w:rPr>
      <w:rFonts w:ascii="Arial" w:eastAsiaTheme="majorEastAsia" w:hAnsi="Arial" w:cs="Arial"/>
      <w:b/>
      <w:bCs/>
      <w:i/>
      <w:sz w:val="26"/>
      <w:szCs w:val="26"/>
    </w:rPr>
  </w:style>
  <w:style w:type="character" w:customStyle="1" w:styleId="Heading3Char">
    <w:name w:val="Heading 3 Char"/>
    <w:basedOn w:val="DefaultParagraphFont"/>
    <w:link w:val="Heading3"/>
    <w:uiPriority w:val="14"/>
    <w:rsid w:val="00534D12"/>
    <w:rPr>
      <w:rFonts w:ascii="Arial" w:eastAsiaTheme="majorEastAsia" w:hAnsi="Arial" w:cs="Arial"/>
      <w:b/>
      <w:bCs/>
      <w:sz w:val="22"/>
    </w:rPr>
  </w:style>
  <w:style w:type="character" w:customStyle="1" w:styleId="Heading4Char">
    <w:name w:val="Heading 4 Char"/>
    <w:basedOn w:val="DefaultParagraphFont"/>
    <w:link w:val="Heading4"/>
    <w:uiPriority w:val="15"/>
    <w:rsid w:val="0087131D"/>
    <w:rPr>
      <w:rFonts w:ascii="Arial" w:eastAsiaTheme="majorEastAsia" w:hAnsi="Arial" w:cs="Arial"/>
      <w:bCs/>
      <w:i/>
      <w:iCs/>
      <w:sz w:val="22"/>
    </w:rPr>
  </w:style>
  <w:style w:type="character" w:customStyle="1" w:styleId="Heading5Char">
    <w:name w:val="Heading 5 Char"/>
    <w:basedOn w:val="DefaultParagraphFont"/>
    <w:link w:val="Heading5"/>
    <w:uiPriority w:val="99"/>
    <w:semiHidden/>
    <w:rsid w:val="0087131D"/>
    <w:rPr>
      <w:rFonts w:ascii="Arial" w:eastAsiaTheme="majorEastAsia" w:hAnsi="Arial" w:cs="Arial"/>
      <w:i/>
      <w:noProof/>
      <w:sz w:val="22"/>
    </w:rPr>
  </w:style>
  <w:style w:type="character" w:customStyle="1" w:styleId="Heading6Char">
    <w:name w:val="Heading 6 Char"/>
    <w:basedOn w:val="DefaultParagraphFont"/>
    <w:link w:val="Heading6"/>
    <w:uiPriority w:val="16"/>
    <w:rsid w:val="0087131D"/>
    <w:rPr>
      <w:rFonts w:ascii="Arial" w:eastAsiaTheme="majorEastAsia" w:hAnsi="Arial" w:cs="Arial"/>
      <w:b/>
      <w:iCs/>
      <w:sz w:val="28"/>
    </w:rPr>
  </w:style>
  <w:style w:type="character" w:customStyle="1" w:styleId="Heading7Char">
    <w:name w:val="Heading 7 Char"/>
    <w:basedOn w:val="DefaultParagraphFont"/>
    <w:link w:val="Heading7"/>
    <w:uiPriority w:val="17"/>
    <w:rsid w:val="0087131D"/>
    <w:rPr>
      <w:rFonts w:ascii="Arial" w:eastAsiaTheme="majorEastAsia" w:hAnsi="Arial" w:cs="Arial"/>
      <w:b/>
      <w:iCs/>
    </w:rPr>
  </w:style>
  <w:style w:type="character" w:customStyle="1" w:styleId="Heading8Char">
    <w:name w:val="Heading 8 Char"/>
    <w:basedOn w:val="DefaultParagraphFont"/>
    <w:link w:val="Heading8"/>
    <w:uiPriority w:val="18"/>
    <w:rsid w:val="0087131D"/>
    <w:rPr>
      <w:rFonts w:ascii="Arial" w:eastAsiaTheme="majorEastAsia" w:hAnsi="Arial" w:cs="Arial"/>
      <w:b/>
      <w:i/>
      <w:sz w:val="22"/>
      <w:szCs w:val="20"/>
    </w:rPr>
  </w:style>
  <w:style w:type="character" w:customStyle="1" w:styleId="Heading9Char">
    <w:name w:val="Heading 9 Char"/>
    <w:basedOn w:val="DefaultParagraphFont"/>
    <w:link w:val="Heading9"/>
    <w:uiPriority w:val="19"/>
    <w:rsid w:val="0087131D"/>
    <w:rPr>
      <w:rFonts w:ascii="Arial" w:eastAsiaTheme="majorEastAsia" w:hAnsi="Arial" w:cs="Arial"/>
      <w:iCs/>
      <w:sz w:val="22"/>
      <w:szCs w:val="20"/>
    </w:rPr>
  </w:style>
  <w:style w:type="paragraph" w:styleId="BalloonText">
    <w:name w:val="Balloon Text"/>
    <w:link w:val="BalloonTextChar"/>
    <w:uiPriority w:val="99"/>
    <w:semiHidden/>
    <w:rsid w:val="00667D36"/>
    <w:rPr>
      <w:rFonts w:ascii="Tahoma" w:hAnsi="Tahoma" w:cs="Tahoma"/>
      <w:sz w:val="16"/>
      <w:szCs w:val="16"/>
    </w:rPr>
  </w:style>
  <w:style w:type="character" w:customStyle="1" w:styleId="BalloonTextChar">
    <w:name w:val="Balloon Text Char"/>
    <w:basedOn w:val="DefaultParagraphFont"/>
    <w:link w:val="BalloonText"/>
    <w:uiPriority w:val="99"/>
    <w:semiHidden/>
    <w:rsid w:val="00667D36"/>
    <w:rPr>
      <w:rFonts w:ascii="Tahoma" w:hAnsi="Tahoma" w:cs="Tahoma"/>
      <w:sz w:val="16"/>
      <w:szCs w:val="16"/>
      <w:lang w:val="en-US"/>
    </w:rPr>
  </w:style>
  <w:style w:type="table" w:styleId="TableGrid">
    <w:name w:val="Table Grid"/>
    <w:basedOn w:val="TableNormal"/>
    <w:uiPriority w:val="59"/>
    <w:unhideWhenUsed/>
    <w:rsid w:val="007B038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tblStylePr w:type="firstRow">
      <w:tblPr>
        <w:tblCellMar>
          <w:top w:w="0" w:type="dxa"/>
          <w:left w:w="113" w:type="dxa"/>
          <w:bottom w:w="0" w:type="dxa"/>
          <w:right w:w="113" w:type="dxa"/>
        </w:tblCellMar>
      </w:tblPr>
    </w:tblStylePr>
    <w:tblStylePr w:type="band2Vert">
      <w:tblPr/>
      <w:tcPr>
        <w:shd w:val="pct20" w:color="auto" w:fill="auto"/>
      </w:tcPr>
    </w:tblStylePr>
    <w:tblStylePr w:type="band2Horz">
      <w:tblPr/>
      <w:tcPr>
        <w:shd w:val="pct20" w:color="auto" w:fill="auto"/>
      </w:tcPr>
    </w:tblStylePr>
  </w:style>
  <w:style w:type="paragraph" w:customStyle="1" w:styleId="TableBold">
    <w:name w:val="Table Bold"/>
    <w:basedOn w:val="Table"/>
    <w:next w:val="Table"/>
    <w:uiPriority w:val="11"/>
    <w:unhideWhenUsed/>
    <w:qFormat/>
    <w:rsid w:val="00B4419E"/>
    <w:pPr>
      <w:keepNext/>
    </w:pPr>
    <w:rPr>
      <w:b/>
    </w:rPr>
  </w:style>
  <w:style w:type="paragraph" w:customStyle="1" w:styleId="DocTitle">
    <w:name w:val="Doc Title"/>
    <w:next w:val="DocSubtitle"/>
    <w:uiPriority w:val="12"/>
    <w:unhideWhenUsed/>
    <w:qFormat/>
    <w:rsid w:val="004A6C01"/>
    <w:pPr>
      <w:keepNext/>
      <w:keepLines/>
      <w:suppressAutoHyphens/>
      <w:spacing w:before="720" w:after="240"/>
      <w:jc w:val="center"/>
    </w:pPr>
    <w:rPr>
      <w:rFonts w:ascii="Arial" w:eastAsiaTheme="majorEastAsia" w:hAnsi="Arial" w:cs="Arial"/>
      <w:b/>
      <w:bCs/>
      <w:sz w:val="32"/>
      <w:szCs w:val="28"/>
    </w:rPr>
  </w:style>
  <w:style w:type="paragraph" w:customStyle="1" w:styleId="BoxText">
    <w:name w:val="Box Text"/>
    <w:uiPriority w:val="23"/>
    <w:unhideWhenUsed/>
    <w:qFormat/>
    <w:rsid w:val="005C2F9D"/>
    <w:pPr>
      <w:spacing w:after="120"/>
      <w:jc w:val="both"/>
    </w:pPr>
    <w:rPr>
      <w:rFonts w:ascii="Arial" w:hAnsi="Arial"/>
      <w:sz w:val="20"/>
    </w:rPr>
  </w:style>
  <w:style w:type="paragraph" w:styleId="Header">
    <w:name w:val="header"/>
    <w:link w:val="HeaderChar"/>
    <w:uiPriority w:val="35"/>
    <w:unhideWhenUsed/>
    <w:rsid w:val="00E6133A"/>
    <w:pPr>
      <w:tabs>
        <w:tab w:val="center" w:pos="4680"/>
      </w:tabs>
      <w:jc w:val="center"/>
    </w:pPr>
    <w:rPr>
      <w:rFonts w:ascii="Arial" w:hAnsi="Arial"/>
      <w:sz w:val="18"/>
    </w:rPr>
  </w:style>
  <w:style w:type="character" w:customStyle="1" w:styleId="HeaderChar">
    <w:name w:val="Header Char"/>
    <w:basedOn w:val="DefaultParagraphFont"/>
    <w:link w:val="Header"/>
    <w:uiPriority w:val="35"/>
    <w:rsid w:val="00E6133A"/>
    <w:rPr>
      <w:rFonts w:ascii="Arial" w:hAnsi="Arial"/>
      <w:sz w:val="18"/>
      <w:lang w:val="en-US"/>
    </w:rPr>
  </w:style>
  <w:style w:type="paragraph" w:styleId="Footer">
    <w:name w:val="footer"/>
    <w:link w:val="FooterChar"/>
    <w:uiPriority w:val="36"/>
    <w:unhideWhenUsed/>
    <w:rsid w:val="00D508EF"/>
    <w:pPr>
      <w:tabs>
        <w:tab w:val="center" w:pos="4680"/>
        <w:tab w:val="right" w:pos="9360"/>
      </w:tabs>
      <w:jc w:val="center"/>
    </w:pPr>
    <w:rPr>
      <w:rFonts w:ascii="Arial" w:hAnsi="Arial"/>
      <w:sz w:val="20"/>
    </w:rPr>
  </w:style>
  <w:style w:type="character" w:customStyle="1" w:styleId="FooterChar">
    <w:name w:val="Footer Char"/>
    <w:basedOn w:val="DefaultParagraphFont"/>
    <w:link w:val="Footer"/>
    <w:uiPriority w:val="36"/>
    <w:rsid w:val="00D508EF"/>
    <w:rPr>
      <w:rFonts w:ascii="Arial" w:hAnsi="Arial"/>
      <w:sz w:val="20"/>
      <w:lang w:val="en-US"/>
    </w:rPr>
  </w:style>
  <w:style w:type="paragraph" w:customStyle="1" w:styleId="Table">
    <w:name w:val="Table"/>
    <w:basedOn w:val="BodyText"/>
    <w:uiPriority w:val="10"/>
    <w:unhideWhenUsed/>
    <w:qFormat/>
    <w:rsid w:val="00394940"/>
    <w:pPr>
      <w:spacing w:before="0"/>
    </w:pPr>
    <w:rPr>
      <w:sz w:val="20"/>
    </w:rPr>
  </w:style>
  <w:style w:type="character" w:styleId="Hyperlink">
    <w:name w:val="Hyperlink"/>
    <w:basedOn w:val="DefaultParagraphFont"/>
    <w:uiPriority w:val="99"/>
    <w:rsid w:val="00C93C5E"/>
    <w:rPr>
      <w:color w:val="auto"/>
      <w:u w:val="single"/>
      <w:lang w:val="en-US"/>
    </w:rPr>
  </w:style>
  <w:style w:type="paragraph" w:styleId="TOC1">
    <w:name w:val="toc 1"/>
    <w:next w:val="BodyText"/>
    <w:uiPriority w:val="39"/>
    <w:unhideWhenUsed/>
    <w:rsid w:val="00FD3188"/>
    <w:pPr>
      <w:tabs>
        <w:tab w:val="right" w:leader="dot" w:pos="9065"/>
      </w:tabs>
      <w:spacing w:before="120"/>
      <w:ind w:right="567"/>
    </w:pPr>
    <w:rPr>
      <w:rFonts w:cstheme="minorHAnsi"/>
      <w:bCs/>
      <w:szCs w:val="20"/>
    </w:rPr>
  </w:style>
  <w:style w:type="paragraph" w:styleId="TOC2">
    <w:name w:val="toc 2"/>
    <w:next w:val="BodyText"/>
    <w:uiPriority w:val="39"/>
    <w:unhideWhenUsed/>
    <w:rsid w:val="005627DA"/>
    <w:pPr>
      <w:tabs>
        <w:tab w:val="right" w:leader="dot" w:pos="9065"/>
      </w:tabs>
      <w:spacing w:before="60"/>
      <w:ind w:left="567" w:right="567"/>
    </w:pPr>
    <w:rPr>
      <w:rFonts w:cstheme="minorHAnsi"/>
      <w:iCs/>
      <w:szCs w:val="20"/>
    </w:rPr>
  </w:style>
  <w:style w:type="character" w:styleId="Strong">
    <w:name w:val="Strong"/>
    <w:basedOn w:val="DefaultParagraphFont"/>
    <w:uiPriority w:val="99"/>
    <w:semiHidden/>
    <w:rsid w:val="00C93C5E"/>
    <w:rPr>
      <w:b/>
      <w:bCs/>
      <w:lang w:val="en-US"/>
    </w:rPr>
  </w:style>
  <w:style w:type="paragraph" w:styleId="Index1">
    <w:name w:val="index 1"/>
    <w:next w:val="BodyText"/>
    <w:uiPriority w:val="99"/>
    <w:semiHidden/>
    <w:rsid w:val="00FF0E9C"/>
    <w:pPr>
      <w:ind w:left="240" w:hanging="240"/>
    </w:pPr>
  </w:style>
  <w:style w:type="paragraph" w:styleId="TOC3">
    <w:name w:val="toc 3"/>
    <w:next w:val="BodyText"/>
    <w:uiPriority w:val="99"/>
    <w:semiHidden/>
    <w:rsid w:val="002007A0"/>
    <w:pPr>
      <w:tabs>
        <w:tab w:val="right" w:leader="dot" w:pos="9065"/>
      </w:tabs>
      <w:spacing w:before="60"/>
      <w:ind w:left="567" w:right="567"/>
    </w:pPr>
    <w:rPr>
      <w:rFonts w:cstheme="minorHAnsi"/>
      <w:szCs w:val="20"/>
    </w:rPr>
  </w:style>
  <w:style w:type="paragraph" w:styleId="TOC4">
    <w:name w:val="toc 4"/>
    <w:next w:val="BodyText"/>
    <w:uiPriority w:val="99"/>
    <w:semiHidden/>
    <w:rsid w:val="00644015"/>
    <w:pPr>
      <w:tabs>
        <w:tab w:val="right" w:leader="dot" w:pos="9065"/>
      </w:tabs>
      <w:spacing w:before="60"/>
      <w:ind w:left="567" w:right="567"/>
    </w:pPr>
    <w:rPr>
      <w:rFonts w:asciiTheme="minorHAnsi" w:hAnsiTheme="minorHAnsi" w:cstheme="minorHAnsi"/>
      <w:szCs w:val="20"/>
    </w:rPr>
  </w:style>
  <w:style w:type="paragraph" w:styleId="IndexHeading">
    <w:name w:val="index heading"/>
    <w:next w:val="Index1"/>
    <w:uiPriority w:val="99"/>
    <w:semiHidden/>
    <w:rsid w:val="00FF0E9C"/>
    <w:pPr>
      <w:spacing w:before="360" w:after="120"/>
      <w:jc w:val="center"/>
    </w:pPr>
    <w:rPr>
      <w:rFonts w:ascii="Arial" w:eastAsiaTheme="majorEastAsia" w:hAnsi="Arial" w:cstheme="majorBidi"/>
      <w:b/>
      <w:bCs/>
    </w:rPr>
  </w:style>
  <w:style w:type="paragraph" w:customStyle="1" w:styleId="ParaNumber">
    <w:name w:val="Para Number"/>
    <w:uiPriority w:val="1"/>
    <w:unhideWhenUsed/>
    <w:qFormat/>
    <w:rsid w:val="00D91FAE"/>
    <w:pPr>
      <w:numPr>
        <w:ilvl w:val="1"/>
        <w:numId w:val="20"/>
      </w:numPr>
      <w:spacing w:before="240"/>
    </w:pPr>
  </w:style>
  <w:style w:type="paragraph" w:customStyle="1" w:styleId="Reference">
    <w:name w:val="Reference"/>
    <w:uiPriority w:val="6"/>
    <w:unhideWhenUsed/>
    <w:rsid w:val="001614A8"/>
    <w:pPr>
      <w:numPr>
        <w:numId w:val="19"/>
      </w:numPr>
      <w:spacing w:before="240"/>
    </w:pPr>
  </w:style>
  <w:style w:type="paragraph" w:customStyle="1" w:styleId="FigtableHeading">
    <w:name w:val="Fig/table Heading"/>
    <w:uiPriority w:val="32"/>
    <w:unhideWhenUsed/>
    <w:qFormat/>
    <w:rsid w:val="00FF388D"/>
    <w:pPr>
      <w:keepNext/>
      <w:keepLines/>
      <w:suppressAutoHyphens/>
      <w:spacing w:before="240" w:after="120"/>
    </w:pPr>
    <w:rPr>
      <w:rFonts w:ascii="Arial" w:hAnsi="Arial"/>
      <w:b/>
      <w:sz w:val="20"/>
    </w:rPr>
  </w:style>
  <w:style w:type="paragraph" w:styleId="FootnoteText">
    <w:name w:val="footnote text"/>
    <w:link w:val="FootnoteTextChar"/>
    <w:uiPriority w:val="29"/>
    <w:unhideWhenUsed/>
    <w:rsid w:val="002F352E"/>
    <w:pPr>
      <w:keepLines/>
    </w:pPr>
    <w:rPr>
      <w:sz w:val="20"/>
      <w:szCs w:val="20"/>
    </w:rPr>
  </w:style>
  <w:style w:type="character" w:customStyle="1" w:styleId="FootnoteTextChar">
    <w:name w:val="Footnote Text Char"/>
    <w:basedOn w:val="DefaultParagraphFont"/>
    <w:link w:val="FootnoteText"/>
    <w:uiPriority w:val="29"/>
    <w:rsid w:val="002F352E"/>
    <w:rPr>
      <w:sz w:val="20"/>
      <w:szCs w:val="20"/>
      <w:lang w:val="en-US"/>
    </w:rPr>
  </w:style>
  <w:style w:type="character" w:styleId="FootnoteReference">
    <w:name w:val="footnote reference"/>
    <w:basedOn w:val="DefaultParagraphFont"/>
    <w:uiPriority w:val="28"/>
    <w:unhideWhenUsed/>
    <w:rsid w:val="000338EA"/>
    <w:rPr>
      <w:vertAlign w:val="superscript"/>
      <w:lang w:val="en-US"/>
    </w:rPr>
  </w:style>
  <w:style w:type="paragraph" w:styleId="TOCHeading">
    <w:name w:val="TOC Heading"/>
    <w:next w:val="BodyText"/>
    <w:uiPriority w:val="39"/>
    <w:unhideWhenUsed/>
    <w:rsid w:val="0084061A"/>
    <w:pPr>
      <w:pageBreakBefore/>
      <w:spacing w:after="360"/>
      <w:jc w:val="center"/>
    </w:pPr>
    <w:rPr>
      <w:rFonts w:asciiTheme="majorHAnsi" w:eastAsiaTheme="majorEastAsia" w:hAnsiTheme="majorHAnsi" w:cs="Arial"/>
      <w:b/>
      <w:bCs/>
      <w:szCs w:val="28"/>
      <w:lang w:eastAsia="ja-JP"/>
    </w:rPr>
  </w:style>
  <w:style w:type="paragraph" w:styleId="TOC5">
    <w:name w:val="toc 5"/>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TOC6">
    <w:name w:val="toc 6"/>
    <w:next w:val="BodyText"/>
    <w:uiPriority w:val="39"/>
    <w:rsid w:val="00A0004A"/>
    <w:pPr>
      <w:tabs>
        <w:tab w:val="right" w:leader="dot" w:pos="9065"/>
      </w:tabs>
      <w:spacing w:before="120"/>
      <w:ind w:right="567"/>
    </w:pPr>
    <w:rPr>
      <w:rFonts w:asciiTheme="minorHAnsi" w:hAnsiTheme="minorHAnsi" w:cstheme="minorHAnsi"/>
      <w:szCs w:val="20"/>
    </w:rPr>
  </w:style>
  <w:style w:type="paragraph" w:styleId="TOC7">
    <w:name w:val="toc 7"/>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TOC8">
    <w:name w:val="toc 8"/>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TOC9">
    <w:name w:val="toc 9"/>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Subtitle">
    <w:name w:val="Subtitle"/>
    <w:basedOn w:val="DocTitle"/>
    <w:next w:val="BodyText"/>
    <w:link w:val="SubtitleChar"/>
    <w:uiPriority w:val="99"/>
    <w:semiHidden/>
    <w:rsid w:val="00EC4019"/>
    <w:pPr>
      <w:numPr>
        <w:ilvl w:val="1"/>
      </w:numPr>
      <w:spacing w:before="0"/>
    </w:pPr>
    <w:rPr>
      <w:iCs/>
      <w:sz w:val="24"/>
      <w:szCs w:val="24"/>
    </w:rPr>
  </w:style>
  <w:style w:type="character" w:customStyle="1" w:styleId="SubtitleChar">
    <w:name w:val="Subtitle Char"/>
    <w:basedOn w:val="DefaultParagraphFont"/>
    <w:link w:val="Subtitle"/>
    <w:uiPriority w:val="99"/>
    <w:semiHidden/>
    <w:rsid w:val="00EC4019"/>
    <w:rPr>
      <w:rFonts w:ascii="Arial" w:eastAsiaTheme="majorEastAsia" w:hAnsi="Arial" w:cs="Arial"/>
      <w:b/>
      <w:bCs/>
      <w:iCs/>
      <w:lang w:val="en-US"/>
    </w:rPr>
  </w:style>
  <w:style w:type="paragraph" w:styleId="ListParagraph">
    <w:name w:val="List Paragraph"/>
    <w:uiPriority w:val="99"/>
    <w:semiHidden/>
    <w:rsid w:val="004C6115"/>
    <w:pPr>
      <w:ind w:left="720"/>
      <w:contextualSpacing/>
    </w:pPr>
    <w:rPr>
      <w:rFonts w:eastAsia="Times New Roman" w:cs="Times New Roman"/>
    </w:rPr>
  </w:style>
  <w:style w:type="numbering" w:customStyle="1" w:styleId="ListStyleHeading">
    <w:name w:val="ListStyle_Heading"/>
    <w:basedOn w:val="NoList"/>
    <w:uiPriority w:val="99"/>
    <w:semiHidden/>
    <w:rsid w:val="00282D0D"/>
    <w:pPr>
      <w:numPr>
        <w:numId w:val="7"/>
      </w:numPr>
    </w:pPr>
  </w:style>
  <w:style w:type="numbering" w:customStyle="1" w:styleId="ListStyleBullet">
    <w:name w:val="ListStyle_Bullet"/>
    <w:basedOn w:val="NoList"/>
    <w:uiPriority w:val="99"/>
    <w:semiHidden/>
    <w:rsid w:val="002F64EC"/>
    <w:pPr>
      <w:numPr>
        <w:numId w:val="8"/>
      </w:numPr>
    </w:pPr>
  </w:style>
  <w:style w:type="numbering" w:customStyle="1" w:styleId="ListStyleNumber">
    <w:name w:val="ListStyle_Number"/>
    <w:basedOn w:val="NoList"/>
    <w:uiPriority w:val="99"/>
    <w:semiHidden/>
    <w:rsid w:val="005315AB"/>
    <w:pPr>
      <w:numPr>
        <w:numId w:val="9"/>
      </w:numPr>
    </w:pPr>
  </w:style>
  <w:style w:type="numbering" w:customStyle="1" w:styleId="ListStyleTableBullet">
    <w:name w:val="ListStyle_TableBullet"/>
    <w:basedOn w:val="NoList"/>
    <w:uiPriority w:val="99"/>
    <w:semiHidden/>
    <w:rsid w:val="002F64EC"/>
    <w:pPr>
      <w:numPr>
        <w:numId w:val="10"/>
      </w:numPr>
    </w:pPr>
  </w:style>
  <w:style w:type="numbering" w:customStyle="1" w:styleId="ListStyleTableNumber">
    <w:name w:val="ListStyle_TableNumber"/>
    <w:basedOn w:val="NoList"/>
    <w:uiPriority w:val="99"/>
    <w:semiHidden/>
    <w:rsid w:val="002F64EC"/>
    <w:pPr>
      <w:numPr>
        <w:numId w:val="11"/>
      </w:numPr>
    </w:pPr>
  </w:style>
  <w:style w:type="paragraph" w:styleId="BodyText">
    <w:name w:val="Body Text"/>
    <w:link w:val="BodyTextChar"/>
    <w:uiPriority w:val="8"/>
    <w:unhideWhenUsed/>
    <w:rsid w:val="006D35C7"/>
    <w:pPr>
      <w:tabs>
        <w:tab w:val="left" w:pos="567"/>
      </w:tabs>
      <w:spacing w:before="240"/>
    </w:pPr>
  </w:style>
  <w:style w:type="character" w:customStyle="1" w:styleId="BodyTextChar">
    <w:name w:val="Body Text Char"/>
    <w:basedOn w:val="DefaultParagraphFont"/>
    <w:link w:val="BodyText"/>
    <w:uiPriority w:val="8"/>
    <w:rsid w:val="006D35C7"/>
  </w:style>
  <w:style w:type="paragraph" w:customStyle="1" w:styleId="EndofDocument">
    <w:name w:val="End of Document"/>
    <w:next w:val="BodyText"/>
    <w:uiPriority w:val="7"/>
    <w:unhideWhenUsed/>
    <w:rsid w:val="002F62B5"/>
    <w:pPr>
      <w:numPr>
        <w:numId w:val="12"/>
      </w:numPr>
      <w:spacing w:before="720"/>
      <w:jc w:val="center"/>
    </w:pPr>
    <w:rPr>
      <w:rFonts w:eastAsiaTheme="minorHAnsi" w:cs="Times New Roman"/>
      <w:szCs w:val="20"/>
    </w:rPr>
  </w:style>
  <w:style w:type="paragraph" w:customStyle="1" w:styleId="Logo">
    <w:name w:val="Logo"/>
    <w:uiPriority w:val="21"/>
    <w:unhideWhenUsed/>
    <w:qFormat/>
    <w:rsid w:val="00E3095E"/>
    <w:pPr>
      <w:framePr w:w="9072" w:h="1418" w:wrap="around" w:vAnchor="page" w:hAnchor="page" w:xAlign="center" w:y="568" w:anchorLock="1"/>
      <w:pBdr>
        <w:bottom w:val="single" w:sz="4" w:space="8" w:color="auto"/>
      </w:pBdr>
      <w:jc w:val="center"/>
    </w:pPr>
    <w:rPr>
      <w:noProof/>
      <w:lang w:eastAsia="da-DK"/>
    </w:rPr>
  </w:style>
  <w:style w:type="paragraph" w:customStyle="1" w:styleId="FooterFrontPageLine1">
    <w:name w:val="Footer Front Page Line 1"/>
    <w:next w:val="FooterFrontPageLine2ff"/>
    <w:uiPriority w:val="37"/>
    <w:unhideWhenUsed/>
    <w:rsid w:val="008D59C3"/>
    <w:pPr>
      <w:pBdr>
        <w:top w:val="single" w:sz="4" w:space="6" w:color="auto"/>
      </w:pBdr>
      <w:tabs>
        <w:tab w:val="left" w:pos="567"/>
        <w:tab w:val="center" w:pos="4680"/>
        <w:tab w:val="right" w:pos="9360"/>
      </w:tabs>
      <w:jc w:val="center"/>
    </w:pPr>
    <w:rPr>
      <w:rFonts w:ascii="Arial" w:hAnsi="Arial"/>
      <w:spacing w:val="28"/>
      <w:sz w:val="20"/>
    </w:rPr>
  </w:style>
  <w:style w:type="paragraph" w:customStyle="1" w:styleId="FooterFrontPageLine2ff">
    <w:name w:val="Footer Front Page Line 2 ff."/>
    <w:uiPriority w:val="38"/>
    <w:unhideWhenUsed/>
    <w:rsid w:val="00E07A3D"/>
    <w:pPr>
      <w:tabs>
        <w:tab w:val="left" w:pos="567"/>
        <w:tab w:val="center" w:pos="4320"/>
        <w:tab w:val="right" w:pos="8640"/>
      </w:tabs>
      <w:jc w:val="center"/>
    </w:pPr>
    <w:rPr>
      <w:rFonts w:ascii="Arial" w:eastAsia="Times New Roman" w:hAnsi="Arial" w:cs="Arial"/>
      <w:noProof/>
      <w:sz w:val="16"/>
      <w:szCs w:val="16"/>
    </w:rPr>
  </w:style>
  <w:style w:type="numbering" w:styleId="111111">
    <w:name w:val="Outline List 2"/>
    <w:basedOn w:val="NoList"/>
    <w:uiPriority w:val="99"/>
    <w:semiHidden/>
    <w:rsid w:val="00174C27"/>
    <w:pPr>
      <w:numPr>
        <w:numId w:val="13"/>
      </w:numPr>
    </w:pPr>
  </w:style>
  <w:style w:type="numbering" w:styleId="1ai">
    <w:name w:val="Outline List 1"/>
    <w:basedOn w:val="NoList"/>
    <w:uiPriority w:val="99"/>
    <w:semiHidden/>
    <w:rsid w:val="00174C27"/>
    <w:pPr>
      <w:numPr>
        <w:numId w:val="14"/>
      </w:numPr>
    </w:pPr>
  </w:style>
  <w:style w:type="numbering" w:styleId="ArticleSection">
    <w:name w:val="Outline List 3"/>
    <w:basedOn w:val="NoList"/>
    <w:uiPriority w:val="99"/>
    <w:semiHidden/>
    <w:rsid w:val="00174C27"/>
    <w:pPr>
      <w:numPr>
        <w:numId w:val="15"/>
      </w:numPr>
    </w:pPr>
  </w:style>
  <w:style w:type="paragraph" w:styleId="Bibliography">
    <w:name w:val="Bibliography"/>
    <w:next w:val="BodyText"/>
    <w:uiPriority w:val="99"/>
    <w:semiHidden/>
    <w:rsid w:val="00174C27"/>
  </w:style>
  <w:style w:type="paragraph" w:styleId="BlockText">
    <w:name w:val="Block Text"/>
    <w:uiPriority w:val="99"/>
    <w:semiHidden/>
    <w:rsid w:val="00174C27"/>
    <w:pPr>
      <w:pBdr>
        <w:top w:val="single" w:sz="2" w:space="10" w:color="0069B0" w:themeColor="accent1"/>
        <w:left w:val="single" w:sz="2" w:space="10" w:color="0069B0" w:themeColor="accent1"/>
        <w:bottom w:val="single" w:sz="2" w:space="10" w:color="0069B0" w:themeColor="accent1"/>
        <w:right w:val="single" w:sz="2" w:space="10" w:color="0069B0" w:themeColor="accent1"/>
      </w:pBdr>
      <w:ind w:left="1152" w:right="1152"/>
    </w:pPr>
    <w:rPr>
      <w:rFonts w:asciiTheme="minorHAnsi" w:hAnsiTheme="minorHAnsi"/>
      <w:i/>
      <w:iCs/>
    </w:rPr>
  </w:style>
  <w:style w:type="paragraph" w:styleId="BodyText2">
    <w:name w:val="Body Text 2"/>
    <w:link w:val="BodyText2Char"/>
    <w:uiPriority w:val="99"/>
    <w:semiHidden/>
    <w:rsid w:val="00174C27"/>
    <w:pPr>
      <w:spacing w:before="120"/>
    </w:pPr>
  </w:style>
  <w:style w:type="character" w:customStyle="1" w:styleId="BodyText2Char">
    <w:name w:val="Body Text 2 Char"/>
    <w:basedOn w:val="DefaultParagraphFont"/>
    <w:link w:val="BodyText2"/>
    <w:uiPriority w:val="99"/>
    <w:semiHidden/>
    <w:rsid w:val="00174C27"/>
  </w:style>
  <w:style w:type="paragraph" w:styleId="BodyText3">
    <w:name w:val="Body Text 3"/>
    <w:link w:val="BodyText3Char"/>
    <w:uiPriority w:val="99"/>
    <w:semiHidden/>
    <w:rsid w:val="00174C27"/>
    <w:pPr>
      <w:spacing w:before="120"/>
    </w:pPr>
    <w:rPr>
      <w:szCs w:val="16"/>
    </w:rPr>
  </w:style>
  <w:style w:type="character" w:customStyle="1" w:styleId="BodyText3Char">
    <w:name w:val="Body Text 3 Char"/>
    <w:basedOn w:val="DefaultParagraphFont"/>
    <w:link w:val="BodyText3"/>
    <w:uiPriority w:val="99"/>
    <w:semiHidden/>
    <w:rsid w:val="00174C27"/>
    <w:rPr>
      <w:szCs w:val="16"/>
    </w:rPr>
  </w:style>
  <w:style w:type="paragraph" w:styleId="BodyTextFirstIndent">
    <w:name w:val="Body Text First Indent"/>
    <w:basedOn w:val="BodyText"/>
    <w:link w:val="BodyTextFirstIndentChar"/>
    <w:uiPriority w:val="99"/>
    <w:semiHidden/>
    <w:rsid w:val="00174C27"/>
    <w:pPr>
      <w:ind w:firstLine="360"/>
    </w:pPr>
  </w:style>
  <w:style w:type="character" w:customStyle="1" w:styleId="BodyTextFirstIndentChar">
    <w:name w:val="Body Text First Indent Char"/>
    <w:basedOn w:val="BodyTextChar"/>
    <w:link w:val="BodyTextFirstIndent"/>
    <w:uiPriority w:val="99"/>
    <w:semiHidden/>
    <w:rsid w:val="00174C27"/>
    <w:rPr>
      <w:lang w:val="en-US"/>
    </w:rPr>
  </w:style>
  <w:style w:type="paragraph" w:styleId="BodyTextIndent">
    <w:name w:val="Body Text Indent"/>
    <w:link w:val="BodyTextIndentChar"/>
    <w:uiPriority w:val="99"/>
    <w:semiHidden/>
    <w:rsid w:val="00174C27"/>
    <w:pPr>
      <w:spacing w:before="120"/>
      <w:ind w:left="283"/>
    </w:pPr>
  </w:style>
  <w:style w:type="character" w:customStyle="1" w:styleId="BodyTextIndentChar">
    <w:name w:val="Body Text Indent Char"/>
    <w:basedOn w:val="DefaultParagraphFont"/>
    <w:link w:val="BodyTextIndent"/>
    <w:uiPriority w:val="99"/>
    <w:semiHidden/>
    <w:rsid w:val="00174C27"/>
  </w:style>
  <w:style w:type="paragraph" w:styleId="BodyTextFirstIndent2">
    <w:name w:val="Body Text First Indent 2"/>
    <w:basedOn w:val="BodyTextIndent"/>
    <w:link w:val="BodyTextFirstIndent2Char"/>
    <w:uiPriority w:val="99"/>
    <w:semiHidden/>
    <w:rsid w:val="00174C27"/>
    <w:pPr>
      <w:ind w:left="360" w:firstLine="360"/>
    </w:pPr>
  </w:style>
  <w:style w:type="character" w:customStyle="1" w:styleId="BodyTextFirstIndent2Char">
    <w:name w:val="Body Text First Indent 2 Char"/>
    <w:basedOn w:val="BodyTextIndentChar"/>
    <w:link w:val="BodyTextFirstIndent2"/>
    <w:uiPriority w:val="99"/>
    <w:semiHidden/>
    <w:rsid w:val="00174C27"/>
    <w:rPr>
      <w:lang w:val="en-US"/>
    </w:rPr>
  </w:style>
  <w:style w:type="paragraph" w:styleId="BodyTextIndent2">
    <w:name w:val="Body Text Indent 2"/>
    <w:link w:val="BodyTextIndent2Char"/>
    <w:uiPriority w:val="99"/>
    <w:semiHidden/>
    <w:rsid w:val="00174C27"/>
    <w:pPr>
      <w:spacing w:before="120"/>
      <w:ind w:left="283"/>
    </w:pPr>
  </w:style>
  <w:style w:type="character" w:customStyle="1" w:styleId="BodyTextIndent2Char">
    <w:name w:val="Body Text Indent 2 Char"/>
    <w:basedOn w:val="DefaultParagraphFont"/>
    <w:link w:val="BodyTextIndent2"/>
    <w:uiPriority w:val="99"/>
    <w:semiHidden/>
    <w:rsid w:val="00174C27"/>
  </w:style>
  <w:style w:type="paragraph" w:styleId="BodyTextIndent3">
    <w:name w:val="Body Text Indent 3"/>
    <w:link w:val="BodyTextIndent3Char"/>
    <w:uiPriority w:val="99"/>
    <w:semiHidden/>
    <w:rsid w:val="00174C27"/>
    <w:pPr>
      <w:spacing w:before="120"/>
      <w:ind w:left="283"/>
    </w:pPr>
    <w:rPr>
      <w:szCs w:val="16"/>
    </w:rPr>
  </w:style>
  <w:style w:type="character" w:customStyle="1" w:styleId="BodyTextIndent3Char">
    <w:name w:val="Body Text Indent 3 Char"/>
    <w:basedOn w:val="DefaultParagraphFont"/>
    <w:link w:val="BodyTextIndent3"/>
    <w:uiPriority w:val="99"/>
    <w:semiHidden/>
    <w:rsid w:val="00174C27"/>
    <w:rPr>
      <w:szCs w:val="16"/>
    </w:rPr>
  </w:style>
  <w:style w:type="character" w:styleId="BookTitle">
    <w:name w:val="Book Title"/>
    <w:basedOn w:val="DefaultParagraphFont"/>
    <w:uiPriority w:val="99"/>
    <w:semiHidden/>
    <w:rsid w:val="00174C27"/>
    <w:rPr>
      <w:b/>
      <w:bCs/>
      <w:smallCaps/>
      <w:spacing w:val="5"/>
      <w:lang w:val="en-US"/>
    </w:rPr>
  </w:style>
  <w:style w:type="paragraph" w:styleId="Caption">
    <w:name w:val="caption"/>
    <w:next w:val="BodyText"/>
    <w:uiPriority w:val="33"/>
    <w:unhideWhenUsed/>
    <w:rsid w:val="00465D37"/>
    <w:pPr>
      <w:spacing w:before="120"/>
    </w:pPr>
    <w:rPr>
      <w:b/>
      <w:bCs/>
      <w:sz w:val="20"/>
      <w:szCs w:val="18"/>
    </w:rPr>
  </w:style>
  <w:style w:type="paragraph" w:styleId="Closing">
    <w:name w:val="Closing"/>
    <w:link w:val="ClosingChar"/>
    <w:uiPriority w:val="99"/>
    <w:semiHidden/>
    <w:rsid w:val="00174C27"/>
    <w:pPr>
      <w:ind w:left="4252"/>
    </w:pPr>
  </w:style>
  <w:style w:type="character" w:customStyle="1" w:styleId="ClosingChar">
    <w:name w:val="Closing Char"/>
    <w:basedOn w:val="DefaultParagraphFont"/>
    <w:link w:val="Closing"/>
    <w:uiPriority w:val="99"/>
    <w:semiHidden/>
    <w:rsid w:val="00174C27"/>
    <w:rPr>
      <w:lang w:val="en-US"/>
    </w:rPr>
  </w:style>
  <w:style w:type="table" w:styleId="ColorfulGrid">
    <w:name w:val="Colorful Grid"/>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BCE3FF" w:themeFill="accent1" w:themeFillTint="33"/>
    </w:tcPr>
    <w:tblStylePr w:type="firstRow">
      <w:rPr>
        <w:b/>
        <w:bCs/>
      </w:rPr>
      <w:tblPr/>
      <w:tcPr>
        <w:shd w:val="clear" w:color="auto" w:fill="79C9FF" w:themeFill="accent1" w:themeFillTint="66"/>
      </w:tcPr>
    </w:tblStylePr>
    <w:tblStylePr w:type="lastRow">
      <w:rPr>
        <w:b/>
        <w:bCs/>
        <w:color w:val="000000" w:themeColor="text1"/>
      </w:rPr>
      <w:tblPr/>
      <w:tcPr>
        <w:shd w:val="clear" w:color="auto" w:fill="79C9FF" w:themeFill="accent1" w:themeFillTint="66"/>
      </w:tcPr>
    </w:tblStylePr>
    <w:tblStylePr w:type="firstCol">
      <w:rPr>
        <w:color w:val="FFFFFF" w:themeColor="background1"/>
      </w:rPr>
      <w:tblPr/>
      <w:tcPr>
        <w:shd w:val="clear" w:color="auto" w:fill="004E83" w:themeFill="accent1" w:themeFillShade="BF"/>
      </w:tcPr>
    </w:tblStylePr>
    <w:tblStylePr w:type="lastCol">
      <w:rPr>
        <w:color w:val="FFFFFF" w:themeColor="background1"/>
      </w:rPr>
      <w:tblPr/>
      <w:tcPr>
        <w:shd w:val="clear" w:color="auto" w:fill="004E83" w:themeFill="accent1" w:themeFillShade="BF"/>
      </w:tcPr>
    </w:tblStylePr>
    <w:tblStylePr w:type="band1Vert">
      <w:tblPr/>
      <w:tcPr>
        <w:shd w:val="clear" w:color="auto" w:fill="58BBFF" w:themeFill="accent1" w:themeFillTint="7F"/>
      </w:tcPr>
    </w:tblStylePr>
    <w:tblStylePr w:type="band1Horz">
      <w:tblPr/>
      <w:tcPr>
        <w:shd w:val="clear" w:color="auto" w:fill="58BBFF" w:themeFill="accent1" w:themeFillTint="7F"/>
      </w:tcPr>
    </w:tblStylePr>
  </w:style>
  <w:style w:type="table" w:styleId="ColorfulGrid-Accent2">
    <w:name w:val="Colorful Grid Accent 2"/>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D5EFF1" w:themeFill="accent2" w:themeFillTint="33"/>
    </w:tcPr>
    <w:tblStylePr w:type="firstRow">
      <w:rPr>
        <w:b/>
        <w:bCs/>
      </w:rPr>
      <w:tblPr/>
      <w:tcPr>
        <w:shd w:val="clear" w:color="auto" w:fill="ACE0E3" w:themeFill="accent2" w:themeFillTint="66"/>
      </w:tcPr>
    </w:tblStylePr>
    <w:tblStylePr w:type="lastRow">
      <w:rPr>
        <w:b/>
        <w:bCs/>
        <w:color w:val="000000" w:themeColor="text1"/>
      </w:rPr>
      <w:tblPr/>
      <w:tcPr>
        <w:shd w:val="clear" w:color="auto" w:fill="ACE0E3" w:themeFill="accent2" w:themeFillTint="66"/>
      </w:tcPr>
    </w:tblStylePr>
    <w:tblStylePr w:type="firstCol">
      <w:rPr>
        <w:color w:val="FFFFFF" w:themeColor="background1"/>
      </w:rPr>
      <w:tblPr/>
      <w:tcPr>
        <w:shd w:val="clear" w:color="auto" w:fill="2C7F82" w:themeFill="accent2" w:themeFillShade="BF"/>
      </w:tcPr>
    </w:tblStylePr>
    <w:tblStylePr w:type="lastCol">
      <w:rPr>
        <w:color w:val="FFFFFF" w:themeColor="background1"/>
      </w:rPr>
      <w:tblPr/>
      <w:tcPr>
        <w:shd w:val="clear" w:color="auto" w:fill="2C7F82" w:themeFill="accent2" w:themeFillShade="BF"/>
      </w:tcPr>
    </w:tblStylePr>
    <w:tblStylePr w:type="band1Vert">
      <w:tblPr/>
      <w:tcPr>
        <w:shd w:val="clear" w:color="auto" w:fill="98D9DC" w:themeFill="accent2" w:themeFillTint="7F"/>
      </w:tcPr>
    </w:tblStylePr>
    <w:tblStylePr w:type="band1Horz">
      <w:tblPr/>
      <w:tcPr>
        <w:shd w:val="clear" w:color="auto" w:fill="98D9DC" w:themeFill="accent2" w:themeFillTint="7F"/>
      </w:tcPr>
    </w:tblStylePr>
  </w:style>
  <w:style w:type="table" w:styleId="ColorfulGrid-Accent3">
    <w:name w:val="Colorful Grid Accent 3"/>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E2F4F5" w:themeFill="accent5" w:themeFillTint="33"/>
    </w:tcPr>
    <w:tblStylePr w:type="firstRow">
      <w:rPr>
        <w:b/>
        <w:bCs/>
      </w:rPr>
      <w:tblPr/>
      <w:tcPr>
        <w:shd w:val="clear" w:color="auto" w:fill="C5E9EB" w:themeFill="accent5" w:themeFillTint="66"/>
      </w:tcPr>
    </w:tblStylePr>
    <w:tblStylePr w:type="lastRow">
      <w:rPr>
        <w:b/>
        <w:bCs/>
        <w:color w:val="000000" w:themeColor="text1"/>
      </w:rPr>
      <w:tblPr/>
      <w:tcPr>
        <w:shd w:val="clear" w:color="auto" w:fill="C5E9EB" w:themeFill="accent5" w:themeFillTint="66"/>
      </w:tcPr>
    </w:tblStylePr>
    <w:tblStylePr w:type="firstCol">
      <w:rPr>
        <w:color w:val="FFFFFF" w:themeColor="background1"/>
      </w:rPr>
      <w:tblPr/>
      <w:tcPr>
        <w:shd w:val="clear" w:color="auto" w:fill="3CACB1" w:themeFill="accent5" w:themeFillShade="BF"/>
      </w:tcPr>
    </w:tblStylePr>
    <w:tblStylePr w:type="lastCol">
      <w:rPr>
        <w:color w:val="FFFFFF" w:themeColor="background1"/>
      </w:rPr>
      <w:tblPr/>
      <w:tcPr>
        <w:shd w:val="clear" w:color="auto" w:fill="3CACB1" w:themeFill="accent5" w:themeFillShade="BF"/>
      </w:tcPr>
    </w:tblStylePr>
    <w:tblStylePr w:type="band1Vert">
      <w:tblPr/>
      <w:tcPr>
        <w:shd w:val="clear" w:color="auto" w:fill="B7E4E6" w:themeFill="accent5" w:themeFillTint="7F"/>
      </w:tcPr>
    </w:tblStylePr>
    <w:tblStylePr w:type="band1Horz">
      <w:tblPr/>
      <w:tcPr>
        <w:shd w:val="clear" w:color="auto" w:fill="B7E4E6" w:themeFill="accent5" w:themeFillTint="7F"/>
      </w:tcPr>
    </w:tblStylePr>
  </w:style>
  <w:style w:type="table" w:styleId="ColorfulGrid-Accent6">
    <w:name w:val="Colorful Grid Accent 6"/>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FDEDDF" w:themeFill="accent6" w:themeFillTint="33"/>
    </w:tcPr>
    <w:tblStylePr w:type="firstRow">
      <w:rPr>
        <w:b/>
        <w:bCs/>
      </w:rPr>
      <w:tblPr/>
      <w:tcPr>
        <w:shd w:val="clear" w:color="auto" w:fill="FCDBC0" w:themeFill="accent6" w:themeFillTint="66"/>
      </w:tcPr>
    </w:tblStylePr>
    <w:tblStylePr w:type="lastRow">
      <w:rPr>
        <w:b/>
        <w:bCs/>
        <w:color w:val="000000" w:themeColor="text1"/>
      </w:rPr>
      <w:tblPr/>
      <w:tcPr>
        <w:shd w:val="clear" w:color="auto" w:fill="FCDBC0" w:themeFill="accent6" w:themeFillTint="66"/>
      </w:tcPr>
    </w:tblStylePr>
    <w:tblStylePr w:type="firstCol">
      <w:rPr>
        <w:color w:val="FFFFFF" w:themeColor="background1"/>
      </w:rPr>
      <w:tblPr/>
      <w:tcPr>
        <w:shd w:val="clear" w:color="auto" w:fill="F4760E" w:themeFill="accent6" w:themeFillShade="BF"/>
      </w:tcPr>
    </w:tblStylePr>
    <w:tblStylePr w:type="lastCol">
      <w:rPr>
        <w:color w:val="FFFFFF" w:themeColor="background1"/>
      </w:rPr>
      <w:tblPr/>
      <w:tcPr>
        <w:shd w:val="clear" w:color="auto" w:fill="F4760E" w:themeFill="accent6" w:themeFillShade="BF"/>
      </w:tcPr>
    </w:tblStylePr>
    <w:tblStylePr w:type="band1Vert">
      <w:tblPr/>
      <w:tcPr>
        <w:shd w:val="clear" w:color="auto" w:fill="FBD2B0" w:themeFill="accent6" w:themeFillTint="7F"/>
      </w:tcPr>
    </w:tblStylePr>
    <w:tblStylePr w:type="band1Horz">
      <w:tblPr/>
      <w:tcPr>
        <w:shd w:val="clear" w:color="auto" w:fill="FBD2B0" w:themeFill="accent6" w:themeFillTint="7F"/>
      </w:tcPr>
    </w:tblStylePr>
  </w:style>
  <w:style w:type="table" w:styleId="ColorfulList">
    <w:name w:val="Colorful List"/>
    <w:basedOn w:val="TableNormal"/>
    <w:uiPriority w:val="72"/>
    <w:semiHidden/>
    <w:unhideWhenUsed/>
    <w:rsid w:val="00174C2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878B" w:themeFill="accent2" w:themeFillShade="CC"/>
      </w:tcPr>
    </w:tblStylePr>
    <w:tblStylePr w:type="lastRow">
      <w:rPr>
        <w:b/>
        <w:bCs/>
        <w:color w:val="2F87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74C27"/>
    <w:rPr>
      <w:color w:val="000000" w:themeColor="text1"/>
    </w:rPr>
    <w:tblPr>
      <w:tblStyleRowBandSize w:val="1"/>
      <w:tblStyleColBandSize w:val="1"/>
    </w:tblPr>
    <w:tcPr>
      <w:shd w:val="clear" w:color="auto" w:fill="DEF1FF" w:themeFill="accent1" w:themeFillTint="19"/>
    </w:tcPr>
    <w:tblStylePr w:type="firstRow">
      <w:rPr>
        <w:b/>
        <w:bCs/>
        <w:color w:val="FFFFFF" w:themeColor="background1"/>
      </w:rPr>
      <w:tblPr/>
      <w:tcPr>
        <w:tcBorders>
          <w:bottom w:val="single" w:sz="12" w:space="0" w:color="FFFFFF" w:themeColor="background1"/>
        </w:tcBorders>
        <w:shd w:val="clear" w:color="auto" w:fill="2F878B" w:themeFill="accent2" w:themeFillShade="CC"/>
      </w:tcPr>
    </w:tblStylePr>
    <w:tblStylePr w:type="lastRow">
      <w:rPr>
        <w:b/>
        <w:bCs/>
        <w:color w:val="2F87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DFF" w:themeFill="accent1" w:themeFillTint="3F"/>
      </w:tcPr>
    </w:tblStylePr>
    <w:tblStylePr w:type="band1Horz">
      <w:tblPr/>
      <w:tcPr>
        <w:shd w:val="clear" w:color="auto" w:fill="BCE3FF" w:themeFill="accent1" w:themeFillTint="33"/>
      </w:tcPr>
    </w:tblStylePr>
  </w:style>
  <w:style w:type="table" w:styleId="ColorfulList-Accent2">
    <w:name w:val="Colorful List Accent 2"/>
    <w:basedOn w:val="TableNormal"/>
    <w:uiPriority w:val="72"/>
    <w:semiHidden/>
    <w:unhideWhenUsed/>
    <w:rsid w:val="00174C27"/>
    <w:rPr>
      <w:color w:val="000000" w:themeColor="text1"/>
    </w:rPr>
    <w:tblPr>
      <w:tblStyleRowBandSize w:val="1"/>
      <w:tblStyleColBandSize w:val="1"/>
    </w:tblPr>
    <w:tcPr>
      <w:shd w:val="clear" w:color="auto" w:fill="EAF7F8" w:themeFill="accent2" w:themeFillTint="19"/>
    </w:tcPr>
    <w:tblStylePr w:type="firstRow">
      <w:rPr>
        <w:b/>
        <w:bCs/>
        <w:color w:val="FFFFFF" w:themeColor="background1"/>
      </w:rPr>
      <w:tblPr/>
      <w:tcPr>
        <w:tcBorders>
          <w:bottom w:val="single" w:sz="12" w:space="0" w:color="FFFFFF" w:themeColor="background1"/>
        </w:tcBorders>
        <w:shd w:val="clear" w:color="auto" w:fill="2F878B" w:themeFill="accent2" w:themeFillShade="CC"/>
      </w:tcPr>
    </w:tblStylePr>
    <w:tblStylePr w:type="lastRow">
      <w:rPr>
        <w:b/>
        <w:bCs/>
        <w:color w:val="2F87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CED" w:themeFill="accent2" w:themeFillTint="3F"/>
      </w:tcPr>
    </w:tblStylePr>
    <w:tblStylePr w:type="band1Horz">
      <w:tblPr/>
      <w:tcPr>
        <w:shd w:val="clear" w:color="auto" w:fill="D5EFF1" w:themeFill="accent2" w:themeFillTint="33"/>
      </w:tcPr>
    </w:tblStylePr>
  </w:style>
  <w:style w:type="table" w:styleId="ColorfulList-Accent3">
    <w:name w:val="Colorful List Accent 3"/>
    <w:basedOn w:val="TableNormal"/>
    <w:uiPriority w:val="72"/>
    <w:semiHidden/>
    <w:unhideWhenUsed/>
    <w:rsid w:val="00174C2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74C2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74C27"/>
    <w:rPr>
      <w:color w:val="000000" w:themeColor="text1"/>
    </w:rPr>
    <w:tblPr>
      <w:tblStyleRowBandSize w:val="1"/>
      <w:tblStyleColBandSize w:val="1"/>
    </w:tblPr>
    <w:tcPr>
      <w:shd w:val="clear" w:color="auto" w:fill="F0F9FA" w:themeFill="accent5" w:themeFillTint="19"/>
    </w:tcPr>
    <w:tblStylePr w:type="firstRow">
      <w:rPr>
        <w:b/>
        <w:bCs/>
        <w:color w:val="FFFFFF" w:themeColor="background1"/>
      </w:rPr>
      <w:tblPr/>
      <w:tcPr>
        <w:tcBorders>
          <w:bottom w:val="single" w:sz="12" w:space="0" w:color="FFFFFF" w:themeColor="background1"/>
        </w:tcBorders>
        <w:shd w:val="clear" w:color="auto" w:fill="F57F1F" w:themeFill="accent6" w:themeFillShade="CC"/>
      </w:tcPr>
    </w:tblStylePr>
    <w:tblStylePr w:type="lastRow">
      <w:rPr>
        <w:b/>
        <w:bCs/>
        <w:color w:val="F57F1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3" w:themeFill="accent5" w:themeFillTint="3F"/>
      </w:tcPr>
    </w:tblStylePr>
    <w:tblStylePr w:type="band1Horz">
      <w:tblPr/>
      <w:tcPr>
        <w:shd w:val="clear" w:color="auto" w:fill="E2F4F5" w:themeFill="accent5" w:themeFillTint="33"/>
      </w:tcPr>
    </w:tblStylePr>
  </w:style>
  <w:style w:type="table" w:styleId="ColorfulList-Accent6">
    <w:name w:val="Colorful List Accent 6"/>
    <w:basedOn w:val="TableNormal"/>
    <w:uiPriority w:val="72"/>
    <w:semiHidden/>
    <w:unhideWhenUsed/>
    <w:rsid w:val="00174C27"/>
    <w:rPr>
      <w:color w:val="000000" w:themeColor="text1"/>
    </w:rPr>
    <w:tblPr>
      <w:tblStyleRowBandSize w:val="1"/>
      <w:tblStyleColBandSize w:val="1"/>
    </w:tblPr>
    <w:tcPr>
      <w:shd w:val="clear" w:color="auto" w:fill="FEF6EF" w:themeFill="accent6" w:themeFillTint="19"/>
    </w:tcPr>
    <w:tblStylePr w:type="firstRow">
      <w:rPr>
        <w:b/>
        <w:bCs/>
        <w:color w:val="FFFFFF" w:themeColor="background1"/>
      </w:rPr>
      <w:tblPr/>
      <w:tcPr>
        <w:tcBorders>
          <w:bottom w:val="single" w:sz="12" w:space="0" w:color="FFFFFF" w:themeColor="background1"/>
        </w:tcBorders>
        <w:shd w:val="clear" w:color="auto" w:fill="41B7BD" w:themeFill="accent5" w:themeFillShade="CC"/>
      </w:tcPr>
    </w:tblStylePr>
    <w:tblStylePr w:type="lastRow">
      <w:rPr>
        <w:b/>
        <w:bCs/>
        <w:color w:val="41B7B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8D8" w:themeFill="accent6" w:themeFillTint="3F"/>
      </w:tcPr>
    </w:tblStylePr>
    <w:tblStylePr w:type="band1Horz">
      <w:tblPr/>
      <w:tcPr>
        <w:shd w:val="clear" w:color="auto" w:fill="FDEDDF" w:themeFill="accent6" w:themeFillTint="33"/>
      </w:tcPr>
    </w:tblStylePr>
  </w:style>
  <w:style w:type="table" w:styleId="ColorfulShading">
    <w:name w:val="Colorful Shading"/>
    <w:basedOn w:val="TableNormal"/>
    <w:uiPriority w:val="71"/>
    <w:semiHidden/>
    <w:unhideWhenUsed/>
    <w:rsid w:val="00174C27"/>
    <w:rPr>
      <w:color w:val="000000" w:themeColor="text1"/>
    </w:rPr>
    <w:tblPr>
      <w:tblStyleRowBandSize w:val="1"/>
      <w:tblStyleColBandSize w:val="1"/>
      <w:tblBorders>
        <w:top w:val="single" w:sz="24" w:space="0" w:color="3BAA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74C27"/>
    <w:rPr>
      <w:color w:val="000000" w:themeColor="text1"/>
    </w:rPr>
    <w:tblPr>
      <w:tblStyleRowBandSize w:val="1"/>
      <w:tblStyleColBandSize w:val="1"/>
      <w:tblBorders>
        <w:top w:val="single" w:sz="24" w:space="0" w:color="3BAAAF" w:themeColor="accent2"/>
        <w:left w:val="single" w:sz="4" w:space="0" w:color="0069B0" w:themeColor="accent1"/>
        <w:bottom w:val="single" w:sz="4" w:space="0" w:color="0069B0" w:themeColor="accent1"/>
        <w:right w:val="single" w:sz="4" w:space="0" w:color="0069B0" w:themeColor="accent1"/>
        <w:insideH w:val="single" w:sz="4" w:space="0" w:color="FFFFFF" w:themeColor="background1"/>
        <w:insideV w:val="single" w:sz="4" w:space="0" w:color="FFFFFF" w:themeColor="background1"/>
      </w:tblBorders>
    </w:tblPr>
    <w:tcPr>
      <w:shd w:val="clear" w:color="auto" w:fill="DEF1FF" w:themeFill="accent1" w:themeFillTint="19"/>
    </w:tcPr>
    <w:tblStylePr w:type="firstRow">
      <w:rPr>
        <w:b/>
        <w:bCs/>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69" w:themeFill="accent1" w:themeFillShade="99"/>
      </w:tcPr>
    </w:tblStylePr>
    <w:tblStylePr w:type="firstCol">
      <w:rPr>
        <w:color w:val="FFFFFF" w:themeColor="background1"/>
      </w:rPr>
      <w:tblPr/>
      <w:tcPr>
        <w:tcBorders>
          <w:top w:val="nil"/>
          <w:left w:val="nil"/>
          <w:bottom w:val="nil"/>
          <w:right w:val="nil"/>
          <w:insideH w:val="single" w:sz="4" w:space="0" w:color="003E69" w:themeColor="accent1" w:themeShade="99"/>
          <w:insideV w:val="nil"/>
        </w:tcBorders>
        <w:shd w:val="clear" w:color="auto" w:fill="003E6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E69" w:themeFill="accent1" w:themeFillShade="99"/>
      </w:tcPr>
    </w:tblStylePr>
    <w:tblStylePr w:type="band1Vert">
      <w:tblPr/>
      <w:tcPr>
        <w:shd w:val="clear" w:color="auto" w:fill="79C9FF" w:themeFill="accent1" w:themeFillTint="66"/>
      </w:tcPr>
    </w:tblStylePr>
    <w:tblStylePr w:type="band1Horz">
      <w:tblPr/>
      <w:tcPr>
        <w:shd w:val="clear" w:color="auto" w:fill="58BB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74C27"/>
    <w:rPr>
      <w:color w:val="000000" w:themeColor="text1"/>
    </w:rPr>
    <w:tblPr>
      <w:tblStyleRowBandSize w:val="1"/>
      <w:tblStyleColBandSize w:val="1"/>
      <w:tblBorders>
        <w:top w:val="single" w:sz="24" w:space="0" w:color="3BAAAF" w:themeColor="accent2"/>
        <w:left w:val="single" w:sz="4" w:space="0" w:color="3BAAAF" w:themeColor="accent2"/>
        <w:bottom w:val="single" w:sz="4" w:space="0" w:color="3BAAAF" w:themeColor="accent2"/>
        <w:right w:val="single" w:sz="4" w:space="0" w:color="3BAAAF" w:themeColor="accent2"/>
        <w:insideH w:val="single" w:sz="4" w:space="0" w:color="FFFFFF" w:themeColor="background1"/>
        <w:insideV w:val="single" w:sz="4" w:space="0" w:color="FFFFFF" w:themeColor="background1"/>
      </w:tblBorders>
    </w:tblPr>
    <w:tcPr>
      <w:shd w:val="clear" w:color="auto" w:fill="EAF7F8" w:themeFill="accent2" w:themeFillTint="19"/>
    </w:tcPr>
    <w:tblStylePr w:type="firstRow">
      <w:rPr>
        <w:b/>
        <w:bCs/>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6568" w:themeFill="accent2" w:themeFillShade="99"/>
      </w:tcPr>
    </w:tblStylePr>
    <w:tblStylePr w:type="firstCol">
      <w:rPr>
        <w:color w:val="FFFFFF" w:themeColor="background1"/>
      </w:rPr>
      <w:tblPr/>
      <w:tcPr>
        <w:tcBorders>
          <w:top w:val="nil"/>
          <w:left w:val="nil"/>
          <w:bottom w:val="nil"/>
          <w:right w:val="nil"/>
          <w:insideH w:val="single" w:sz="4" w:space="0" w:color="236568" w:themeColor="accent2" w:themeShade="99"/>
          <w:insideV w:val="nil"/>
        </w:tcBorders>
        <w:shd w:val="clear" w:color="auto" w:fill="23656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6568" w:themeFill="accent2" w:themeFillShade="99"/>
      </w:tcPr>
    </w:tblStylePr>
    <w:tblStylePr w:type="band1Vert">
      <w:tblPr/>
      <w:tcPr>
        <w:shd w:val="clear" w:color="auto" w:fill="ACE0E3" w:themeFill="accent2" w:themeFillTint="66"/>
      </w:tcPr>
    </w:tblStylePr>
    <w:tblStylePr w:type="band1Horz">
      <w:tblPr/>
      <w:tcPr>
        <w:shd w:val="clear" w:color="auto" w:fill="98D9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74C2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74C2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74C27"/>
    <w:rPr>
      <w:color w:val="000000" w:themeColor="text1"/>
    </w:rPr>
    <w:tblPr>
      <w:tblStyleRowBandSize w:val="1"/>
      <w:tblStyleColBandSize w:val="1"/>
      <w:tblBorders>
        <w:top w:val="single" w:sz="24" w:space="0" w:color="F8A662" w:themeColor="accent6"/>
        <w:left w:val="single" w:sz="4" w:space="0" w:color="70CACE" w:themeColor="accent5"/>
        <w:bottom w:val="single" w:sz="4" w:space="0" w:color="70CACE" w:themeColor="accent5"/>
        <w:right w:val="single" w:sz="4" w:space="0" w:color="70CACE" w:themeColor="accent5"/>
        <w:insideH w:val="single" w:sz="4" w:space="0" w:color="FFFFFF" w:themeColor="background1"/>
        <w:insideV w:val="single" w:sz="4" w:space="0" w:color="FFFFFF" w:themeColor="background1"/>
      </w:tblBorders>
    </w:tblPr>
    <w:tcPr>
      <w:shd w:val="clear" w:color="auto" w:fill="F0F9FA" w:themeFill="accent5" w:themeFillTint="19"/>
    </w:tcPr>
    <w:tblStylePr w:type="firstRow">
      <w:rPr>
        <w:b/>
        <w:bCs/>
      </w:rPr>
      <w:tblPr/>
      <w:tcPr>
        <w:tcBorders>
          <w:top w:val="nil"/>
          <w:left w:val="nil"/>
          <w:bottom w:val="single" w:sz="24" w:space="0" w:color="F8A6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898E" w:themeFill="accent5" w:themeFillShade="99"/>
      </w:tcPr>
    </w:tblStylePr>
    <w:tblStylePr w:type="firstCol">
      <w:rPr>
        <w:color w:val="FFFFFF" w:themeColor="background1"/>
      </w:rPr>
      <w:tblPr/>
      <w:tcPr>
        <w:tcBorders>
          <w:top w:val="nil"/>
          <w:left w:val="nil"/>
          <w:bottom w:val="nil"/>
          <w:right w:val="nil"/>
          <w:insideH w:val="single" w:sz="4" w:space="0" w:color="30898E" w:themeColor="accent5" w:themeShade="99"/>
          <w:insideV w:val="nil"/>
        </w:tcBorders>
        <w:shd w:val="clear" w:color="auto" w:fill="308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898E" w:themeFill="accent5" w:themeFillShade="99"/>
      </w:tcPr>
    </w:tblStylePr>
    <w:tblStylePr w:type="band1Vert">
      <w:tblPr/>
      <w:tcPr>
        <w:shd w:val="clear" w:color="auto" w:fill="C5E9EB" w:themeFill="accent5" w:themeFillTint="66"/>
      </w:tcPr>
    </w:tblStylePr>
    <w:tblStylePr w:type="band1Horz">
      <w:tblPr/>
      <w:tcPr>
        <w:shd w:val="clear" w:color="auto" w:fill="B7E4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74C27"/>
    <w:rPr>
      <w:color w:val="000000" w:themeColor="text1"/>
    </w:rPr>
    <w:tblPr>
      <w:tblStyleRowBandSize w:val="1"/>
      <w:tblStyleColBandSize w:val="1"/>
      <w:tblBorders>
        <w:top w:val="single" w:sz="24" w:space="0" w:color="70CACE" w:themeColor="accent5"/>
        <w:left w:val="single" w:sz="4" w:space="0" w:color="F8A662" w:themeColor="accent6"/>
        <w:bottom w:val="single" w:sz="4" w:space="0" w:color="F8A662" w:themeColor="accent6"/>
        <w:right w:val="single" w:sz="4" w:space="0" w:color="F8A662" w:themeColor="accent6"/>
        <w:insideH w:val="single" w:sz="4" w:space="0" w:color="FFFFFF" w:themeColor="background1"/>
        <w:insideV w:val="single" w:sz="4" w:space="0" w:color="FFFFFF" w:themeColor="background1"/>
      </w:tblBorders>
    </w:tblPr>
    <w:tcPr>
      <w:shd w:val="clear" w:color="auto" w:fill="FEF6EF" w:themeFill="accent6" w:themeFillTint="19"/>
    </w:tcPr>
    <w:tblStylePr w:type="firstRow">
      <w:rPr>
        <w:b/>
        <w:bCs/>
      </w:rPr>
      <w:tblPr/>
      <w:tcPr>
        <w:tcBorders>
          <w:top w:val="nil"/>
          <w:left w:val="nil"/>
          <w:bottom w:val="single" w:sz="24" w:space="0" w:color="70CAC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E09" w:themeFill="accent6" w:themeFillShade="99"/>
      </w:tcPr>
    </w:tblStylePr>
    <w:tblStylePr w:type="firstCol">
      <w:rPr>
        <w:color w:val="FFFFFF" w:themeColor="background1"/>
      </w:rPr>
      <w:tblPr/>
      <w:tcPr>
        <w:tcBorders>
          <w:top w:val="nil"/>
          <w:left w:val="nil"/>
          <w:bottom w:val="nil"/>
          <w:right w:val="nil"/>
          <w:insideH w:val="single" w:sz="4" w:space="0" w:color="C65E09" w:themeColor="accent6" w:themeShade="99"/>
          <w:insideV w:val="nil"/>
        </w:tcBorders>
        <w:shd w:val="clear" w:color="auto" w:fill="C65E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65E09" w:themeFill="accent6" w:themeFillShade="99"/>
      </w:tcPr>
    </w:tblStylePr>
    <w:tblStylePr w:type="band1Vert">
      <w:tblPr/>
      <w:tcPr>
        <w:shd w:val="clear" w:color="auto" w:fill="FCDBC0" w:themeFill="accent6" w:themeFillTint="66"/>
      </w:tcPr>
    </w:tblStylePr>
    <w:tblStylePr w:type="band1Horz">
      <w:tblPr/>
      <w:tcPr>
        <w:shd w:val="clear" w:color="auto" w:fill="FBD2B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74C27"/>
    <w:rPr>
      <w:sz w:val="16"/>
      <w:szCs w:val="16"/>
      <w:lang w:val="en-US"/>
    </w:rPr>
  </w:style>
  <w:style w:type="paragraph" w:styleId="CommentText">
    <w:name w:val="annotation text"/>
    <w:link w:val="CommentTextChar"/>
    <w:uiPriority w:val="99"/>
    <w:semiHidden/>
    <w:rsid w:val="00174C27"/>
    <w:rPr>
      <w:sz w:val="20"/>
      <w:szCs w:val="20"/>
    </w:rPr>
  </w:style>
  <w:style w:type="character" w:customStyle="1" w:styleId="CommentTextChar">
    <w:name w:val="Comment Text Char"/>
    <w:basedOn w:val="DefaultParagraphFont"/>
    <w:link w:val="CommentText"/>
    <w:uiPriority w:val="99"/>
    <w:semiHidden/>
    <w:rsid w:val="00174C27"/>
    <w:rPr>
      <w:sz w:val="20"/>
      <w:szCs w:val="20"/>
      <w:lang w:val="en-US"/>
    </w:rPr>
  </w:style>
  <w:style w:type="paragraph" w:styleId="CommentSubject">
    <w:name w:val="annotation subject"/>
    <w:basedOn w:val="CommentText"/>
    <w:next w:val="CommentText"/>
    <w:link w:val="CommentSubjectChar"/>
    <w:uiPriority w:val="99"/>
    <w:semiHidden/>
    <w:rsid w:val="00174C27"/>
    <w:rPr>
      <w:b/>
      <w:bCs/>
    </w:rPr>
  </w:style>
  <w:style w:type="character" w:customStyle="1" w:styleId="CommentSubjectChar">
    <w:name w:val="Comment Subject Char"/>
    <w:basedOn w:val="CommentTextChar"/>
    <w:link w:val="CommentSubject"/>
    <w:uiPriority w:val="99"/>
    <w:semiHidden/>
    <w:rsid w:val="00174C27"/>
    <w:rPr>
      <w:b/>
      <w:bCs/>
      <w:sz w:val="20"/>
      <w:szCs w:val="20"/>
      <w:lang w:val="en-US"/>
    </w:rPr>
  </w:style>
  <w:style w:type="table" w:styleId="DarkList">
    <w:name w:val="Dark List"/>
    <w:basedOn w:val="TableNormal"/>
    <w:uiPriority w:val="70"/>
    <w:semiHidden/>
    <w:unhideWhenUsed/>
    <w:rsid w:val="00174C2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74C27"/>
    <w:rPr>
      <w:color w:val="FFFFFF" w:themeColor="background1"/>
    </w:rPr>
    <w:tblPr>
      <w:tblStyleRowBandSize w:val="1"/>
      <w:tblStyleColBandSize w:val="1"/>
    </w:tblPr>
    <w:tcPr>
      <w:shd w:val="clear" w:color="auto" w:fill="0069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5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E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E83" w:themeFill="accent1" w:themeFillShade="BF"/>
      </w:tcPr>
    </w:tblStylePr>
    <w:tblStylePr w:type="band1Vert">
      <w:tblPr/>
      <w:tcPr>
        <w:tcBorders>
          <w:top w:val="nil"/>
          <w:left w:val="nil"/>
          <w:bottom w:val="nil"/>
          <w:right w:val="nil"/>
          <w:insideH w:val="nil"/>
          <w:insideV w:val="nil"/>
        </w:tcBorders>
        <w:shd w:val="clear" w:color="auto" w:fill="004E83" w:themeFill="accent1" w:themeFillShade="BF"/>
      </w:tcPr>
    </w:tblStylePr>
    <w:tblStylePr w:type="band1Horz">
      <w:tblPr/>
      <w:tcPr>
        <w:tcBorders>
          <w:top w:val="nil"/>
          <w:left w:val="nil"/>
          <w:bottom w:val="nil"/>
          <w:right w:val="nil"/>
          <w:insideH w:val="nil"/>
          <w:insideV w:val="nil"/>
        </w:tcBorders>
        <w:shd w:val="clear" w:color="auto" w:fill="004E83" w:themeFill="accent1" w:themeFillShade="BF"/>
      </w:tcPr>
    </w:tblStylePr>
  </w:style>
  <w:style w:type="table" w:styleId="DarkList-Accent2">
    <w:name w:val="Dark List Accent 2"/>
    <w:basedOn w:val="TableNormal"/>
    <w:uiPriority w:val="70"/>
    <w:semiHidden/>
    <w:unhideWhenUsed/>
    <w:rsid w:val="00174C27"/>
    <w:rPr>
      <w:color w:val="FFFFFF" w:themeColor="background1"/>
    </w:rPr>
    <w:tblPr>
      <w:tblStyleRowBandSize w:val="1"/>
      <w:tblStyleColBandSize w:val="1"/>
    </w:tblPr>
    <w:tcPr>
      <w:shd w:val="clear" w:color="auto" w:fill="3BAA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545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7F8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7F82" w:themeFill="accent2" w:themeFillShade="BF"/>
      </w:tcPr>
    </w:tblStylePr>
    <w:tblStylePr w:type="band1Vert">
      <w:tblPr/>
      <w:tcPr>
        <w:tcBorders>
          <w:top w:val="nil"/>
          <w:left w:val="nil"/>
          <w:bottom w:val="nil"/>
          <w:right w:val="nil"/>
          <w:insideH w:val="nil"/>
          <w:insideV w:val="nil"/>
        </w:tcBorders>
        <w:shd w:val="clear" w:color="auto" w:fill="2C7F82" w:themeFill="accent2" w:themeFillShade="BF"/>
      </w:tcPr>
    </w:tblStylePr>
    <w:tblStylePr w:type="band1Horz">
      <w:tblPr/>
      <w:tcPr>
        <w:tcBorders>
          <w:top w:val="nil"/>
          <w:left w:val="nil"/>
          <w:bottom w:val="nil"/>
          <w:right w:val="nil"/>
          <w:insideH w:val="nil"/>
          <w:insideV w:val="nil"/>
        </w:tcBorders>
        <w:shd w:val="clear" w:color="auto" w:fill="2C7F82" w:themeFill="accent2" w:themeFillShade="BF"/>
      </w:tcPr>
    </w:tblStylePr>
  </w:style>
  <w:style w:type="table" w:styleId="DarkList-Accent3">
    <w:name w:val="Dark List Accent 3"/>
    <w:basedOn w:val="TableNormal"/>
    <w:uiPriority w:val="70"/>
    <w:semiHidden/>
    <w:unhideWhenUsed/>
    <w:rsid w:val="00174C2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74C2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74C27"/>
    <w:rPr>
      <w:color w:val="FFFFFF" w:themeColor="background1"/>
    </w:rPr>
    <w:tblPr>
      <w:tblStyleRowBandSize w:val="1"/>
      <w:tblStyleColBandSize w:val="1"/>
    </w:tblPr>
    <w:tcPr>
      <w:shd w:val="clear" w:color="auto" w:fill="70CAC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727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ACB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ACB1" w:themeFill="accent5" w:themeFillShade="BF"/>
      </w:tcPr>
    </w:tblStylePr>
    <w:tblStylePr w:type="band1Vert">
      <w:tblPr/>
      <w:tcPr>
        <w:tcBorders>
          <w:top w:val="nil"/>
          <w:left w:val="nil"/>
          <w:bottom w:val="nil"/>
          <w:right w:val="nil"/>
          <w:insideH w:val="nil"/>
          <w:insideV w:val="nil"/>
        </w:tcBorders>
        <w:shd w:val="clear" w:color="auto" w:fill="3CACB1" w:themeFill="accent5" w:themeFillShade="BF"/>
      </w:tcPr>
    </w:tblStylePr>
    <w:tblStylePr w:type="band1Horz">
      <w:tblPr/>
      <w:tcPr>
        <w:tcBorders>
          <w:top w:val="nil"/>
          <w:left w:val="nil"/>
          <w:bottom w:val="nil"/>
          <w:right w:val="nil"/>
          <w:insideH w:val="nil"/>
          <w:insideV w:val="nil"/>
        </w:tcBorders>
        <w:shd w:val="clear" w:color="auto" w:fill="3CACB1" w:themeFill="accent5" w:themeFillShade="BF"/>
      </w:tcPr>
    </w:tblStylePr>
  </w:style>
  <w:style w:type="table" w:styleId="DarkList-Accent6">
    <w:name w:val="Dark List Accent 6"/>
    <w:basedOn w:val="TableNormal"/>
    <w:uiPriority w:val="70"/>
    <w:semiHidden/>
    <w:unhideWhenUsed/>
    <w:rsid w:val="00174C27"/>
    <w:rPr>
      <w:color w:val="FFFFFF" w:themeColor="background1"/>
    </w:rPr>
    <w:tblPr>
      <w:tblStyleRowBandSize w:val="1"/>
      <w:tblStyleColBandSize w:val="1"/>
    </w:tblPr>
    <w:tcPr>
      <w:shd w:val="clear" w:color="auto" w:fill="F8A6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44E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76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760E" w:themeFill="accent6" w:themeFillShade="BF"/>
      </w:tcPr>
    </w:tblStylePr>
    <w:tblStylePr w:type="band1Vert">
      <w:tblPr/>
      <w:tcPr>
        <w:tcBorders>
          <w:top w:val="nil"/>
          <w:left w:val="nil"/>
          <w:bottom w:val="nil"/>
          <w:right w:val="nil"/>
          <w:insideH w:val="nil"/>
          <w:insideV w:val="nil"/>
        </w:tcBorders>
        <w:shd w:val="clear" w:color="auto" w:fill="F4760E" w:themeFill="accent6" w:themeFillShade="BF"/>
      </w:tcPr>
    </w:tblStylePr>
    <w:tblStylePr w:type="band1Horz">
      <w:tblPr/>
      <w:tcPr>
        <w:tcBorders>
          <w:top w:val="nil"/>
          <w:left w:val="nil"/>
          <w:bottom w:val="nil"/>
          <w:right w:val="nil"/>
          <w:insideH w:val="nil"/>
          <w:insideV w:val="nil"/>
        </w:tcBorders>
        <w:shd w:val="clear" w:color="auto" w:fill="F4760E" w:themeFill="accent6" w:themeFillShade="BF"/>
      </w:tcPr>
    </w:tblStylePr>
  </w:style>
  <w:style w:type="paragraph" w:styleId="Date">
    <w:name w:val="Date"/>
    <w:next w:val="BodyText"/>
    <w:link w:val="DateChar"/>
    <w:uiPriority w:val="99"/>
    <w:semiHidden/>
    <w:rsid w:val="00174C27"/>
  </w:style>
  <w:style w:type="character" w:customStyle="1" w:styleId="DateChar">
    <w:name w:val="Date Char"/>
    <w:basedOn w:val="DefaultParagraphFont"/>
    <w:link w:val="Date"/>
    <w:uiPriority w:val="99"/>
    <w:semiHidden/>
    <w:rsid w:val="00174C27"/>
    <w:rPr>
      <w:lang w:val="en-US"/>
    </w:rPr>
  </w:style>
  <w:style w:type="paragraph" w:styleId="DocumentMap">
    <w:name w:val="Document Map"/>
    <w:link w:val="DocumentMapChar"/>
    <w:uiPriority w:val="99"/>
    <w:semiHidden/>
    <w:rsid w:val="00174C27"/>
    <w:rPr>
      <w:rFonts w:ascii="Tahoma" w:hAnsi="Tahoma" w:cs="Tahoma"/>
      <w:sz w:val="16"/>
      <w:szCs w:val="16"/>
    </w:rPr>
  </w:style>
  <w:style w:type="character" w:customStyle="1" w:styleId="DocumentMapChar">
    <w:name w:val="Document Map Char"/>
    <w:basedOn w:val="DefaultParagraphFont"/>
    <w:link w:val="DocumentMap"/>
    <w:uiPriority w:val="99"/>
    <w:semiHidden/>
    <w:rsid w:val="00174C27"/>
    <w:rPr>
      <w:rFonts w:ascii="Tahoma" w:hAnsi="Tahoma" w:cs="Tahoma"/>
      <w:sz w:val="16"/>
      <w:szCs w:val="16"/>
      <w:lang w:val="en-US"/>
    </w:rPr>
  </w:style>
  <w:style w:type="paragraph" w:styleId="E-mailSignature">
    <w:name w:val="E-mail Signature"/>
    <w:link w:val="E-mailSignatureChar"/>
    <w:uiPriority w:val="99"/>
    <w:semiHidden/>
    <w:rsid w:val="00174C27"/>
  </w:style>
  <w:style w:type="character" w:customStyle="1" w:styleId="E-mailSignatureChar">
    <w:name w:val="E-mail Signature Char"/>
    <w:basedOn w:val="DefaultParagraphFont"/>
    <w:link w:val="E-mailSignature"/>
    <w:uiPriority w:val="99"/>
    <w:semiHidden/>
    <w:rsid w:val="00174C27"/>
    <w:rPr>
      <w:lang w:val="en-US"/>
    </w:rPr>
  </w:style>
  <w:style w:type="character" w:styleId="Emphasis">
    <w:name w:val="Emphasis"/>
    <w:basedOn w:val="DefaultParagraphFont"/>
    <w:uiPriority w:val="99"/>
    <w:semiHidden/>
    <w:rsid w:val="00174C27"/>
    <w:rPr>
      <w:i/>
      <w:iCs/>
      <w:lang w:val="en-US"/>
    </w:rPr>
  </w:style>
  <w:style w:type="character" w:styleId="EndnoteReference">
    <w:name w:val="endnote reference"/>
    <w:basedOn w:val="DefaultParagraphFont"/>
    <w:uiPriority w:val="30"/>
    <w:unhideWhenUsed/>
    <w:rsid w:val="00174C27"/>
    <w:rPr>
      <w:vertAlign w:val="superscript"/>
      <w:lang w:val="en-US"/>
    </w:rPr>
  </w:style>
  <w:style w:type="paragraph" w:styleId="EndnoteText">
    <w:name w:val="endnote text"/>
    <w:link w:val="EndnoteTextChar"/>
    <w:uiPriority w:val="31"/>
    <w:unhideWhenUsed/>
    <w:rsid w:val="00174C27"/>
    <w:rPr>
      <w:sz w:val="20"/>
      <w:szCs w:val="20"/>
    </w:rPr>
  </w:style>
  <w:style w:type="character" w:customStyle="1" w:styleId="EndnoteTextChar">
    <w:name w:val="Endnote Text Char"/>
    <w:basedOn w:val="DefaultParagraphFont"/>
    <w:link w:val="EndnoteText"/>
    <w:uiPriority w:val="31"/>
    <w:rsid w:val="00174C27"/>
    <w:rPr>
      <w:sz w:val="20"/>
      <w:szCs w:val="20"/>
      <w:lang w:val="en-US"/>
    </w:rPr>
  </w:style>
  <w:style w:type="paragraph" w:styleId="EnvelopeAddress">
    <w:name w:val="envelope address"/>
    <w:uiPriority w:val="99"/>
    <w:semiHidden/>
    <w:rsid w:val="00174C27"/>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uiPriority w:val="99"/>
    <w:semiHidden/>
    <w:rsid w:val="00174C2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174C27"/>
    <w:rPr>
      <w:color w:val="auto"/>
      <w:u w:val="single"/>
      <w:lang w:val="en-US"/>
    </w:rPr>
  </w:style>
  <w:style w:type="character" w:styleId="HTMLAcronym">
    <w:name w:val="HTML Acronym"/>
    <w:basedOn w:val="DefaultParagraphFont"/>
    <w:uiPriority w:val="99"/>
    <w:semiHidden/>
    <w:rsid w:val="00174C27"/>
    <w:rPr>
      <w:lang w:val="en-US"/>
    </w:rPr>
  </w:style>
  <w:style w:type="paragraph" w:styleId="HTMLAddress">
    <w:name w:val="HTML Address"/>
    <w:link w:val="HTMLAddressChar"/>
    <w:uiPriority w:val="99"/>
    <w:semiHidden/>
    <w:rsid w:val="00174C27"/>
    <w:rPr>
      <w:i/>
      <w:iCs/>
    </w:rPr>
  </w:style>
  <w:style w:type="character" w:customStyle="1" w:styleId="HTMLAddressChar">
    <w:name w:val="HTML Address Char"/>
    <w:basedOn w:val="DefaultParagraphFont"/>
    <w:link w:val="HTMLAddress"/>
    <w:uiPriority w:val="99"/>
    <w:semiHidden/>
    <w:rsid w:val="00174C27"/>
    <w:rPr>
      <w:i/>
      <w:iCs/>
      <w:lang w:val="en-US"/>
    </w:rPr>
  </w:style>
  <w:style w:type="character" w:styleId="HTMLCite">
    <w:name w:val="HTML Cite"/>
    <w:basedOn w:val="DefaultParagraphFont"/>
    <w:uiPriority w:val="99"/>
    <w:semiHidden/>
    <w:rsid w:val="00174C27"/>
    <w:rPr>
      <w:i/>
      <w:iCs/>
      <w:lang w:val="en-US"/>
    </w:rPr>
  </w:style>
  <w:style w:type="character" w:styleId="HTMLCode">
    <w:name w:val="HTML Code"/>
    <w:basedOn w:val="DefaultParagraphFont"/>
    <w:uiPriority w:val="99"/>
    <w:semiHidden/>
    <w:rsid w:val="00174C27"/>
    <w:rPr>
      <w:rFonts w:ascii="Consolas" w:hAnsi="Consolas"/>
      <w:sz w:val="20"/>
      <w:szCs w:val="20"/>
      <w:lang w:val="en-US"/>
    </w:rPr>
  </w:style>
  <w:style w:type="character" w:styleId="HTMLDefinition">
    <w:name w:val="HTML Definition"/>
    <w:basedOn w:val="DefaultParagraphFont"/>
    <w:uiPriority w:val="99"/>
    <w:semiHidden/>
    <w:rsid w:val="00174C27"/>
    <w:rPr>
      <w:i/>
      <w:iCs/>
      <w:lang w:val="en-US"/>
    </w:rPr>
  </w:style>
  <w:style w:type="character" w:styleId="HTMLKeyboard">
    <w:name w:val="HTML Keyboard"/>
    <w:basedOn w:val="DefaultParagraphFont"/>
    <w:uiPriority w:val="99"/>
    <w:semiHidden/>
    <w:rsid w:val="00174C27"/>
    <w:rPr>
      <w:rFonts w:ascii="Consolas" w:hAnsi="Consolas"/>
      <w:sz w:val="20"/>
      <w:szCs w:val="20"/>
      <w:lang w:val="en-US"/>
    </w:rPr>
  </w:style>
  <w:style w:type="paragraph" w:styleId="HTMLPreformatted">
    <w:name w:val="HTML Preformatted"/>
    <w:link w:val="HTMLPreformattedChar"/>
    <w:uiPriority w:val="99"/>
    <w:semiHidden/>
    <w:rsid w:val="00174C2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4C27"/>
    <w:rPr>
      <w:rFonts w:ascii="Consolas" w:hAnsi="Consolas"/>
      <w:sz w:val="20"/>
      <w:szCs w:val="20"/>
      <w:lang w:val="en-US"/>
    </w:rPr>
  </w:style>
  <w:style w:type="character" w:styleId="HTMLSample">
    <w:name w:val="HTML Sample"/>
    <w:basedOn w:val="DefaultParagraphFont"/>
    <w:uiPriority w:val="99"/>
    <w:semiHidden/>
    <w:rsid w:val="00174C27"/>
    <w:rPr>
      <w:rFonts w:ascii="Consolas" w:hAnsi="Consolas"/>
      <w:sz w:val="24"/>
      <w:szCs w:val="24"/>
      <w:lang w:val="en-US"/>
    </w:rPr>
  </w:style>
  <w:style w:type="character" w:styleId="HTMLTypewriter">
    <w:name w:val="HTML Typewriter"/>
    <w:basedOn w:val="DefaultParagraphFont"/>
    <w:uiPriority w:val="99"/>
    <w:semiHidden/>
    <w:rsid w:val="00174C27"/>
    <w:rPr>
      <w:rFonts w:ascii="Consolas" w:hAnsi="Consolas"/>
      <w:sz w:val="20"/>
      <w:szCs w:val="20"/>
      <w:lang w:val="en-US"/>
    </w:rPr>
  </w:style>
  <w:style w:type="character" w:styleId="HTMLVariable">
    <w:name w:val="HTML Variable"/>
    <w:basedOn w:val="DefaultParagraphFont"/>
    <w:uiPriority w:val="99"/>
    <w:semiHidden/>
    <w:rsid w:val="00174C27"/>
    <w:rPr>
      <w:i/>
      <w:iCs/>
      <w:lang w:val="en-US"/>
    </w:rPr>
  </w:style>
  <w:style w:type="paragraph" w:styleId="Index2">
    <w:name w:val="index 2"/>
    <w:next w:val="BodyText"/>
    <w:uiPriority w:val="99"/>
    <w:semiHidden/>
    <w:rsid w:val="00174C27"/>
    <w:pPr>
      <w:ind w:left="480" w:hanging="240"/>
    </w:pPr>
  </w:style>
  <w:style w:type="paragraph" w:styleId="Index3">
    <w:name w:val="index 3"/>
    <w:next w:val="BodyText"/>
    <w:uiPriority w:val="99"/>
    <w:semiHidden/>
    <w:rsid w:val="00174C27"/>
    <w:pPr>
      <w:ind w:left="720" w:hanging="240"/>
    </w:pPr>
  </w:style>
  <w:style w:type="paragraph" w:styleId="Index4">
    <w:name w:val="index 4"/>
    <w:next w:val="BodyText"/>
    <w:uiPriority w:val="99"/>
    <w:semiHidden/>
    <w:rsid w:val="00174C27"/>
    <w:pPr>
      <w:ind w:left="960" w:hanging="240"/>
    </w:pPr>
  </w:style>
  <w:style w:type="paragraph" w:styleId="Index5">
    <w:name w:val="index 5"/>
    <w:next w:val="BodyText"/>
    <w:uiPriority w:val="99"/>
    <w:semiHidden/>
    <w:rsid w:val="00174C27"/>
    <w:pPr>
      <w:ind w:left="1200" w:hanging="240"/>
    </w:pPr>
  </w:style>
  <w:style w:type="paragraph" w:styleId="Index6">
    <w:name w:val="index 6"/>
    <w:next w:val="BodyText"/>
    <w:uiPriority w:val="99"/>
    <w:semiHidden/>
    <w:rsid w:val="00174C27"/>
    <w:pPr>
      <w:ind w:left="1440" w:hanging="240"/>
    </w:pPr>
  </w:style>
  <w:style w:type="paragraph" w:styleId="Index7">
    <w:name w:val="index 7"/>
    <w:next w:val="BodyText"/>
    <w:uiPriority w:val="99"/>
    <w:semiHidden/>
    <w:rsid w:val="00174C27"/>
    <w:pPr>
      <w:ind w:left="1680" w:hanging="240"/>
    </w:pPr>
  </w:style>
  <w:style w:type="paragraph" w:styleId="Index8">
    <w:name w:val="index 8"/>
    <w:next w:val="BodyText"/>
    <w:uiPriority w:val="99"/>
    <w:semiHidden/>
    <w:rsid w:val="00174C27"/>
    <w:pPr>
      <w:ind w:left="1920" w:hanging="240"/>
    </w:pPr>
  </w:style>
  <w:style w:type="paragraph" w:styleId="Index9">
    <w:name w:val="index 9"/>
    <w:next w:val="BodyText"/>
    <w:uiPriority w:val="99"/>
    <w:semiHidden/>
    <w:rsid w:val="00174C27"/>
    <w:pPr>
      <w:ind w:left="2160" w:hanging="240"/>
    </w:pPr>
  </w:style>
  <w:style w:type="character" w:styleId="IntenseEmphasis">
    <w:name w:val="Intense Emphasis"/>
    <w:basedOn w:val="DefaultParagraphFont"/>
    <w:uiPriority w:val="99"/>
    <w:semiHidden/>
    <w:rsid w:val="00174C27"/>
    <w:rPr>
      <w:b/>
      <w:bCs/>
      <w:i/>
      <w:iCs/>
      <w:color w:val="auto"/>
      <w:lang w:val="en-US"/>
    </w:rPr>
  </w:style>
  <w:style w:type="paragraph" w:styleId="IntenseQuote">
    <w:name w:val="Intense Quote"/>
    <w:next w:val="BodyText"/>
    <w:link w:val="IntenseQuoteChar"/>
    <w:uiPriority w:val="99"/>
    <w:semiHidden/>
    <w:rsid w:val="00174C27"/>
    <w:pPr>
      <w:pBdr>
        <w:bottom w:val="single" w:sz="4" w:space="4" w:color="0069B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174C27"/>
    <w:rPr>
      <w:b/>
      <w:bCs/>
      <w:i/>
      <w:iCs/>
      <w:lang w:val="en-US"/>
    </w:rPr>
  </w:style>
  <w:style w:type="character" w:styleId="IntenseReference">
    <w:name w:val="Intense Reference"/>
    <w:basedOn w:val="DefaultParagraphFont"/>
    <w:uiPriority w:val="99"/>
    <w:semiHidden/>
    <w:rsid w:val="00174C27"/>
    <w:rPr>
      <w:b/>
      <w:bCs/>
      <w:smallCaps/>
      <w:color w:val="auto"/>
      <w:spacing w:val="5"/>
      <w:u w:val="single"/>
      <w:lang w:val="en-US"/>
    </w:rPr>
  </w:style>
  <w:style w:type="table" w:styleId="LightGrid">
    <w:name w:val="Light Grid"/>
    <w:basedOn w:val="TableNormal"/>
    <w:uiPriority w:val="62"/>
    <w:semiHidden/>
    <w:unhideWhenUsed/>
    <w:rsid w:val="00174C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74C27"/>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insideH w:val="single" w:sz="8" w:space="0" w:color="0069B0" w:themeColor="accent1"/>
        <w:insideV w:val="single" w:sz="8" w:space="0" w:color="0069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9B0" w:themeColor="accent1"/>
          <w:left w:val="single" w:sz="8" w:space="0" w:color="0069B0" w:themeColor="accent1"/>
          <w:bottom w:val="single" w:sz="18" w:space="0" w:color="0069B0" w:themeColor="accent1"/>
          <w:right w:val="single" w:sz="8" w:space="0" w:color="0069B0" w:themeColor="accent1"/>
          <w:insideH w:val="nil"/>
          <w:insideV w:val="single" w:sz="8" w:space="0" w:color="0069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9B0" w:themeColor="accent1"/>
          <w:left w:val="single" w:sz="8" w:space="0" w:color="0069B0" w:themeColor="accent1"/>
          <w:bottom w:val="single" w:sz="8" w:space="0" w:color="0069B0" w:themeColor="accent1"/>
          <w:right w:val="single" w:sz="8" w:space="0" w:color="0069B0" w:themeColor="accent1"/>
          <w:insideH w:val="nil"/>
          <w:insideV w:val="single" w:sz="8" w:space="0" w:color="0069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tcPr>
    </w:tblStylePr>
    <w:tblStylePr w:type="band1Vert">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shd w:val="clear" w:color="auto" w:fill="ACDDFF" w:themeFill="accent1" w:themeFillTint="3F"/>
      </w:tcPr>
    </w:tblStylePr>
    <w:tblStylePr w:type="band1Horz">
      <w:tblPr/>
      <w:tcPr>
        <w:tcBorders>
          <w:top w:val="single" w:sz="8" w:space="0" w:color="0069B0" w:themeColor="accent1"/>
          <w:left w:val="single" w:sz="8" w:space="0" w:color="0069B0" w:themeColor="accent1"/>
          <w:bottom w:val="single" w:sz="8" w:space="0" w:color="0069B0" w:themeColor="accent1"/>
          <w:right w:val="single" w:sz="8" w:space="0" w:color="0069B0" w:themeColor="accent1"/>
          <w:insideV w:val="single" w:sz="8" w:space="0" w:color="0069B0" w:themeColor="accent1"/>
        </w:tcBorders>
        <w:shd w:val="clear" w:color="auto" w:fill="ACDDFF" w:themeFill="accent1" w:themeFillTint="3F"/>
      </w:tcPr>
    </w:tblStylePr>
    <w:tblStylePr w:type="band2Horz">
      <w:tblPr/>
      <w:tcPr>
        <w:tcBorders>
          <w:top w:val="single" w:sz="8" w:space="0" w:color="0069B0" w:themeColor="accent1"/>
          <w:left w:val="single" w:sz="8" w:space="0" w:color="0069B0" w:themeColor="accent1"/>
          <w:bottom w:val="single" w:sz="8" w:space="0" w:color="0069B0" w:themeColor="accent1"/>
          <w:right w:val="single" w:sz="8" w:space="0" w:color="0069B0" w:themeColor="accent1"/>
          <w:insideV w:val="single" w:sz="8" w:space="0" w:color="0069B0" w:themeColor="accent1"/>
        </w:tcBorders>
      </w:tcPr>
    </w:tblStylePr>
  </w:style>
  <w:style w:type="table" w:styleId="LightGrid-Accent2">
    <w:name w:val="Light Grid Accent 2"/>
    <w:basedOn w:val="TableNormal"/>
    <w:uiPriority w:val="62"/>
    <w:semiHidden/>
    <w:unhideWhenUsed/>
    <w:rsid w:val="00174C27"/>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insideH w:val="single" w:sz="8" w:space="0" w:color="3BAAAF" w:themeColor="accent2"/>
        <w:insideV w:val="single" w:sz="8" w:space="0" w:color="3BAA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AAAF" w:themeColor="accent2"/>
          <w:left w:val="single" w:sz="8" w:space="0" w:color="3BAAAF" w:themeColor="accent2"/>
          <w:bottom w:val="single" w:sz="18" w:space="0" w:color="3BAAAF" w:themeColor="accent2"/>
          <w:right w:val="single" w:sz="8" w:space="0" w:color="3BAAAF" w:themeColor="accent2"/>
          <w:insideH w:val="nil"/>
          <w:insideV w:val="single" w:sz="8" w:space="0" w:color="3BAA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AAAF" w:themeColor="accent2"/>
          <w:left w:val="single" w:sz="8" w:space="0" w:color="3BAAAF" w:themeColor="accent2"/>
          <w:bottom w:val="single" w:sz="8" w:space="0" w:color="3BAAAF" w:themeColor="accent2"/>
          <w:right w:val="single" w:sz="8" w:space="0" w:color="3BAAAF" w:themeColor="accent2"/>
          <w:insideH w:val="nil"/>
          <w:insideV w:val="single" w:sz="8" w:space="0" w:color="3BAA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tcPr>
    </w:tblStylePr>
    <w:tblStylePr w:type="band1Vert">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shd w:val="clear" w:color="auto" w:fill="CBECED" w:themeFill="accent2" w:themeFillTint="3F"/>
      </w:tcPr>
    </w:tblStylePr>
    <w:tblStylePr w:type="band1Horz">
      <w:tblPr/>
      <w:tcPr>
        <w:tcBorders>
          <w:top w:val="single" w:sz="8" w:space="0" w:color="3BAAAF" w:themeColor="accent2"/>
          <w:left w:val="single" w:sz="8" w:space="0" w:color="3BAAAF" w:themeColor="accent2"/>
          <w:bottom w:val="single" w:sz="8" w:space="0" w:color="3BAAAF" w:themeColor="accent2"/>
          <w:right w:val="single" w:sz="8" w:space="0" w:color="3BAAAF" w:themeColor="accent2"/>
          <w:insideV w:val="single" w:sz="8" w:space="0" w:color="3BAAAF" w:themeColor="accent2"/>
        </w:tcBorders>
        <w:shd w:val="clear" w:color="auto" w:fill="CBECED" w:themeFill="accent2" w:themeFillTint="3F"/>
      </w:tcPr>
    </w:tblStylePr>
    <w:tblStylePr w:type="band2Horz">
      <w:tblPr/>
      <w:tcPr>
        <w:tcBorders>
          <w:top w:val="single" w:sz="8" w:space="0" w:color="3BAAAF" w:themeColor="accent2"/>
          <w:left w:val="single" w:sz="8" w:space="0" w:color="3BAAAF" w:themeColor="accent2"/>
          <w:bottom w:val="single" w:sz="8" w:space="0" w:color="3BAAAF" w:themeColor="accent2"/>
          <w:right w:val="single" w:sz="8" w:space="0" w:color="3BAAAF" w:themeColor="accent2"/>
          <w:insideV w:val="single" w:sz="8" w:space="0" w:color="3BAAAF" w:themeColor="accent2"/>
        </w:tcBorders>
      </w:tcPr>
    </w:tblStylePr>
  </w:style>
  <w:style w:type="table" w:styleId="LightGrid-Accent3">
    <w:name w:val="Light Grid Accent 3"/>
    <w:basedOn w:val="TableNormal"/>
    <w:uiPriority w:val="62"/>
    <w:semiHidden/>
    <w:unhideWhenUsed/>
    <w:rsid w:val="00174C2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74C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74C27"/>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insideH w:val="single" w:sz="8" w:space="0" w:color="70CACE" w:themeColor="accent5"/>
        <w:insideV w:val="single" w:sz="8" w:space="0" w:color="70CAC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CACE" w:themeColor="accent5"/>
          <w:left w:val="single" w:sz="8" w:space="0" w:color="70CACE" w:themeColor="accent5"/>
          <w:bottom w:val="single" w:sz="18" w:space="0" w:color="70CACE" w:themeColor="accent5"/>
          <w:right w:val="single" w:sz="8" w:space="0" w:color="70CACE" w:themeColor="accent5"/>
          <w:insideH w:val="nil"/>
          <w:insideV w:val="single" w:sz="8" w:space="0" w:color="70CAC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CACE" w:themeColor="accent5"/>
          <w:left w:val="single" w:sz="8" w:space="0" w:color="70CACE" w:themeColor="accent5"/>
          <w:bottom w:val="single" w:sz="8" w:space="0" w:color="70CACE" w:themeColor="accent5"/>
          <w:right w:val="single" w:sz="8" w:space="0" w:color="70CACE" w:themeColor="accent5"/>
          <w:insideH w:val="nil"/>
          <w:insideV w:val="single" w:sz="8" w:space="0" w:color="70CAC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tcPr>
    </w:tblStylePr>
    <w:tblStylePr w:type="band1Vert">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shd w:val="clear" w:color="auto" w:fill="DBF1F3" w:themeFill="accent5" w:themeFillTint="3F"/>
      </w:tcPr>
    </w:tblStylePr>
    <w:tblStylePr w:type="band1Horz">
      <w:tblPr/>
      <w:tcPr>
        <w:tcBorders>
          <w:top w:val="single" w:sz="8" w:space="0" w:color="70CACE" w:themeColor="accent5"/>
          <w:left w:val="single" w:sz="8" w:space="0" w:color="70CACE" w:themeColor="accent5"/>
          <w:bottom w:val="single" w:sz="8" w:space="0" w:color="70CACE" w:themeColor="accent5"/>
          <w:right w:val="single" w:sz="8" w:space="0" w:color="70CACE" w:themeColor="accent5"/>
          <w:insideV w:val="single" w:sz="8" w:space="0" w:color="70CACE" w:themeColor="accent5"/>
        </w:tcBorders>
        <w:shd w:val="clear" w:color="auto" w:fill="DBF1F3" w:themeFill="accent5" w:themeFillTint="3F"/>
      </w:tcPr>
    </w:tblStylePr>
    <w:tblStylePr w:type="band2Horz">
      <w:tblPr/>
      <w:tcPr>
        <w:tcBorders>
          <w:top w:val="single" w:sz="8" w:space="0" w:color="70CACE" w:themeColor="accent5"/>
          <w:left w:val="single" w:sz="8" w:space="0" w:color="70CACE" w:themeColor="accent5"/>
          <w:bottom w:val="single" w:sz="8" w:space="0" w:color="70CACE" w:themeColor="accent5"/>
          <w:right w:val="single" w:sz="8" w:space="0" w:color="70CACE" w:themeColor="accent5"/>
          <w:insideV w:val="single" w:sz="8" w:space="0" w:color="70CACE" w:themeColor="accent5"/>
        </w:tcBorders>
      </w:tcPr>
    </w:tblStylePr>
  </w:style>
  <w:style w:type="table" w:styleId="LightGrid-Accent6">
    <w:name w:val="Light Grid Accent 6"/>
    <w:basedOn w:val="TableNormal"/>
    <w:uiPriority w:val="62"/>
    <w:semiHidden/>
    <w:unhideWhenUsed/>
    <w:rsid w:val="00174C27"/>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insideH w:val="single" w:sz="8" w:space="0" w:color="F8A662" w:themeColor="accent6"/>
        <w:insideV w:val="single" w:sz="8" w:space="0" w:color="F8A6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662" w:themeColor="accent6"/>
          <w:left w:val="single" w:sz="8" w:space="0" w:color="F8A662" w:themeColor="accent6"/>
          <w:bottom w:val="single" w:sz="18" w:space="0" w:color="F8A662" w:themeColor="accent6"/>
          <w:right w:val="single" w:sz="8" w:space="0" w:color="F8A662" w:themeColor="accent6"/>
          <w:insideH w:val="nil"/>
          <w:insideV w:val="single" w:sz="8" w:space="0" w:color="F8A6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662" w:themeColor="accent6"/>
          <w:left w:val="single" w:sz="8" w:space="0" w:color="F8A662" w:themeColor="accent6"/>
          <w:bottom w:val="single" w:sz="8" w:space="0" w:color="F8A662" w:themeColor="accent6"/>
          <w:right w:val="single" w:sz="8" w:space="0" w:color="F8A662" w:themeColor="accent6"/>
          <w:insideH w:val="nil"/>
          <w:insideV w:val="single" w:sz="8" w:space="0" w:color="F8A6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tcPr>
    </w:tblStylePr>
    <w:tblStylePr w:type="band1Vert">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shd w:val="clear" w:color="auto" w:fill="FDE8D8" w:themeFill="accent6" w:themeFillTint="3F"/>
      </w:tcPr>
    </w:tblStylePr>
    <w:tblStylePr w:type="band1Horz">
      <w:tblPr/>
      <w:tcPr>
        <w:tcBorders>
          <w:top w:val="single" w:sz="8" w:space="0" w:color="F8A662" w:themeColor="accent6"/>
          <w:left w:val="single" w:sz="8" w:space="0" w:color="F8A662" w:themeColor="accent6"/>
          <w:bottom w:val="single" w:sz="8" w:space="0" w:color="F8A662" w:themeColor="accent6"/>
          <w:right w:val="single" w:sz="8" w:space="0" w:color="F8A662" w:themeColor="accent6"/>
          <w:insideV w:val="single" w:sz="8" w:space="0" w:color="F8A662" w:themeColor="accent6"/>
        </w:tcBorders>
        <w:shd w:val="clear" w:color="auto" w:fill="FDE8D8" w:themeFill="accent6" w:themeFillTint="3F"/>
      </w:tcPr>
    </w:tblStylePr>
    <w:tblStylePr w:type="band2Horz">
      <w:tblPr/>
      <w:tcPr>
        <w:tcBorders>
          <w:top w:val="single" w:sz="8" w:space="0" w:color="F8A662" w:themeColor="accent6"/>
          <w:left w:val="single" w:sz="8" w:space="0" w:color="F8A662" w:themeColor="accent6"/>
          <w:bottom w:val="single" w:sz="8" w:space="0" w:color="F8A662" w:themeColor="accent6"/>
          <w:right w:val="single" w:sz="8" w:space="0" w:color="F8A662" w:themeColor="accent6"/>
          <w:insideV w:val="single" w:sz="8" w:space="0" w:color="F8A662" w:themeColor="accent6"/>
        </w:tcBorders>
      </w:tcPr>
    </w:tblStylePr>
  </w:style>
  <w:style w:type="table" w:styleId="LightList">
    <w:name w:val="Light List"/>
    <w:basedOn w:val="TableNormal"/>
    <w:uiPriority w:val="61"/>
    <w:semiHidden/>
    <w:unhideWhenUsed/>
    <w:rsid w:val="00174C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74C27"/>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tblBorders>
    </w:tblPr>
    <w:tblStylePr w:type="firstRow">
      <w:pPr>
        <w:spacing w:before="0" w:after="0" w:line="240" w:lineRule="auto"/>
      </w:pPr>
      <w:rPr>
        <w:b/>
        <w:bCs/>
        <w:color w:val="FFFFFF" w:themeColor="background1"/>
      </w:rPr>
      <w:tblPr/>
      <w:tcPr>
        <w:shd w:val="clear" w:color="auto" w:fill="0069B0" w:themeFill="accent1"/>
      </w:tcPr>
    </w:tblStylePr>
    <w:tblStylePr w:type="lastRow">
      <w:pPr>
        <w:spacing w:before="0" w:after="0" w:line="240" w:lineRule="auto"/>
      </w:pPr>
      <w:rPr>
        <w:b/>
        <w:bCs/>
      </w:rPr>
      <w:tblPr/>
      <w:tcPr>
        <w:tcBorders>
          <w:top w:val="double" w:sz="6" w:space="0" w:color="0069B0" w:themeColor="accent1"/>
          <w:left w:val="single" w:sz="8" w:space="0" w:color="0069B0" w:themeColor="accent1"/>
          <w:bottom w:val="single" w:sz="8" w:space="0" w:color="0069B0" w:themeColor="accent1"/>
          <w:right w:val="single" w:sz="8" w:space="0" w:color="0069B0" w:themeColor="accent1"/>
        </w:tcBorders>
      </w:tcPr>
    </w:tblStylePr>
    <w:tblStylePr w:type="firstCol">
      <w:rPr>
        <w:b/>
        <w:bCs/>
      </w:rPr>
    </w:tblStylePr>
    <w:tblStylePr w:type="lastCol">
      <w:rPr>
        <w:b/>
        <w:bCs/>
      </w:rPr>
    </w:tblStylePr>
    <w:tblStylePr w:type="band1Vert">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tcPr>
    </w:tblStylePr>
    <w:tblStylePr w:type="band1Horz">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tcPr>
    </w:tblStylePr>
  </w:style>
  <w:style w:type="table" w:styleId="LightList-Accent2">
    <w:name w:val="Light List Accent 2"/>
    <w:basedOn w:val="TableNormal"/>
    <w:uiPriority w:val="61"/>
    <w:semiHidden/>
    <w:unhideWhenUsed/>
    <w:rsid w:val="00174C27"/>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tblBorders>
    </w:tblPr>
    <w:tblStylePr w:type="firstRow">
      <w:pPr>
        <w:spacing w:before="0" w:after="0" w:line="240" w:lineRule="auto"/>
      </w:pPr>
      <w:rPr>
        <w:b/>
        <w:bCs/>
        <w:color w:val="FFFFFF" w:themeColor="background1"/>
      </w:rPr>
      <w:tblPr/>
      <w:tcPr>
        <w:shd w:val="clear" w:color="auto" w:fill="3BAAAF" w:themeFill="accent2"/>
      </w:tcPr>
    </w:tblStylePr>
    <w:tblStylePr w:type="lastRow">
      <w:pPr>
        <w:spacing w:before="0" w:after="0" w:line="240" w:lineRule="auto"/>
      </w:pPr>
      <w:rPr>
        <w:b/>
        <w:bCs/>
      </w:rPr>
      <w:tblPr/>
      <w:tcPr>
        <w:tcBorders>
          <w:top w:val="double" w:sz="6" w:space="0" w:color="3BAAAF" w:themeColor="accent2"/>
          <w:left w:val="single" w:sz="8" w:space="0" w:color="3BAAAF" w:themeColor="accent2"/>
          <w:bottom w:val="single" w:sz="8" w:space="0" w:color="3BAAAF" w:themeColor="accent2"/>
          <w:right w:val="single" w:sz="8" w:space="0" w:color="3BAAAF" w:themeColor="accent2"/>
        </w:tcBorders>
      </w:tcPr>
    </w:tblStylePr>
    <w:tblStylePr w:type="firstCol">
      <w:rPr>
        <w:b/>
        <w:bCs/>
      </w:rPr>
    </w:tblStylePr>
    <w:tblStylePr w:type="lastCol">
      <w:rPr>
        <w:b/>
        <w:bCs/>
      </w:rPr>
    </w:tblStylePr>
    <w:tblStylePr w:type="band1Vert">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tcPr>
    </w:tblStylePr>
    <w:tblStylePr w:type="band1Horz">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tcPr>
    </w:tblStylePr>
  </w:style>
  <w:style w:type="table" w:styleId="LightList-Accent3">
    <w:name w:val="Light List Accent 3"/>
    <w:basedOn w:val="TableNormal"/>
    <w:uiPriority w:val="61"/>
    <w:semiHidden/>
    <w:unhideWhenUsed/>
    <w:rsid w:val="00174C2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74C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74C27"/>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tblBorders>
    </w:tblPr>
    <w:tblStylePr w:type="firstRow">
      <w:pPr>
        <w:spacing w:before="0" w:after="0" w:line="240" w:lineRule="auto"/>
      </w:pPr>
      <w:rPr>
        <w:b/>
        <w:bCs/>
        <w:color w:val="FFFFFF" w:themeColor="background1"/>
      </w:rPr>
      <w:tblPr/>
      <w:tcPr>
        <w:shd w:val="clear" w:color="auto" w:fill="70CACE" w:themeFill="accent5"/>
      </w:tcPr>
    </w:tblStylePr>
    <w:tblStylePr w:type="lastRow">
      <w:pPr>
        <w:spacing w:before="0" w:after="0" w:line="240" w:lineRule="auto"/>
      </w:pPr>
      <w:rPr>
        <w:b/>
        <w:bCs/>
      </w:rPr>
      <w:tblPr/>
      <w:tcPr>
        <w:tcBorders>
          <w:top w:val="double" w:sz="6" w:space="0" w:color="70CACE" w:themeColor="accent5"/>
          <w:left w:val="single" w:sz="8" w:space="0" w:color="70CACE" w:themeColor="accent5"/>
          <w:bottom w:val="single" w:sz="8" w:space="0" w:color="70CACE" w:themeColor="accent5"/>
          <w:right w:val="single" w:sz="8" w:space="0" w:color="70CACE" w:themeColor="accent5"/>
        </w:tcBorders>
      </w:tcPr>
    </w:tblStylePr>
    <w:tblStylePr w:type="firstCol">
      <w:rPr>
        <w:b/>
        <w:bCs/>
      </w:rPr>
    </w:tblStylePr>
    <w:tblStylePr w:type="lastCol">
      <w:rPr>
        <w:b/>
        <w:bCs/>
      </w:rPr>
    </w:tblStylePr>
    <w:tblStylePr w:type="band1Vert">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tcPr>
    </w:tblStylePr>
    <w:tblStylePr w:type="band1Horz">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tcPr>
    </w:tblStylePr>
  </w:style>
  <w:style w:type="table" w:styleId="LightList-Accent6">
    <w:name w:val="Light List Accent 6"/>
    <w:basedOn w:val="TableNormal"/>
    <w:uiPriority w:val="61"/>
    <w:semiHidden/>
    <w:unhideWhenUsed/>
    <w:rsid w:val="00174C27"/>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tblBorders>
    </w:tblPr>
    <w:tblStylePr w:type="firstRow">
      <w:pPr>
        <w:spacing w:before="0" w:after="0" w:line="240" w:lineRule="auto"/>
      </w:pPr>
      <w:rPr>
        <w:b/>
        <w:bCs/>
        <w:color w:val="FFFFFF" w:themeColor="background1"/>
      </w:rPr>
      <w:tblPr/>
      <w:tcPr>
        <w:shd w:val="clear" w:color="auto" w:fill="F8A662" w:themeFill="accent6"/>
      </w:tcPr>
    </w:tblStylePr>
    <w:tblStylePr w:type="lastRow">
      <w:pPr>
        <w:spacing w:before="0" w:after="0" w:line="240" w:lineRule="auto"/>
      </w:pPr>
      <w:rPr>
        <w:b/>
        <w:bCs/>
      </w:rPr>
      <w:tblPr/>
      <w:tcPr>
        <w:tcBorders>
          <w:top w:val="double" w:sz="6" w:space="0" w:color="F8A662" w:themeColor="accent6"/>
          <w:left w:val="single" w:sz="8" w:space="0" w:color="F8A662" w:themeColor="accent6"/>
          <w:bottom w:val="single" w:sz="8" w:space="0" w:color="F8A662" w:themeColor="accent6"/>
          <w:right w:val="single" w:sz="8" w:space="0" w:color="F8A662" w:themeColor="accent6"/>
        </w:tcBorders>
      </w:tcPr>
    </w:tblStylePr>
    <w:tblStylePr w:type="firstCol">
      <w:rPr>
        <w:b/>
        <w:bCs/>
      </w:rPr>
    </w:tblStylePr>
    <w:tblStylePr w:type="lastCol">
      <w:rPr>
        <w:b/>
        <w:bCs/>
      </w:rPr>
    </w:tblStylePr>
    <w:tblStylePr w:type="band1Vert">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tcPr>
    </w:tblStylePr>
    <w:tblStylePr w:type="band1Horz">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tcPr>
    </w:tblStylePr>
  </w:style>
  <w:style w:type="table" w:styleId="LightShading">
    <w:name w:val="Light Shading"/>
    <w:basedOn w:val="TableNormal"/>
    <w:uiPriority w:val="60"/>
    <w:unhideWhenUsed/>
    <w:rsid w:val="007B038D"/>
    <w:rPr>
      <w:color w:val="000000" w:themeColor="text1" w:themeShade="BF"/>
    </w:rPr>
    <w:tblPr>
      <w:tblBorders>
        <w:top w:val="single" w:sz="8" w:space="0" w:color="000000" w:themeColor="text1"/>
        <w:bottom w:val="single" w:sz="8" w:space="0" w:color="000000" w:themeColor="text1"/>
      </w:tblBorders>
    </w:tblPr>
    <w:tcPr>
      <w:tcMar>
        <w:left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C0C0C0" w:themeFill="text1" w:themeFillTint="3F"/>
      </w:tcPr>
    </w:tblStylePr>
    <w:tblStylePr w:type="band2Horz">
      <w:tblPr/>
      <w:tcPr>
        <w:shd w:val="pct20" w:color="auto" w:fill="auto"/>
      </w:tcPr>
    </w:tblStylePr>
  </w:style>
  <w:style w:type="table" w:styleId="LightShading-Accent1">
    <w:name w:val="Light Shading Accent 1"/>
    <w:basedOn w:val="TableNormal"/>
    <w:uiPriority w:val="60"/>
    <w:unhideWhenUsed/>
    <w:rsid w:val="007B038D"/>
    <w:rPr>
      <w:color w:val="004E83" w:themeColor="accent1" w:themeShade="BF"/>
    </w:rPr>
    <w:tblPr>
      <w:tblBorders>
        <w:top w:val="single" w:sz="8" w:space="0" w:color="0069B0" w:themeColor="accent1"/>
        <w:bottom w:val="single" w:sz="8" w:space="0" w:color="0069B0" w:themeColor="accent1"/>
      </w:tblBorders>
    </w:tblPr>
    <w:tcPr>
      <w:tcMar>
        <w:left w:w="0" w:type="dxa"/>
        <w:right w:w="0" w:type="dxa"/>
      </w:tcMar>
    </w:tcPr>
    <w:tblStylePr w:type="firstRow">
      <w:pPr>
        <w:spacing w:before="0" w:after="0" w:line="240" w:lineRule="auto"/>
      </w:pPr>
      <w:rPr>
        <w:b/>
        <w:bCs/>
      </w:rPr>
      <w:tblPr/>
      <w:tcPr>
        <w:tcBorders>
          <w:top w:val="single" w:sz="8" w:space="0" w:color="0069B0" w:themeColor="accent1"/>
          <w:left w:val="nil"/>
          <w:bottom w:val="single" w:sz="8" w:space="0" w:color="0069B0" w:themeColor="accent1"/>
          <w:right w:val="nil"/>
          <w:insideH w:val="nil"/>
          <w:insideV w:val="nil"/>
        </w:tcBorders>
      </w:tcPr>
    </w:tblStylePr>
    <w:tblStylePr w:type="lastRow">
      <w:pPr>
        <w:spacing w:before="0" w:after="0" w:line="240" w:lineRule="auto"/>
      </w:pPr>
      <w:rPr>
        <w:b/>
        <w:bCs/>
      </w:rPr>
      <w:tblPr/>
      <w:tcPr>
        <w:tcBorders>
          <w:top w:val="single" w:sz="8" w:space="0" w:color="0069B0" w:themeColor="accent1"/>
          <w:left w:val="nil"/>
          <w:bottom w:val="single" w:sz="8" w:space="0" w:color="0069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DFF" w:themeFill="accen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ACDDFF" w:themeFill="accent1" w:themeFillTint="3F"/>
      </w:tcPr>
    </w:tblStylePr>
    <w:tblStylePr w:type="band2Horz">
      <w:tblPr/>
      <w:tcPr>
        <w:shd w:val="pct20" w:color="auto" w:fill="auto"/>
      </w:tcPr>
    </w:tblStylePr>
  </w:style>
  <w:style w:type="table" w:styleId="LightShading-Accent2">
    <w:name w:val="Light Shading Accent 2"/>
    <w:basedOn w:val="TableNormal"/>
    <w:uiPriority w:val="60"/>
    <w:semiHidden/>
    <w:unhideWhenUsed/>
    <w:rsid w:val="00174C27"/>
    <w:rPr>
      <w:color w:val="2C7F82" w:themeColor="accent2" w:themeShade="BF"/>
    </w:rPr>
    <w:tblPr>
      <w:tblStyleRowBandSize w:val="1"/>
      <w:tblStyleColBandSize w:val="1"/>
      <w:tblBorders>
        <w:top w:val="single" w:sz="8" w:space="0" w:color="3BAAAF" w:themeColor="accent2"/>
        <w:bottom w:val="single" w:sz="8" w:space="0" w:color="3BAAAF" w:themeColor="accent2"/>
      </w:tblBorders>
    </w:tblPr>
    <w:tblStylePr w:type="firstRow">
      <w:pPr>
        <w:spacing w:before="0" w:after="0" w:line="240" w:lineRule="auto"/>
      </w:pPr>
      <w:rPr>
        <w:b/>
        <w:bCs/>
      </w:rPr>
      <w:tblPr/>
      <w:tcPr>
        <w:tcBorders>
          <w:top w:val="single" w:sz="8" w:space="0" w:color="3BAAAF" w:themeColor="accent2"/>
          <w:left w:val="nil"/>
          <w:bottom w:val="single" w:sz="8" w:space="0" w:color="3BAAAF" w:themeColor="accent2"/>
          <w:right w:val="nil"/>
          <w:insideH w:val="nil"/>
          <w:insideV w:val="nil"/>
        </w:tcBorders>
      </w:tcPr>
    </w:tblStylePr>
    <w:tblStylePr w:type="lastRow">
      <w:pPr>
        <w:spacing w:before="0" w:after="0" w:line="240" w:lineRule="auto"/>
      </w:pPr>
      <w:rPr>
        <w:b/>
        <w:bCs/>
      </w:rPr>
      <w:tblPr/>
      <w:tcPr>
        <w:tcBorders>
          <w:top w:val="single" w:sz="8" w:space="0" w:color="3BAAAF" w:themeColor="accent2"/>
          <w:left w:val="nil"/>
          <w:bottom w:val="single" w:sz="8" w:space="0" w:color="3BAA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CED" w:themeFill="accent2" w:themeFillTint="3F"/>
      </w:tcPr>
    </w:tblStylePr>
    <w:tblStylePr w:type="band1Horz">
      <w:tblPr/>
      <w:tcPr>
        <w:tcBorders>
          <w:left w:val="nil"/>
          <w:right w:val="nil"/>
          <w:insideH w:val="nil"/>
          <w:insideV w:val="nil"/>
        </w:tcBorders>
        <w:shd w:val="clear" w:color="auto" w:fill="CBECED" w:themeFill="accent2" w:themeFillTint="3F"/>
      </w:tcPr>
    </w:tblStylePr>
  </w:style>
  <w:style w:type="table" w:styleId="LightShading-Accent3">
    <w:name w:val="Light Shading Accent 3"/>
    <w:basedOn w:val="TableNormal"/>
    <w:uiPriority w:val="60"/>
    <w:semiHidden/>
    <w:unhideWhenUsed/>
    <w:rsid w:val="00174C2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74C2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74C27"/>
    <w:rPr>
      <w:color w:val="3CACB1" w:themeColor="accent5" w:themeShade="BF"/>
    </w:rPr>
    <w:tblPr>
      <w:tblStyleRowBandSize w:val="1"/>
      <w:tblStyleColBandSize w:val="1"/>
      <w:tblBorders>
        <w:top w:val="single" w:sz="8" w:space="0" w:color="70CACE" w:themeColor="accent5"/>
        <w:bottom w:val="single" w:sz="8" w:space="0" w:color="70CACE" w:themeColor="accent5"/>
      </w:tblBorders>
    </w:tblPr>
    <w:tblStylePr w:type="firstRow">
      <w:pPr>
        <w:spacing w:before="0" w:after="0" w:line="240" w:lineRule="auto"/>
      </w:pPr>
      <w:rPr>
        <w:b/>
        <w:bCs/>
      </w:rPr>
      <w:tblPr/>
      <w:tcPr>
        <w:tcBorders>
          <w:top w:val="single" w:sz="8" w:space="0" w:color="70CACE" w:themeColor="accent5"/>
          <w:left w:val="nil"/>
          <w:bottom w:val="single" w:sz="8" w:space="0" w:color="70CACE" w:themeColor="accent5"/>
          <w:right w:val="nil"/>
          <w:insideH w:val="nil"/>
          <w:insideV w:val="nil"/>
        </w:tcBorders>
      </w:tcPr>
    </w:tblStylePr>
    <w:tblStylePr w:type="lastRow">
      <w:pPr>
        <w:spacing w:before="0" w:after="0" w:line="240" w:lineRule="auto"/>
      </w:pPr>
      <w:rPr>
        <w:b/>
        <w:bCs/>
      </w:rPr>
      <w:tblPr/>
      <w:tcPr>
        <w:tcBorders>
          <w:top w:val="single" w:sz="8" w:space="0" w:color="70CACE" w:themeColor="accent5"/>
          <w:left w:val="nil"/>
          <w:bottom w:val="single" w:sz="8" w:space="0" w:color="70CAC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3" w:themeFill="accent5" w:themeFillTint="3F"/>
      </w:tcPr>
    </w:tblStylePr>
    <w:tblStylePr w:type="band1Horz">
      <w:tblPr/>
      <w:tcPr>
        <w:tcBorders>
          <w:left w:val="nil"/>
          <w:right w:val="nil"/>
          <w:insideH w:val="nil"/>
          <w:insideV w:val="nil"/>
        </w:tcBorders>
        <w:shd w:val="clear" w:color="auto" w:fill="DBF1F3" w:themeFill="accent5" w:themeFillTint="3F"/>
      </w:tcPr>
    </w:tblStylePr>
  </w:style>
  <w:style w:type="table" w:styleId="LightShading-Accent6">
    <w:name w:val="Light Shading Accent 6"/>
    <w:basedOn w:val="TableNormal"/>
    <w:uiPriority w:val="60"/>
    <w:semiHidden/>
    <w:unhideWhenUsed/>
    <w:rsid w:val="00174C27"/>
    <w:rPr>
      <w:color w:val="F4760E" w:themeColor="accent6" w:themeShade="BF"/>
    </w:rPr>
    <w:tblPr>
      <w:tblStyleRowBandSize w:val="1"/>
      <w:tblStyleColBandSize w:val="1"/>
      <w:tblBorders>
        <w:top w:val="single" w:sz="8" w:space="0" w:color="F8A662" w:themeColor="accent6"/>
        <w:bottom w:val="single" w:sz="8" w:space="0" w:color="F8A662" w:themeColor="accent6"/>
      </w:tblBorders>
    </w:tblPr>
    <w:tblStylePr w:type="firstRow">
      <w:pPr>
        <w:spacing w:before="0" w:after="0" w:line="240" w:lineRule="auto"/>
      </w:pPr>
      <w:rPr>
        <w:b/>
        <w:bCs/>
      </w:rPr>
      <w:tblPr/>
      <w:tcPr>
        <w:tcBorders>
          <w:top w:val="single" w:sz="8" w:space="0" w:color="F8A662" w:themeColor="accent6"/>
          <w:left w:val="nil"/>
          <w:bottom w:val="single" w:sz="8" w:space="0" w:color="F8A662" w:themeColor="accent6"/>
          <w:right w:val="nil"/>
          <w:insideH w:val="nil"/>
          <w:insideV w:val="nil"/>
        </w:tcBorders>
      </w:tcPr>
    </w:tblStylePr>
    <w:tblStylePr w:type="lastRow">
      <w:pPr>
        <w:spacing w:before="0" w:after="0" w:line="240" w:lineRule="auto"/>
      </w:pPr>
      <w:rPr>
        <w:b/>
        <w:bCs/>
      </w:rPr>
      <w:tblPr/>
      <w:tcPr>
        <w:tcBorders>
          <w:top w:val="single" w:sz="8" w:space="0" w:color="F8A662" w:themeColor="accent6"/>
          <w:left w:val="nil"/>
          <w:bottom w:val="single" w:sz="8" w:space="0" w:color="F8A6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8D8" w:themeFill="accent6" w:themeFillTint="3F"/>
      </w:tcPr>
    </w:tblStylePr>
    <w:tblStylePr w:type="band1Horz">
      <w:tblPr/>
      <w:tcPr>
        <w:tcBorders>
          <w:left w:val="nil"/>
          <w:right w:val="nil"/>
          <w:insideH w:val="nil"/>
          <w:insideV w:val="nil"/>
        </w:tcBorders>
        <w:shd w:val="clear" w:color="auto" w:fill="FDE8D8" w:themeFill="accent6" w:themeFillTint="3F"/>
      </w:tcPr>
    </w:tblStylePr>
  </w:style>
  <w:style w:type="character" w:styleId="LineNumber">
    <w:name w:val="line number"/>
    <w:basedOn w:val="DefaultParagraphFont"/>
    <w:uiPriority w:val="99"/>
    <w:semiHidden/>
    <w:rsid w:val="00174C27"/>
    <w:rPr>
      <w:lang w:val="en-US"/>
    </w:rPr>
  </w:style>
  <w:style w:type="paragraph" w:styleId="List">
    <w:name w:val="List"/>
    <w:uiPriority w:val="99"/>
    <w:semiHidden/>
    <w:rsid w:val="00174C27"/>
    <w:pPr>
      <w:ind w:left="283" w:hanging="283"/>
      <w:contextualSpacing/>
    </w:pPr>
  </w:style>
  <w:style w:type="paragraph" w:styleId="List2">
    <w:name w:val="List 2"/>
    <w:uiPriority w:val="99"/>
    <w:semiHidden/>
    <w:rsid w:val="00174C27"/>
    <w:pPr>
      <w:ind w:left="566" w:hanging="283"/>
      <w:contextualSpacing/>
    </w:pPr>
  </w:style>
  <w:style w:type="paragraph" w:styleId="List3">
    <w:name w:val="List 3"/>
    <w:uiPriority w:val="99"/>
    <w:semiHidden/>
    <w:rsid w:val="00174C27"/>
    <w:pPr>
      <w:ind w:left="849" w:hanging="283"/>
      <w:contextualSpacing/>
    </w:pPr>
  </w:style>
  <w:style w:type="paragraph" w:styleId="List4">
    <w:name w:val="List 4"/>
    <w:uiPriority w:val="99"/>
    <w:semiHidden/>
    <w:rsid w:val="00174C27"/>
    <w:pPr>
      <w:ind w:left="1132" w:hanging="283"/>
      <w:contextualSpacing/>
    </w:pPr>
  </w:style>
  <w:style w:type="paragraph" w:styleId="List5">
    <w:name w:val="List 5"/>
    <w:uiPriority w:val="99"/>
    <w:semiHidden/>
    <w:rsid w:val="00174C27"/>
    <w:pPr>
      <w:ind w:left="1415" w:hanging="283"/>
      <w:contextualSpacing/>
    </w:pPr>
  </w:style>
  <w:style w:type="paragraph" w:styleId="ListBullet">
    <w:name w:val="List Bullet"/>
    <w:uiPriority w:val="99"/>
    <w:semiHidden/>
    <w:rsid w:val="00174C27"/>
    <w:pPr>
      <w:numPr>
        <w:numId w:val="1"/>
      </w:numPr>
      <w:contextualSpacing/>
    </w:pPr>
  </w:style>
  <w:style w:type="paragraph" w:styleId="ListBullet2">
    <w:name w:val="List Bullet 2"/>
    <w:uiPriority w:val="99"/>
    <w:semiHidden/>
    <w:rsid w:val="00174C27"/>
    <w:pPr>
      <w:numPr>
        <w:numId w:val="2"/>
      </w:numPr>
      <w:contextualSpacing/>
    </w:pPr>
  </w:style>
  <w:style w:type="paragraph" w:styleId="ListBullet3">
    <w:name w:val="List Bullet 3"/>
    <w:uiPriority w:val="99"/>
    <w:semiHidden/>
    <w:rsid w:val="00174C27"/>
    <w:pPr>
      <w:numPr>
        <w:numId w:val="3"/>
      </w:numPr>
      <w:contextualSpacing/>
    </w:pPr>
  </w:style>
  <w:style w:type="paragraph" w:styleId="ListBullet4">
    <w:name w:val="List Bullet 4"/>
    <w:uiPriority w:val="99"/>
    <w:semiHidden/>
    <w:rsid w:val="00174C27"/>
    <w:pPr>
      <w:numPr>
        <w:numId w:val="4"/>
      </w:numPr>
      <w:contextualSpacing/>
    </w:pPr>
  </w:style>
  <w:style w:type="paragraph" w:styleId="ListBullet5">
    <w:name w:val="List Bullet 5"/>
    <w:uiPriority w:val="99"/>
    <w:semiHidden/>
    <w:rsid w:val="00174C27"/>
    <w:pPr>
      <w:numPr>
        <w:numId w:val="5"/>
      </w:numPr>
      <w:contextualSpacing/>
    </w:pPr>
  </w:style>
  <w:style w:type="paragraph" w:styleId="ListContinue">
    <w:name w:val="List Continue"/>
    <w:uiPriority w:val="99"/>
    <w:semiHidden/>
    <w:rsid w:val="00174C27"/>
    <w:pPr>
      <w:spacing w:before="120"/>
      <w:ind w:left="283"/>
      <w:contextualSpacing/>
    </w:pPr>
  </w:style>
  <w:style w:type="paragraph" w:styleId="ListContinue2">
    <w:name w:val="List Continue 2"/>
    <w:uiPriority w:val="99"/>
    <w:semiHidden/>
    <w:rsid w:val="00174C27"/>
    <w:pPr>
      <w:spacing w:before="120"/>
      <w:ind w:left="566"/>
      <w:contextualSpacing/>
    </w:pPr>
  </w:style>
  <w:style w:type="paragraph" w:styleId="ListContinue3">
    <w:name w:val="List Continue 3"/>
    <w:uiPriority w:val="99"/>
    <w:semiHidden/>
    <w:rsid w:val="00174C27"/>
    <w:pPr>
      <w:spacing w:before="120"/>
      <w:ind w:left="849"/>
      <w:contextualSpacing/>
    </w:pPr>
  </w:style>
  <w:style w:type="paragraph" w:styleId="ListContinue4">
    <w:name w:val="List Continue 4"/>
    <w:uiPriority w:val="99"/>
    <w:semiHidden/>
    <w:rsid w:val="00174C27"/>
    <w:pPr>
      <w:spacing w:before="120"/>
      <w:ind w:left="1132"/>
      <w:contextualSpacing/>
    </w:pPr>
  </w:style>
  <w:style w:type="paragraph" w:styleId="ListContinue5">
    <w:name w:val="List Continue 5"/>
    <w:uiPriority w:val="99"/>
    <w:semiHidden/>
    <w:rsid w:val="00174C27"/>
    <w:pPr>
      <w:spacing w:before="120"/>
      <w:ind w:left="1415"/>
      <w:contextualSpacing/>
    </w:pPr>
  </w:style>
  <w:style w:type="paragraph" w:styleId="ListNumber">
    <w:name w:val="List Number"/>
    <w:uiPriority w:val="2"/>
    <w:unhideWhenUsed/>
    <w:qFormat/>
    <w:rsid w:val="005315AB"/>
    <w:pPr>
      <w:numPr>
        <w:numId w:val="18"/>
      </w:numPr>
      <w:spacing w:before="120"/>
    </w:pPr>
  </w:style>
  <w:style w:type="paragraph" w:styleId="ListNumber2">
    <w:name w:val="List Number 2"/>
    <w:uiPriority w:val="3"/>
    <w:unhideWhenUsed/>
    <w:qFormat/>
    <w:rsid w:val="005315AB"/>
    <w:pPr>
      <w:numPr>
        <w:ilvl w:val="1"/>
        <w:numId w:val="18"/>
      </w:numPr>
      <w:spacing w:before="120"/>
    </w:pPr>
  </w:style>
  <w:style w:type="paragraph" w:styleId="ListNumber3">
    <w:name w:val="List Number 3"/>
    <w:uiPriority w:val="4"/>
    <w:unhideWhenUsed/>
    <w:qFormat/>
    <w:rsid w:val="005315AB"/>
    <w:pPr>
      <w:numPr>
        <w:ilvl w:val="2"/>
        <w:numId w:val="18"/>
      </w:numPr>
      <w:spacing w:before="120"/>
    </w:pPr>
  </w:style>
  <w:style w:type="paragraph" w:styleId="ListNumber4">
    <w:name w:val="List Number 4"/>
    <w:uiPriority w:val="5"/>
    <w:unhideWhenUsed/>
    <w:qFormat/>
    <w:rsid w:val="005315AB"/>
    <w:pPr>
      <w:numPr>
        <w:ilvl w:val="3"/>
        <w:numId w:val="18"/>
      </w:numPr>
      <w:spacing w:before="120"/>
    </w:pPr>
  </w:style>
  <w:style w:type="paragraph" w:styleId="ListNumber5">
    <w:name w:val="List Number 5"/>
    <w:uiPriority w:val="99"/>
    <w:semiHidden/>
    <w:rsid w:val="00174C27"/>
    <w:pPr>
      <w:numPr>
        <w:numId w:val="6"/>
      </w:numPr>
      <w:contextualSpacing/>
    </w:pPr>
  </w:style>
  <w:style w:type="paragraph" w:styleId="MacroText">
    <w:name w:val="macro"/>
    <w:link w:val="MacroTextChar"/>
    <w:uiPriority w:val="99"/>
    <w:semiHidden/>
    <w:rsid w:val="00174C2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74C27"/>
    <w:rPr>
      <w:rFonts w:ascii="Consolas" w:hAnsi="Consolas"/>
      <w:sz w:val="20"/>
      <w:szCs w:val="20"/>
      <w:lang w:val="en-US"/>
    </w:rPr>
  </w:style>
  <w:style w:type="table" w:styleId="MediumGrid1">
    <w:name w:val="Medium Grid 1"/>
    <w:basedOn w:val="TableNormal"/>
    <w:uiPriority w:val="67"/>
    <w:semiHidden/>
    <w:unhideWhenUsed/>
    <w:rsid w:val="00174C2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74C27"/>
    <w:tblPr>
      <w:tblStyleRowBandSize w:val="1"/>
      <w:tblStyleColBandSize w:val="1"/>
      <w:tblBorders>
        <w:top w:val="single" w:sz="8"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single" w:sz="8" w:space="0" w:color="0499FF" w:themeColor="accent1" w:themeTint="BF"/>
        <w:insideV w:val="single" w:sz="8" w:space="0" w:color="0499FF" w:themeColor="accent1" w:themeTint="BF"/>
      </w:tblBorders>
    </w:tblPr>
    <w:tcPr>
      <w:shd w:val="clear" w:color="auto" w:fill="ACDDFF" w:themeFill="accent1" w:themeFillTint="3F"/>
    </w:tcPr>
    <w:tblStylePr w:type="firstRow">
      <w:rPr>
        <w:b/>
        <w:bCs/>
      </w:rPr>
    </w:tblStylePr>
    <w:tblStylePr w:type="lastRow">
      <w:rPr>
        <w:b/>
        <w:bCs/>
      </w:rPr>
      <w:tblPr/>
      <w:tcPr>
        <w:tcBorders>
          <w:top w:val="single" w:sz="18" w:space="0" w:color="0499FF" w:themeColor="accent1" w:themeTint="BF"/>
        </w:tcBorders>
      </w:tcPr>
    </w:tblStylePr>
    <w:tblStylePr w:type="firstCol">
      <w:rPr>
        <w:b/>
        <w:bCs/>
      </w:rPr>
    </w:tblStylePr>
    <w:tblStylePr w:type="lastCol">
      <w:rPr>
        <w:b/>
        <w:bCs/>
      </w:rPr>
    </w:tblStylePr>
    <w:tblStylePr w:type="band1Vert">
      <w:tblPr/>
      <w:tcPr>
        <w:shd w:val="clear" w:color="auto" w:fill="58BBFF" w:themeFill="accent1" w:themeFillTint="7F"/>
      </w:tcPr>
    </w:tblStylePr>
    <w:tblStylePr w:type="band1Horz">
      <w:tblPr/>
      <w:tcPr>
        <w:shd w:val="clear" w:color="auto" w:fill="58BBFF" w:themeFill="accent1" w:themeFillTint="7F"/>
      </w:tcPr>
    </w:tblStylePr>
  </w:style>
  <w:style w:type="table" w:styleId="MediumGrid1-Accent2">
    <w:name w:val="Medium Grid 1 Accent 2"/>
    <w:basedOn w:val="TableNormal"/>
    <w:uiPriority w:val="67"/>
    <w:semiHidden/>
    <w:unhideWhenUsed/>
    <w:rsid w:val="00174C27"/>
    <w:tblPr>
      <w:tblStyleRowBandSize w:val="1"/>
      <w:tblStyleColBandSize w:val="1"/>
      <w:tblBorders>
        <w:top w:val="single" w:sz="8"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single" w:sz="8" w:space="0" w:color="64C6CA" w:themeColor="accent2" w:themeTint="BF"/>
        <w:insideV w:val="single" w:sz="8" w:space="0" w:color="64C6CA" w:themeColor="accent2" w:themeTint="BF"/>
      </w:tblBorders>
    </w:tblPr>
    <w:tcPr>
      <w:shd w:val="clear" w:color="auto" w:fill="CBECED" w:themeFill="accent2" w:themeFillTint="3F"/>
    </w:tcPr>
    <w:tblStylePr w:type="firstRow">
      <w:rPr>
        <w:b/>
        <w:bCs/>
      </w:rPr>
    </w:tblStylePr>
    <w:tblStylePr w:type="lastRow">
      <w:rPr>
        <w:b/>
        <w:bCs/>
      </w:rPr>
      <w:tblPr/>
      <w:tcPr>
        <w:tcBorders>
          <w:top w:val="single" w:sz="18" w:space="0" w:color="64C6CA" w:themeColor="accent2" w:themeTint="BF"/>
        </w:tcBorders>
      </w:tcPr>
    </w:tblStylePr>
    <w:tblStylePr w:type="firstCol">
      <w:rPr>
        <w:b/>
        <w:bCs/>
      </w:rPr>
    </w:tblStylePr>
    <w:tblStylePr w:type="lastCol">
      <w:rPr>
        <w:b/>
        <w:bCs/>
      </w:rPr>
    </w:tblStylePr>
    <w:tblStylePr w:type="band1Vert">
      <w:tblPr/>
      <w:tcPr>
        <w:shd w:val="clear" w:color="auto" w:fill="98D9DC" w:themeFill="accent2" w:themeFillTint="7F"/>
      </w:tcPr>
    </w:tblStylePr>
    <w:tblStylePr w:type="band1Horz">
      <w:tblPr/>
      <w:tcPr>
        <w:shd w:val="clear" w:color="auto" w:fill="98D9DC" w:themeFill="accent2" w:themeFillTint="7F"/>
      </w:tcPr>
    </w:tblStylePr>
  </w:style>
  <w:style w:type="table" w:styleId="MediumGrid1-Accent3">
    <w:name w:val="Medium Grid 1 Accent 3"/>
    <w:basedOn w:val="TableNormal"/>
    <w:uiPriority w:val="67"/>
    <w:semiHidden/>
    <w:unhideWhenUsed/>
    <w:rsid w:val="00174C2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74C2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74C27"/>
    <w:tblPr>
      <w:tblStyleRowBandSize w:val="1"/>
      <w:tblStyleColBandSize w:val="1"/>
      <w:tblBorders>
        <w:top w:val="single" w:sz="8"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single" w:sz="8" w:space="0" w:color="93D7DA" w:themeColor="accent5" w:themeTint="BF"/>
        <w:insideV w:val="single" w:sz="8" w:space="0" w:color="93D7DA" w:themeColor="accent5" w:themeTint="BF"/>
      </w:tblBorders>
    </w:tblPr>
    <w:tcPr>
      <w:shd w:val="clear" w:color="auto" w:fill="DBF1F3" w:themeFill="accent5" w:themeFillTint="3F"/>
    </w:tcPr>
    <w:tblStylePr w:type="firstRow">
      <w:rPr>
        <w:b/>
        <w:bCs/>
      </w:rPr>
    </w:tblStylePr>
    <w:tblStylePr w:type="lastRow">
      <w:rPr>
        <w:b/>
        <w:bCs/>
      </w:rPr>
      <w:tblPr/>
      <w:tcPr>
        <w:tcBorders>
          <w:top w:val="single" w:sz="18" w:space="0" w:color="93D7DA" w:themeColor="accent5" w:themeTint="BF"/>
        </w:tcBorders>
      </w:tcPr>
    </w:tblStylePr>
    <w:tblStylePr w:type="firstCol">
      <w:rPr>
        <w:b/>
        <w:bCs/>
      </w:rPr>
    </w:tblStylePr>
    <w:tblStylePr w:type="lastCol">
      <w:rPr>
        <w:b/>
        <w:bCs/>
      </w:rPr>
    </w:tblStylePr>
    <w:tblStylePr w:type="band1Vert">
      <w:tblPr/>
      <w:tcPr>
        <w:shd w:val="clear" w:color="auto" w:fill="B7E4E6" w:themeFill="accent5" w:themeFillTint="7F"/>
      </w:tcPr>
    </w:tblStylePr>
    <w:tblStylePr w:type="band1Horz">
      <w:tblPr/>
      <w:tcPr>
        <w:shd w:val="clear" w:color="auto" w:fill="B7E4E6" w:themeFill="accent5" w:themeFillTint="7F"/>
      </w:tcPr>
    </w:tblStylePr>
  </w:style>
  <w:style w:type="table" w:styleId="MediumGrid1-Accent6">
    <w:name w:val="Medium Grid 1 Accent 6"/>
    <w:basedOn w:val="TableNormal"/>
    <w:uiPriority w:val="67"/>
    <w:semiHidden/>
    <w:unhideWhenUsed/>
    <w:rsid w:val="00174C27"/>
    <w:tblPr>
      <w:tblStyleRowBandSize w:val="1"/>
      <w:tblStyleColBandSize w:val="1"/>
      <w:tblBorders>
        <w:top w:val="single" w:sz="8"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single" w:sz="8" w:space="0" w:color="F9BB89" w:themeColor="accent6" w:themeTint="BF"/>
        <w:insideV w:val="single" w:sz="8" w:space="0" w:color="F9BB89" w:themeColor="accent6" w:themeTint="BF"/>
      </w:tblBorders>
    </w:tblPr>
    <w:tcPr>
      <w:shd w:val="clear" w:color="auto" w:fill="FDE8D8" w:themeFill="accent6" w:themeFillTint="3F"/>
    </w:tcPr>
    <w:tblStylePr w:type="firstRow">
      <w:rPr>
        <w:b/>
        <w:bCs/>
      </w:rPr>
    </w:tblStylePr>
    <w:tblStylePr w:type="lastRow">
      <w:rPr>
        <w:b/>
        <w:bCs/>
      </w:rPr>
      <w:tblPr/>
      <w:tcPr>
        <w:tcBorders>
          <w:top w:val="single" w:sz="18" w:space="0" w:color="F9BB89" w:themeColor="accent6" w:themeTint="BF"/>
        </w:tcBorders>
      </w:tcPr>
    </w:tblStylePr>
    <w:tblStylePr w:type="firstCol">
      <w:rPr>
        <w:b/>
        <w:bCs/>
      </w:rPr>
    </w:tblStylePr>
    <w:tblStylePr w:type="lastCol">
      <w:rPr>
        <w:b/>
        <w:bCs/>
      </w:rPr>
    </w:tblStylePr>
    <w:tblStylePr w:type="band1Vert">
      <w:tblPr/>
      <w:tcPr>
        <w:shd w:val="clear" w:color="auto" w:fill="FBD2B0" w:themeFill="accent6" w:themeFillTint="7F"/>
      </w:tcPr>
    </w:tblStylePr>
    <w:tblStylePr w:type="band1Horz">
      <w:tblPr/>
      <w:tcPr>
        <w:shd w:val="clear" w:color="auto" w:fill="FBD2B0" w:themeFill="accent6" w:themeFillTint="7F"/>
      </w:tcPr>
    </w:tblStylePr>
  </w:style>
  <w:style w:type="table" w:styleId="MediumGrid2">
    <w:name w:val="Medium Grid 2"/>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insideH w:val="single" w:sz="8" w:space="0" w:color="0069B0" w:themeColor="accent1"/>
        <w:insideV w:val="single" w:sz="8" w:space="0" w:color="0069B0" w:themeColor="accent1"/>
      </w:tblBorders>
    </w:tblPr>
    <w:tcPr>
      <w:shd w:val="clear" w:color="auto" w:fill="ACDDFF" w:themeFill="accent1" w:themeFillTint="3F"/>
    </w:tcPr>
    <w:tblStylePr w:type="firstRow">
      <w:rPr>
        <w:b/>
        <w:bCs/>
        <w:color w:val="000000" w:themeColor="text1"/>
      </w:rPr>
      <w:tblPr/>
      <w:tcPr>
        <w:shd w:val="clear" w:color="auto" w:fill="DE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3FF" w:themeFill="accent1" w:themeFillTint="33"/>
      </w:tcPr>
    </w:tblStylePr>
    <w:tblStylePr w:type="band1Vert">
      <w:tblPr/>
      <w:tcPr>
        <w:shd w:val="clear" w:color="auto" w:fill="58BBFF" w:themeFill="accent1" w:themeFillTint="7F"/>
      </w:tcPr>
    </w:tblStylePr>
    <w:tblStylePr w:type="band1Horz">
      <w:tblPr/>
      <w:tcPr>
        <w:tcBorders>
          <w:insideH w:val="single" w:sz="6" w:space="0" w:color="0069B0" w:themeColor="accent1"/>
          <w:insideV w:val="single" w:sz="6" w:space="0" w:color="0069B0" w:themeColor="accent1"/>
        </w:tcBorders>
        <w:shd w:val="clear" w:color="auto" w:fill="58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insideH w:val="single" w:sz="8" w:space="0" w:color="3BAAAF" w:themeColor="accent2"/>
        <w:insideV w:val="single" w:sz="8" w:space="0" w:color="3BAAAF" w:themeColor="accent2"/>
      </w:tblBorders>
    </w:tblPr>
    <w:tcPr>
      <w:shd w:val="clear" w:color="auto" w:fill="CBECED" w:themeFill="accent2" w:themeFillTint="3F"/>
    </w:tcPr>
    <w:tblStylePr w:type="firstRow">
      <w:rPr>
        <w:b/>
        <w:bCs/>
        <w:color w:val="000000" w:themeColor="text1"/>
      </w:rPr>
      <w:tblPr/>
      <w:tcPr>
        <w:shd w:val="clear" w:color="auto" w:fill="EA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FF1" w:themeFill="accent2" w:themeFillTint="33"/>
      </w:tcPr>
    </w:tblStylePr>
    <w:tblStylePr w:type="band1Vert">
      <w:tblPr/>
      <w:tcPr>
        <w:shd w:val="clear" w:color="auto" w:fill="98D9DC" w:themeFill="accent2" w:themeFillTint="7F"/>
      </w:tcPr>
    </w:tblStylePr>
    <w:tblStylePr w:type="band1Horz">
      <w:tblPr/>
      <w:tcPr>
        <w:tcBorders>
          <w:insideH w:val="single" w:sz="6" w:space="0" w:color="3BAAAF" w:themeColor="accent2"/>
          <w:insideV w:val="single" w:sz="6" w:space="0" w:color="3BAAAF" w:themeColor="accent2"/>
        </w:tcBorders>
        <w:shd w:val="clear" w:color="auto" w:fill="98D9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insideH w:val="single" w:sz="8" w:space="0" w:color="70CACE" w:themeColor="accent5"/>
        <w:insideV w:val="single" w:sz="8" w:space="0" w:color="70CACE" w:themeColor="accent5"/>
      </w:tblBorders>
    </w:tblPr>
    <w:tcPr>
      <w:shd w:val="clear" w:color="auto" w:fill="DBF1F3" w:themeFill="accent5" w:themeFillTint="3F"/>
    </w:tcPr>
    <w:tblStylePr w:type="firstRow">
      <w:rPr>
        <w:b/>
        <w:bCs/>
        <w:color w:val="000000" w:themeColor="text1"/>
      </w:rPr>
      <w:tblPr/>
      <w:tcPr>
        <w:shd w:val="clear" w:color="auto" w:fill="F0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4F5" w:themeFill="accent5" w:themeFillTint="33"/>
      </w:tcPr>
    </w:tblStylePr>
    <w:tblStylePr w:type="band1Vert">
      <w:tblPr/>
      <w:tcPr>
        <w:shd w:val="clear" w:color="auto" w:fill="B7E4E6" w:themeFill="accent5" w:themeFillTint="7F"/>
      </w:tcPr>
    </w:tblStylePr>
    <w:tblStylePr w:type="band1Horz">
      <w:tblPr/>
      <w:tcPr>
        <w:tcBorders>
          <w:insideH w:val="single" w:sz="6" w:space="0" w:color="70CACE" w:themeColor="accent5"/>
          <w:insideV w:val="single" w:sz="6" w:space="0" w:color="70CACE" w:themeColor="accent5"/>
        </w:tcBorders>
        <w:shd w:val="clear" w:color="auto" w:fill="B7E4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insideH w:val="single" w:sz="8" w:space="0" w:color="F8A662" w:themeColor="accent6"/>
        <w:insideV w:val="single" w:sz="8" w:space="0" w:color="F8A662" w:themeColor="accent6"/>
      </w:tblBorders>
    </w:tblPr>
    <w:tcPr>
      <w:shd w:val="clear" w:color="auto" w:fill="FDE8D8" w:themeFill="accent6" w:themeFillTint="3F"/>
    </w:tcPr>
    <w:tblStylePr w:type="firstRow">
      <w:rPr>
        <w:b/>
        <w:bCs/>
        <w:color w:val="000000" w:themeColor="text1"/>
      </w:rPr>
      <w:tblPr/>
      <w:tcPr>
        <w:shd w:val="clear" w:color="auto" w:fill="FE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DF" w:themeFill="accent6" w:themeFillTint="33"/>
      </w:tcPr>
    </w:tblStylePr>
    <w:tblStylePr w:type="band1Vert">
      <w:tblPr/>
      <w:tcPr>
        <w:shd w:val="clear" w:color="auto" w:fill="FBD2B0" w:themeFill="accent6" w:themeFillTint="7F"/>
      </w:tcPr>
    </w:tblStylePr>
    <w:tblStylePr w:type="band1Horz">
      <w:tblPr/>
      <w:tcPr>
        <w:tcBorders>
          <w:insideH w:val="single" w:sz="6" w:space="0" w:color="F8A662" w:themeColor="accent6"/>
          <w:insideV w:val="single" w:sz="6" w:space="0" w:color="F8A662" w:themeColor="accent6"/>
        </w:tcBorders>
        <w:shd w:val="clear" w:color="auto" w:fill="FBD2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9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9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9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9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BBFF" w:themeFill="accent1" w:themeFillTint="7F"/>
      </w:tcPr>
    </w:tblStylePr>
  </w:style>
  <w:style w:type="table" w:styleId="MediumGrid3-Accent2">
    <w:name w:val="Medium Grid 3 Accent 2"/>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C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AA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AA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AA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AA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9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9DC" w:themeFill="accent2" w:themeFillTint="7F"/>
      </w:tcPr>
    </w:tblStylePr>
  </w:style>
  <w:style w:type="table" w:styleId="MediumGrid3-Accent3">
    <w:name w:val="Medium Grid 3 Accent 3"/>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1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CAC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CAC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CAC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CAC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E4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E4E6" w:themeFill="accent5" w:themeFillTint="7F"/>
      </w:tcPr>
    </w:tblStylePr>
  </w:style>
  <w:style w:type="table" w:styleId="MediumGrid3-Accent6">
    <w:name w:val="Medium Grid 3 Accent 6"/>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8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6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6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6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6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2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2B0" w:themeFill="accent6" w:themeFillTint="7F"/>
      </w:tcPr>
    </w:tblStylePr>
  </w:style>
  <w:style w:type="table" w:styleId="MediumList1">
    <w:name w:val="Medium List 1"/>
    <w:basedOn w:val="TableNormal"/>
    <w:uiPriority w:val="65"/>
    <w:semiHidden/>
    <w:unhideWhenUsed/>
    <w:rsid w:val="00174C2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558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74C27"/>
    <w:rPr>
      <w:color w:val="000000" w:themeColor="text1"/>
    </w:rPr>
    <w:tblPr>
      <w:tblStyleRowBandSize w:val="1"/>
      <w:tblStyleColBandSize w:val="1"/>
      <w:tblBorders>
        <w:top w:val="single" w:sz="8" w:space="0" w:color="0069B0" w:themeColor="accent1"/>
        <w:bottom w:val="single" w:sz="8" w:space="0" w:color="0069B0" w:themeColor="accent1"/>
      </w:tblBorders>
    </w:tblPr>
    <w:tblStylePr w:type="firstRow">
      <w:rPr>
        <w:rFonts w:asciiTheme="majorHAnsi" w:eastAsiaTheme="majorEastAsia" w:hAnsiTheme="majorHAnsi" w:cstheme="majorBidi"/>
      </w:rPr>
      <w:tblPr/>
      <w:tcPr>
        <w:tcBorders>
          <w:top w:val="nil"/>
          <w:bottom w:val="single" w:sz="8" w:space="0" w:color="0069B0" w:themeColor="accent1"/>
        </w:tcBorders>
      </w:tcPr>
    </w:tblStylePr>
    <w:tblStylePr w:type="lastRow">
      <w:rPr>
        <w:b/>
        <w:bCs/>
        <w:color w:val="00558F" w:themeColor="text2"/>
      </w:rPr>
      <w:tblPr/>
      <w:tcPr>
        <w:tcBorders>
          <w:top w:val="single" w:sz="8" w:space="0" w:color="0069B0" w:themeColor="accent1"/>
          <w:bottom w:val="single" w:sz="8" w:space="0" w:color="0069B0" w:themeColor="accent1"/>
        </w:tcBorders>
      </w:tcPr>
    </w:tblStylePr>
    <w:tblStylePr w:type="firstCol">
      <w:rPr>
        <w:b/>
        <w:bCs/>
      </w:rPr>
    </w:tblStylePr>
    <w:tblStylePr w:type="lastCol">
      <w:rPr>
        <w:b/>
        <w:bCs/>
      </w:rPr>
      <w:tblPr/>
      <w:tcPr>
        <w:tcBorders>
          <w:top w:val="single" w:sz="8" w:space="0" w:color="0069B0" w:themeColor="accent1"/>
          <w:bottom w:val="single" w:sz="8" w:space="0" w:color="0069B0" w:themeColor="accent1"/>
        </w:tcBorders>
      </w:tcPr>
    </w:tblStylePr>
    <w:tblStylePr w:type="band1Vert">
      <w:tblPr/>
      <w:tcPr>
        <w:shd w:val="clear" w:color="auto" w:fill="ACDDFF" w:themeFill="accent1" w:themeFillTint="3F"/>
      </w:tcPr>
    </w:tblStylePr>
    <w:tblStylePr w:type="band1Horz">
      <w:tblPr/>
      <w:tcPr>
        <w:shd w:val="clear" w:color="auto" w:fill="ACDDFF" w:themeFill="accent1" w:themeFillTint="3F"/>
      </w:tcPr>
    </w:tblStylePr>
  </w:style>
  <w:style w:type="table" w:styleId="MediumList1-Accent2">
    <w:name w:val="Medium List 1 Accent 2"/>
    <w:basedOn w:val="TableNormal"/>
    <w:uiPriority w:val="65"/>
    <w:semiHidden/>
    <w:unhideWhenUsed/>
    <w:rsid w:val="00174C27"/>
    <w:rPr>
      <w:color w:val="000000" w:themeColor="text1"/>
    </w:rPr>
    <w:tblPr>
      <w:tblStyleRowBandSize w:val="1"/>
      <w:tblStyleColBandSize w:val="1"/>
      <w:tblBorders>
        <w:top w:val="single" w:sz="8" w:space="0" w:color="3BAAAF" w:themeColor="accent2"/>
        <w:bottom w:val="single" w:sz="8" w:space="0" w:color="3BAAAF" w:themeColor="accent2"/>
      </w:tblBorders>
    </w:tblPr>
    <w:tblStylePr w:type="firstRow">
      <w:rPr>
        <w:rFonts w:asciiTheme="majorHAnsi" w:eastAsiaTheme="majorEastAsia" w:hAnsiTheme="majorHAnsi" w:cstheme="majorBidi"/>
      </w:rPr>
      <w:tblPr/>
      <w:tcPr>
        <w:tcBorders>
          <w:top w:val="nil"/>
          <w:bottom w:val="single" w:sz="8" w:space="0" w:color="3BAAAF" w:themeColor="accent2"/>
        </w:tcBorders>
      </w:tcPr>
    </w:tblStylePr>
    <w:tblStylePr w:type="lastRow">
      <w:rPr>
        <w:b/>
        <w:bCs/>
        <w:color w:val="00558F" w:themeColor="text2"/>
      </w:rPr>
      <w:tblPr/>
      <w:tcPr>
        <w:tcBorders>
          <w:top w:val="single" w:sz="8" w:space="0" w:color="3BAAAF" w:themeColor="accent2"/>
          <w:bottom w:val="single" w:sz="8" w:space="0" w:color="3BAAAF" w:themeColor="accent2"/>
        </w:tcBorders>
      </w:tcPr>
    </w:tblStylePr>
    <w:tblStylePr w:type="firstCol">
      <w:rPr>
        <w:b/>
        <w:bCs/>
      </w:rPr>
    </w:tblStylePr>
    <w:tblStylePr w:type="lastCol">
      <w:rPr>
        <w:b/>
        <w:bCs/>
      </w:rPr>
      <w:tblPr/>
      <w:tcPr>
        <w:tcBorders>
          <w:top w:val="single" w:sz="8" w:space="0" w:color="3BAAAF" w:themeColor="accent2"/>
          <w:bottom w:val="single" w:sz="8" w:space="0" w:color="3BAAAF" w:themeColor="accent2"/>
        </w:tcBorders>
      </w:tcPr>
    </w:tblStylePr>
    <w:tblStylePr w:type="band1Vert">
      <w:tblPr/>
      <w:tcPr>
        <w:shd w:val="clear" w:color="auto" w:fill="CBECED" w:themeFill="accent2" w:themeFillTint="3F"/>
      </w:tcPr>
    </w:tblStylePr>
    <w:tblStylePr w:type="band1Horz">
      <w:tblPr/>
      <w:tcPr>
        <w:shd w:val="clear" w:color="auto" w:fill="CBECED" w:themeFill="accent2" w:themeFillTint="3F"/>
      </w:tcPr>
    </w:tblStylePr>
  </w:style>
  <w:style w:type="table" w:styleId="MediumList1-Accent3">
    <w:name w:val="Medium List 1 Accent 3"/>
    <w:basedOn w:val="TableNormal"/>
    <w:uiPriority w:val="65"/>
    <w:semiHidden/>
    <w:unhideWhenUsed/>
    <w:rsid w:val="00174C2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00558F"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74C2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00558F"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74C27"/>
    <w:rPr>
      <w:color w:val="000000" w:themeColor="text1"/>
    </w:rPr>
    <w:tblPr>
      <w:tblStyleRowBandSize w:val="1"/>
      <w:tblStyleColBandSize w:val="1"/>
      <w:tblBorders>
        <w:top w:val="single" w:sz="8" w:space="0" w:color="70CACE" w:themeColor="accent5"/>
        <w:bottom w:val="single" w:sz="8" w:space="0" w:color="70CACE" w:themeColor="accent5"/>
      </w:tblBorders>
    </w:tblPr>
    <w:tblStylePr w:type="firstRow">
      <w:rPr>
        <w:rFonts w:asciiTheme="majorHAnsi" w:eastAsiaTheme="majorEastAsia" w:hAnsiTheme="majorHAnsi" w:cstheme="majorBidi"/>
      </w:rPr>
      <w:tblPr/>
      <w:tcPr>
        <w:tcBorders>
          <w:top w:val="nil"/>
          <w:bottom w:val="single" w:sz="8" w:space="0" w:color="70CACE" w:themeColor="accent5"/>
        </w:tcBorders>
      </w:tcPr>
    </w:tblStylePr>
    <w:tblStylePr w:type="lastRow">
      <w:rPr>
        <w:b/>
        <w:bCs/>
        <w:color w:val="00558F" w:themeColor="text2"/>
      </w:rPr>
      <w:tblPr/>
      <w:tcPr>
        <w:tcBorders>
          <w:top w:val="single" w:sz="8" w:space="0" w:color="70CACE" w:themeColor="accent5"/>
          <w:bottom w:val="single" w:sz="8" w:space="0" w:color="70CACE" w:themeColor="accent5"/>
        </w:tcBorders>
      </w:tcPr>
    </w:tblStylePr>
    <w:tblStylePr w:type="firstCol">
      <w:rPr>
        <w:b/>
        <w:bCs/>
      </w:rPr>
    </w:tblStylePr>
    <w:tblStylePr w:type="lastCol">
      <w:rPr>
        <w:b/>
        <w:bCs/>
      </w:rPr>
      <w:tblPr/>
      <w:tcPr>
        <w:tcBorders>
          <w:top w:val="single" w:sz="8" w:space="0" w:color="70CACE" w:themeColor="accent5"/>
          <w:bottom w:val="single" w:sz="8" w:space="0" w:color="70CACE" w:themeColor="accent5"/>
        </w:tcBorders>
      </w:tcPr>
    </w:tblStylePr>
    <w:tblStylePr w:type="band1Vert">
      <w:tblPr/>
      <w:tcPr>
        <w:shd w:val="clear" w:color="auto" w:fill="DBF1F3" w:themeFill="accent5" w:themeFillTint="3F"/>
      </w:tcPr>
    </w:tblStylePr>
    <w:tblStylePr w:type="band1Horz">
      <w:tblPr/>
      <w:tcPr>
        <w:shd w:val="clear" w:color="auto" w:fill="DBF1F3" w:themeFill="accent5" w:themeFillTint="3F"/>
      </w:tcPr>
    </w:tblStylePr>
  </w:style>
  <w:style w:type="table" w:styleId="MediumList1-Accent6">
    <w:name w:val="Medium List 1 Accent 6"/>
    <w:basedOn w:val="TableNormal"/>
    <w:uiPriority w:val="65"/>
    <w:semiHidden/>
    <w:unhideWhenUsed/>
    <w:rsid w:val="00174C27"/>
    <w:rPr>
      <w:color w:val="000000" w:themeColor="text1"/>
    </w:rPr>
    <w:tblPr>
      <w:tblStyleRowBandSize w:val="1"/>
      <w:tblStyleColBandSize w:val="1"/>
      <w:tblBorders>
        <w:top w:val="single" w:sz="8" w:space="0" w:color="F8A662" w:themeColor="accent6"/>
        <w:bottom w:val="single" w:sz="8" w:space="0" w:color="F8A662" w:themeColor="accent6"/>
      </w:tblBorders>
    </w:tblPr>
    <w:tblStylePr w:type="firstRow">
      <w:rPr>
        <w:rFonts w:asciiTheme="majorHAnsi" w:eastAsiaTheme="majorEastAsia" w:hAnsiTheme="majorHAnsi" w:cstheme="majorBidi"/>
      </w:rPr>
      <w:tblPr/>
      <w:tcPr>
        <w:tcBorders>
          <w:top w:val="nil"/>
          <w:bottom w:val="single" w:sz="8" w:space="0" w:color="F8A662" w:themeColor="accent6"/>
        </w:tcBorders>
      </w:tcPr>
    </w:tblStylePr>
    <w:tblStylePr w:type="lastRow">
      <w:rPr>
        <w:b/>
        <w:bCs/>
        <w:color w:val="00558F" w:themeColor="text2"/>
      </w:rPr>
      <w:tblPr/>
      <w:tcPr>
        <w:tcBorders>
          <w:top w:val="single" w:sz="8" w:space="0" w:color="F8A662" w:themeColor="accent6"/>
          <w:bottom w:val="single" w:sz="8" w:space="0" w:color="F8A662" w:themeColor="accent6"/>
        </w:tcBorders>
      </w:tcPr>
    </w:tblStylePr>
    <w:tblStylePr w:type="firstCol">
      <w:rPr>
        <w:b/>
        <w:bCs/>
      </w:rPr>
    </w:tblStylePr>
    <w:tblStylePr w:type="lastCol">
      <w:rPr>
        <w:b/>
        <w:bCs/>
      </w:rPr>
      <w:tblPr/>
      <w:tcPr>
        <w:tcBorders>
          <w:top w:val="single" w:sz="8" w:space="0" w:color="F8A662" w:themeColor="accent6"/>
          <w:bottom w:val="single" w:sz="8" w:space="0" w:color="F8A662" w:themeColor="accent6"/>
        </w:tcBorders>
      </w:tcPr>
    </w:tblStylePr>
    <w:tblStylePr w:type="band1Vert">
      <w:tblPr/>
      <w:tcPr>
        <w:shd w:val="clear" w:color="auto" w:fill="FDE8D8" w:themeFill="accent6" w:themeFillTint="3F"/>
      </w:tcPr>
    </w:tblStylePr>
    <w:tblStylePr w:type="band1Horz">
      <w:tblPr/>
      <w:tcPr>
        <w:shd w:val="clear" w:color="auto" w:fill="FDE8D8" w:themeFill="accent6" w:themeFillTint="3F"/>
      </w:tcPr>
    </w:tblStylePr>
  </w:style>
  <w:style w:type="table" w:styleId="MediumList2">
    <w:name w:val="Medium List 2"/>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tblBorders>
    </w:tblPr>
    <w:tblStylePr w:type="firstRow">
      <w:rPr>
        <w:sz w:val="24"/>
        <w:szCs w:val="24"/>
      </w:rPr>
      <w:tblPr/>
      <w:tcPr>
        <w:tcBorders>
          <w:top w:val="nil"/>
          <w:left w:val="nil"/>
          <w:bottom w:val="single" w:sz="24" w:space="0" w:color="0069B0" w:themeColor="accent1"/>
          <w:right w:val="nil"/>
          <w:insideH w:val="nil"/>
          <w:insideV w:val="nil"/>
        </w:tcBorders>
        <w:shd w:val="clear" w:color="auto" w:fill="FFFFFF" w:themeFill="background1"/>
      </w:tcPr>
    </w:tblStylePr>
    <w:tblStylePr w:type="lastRow">
      <w:tblPr/>
      <w:tcPr>
        <w:tcBorders>
          <w:top w:val="single" w:sz="8" w:space="0" w:color="0069B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9B0" w:themeColor="accent1"/>
          <w:insideH w:val="nil"/>
          <w:insideV w:val="nil"/>
        </w:tcBorders>
        <w:shd w:val="clear" w:color="auto" w:fill="FFFFFF" w:themeFill="background1"/>
      </w:tcPr>
    </w:tblStylePr>
    <w:tblStylePr w:type="lastCol">
      <w:tblPr/>
      <w:tcPr>
        <w:tcBorders>
          <w:top w:val="nil"/>
          <w:left w:val="single" w:sz="8" w:space="0" w:color="0069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DFF" w:themeFill="accent1" w:themeFillTint="3F"/>
      </w:tcPr>
    </w:tblStylePr>
    <w:tblStylePr w:type="band1Horz">
      <w:tblPr/>
      <w:tcPr>
        <w:tcBorders>
          <w:top w:val="nil"/>
          <w:bottom w:val="nil"/>
          <w:insideH w:val="nil"/>
          <w:insideV w:val="nil"/>
        </w:tcBorders>
        <w:shd w:val="clear" w:color="auto" w:fill="AC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tblBorders>
    </w:tblPr>
    <w:tblStylePr w:type="firstRow">
      <w:rPr>
        <w:sz w:val="24"/>
        <w:szCs w:val="24"/>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tblPr/>
      <w:tcPr>
        <w:tcBorders>
          <w:top w:val="single" w:sz="8" w:space="0" w:color="3BAA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AAAF" w:themeColor="accent2"/>
          <w:insideH w:val="nil"/>
          <w:insideV w:val="nil"/>
        </w:tcBorders>
        <w:shd w:val="clear" w:color="auto" w:fill="FFFFFF" w:themeFill="background1"/>
      </w:tcPr>
    </w:tblStylePr>
    <w:tblStylePr w:type="lastCol">
      <w:tblPr/>
      <w:tcPr>
        <w:tcBorders>
          <w:top w:val="nil"/>
          <w:left w:val="single" w:sz="8" w:space="0" w:color="3BAA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CED" w:themeFill="accent2" w:themeFillTint="3F"/>
      </w:tcPr>
    </w:tblStylePr>
    <w:tblStylePr w:type="band1Horz">
      <w:tblPr/>
      <w:tcPr>
        <w:tcBorders>
          <w:top w:val="nil"/>
          <w:bottom w:val="nil"/>
          <w:insideH w:val="nil"/>
          <w:insideV w:val="nil"/>
        </w:tcBorders>
        <w:shd w:val="clear" w:color="auto" w:fill="CBEC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tblBorders>
    </w:tblPr>
    <w:tblStylePr w:type="firstRow">
      <w:rPr>
        <w:sz w:val="24"/>
        <w:szCs w:val="24"/>
      </w:rPr>
      <w:tblPr/>
      <w:tcPr>
        <w:tcBorders>
          <w:top w:val="nil"/>
          <w:left w:val="nil"/>
          <w:bottom w:val="single" w:sz="24" w:space="0" w:color="70CACE" w:themeColor="accent5"/>
          <w:right w:val="nil"/>
          <w:insideH w:val="nil"/>
          <w:insideV w:val="nil"/>
        </w:tcBorders>
        <w:shd w:val="clear" w:color="auto" w:fill="FFFFFF" w:themeFill="background1"/>
      </w:tcPr>
    </w:tblStylePr>
    <w:tblStylePr w:type="lastRow">
      <w:tblPr/>
      <w:tcPr>
        <w:tcBorders>
          <w:top w:val="single" w:sz="8" w:space="0" w:color="70CAC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CACE" w:themeColor="accent5"/>
          <w:insideH w:val="nil"/>
          <w:insideV w:val="nil"/>
        </w:tcBorders>
        <w:shd w:val="clear" w:color="auto" w:fill="FFFFFF" w:themeFill="background1"/>
      </w:tcPr>
    </w:tblStylePr>
    <w:tblStylePr w:type="lastCol">
      <w:tblPr/>
      <w:tcPr>
        <w:tcBorders>
          <w:top w:val="nil"/>
          <w:left w:val="single" w:sz="8" w:space="0" w:color="70CAC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1F3" w:themeFill="accent5" w:themeFillTint="3F"/>
      </w:tcPr>
    </w:tblStylePr>
    <w:tblStylePr w:type="band1Horz">
      <w:tblPr/>
      <w:tcPr>
        <w:tcBorders>
          <w:top w:val="nil"/>
          <w:bottom w:val="nil"/>
          <w:insideH w:val="nil"/>
          <w:insideV w:val="nil"/>
        </w:tcBorders>
        <w:shd w:val="clear" w:color="auto" w:fill="DBF1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tblBorders>
    </w:tblPr>
    <w:tblStylePr w:type="firstRow">
      <w:rPr>
        <w:sz w:val="24"/>
        <w:szCs w:val="24"/>
      </w:rPr>
      <w:tblPr/>
      <w:tcPr>
        <w:tcBorders>
          <w:top w:val="nil"/>
          <w:left w:val="nil"/>
          <w:bottom w:val="single" w:sz="24" w:space="0" w:color="F8A662" w:themeColor="accent6"/>
          <w:right w:val="nil"/>
          <w:insideH w:val="nil"/>
          <w:insideV w:val="nil"/>
        </w:tcBorders>
        <w:shd w:val="clear" w:color="auto" w:fill="FFFFFF" w:themeFill="background1"/>
      </w:tcPr>
    </w:tblStylePr>
    <w:tblStylePr w:type="lastRow">
      <w:tblPr/>
      <w:tcPr>
        <w:tcBorders>
          <w:top w:val="single" w:sz="8" w:space="0" w:color="F8A6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662" w:themeColor="accent6"/>
          <w:insideH w:val="nil"/>
          <w:insideV w:val="nil"/>
        </w:tcBorders>
        <w:shd w:val="clear" w:color="auto" w:fill="FFFFFF" w:themeFill="background1"/>
      </w:tcPr>
    </w:tblStylePr>
    <w:tblStylePr w:type="lastCol">
      <w:tblPr/>
      <w:tcPr>
        <w:tcBorders>
          <w:top w:val="nil"/>
          <w:left w:val="single" w:sz="8" w:space="0" w:color="F8A6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8D8" w:themeFill="accent6" w:themeFillTint="3F"/>
      </w:tcPr>
    </w:tblStylePr>
    <w:tblStylePr w:type="band1Horz">
      <w:tblPr/>
      <w:tcPr>
        <w:tcBorders>
          <w:top w:val="nil"/>
          <w:bottom w:val="nil"/>
          <w:insideH w:val="nil"/>
          <w:insideV w:val="nil"/>
        </w:tcBorders>
        <w:shd w:val="clear" w:color="auto" w:fill="FDE8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74C2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74C27"/>
    <w:tblPr>
      <w:tblStyleRowBandSize w:val="1"/>
      <w:tblStyleColBandSize w:val="1"/>
      <w:tblBorders>
        <w:top w:val="single" w:sz="8"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single" w:sz="8" w:space="0" w:color="0499FF" w:themeColor="accent1" w:themeTint="BF"/>
      </w:tblBorders>
    </w:tblPr>
    <w:tblStylePr w:type="firstRow">
      <w:pPr>
        <w:spacing w:before="0" w:after="0" w:line="240" w:lineRule="auto"/>
      </w:pPr>
      <w:rPr>
        <w:b/>
        <w:bCs/>
        <w:color w:val="FFFFFF" w:themeColor="background1"/>
      </w:rPr>
      <w:tblPr/>
      <w:tcPr>
        <w:tcBorders>
          <w:top w:val="single" w:sz="8"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nil"/>
          <w:insideV w:val="nil"/>
        </w:tcBorders>
        <w:shd w:val="clear" w:color="auto" w:fill="0069B0" w:themeFill="accent1"/>
      </w:tcPr>
    </w:tblStylePr>
    <w:tblStylePr w:type="lastRow">
      <w:pPr>
        <w:spacing w:before="0" w:after="0" w:line="240" w:lineRule="auto"/>
      </w:pPr>
      <w:rPr>
        <w:b/>
        <w:bCs/>
      </w:rPr>
      <w:tblPr/>
      <w:tcPr>
        <w:tcBorders>
          <w:top w:val="double" w:sz="6"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DDFF" w:themeFill="accent1" w:themeFillTint="3F"/>
      </w:tcPr>
    </w:tblStylePr>
    <w:tblStylePr w:type="band1Horz">
      <w:tblPr/>
      <w:tcPr>
        <w:tcBorders>
          <w:insideH w:val="nil"/>
          <w:insideV w:val="nil"/>
        </w:tcBorders>
        <w:shd w:val="clear" w:color="auto" w:fill="AC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74C27"/>
    <w:tblPr>
      <w:tblStyleRowBandSize w:val="1"/>
      <w:tblStyleColBandSize w:val="1"/>
      <w:tblBorders>
        <w:top w:val="single" w:sz="8"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single" w:sz="8" w:space="0" w:color="64C6CA" w:themeColor="accent2" w:themeTint="BF"/>
      </w:tblBorders>
    </w:tblPr>
    <w:tblStylePr w:type="firstRow">
      <w:pPr>
        <w:spacing w:before="0" w:after="0" w:line="240" w:lineRule="auto"/>
      </w:pPr>
      <w:rPr>
        <w:b/>
        <w:bCs/>
        <w:color w:val="FFFFFF" w:themeColor="background1"/>
      </w:rPr>
      <w:tblPr/>
      <w:tcPr>
        <w:tcBorders>
          <w:top w:val="single" w:sz="8"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nil"/>
          <w:insideV w:val="nil"/>
        </w:tcBorders>
        <w:shd w:val="clear" w:color="auto" w:fill="3BAAAF" w:themeFill="accent2"/>
      </w:tcPr>
    </w:tblStylePr>
    <w:tblStylePr w:type="lastRow">
      <w:pPr>
        <w:spacing w:before="0" w:after="0" w:line="240" w:lineRule="auto"/>
      </w:pPr>
      <w:rPr>
        <w:b/>
        <w:bCs/>
      </w:rPr>
      <w:tblPr/>
      <w:tcPr>
        <w:tcBorders>
          <w:top w:val="double" w:sz="6"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CED" w:themeFill="accent2" w:themeFillTint="3F"/>
      </w:tcPr>
    </w:tblStylePr>
    <w:tblStylePr w:type="band1Horz">
      <w:tblPr/>
      <w:tcPr>
        <w:tcBorders>
          <w:insideH w:val="nil"/>
          <w:insideV w:val="nil"/>
        </w:tcBorders>
        <w:shd w:val="clear" w:color="auto" w:fill="CBEC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74C2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74C2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74C27"/>
    <w:tblPr>
      <w:tblStyleRowBandSize w:val="1"/>
      <w:tblStyleColBandSize w:val="1"/>
      <w:tblBorders>
        <w:top w:val="single" w:sz="8"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single" w:sz="8" w:space="0" w:color="93D7DA" w:themeColor="accent5" w:themeTint="BF"/>
      </w:tblBorders>
    </w:tblPr>
    <w:tblStylePr w:type="firstRow">
      <w:pPr>
        <w:spacing w:before="0" w:after="0" w:line="240" w:lineRule="auto"/>
      </w:pPr>
      <w:rPr>
        <w:b/>
        <w:bCs/>
        <w:color w:val="FFFFFF" w:themeColor="background1"/>
      </w:rPr>
      <w:tblPr/>
      <w:tcPr>
        <w:tcBorders>
          <w:top w:val="single" w:sz="8"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nil"/>
          <w:insideV w:val="nil"/>
        </w:tcBorders>
        <w:shd w:val="clear" w:color="auto" w:fill="70CACE" w:themeFill="accent5"/>
      </w:tcPr>
    </w:tblStylePr>
    <w:tblStylePr w:type="lastRow">
      <w:pPr>
        <w:spacing w:before="0" w:after="0" w:line="240" w:lineRule="auto"/>
      </w:pPr>
      <w:rPr>
        <w:b/>
        <w:bCs/>
      </w:rPr>
      <w:tblPr/>
      <w:tcPr>
        <w:tcBorders>
          <w:top w:val="double" w:sz="6"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F1F3" w:themeFill="accent5" w:themeFillTint="3F"/>
      </w:tcPr>
    </w:tblStylePr>
    <w:tblStylePr w:type="band1Horz">
      <w:tblPr/>
      <w:tcPr>
        <w:tcBorders>
          <w:insideH w:val="nil"/>
          <w:insideV w:val="nil"/>
        </w:tcBorders>
        <w:shd w:val="clear" w:color="auto" w:fill="DBF1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74C27"/>
    <w:tblPr>
      <w:tblStyleRowBandSize w:val="1"/>
      <w:tblStyleColBandSize w:val="1"/>
      <w:tblBorders>
        <w:top w:val="single" w:sz="8"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single" w:sz="8" w:space="0" w:color="F9BB89" w:themeColor="accent6" w:themeTint="BF"/>
      </w:tblBorders>
    </w:tblPr>
    <w:tblStylePr w:type="firstRow">
      <w:pPr>
        <w:spacing w:before="0" w:after="0" w:line="240" w:lineRule="auto"/>
      </w:pPr>
      <w:rPr>
        <w:b/>
        <w:bCs/>
        <w:color w:val="FFFFFF" w:themeColor="background1"/>
      </w:rPr>
      <w:tblPr/>
      <w:tcPr>
        <w:tcBorders>
          <w:top w:val="single" w:sz="8"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nil"/>
          <w:insideV w:val="nil"/>
        </w:tcBorders>
        <w:shd w:val="clear" w:color="auto" w:fill="F8A662" w:themeFill="accent6"/>
      </w:tcPr>
    </w:tblStylePr>
    <w:tblStylePr w:type="lastRow">
      <w:pPr>
        <w:spacing w:before="0" w:after="0" w:line="240" w:lineRule="auto"/>
      </w:pPr>
      <w:rPr>
        <w:b/>
        <w:bCs/>
      </w:rPr>
      <w:tblPr/>
      <w:tcPr>
        <w:tcBorders>
          <w:top w:val="double" w:sz="6"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8D8" w:themeFill="accent6" w:themeFillTint="3F"/>
      </w:tcPr>
    </w:tblStylePr>
    <w:tblStylePr w:type="band1Horz">
      <w:tblPr/>
      <w:tcPr>
        <w:tcBorders>
          <w:insideH w:val="nil"/>
          <w:insideV w:val="nil"/>
        </w:tcBorders>
        <w:shd w:val="clear" w:color="auto" w:fill="FDE8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9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9B0" w:themeFill="accent1"/>
      </w:tcPr>
    </w:tblStylePr>
    <w:tblStylePr w:type="lastCol">
      <w:rPr>
        <w:b/>
        <w:bCs/>
        <w:color w:val="FFFFFF" w:themeColor="background1"/>
      </w:rPr>
      <w:tblPr/>
      <w:tcPr>
        <w:tcBorders>
          <w:left w:val="nil"/>
          <w:right w:val="nil"/>
          <w:insideH w:val="nil"/>
          <w:insideV w:val="nil"/>
        </w:tcBorders>
        <w:shd w:val="clear" w:color="auto" w:fill="0069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AA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AAAF" w:themeFill="accent2"/>
      </w:tcPr>
    </w:tblStylePr>
    <w:tblStylePr w:type="lastCol">
      <w:rPr>
        <w:b/>
        <w:bCs/>
        <w:color w:val="FFFFFF" w:themeColor="background1"/>
      </w:rPr>
      <w:tblPr/>
      <w:tcPr>
        <w:tcBorders>
          <w:left w:val="nil"/>
          <w:right w:val="nil"/>
          <w:insideH w:val="nil"/>
          <w:insideV w:val="nil"/>
        </w:tcBorders>
        <w:shd w:val="clear" w:color="auto" w:fill="3BAA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CAC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CACE" w:themeFill="accent5"/>
      </w:tcPr>
    </w:tblStylePr>
    <w:tblStylePr w:type="lastCol">
      <w:rPr>
        <w:b/>
        <w:bCs/>
        <w:color w:val="FFFFFF" w:themeColor="background1"/>
      </w:rPr>
      <w:tblPr/>
      <w:tcPr>
        <w:tcBorders>
          <w:left w:val="nil"/>
          <w:right w:val="nil"/>
          <w:insideH w:val="nil"/>
          <w:insideV w:val="nil"/>
        </w:tcBorders>
        <w:shd w:val="clear" w:color="auto" w:fill="70CAC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6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A662" w:themeFill="accent6"/>
      </w:tcPr>
    </w:tblStylePr>
    <w:tblStylePr w:type="lastCol">
      <w:rPr>
        <w:b/>
        <w:bCs/>
        <w:color w:val="FFFFFF" w:themeColor="background1"/>
      </w:rPr>
      <w:tblPr/>
      <w:tcPr>
        <w:tcBorders>
          <w:left w:val="nil"/>
          <w:right w:val="nil"/>
          <w:insideH w:val="nil"/>
          <w:insideV w:val="nil"/>
        </w:tcBorders>
        <w:shd w:val="clear" w:color="auto" w:fill="F8A6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rsid w:val="00174C2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4C27"/>
    <w:rPr>
      <w:rFonts w:asciiTheme="majorHAnsi" w:eastAsiaTheme="majorEastAsia" w:hAnsiTheme="majorHAnsi" w:cstheme="majorBidi"/>
      <w:shd w:val="pct20" w:color="auto" w:fill="auto"/>
      <w:lang w:val="en-US"/>
    </w:rPr>
  </w:style>
  <w:style w:type="paragraph" w:styleId="NoSpacing">
    <w:name w:val="No Spacing"/>
    <w:uiPriority w:val="99"/>
    <w:semiHidden/>
    <w:rsid w:val="00174C27"/>
  </w:style>
  <w:style w:type="paragraph" w:styleId="NormalWeb">
    <w:name w:val="Normal (Web)"/>
    <w:uiPriority w:val="99"/>
    <w:semiHidden/>
    <w:rsid w:val="00174C27"/>
    <w:rPr>
      <w:rFonts w:cs="Times New Roman"/>
    </w:rPr>
  </w:style>
  <w:style w:type="paragraph" w:styleId="NormalIndent">
    <w:name w:val="Normal Indent"/>
    <w:uiPriority w:val="99"/>
    <w:semiHidden/>
    <w:rsid w:val="00D63518"/>
    <w:pPr>
      <w:ind w:left="567"/>
    </w:pPr>
  </w:style>
  <w:style w:type="paragraph" w:styleId="NoteHeading">
    <w:name w:val="Note Heading"/>
    <w:next w:val="BodyText"/>
    <w:link w:val="NoteHeadingChar"/>
    <w:uiPriority w:val="99"/>
    <w:semiHidden/>
    <w:rsid w:val="00174C27"/>
  </w:style>
  <w:style w:type="character" w:customStyle="1" w:styleId="NoteHeadingChar">
    <w:name w:val="Note Heading Char"/>
    <w:basedOn w:val="DefaultParagraphFont"/>
    <w:link w:val="NoteHeading"/>
    <w:uiPriority w:val="99"/>
    <w:semiHidden/>
    <w:rsid w:val="00174C27"/>
    <w:rPr>
      <w:lang w:val="en-US"/>
    </w:rPr>
  </w:style>
  <w:style w:type="character" w:styleId="PageNumber">
    <w:name w:val="page number"/>
    <w:basedOn w:val="DefaultParagraphFont"/>
    <w:uiPriority w:val="99"/>
    <w:semiHidden/>
    <w:rsid w:val="00174C27"/>
    <w:rPr>
      <w:lang w:val="en-US"/>
    </w:rPr>
  </w:style>
  <w:style w:type="character" w:styleId="PlaceholderText">
    <w:name w:val="Placeholder Text"/>
    <w:basedOn w:val="DefaultParagraphFont"/>
    <w:uiPriority w:val="99"/>
    <w:semiHidden/>
    <w:rsid w:val="00174C27"/>
    <w:rPr>
      <w:color w:val="auto"/>
      <w:lang w:val="en-US"/>
    </w:rPr>
  </w:style>
  <w:style w:type="paragraph" w:styleId="PlainText">
    <w:name w:val="Plain Text"/>
    <w:link w:val="PlainTextChar"/>
    <w:uiPriority w:val="99"/>
    <w:semiHidden/>
    <w:rsid w:val="00174C27"/>
    <w:rPr>
      <w:rFonts w:ascii="Consolas" w:hAnsi="Consolas"/>
      <w:sz w:val="21"/>
      <w:szCs w:val="21"/>
    </w:rPr>
  </w:style>
  <w:style w:type="character" w:customStyle="1" w:styleId="PlainTextChar">
    <w:name w:val="Plain Text Char"/>
    <w:basedOn w:val="DefaultParagraphFont"/>
    <w:link w:val="PlainText"/>
    <w:uiPriority w:val="99"/>
    <w:semiHidden/>
    <w:rsid w:val="00174C27"/>
    <w:rPr>
      <w:rFonts w:ascii="Consolas" w:hAnsi="Consolas"/>
      <w:sz w:val="21"/>
      <w:szCs w:val="21"/>
      <w:lang w:val="en-US"/>
    </w:rPr>
  </w:style>
  <w:style w:type="paragraph" w:styleId="Quote">
    <w:name w:val="Quote"/>
    <w:next w:val="BodyText"/>
    <w:link w:val="QuoteChar"/>
    <w:uiPriority w:val="99"/>
    <w:semiHidden/>
    <w:rsid w:val="00174C27"/>
    <w:rPr>
      <w:i/>
      <w:iCs/>
    </w:rPr>
  </w:style>
  <w:style w:type="character" w:customStyle="1" w:styleId="QuoteChar">
    <w:name w:val="Quote Char"/>
    <w:basedOn w:val="DefaultParagraphFont"/>
    <w:link w:val="Quote"/>
    <w:uiPriority w:val="99"/>
    <w:semiHidden/>
    <w:rsid w:val="00174C27"/>
    <w:rPr>
      <w:i/>
      <w:iCs/>
      <w:lang w:val="en-US"/>
    </w:rPr>
  </w:style>
  <w:style w:type="paragraph" w:styleId="Salutation">
    <w:name w:val="Salutation"/>
    <w:next w:val="BodyText"/>
    <w:link w:val="SalutationChar"/>
    <w:uiPriority w:val="99"/>
    <w:semiHidden/>
    <w:rsid w:val="00174C27"/>
  </w:style>
  <w:style w:type="character" w:customStyle="1" w:styleId="SalutationChar">
    <w:name w:val="Salutation Char"/>
    <w:basedOn w:val="DefaultParagraphFont"/>
    <w:link w:val="Salutation"/>
    <w:uiPriority w:val="99"/>
    <w:semiHidden/>
    <w:rsid w:val="00174C27"/>
    <w:rPr>
      <w:lang w:val="en-US"/>
    </w:rPr>
  </w:style>
  <w:style w:type="paragraph" w:styleId="Signature">
    <w:name w:val="Signature"/>
    <w:link w:val="SignatureChar"/>
    <w:uiPriority w:val="99"/>
    <w:semiHidden/>
    <w:rsid w:val="00174C27"/>
    <w:pPr>
      <w:ind w:left="4252"/>
    </w:pPr>
  </w:style>
  <w:style w:type="character" w:customStyle="1" w:styleId="SignatureChar">
    <w:name w:val="Signature Char"/>
    <w:basedOn w:val="DefaultParagraphFont"/>
    <w:link w:val="Signature"/>
    <w:uiPriority w:val="99"/>
    <w:semiHidden/>
    <w:rsid w:val="00174C27"/>
    <w:rPr>
      <w:lang w:val="en-US"/>
    </w:rPr>
  </w:style>
  <w:style w:type="character" w:styleId="SubtleEmphasis">
    <w:name w:val="Subtle Emphasis"/>
    <w:basedOn w:val="DefaultParagraphFont"/>
    <w:uiPriority w:val="99"/>
    <w:semiHidden/>
    <w:rsid w:val="00174C27"/>
    <w:rPr>
      <w:i/>
      <w:iCs/>
      <w:color w:val="auto"/>
      <w:lang w:val="en-US"/>
    </w:rPr>
  </w:style>
  <w:style w:type="character" w:styleId="SubtleReference">
    <w:name w:val="Subtle Reference"/>
    <w:basedOn w:val="DefaultParagraphFont"/>
    <w:uiPriority w:val="99"/>
    <w:semiHidden/>
    <w:rsid w:val="00174C27"/>
    <w:rPr>
      <w:smallCaps/>
      <w:color w:val="auto"/>
      <w:u w:val="single"/>
      <w:lang w:val="en-US"/>
    </w:rPr>
  </w:style>
  <w:style w:type="table" w:styleId="Table3Deffects1">
    <w:name w:val="Table 3D effects 1"/>
    <w:basedOn w:val="TableNormal"/>
    <w:uiPriority w:val="99"/>
    <w:semiHidden/>
    <w:unhideWhenUsed/>
    <w:rsid w:val="00174C2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74C2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74C2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74C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74C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74C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74C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74C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74C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74C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74C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74C2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74C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74C2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74C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74C2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74C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74C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74C2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74C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74C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74C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74C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74C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74C2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74C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74C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74C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74C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74C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BodyText"/>
    <w:uiPriority w:val="99"/>
    <w:semiHidden/>
    <w:rsid w:val="00257B42"/>
    <w:pPr>
      <w:ind w:left="567" w:hanging="567"/>
    </w:pPr>
  </w:style>
  <w:style w:type="paragraph" w:styleId="TableofFigures">
    <w:name w:val="table of figures"/>
    <w:next w:val="BodyText"/>
    <w:uiPriority w:val="99"/>
    <w:semiHidden/>
    <w:rsid w:val="00174C27"/>
  </w:style>
  <w:style w:type="table" w:styleId="TableProfessional">
    <w:name w:val="Table Professional"/>
    <w:basedOn w:val="TableNormal"/>
    <w:uiPriority w:val="99"/>
    <w:semiHidden/>
    <w:unhideWhenUsed/>
    <w:rsid w:val="00174C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74C2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74C2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74C2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74C2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7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74C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74C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74C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
    <w:link w:val="TitleChar"/>
    <w:uiPriority w:val="99"/>
    <w:semiHidden/>
    <w:rsid w:val="00174C27"/>
    <w:pPr>
      <w:pBdr>
        <w:bottom w:val="single" w:sz="8" w:space="4" w:color="0069B0"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99"/>
    <w:semiHidden/>
    <w:rsid w:val="00174C27"/>
    <w:rPr>
      <w:rFonts w:asciiTheme="majorHAnsi" w:eastAsiaTheme="majorEastAsia" w:hAnsiTheme="majorHAnsi" w:cstheme="majorBidi"/>
      <w:spacing w:val="5"/>
      <w:kern w:val="28"/>
      <w:sz w:val="52"/>
      <w:szCs w:val="52"/>
      <w:lang w:val="en-US"/>
    </w:rPr>
  </w:style>
  <w:style w:type="paragraph" w:styleId="TOAHeading">
    <w:name w:val="toa heading"/>
    <w:next w:val="BodyText"/>
    <w:uiPriority w:val="99"/>
    <w:semiHidden/>
    <w:rsid w:val="00174C27"/>
    <w:pPr>
      <w:spacing w:before="120"/>
    </w:pPr>
    <w:rPr>
      <w:rFonts w:asciiTheme="majorHAnsi" w:eastAsiaTheme="majorEastAsia" w:hAnsiTheme="majorHAnsi" w:cstheme="majorBidi"/>
      <w:b/>
      <w:bCs/>
    </w:rPr>
  </w:style>
  <w:style w:type="numbering" w:customStyle="1" w:styleId="ListStyleParaNumber">
    <w:name w:val="ListStyle_ParaNumber"/>
    <w:uiPriority w:val="99"/>
    <w:semiHidden/>
    <w:rsid w:val="00D91FAE"/>
    <w:pPr>
      <w:numPr>
        <w:numId w:val="16"/>
      </w:numPr>
    </w:pPr>
  </w:style>
  <w:style w:type="paragraph" w:customStyle="1" w:styleId="ParaNumberNo1">
    <w:name w:val="Para Number No. 1"/>
    <w:basedOn w:val="ParaNumber"/>
    <w:next w:val="ParaNumber"/>
    <w:unhideWhenUsed/>
    <w:qFormat/>
    <w:rsid w:val="00D91FAE"/>
    <w:pPr>
      <w:numPr>
        <w:ilvl w:val="0"/>
      </w:numPr>
    </w:pPr>
  </w:style>
  <w:style w:type="paragraph" w:customStyle="1" w:styleId="MetaEventName">
    <w:name w:val="Meta_Event Name"/>
    <w:uiPriority w:val="24"/>
    <w:unhideWhenUsed/>
    <w:rsid w:val="00D67F2E"/>
    <w:pPr>
      <w:keepNext/>
    </w:pPr>
    <w:rPr>
      <w:rFonts w:ascii="Arial" w:hAnsi="Arial"/>
      <w:b/>
    </w:rPr>
  </w:style>
  <w:style w:type="paragraph" w:customStyle="1" w:styleId="MetaSessionName">
    <w:name w:val="Meta_Session Name"/>
    <w:uiPriority w:val="26"/>
    <w:unhideWhenUsed/>
    <w:rsid w:val="00D67F2E"/>
    <w:rPr>
      <w:rFonts w:ascii="Arial" w:hAnsi="Arial"/>
      <w:sz w:val="20"/>
    </w:rPr>
  </w:style>
  <w:style w:type="paragraph" w:customStyle="1" w:styleId="MetaVenue">
    <w:name w:val="Meta_Venue"/>
    <w:uiPriority w:val="27"/>
    <w:unhideWhenUsed/>
    <w:rsid w:val="002C7AED"/>
    <w:rPr>
      <w:rFonts w:ascii="Arial" w:hAnsi="Arial" w:cs="Arial"/>
      <w:b/>
      <w:sz w:val="20"/>
      <w:szCs w:val="20"/>
    </w:rPr>
  </w:style>
  <w:style w:type="paragraph" w:customStyle="1" w:styleId="MetaRight">
    <w:name w:val="Meta_Right"/>
    <w:uiPriority w:val="25"/>
    <w:unhideWhenUsed/>
    <w:rsid w:val="002C7AED"/>
    <w:pPr>
      <w:jc w:val="right"/>
    </w:pPr>
    <w:rPr>
      <w:rFonts w:ascii="Arial" w:hAnsi="Arial"/>
      <w:sz w:val="20"/>
    </w:rPr>
  </w:style>
  <w:style w:type="paragraph" w:customStyle="1" w:styleId="DocSubtitle">
    <w:name w:val="Doc Subtitle"/>
    <w:next w:val="BoxText"/>
    <w:uiPriority w:val="22"/>
    <w:unhideWhenUsed/>
    <w:rsid w:val="00A31E25"/>
    <w:pPr>
      <w:keepNext/>
      <w:keepLines/>
      <w:suppressAutoHyphens/>
      <w:spacing w:after="240"/>
      <w:jc w:val="center"/>
    </w:pPr>
    <w:rPr>
      <w:rFonts w:ascii="Arial" w:hAnsi="Arial"/>
      <w:b/>
    </w:rPr>
  </w:style>
  <w:style w:type="paragraph" w:customStyle="1" w:styleId="BodyTextNoSpacing">
    <w:name w:val="Body Text No Spacing"/>
    <w:basedOn w:val="BodyText"/>
    <w:uiPriority w:val="9"/>
    <w:unhideWhenUsed/>
    <w:qFormat/>
    <w:rsid w:val="00AE2DF6"/>
    <w:pPr>
      <w:spacing w:before="0"/>
    </w:pPr>
    <w:rPr>
      <w:rFonts w:cs="Arial"/>
    </w:rPr>
  </w:style>
  <w:style w:type="paragraph" w:customStyle="1" w:styleId="Legend">
    <w:name w:val="Legend"/>
    <w:uiPriority w:val="34"/>
    <w:unhideWhenUsed/>
    <w:rsid w:val="00BE1E09"/>
    <w:pPr>
      <w:spacing w:before="200"/>
    </w:pPr>
    <w:rPr>
      <w:rFonts w:eastAsiaTheme="majorEastAsia" w:cs="Arial"/>
      <w:noProof/>
      <w:sz w:val="22"/>
    </w:rPr>
  </w:style>
  <w:style w:type="numbering" w:customStyle="1" w:styleId="ListStyleReference">
    <w:name w:val="ListStyle_Reference"/>
    <w:uiPriority w:val="99"/>
    <w:semiHidden/>
    <w:rsid w:val="00DE255D"/>
    <w:pPr>
      <w:numPr>
        <w:numId w:val="19"/>
      </w:numPr>
    </w:pPr>
  </w:style>
  <w:style w:type="paragraph" w:customStyle="1" w:styleId="DocNumber">
    <w:name w:val="Doc Number"/>
    <w:basedOn w:val="MetaRight"/>
    <w:next w:val="MetaRight"/>
    <w:uiPriority w:val="99"/>
    <w:semiHidden/>
    <w:rsid w:val="004B72A1"/>
  </w:style>
  <w:style w:type="table" w:customStyle="1" w:styleId="TableGrid40">
    <w:name w:val="Table Grid4"/>
    <w:basedOn w:val="TableNormal"/>
    <w:next w:val="TableGrid"/>
    <w:uiPriority w:val="59"/>
    <w:rsid w:val="005C62FB"/>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ghills\Desktop\Doc_RC_SCRC_template_ENG.dotx" TargetMode="External"/></Relationships>
</file>

<file path=word/theme/theme1.xml><?xml version="1.0" encoding="utf-8"?>
<a:theme xmlns:a="http://schemas.openxmlformats.org/drawingml/2006/main" name="Office Theme">
  <a:themeElements>
    <a:clrScheme name="WHO">
      <a:dk1>
        <a:sysClr val="windowText" lastClr="000000"/>
      </a:dk1>
      <a:lt1>
        <a:sysClr val="window" lastClr="FFFFFF"/>
      </a:lt1>
      <a:dk2>
        <a:srgbClr val="00558F"/>
      </a:dk2>
      <a:lt2>
        <a:srgbClr val="EFF9FF"/>
      </a:lt2>
      <a:accent1>
        <a:srgbClr val="0069B0"/>
      </a:accent1>
      <a:accent2>
        <a:srgbClr val="3BAAAF"/>
      </a:accent2>
      <a:accent3>
        <a:srgbClr val="9BBB59"/>
      </a:accent3>
      <a:accent4>
        <a:srgbClr val="8064A2"/>
      </a:accent4>
      <a:accent5>
        <a:srgbClr val="70CACE"/>
      </a:accent5>
      <a:accent6>
        <a:srgbClr val="F8A662"/>
      </a:accent6>
      <a:hlink>
        <a:srgbClr val="000000"/>
      </a:hlink>
      <a:folHlink>
        <a:srgbClr val="000000"/>
      </a:folHlink>
    </a:clrScheme>
    <a:fontScheme name="WH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88702faf-b26c-4069-9abd-b0d6ffcc54b5">2NFW73KD5CKP-299756549-176</_dlc_DocId>
    <_dlc_DocIdUrl xmlns="88702faf-b26c-4069-9abd-b0d6ffcc54b5">
      <Url>https://workspace.who.int/sites/EURO-LNGdocRequests/RCandSCRC/_layouts/15/DocIdRedir.aspx?ID=2NFW73KD5CKP-299756549-176</Url>
      <Description>2NFW73KD5CKP-299756549-176</Description>
    </_dlc_DocIdUrl>
    <Description0 xmlns="aa30ebff-5104-4209-ae81-cc89295db4a5">ready for translation</Description0>
    <Version_x0020_type xmlns="aa30ebff-5104-4209-ae81-cc89295db4a5">approved</Version_x0020_type>
    <Doc_x0020_category xmlns="aa30ebff-5104-4209-ae81-cc89295db4a5">working document</Doc_x0020_category>
    <session_no xmlns="aa30ebff-5104-4209-ae81-cc89295db4a5">SC25(4)</session_no>
    <job_no xmlns="aa30ebff-5104-4209-ae81-cc89295db4a5">200</job_no>
    <Status xmlns="aa30ebff-5104-4209-ae81-cc89295db4a5">approved</Statu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B091BE20396AB48A623F4FC5D4C71CF" ma:contentTypeVersion="8" ma:contentTypeDescription="Create a new document." ma:contentTypeScope="" ma:versionID="2a5f8d3fa30a67bad8d676552e984e4a">
  <xsd:schema xmlns:xsd="http://www.w3.org/2001/XMLSchema" xmlns:xs="http://www.w3.org/2001/XMLSchema" xmlns:p="http://schemas.microsoft.com/office/2006/metadata/properties" xmlns:ns2="88702faf-b26c-4069-9abd-b0d6ffcc54b5" xmlns:ns3="aa30ebff-5104-4209-ae81-cc89295db4a5" targetNamespace="http://schemas.microsoft.com/office/2006/metadata/properties" ma:root="true" ma:fieldsID="428f562936d4d4c45990f987132e2cfa" ns2:_="" ns3:_="">
    <xsd:import namespace="88702faf-b26c-4069-9abd-b0d6ffcc54b5"/>
    <xsd:import namespace="aa30ebff-5104-4209-ae81-cc89295db4a5"/>
    <xsd:element name="properties">
      <xsd:complexType>
        <xsd:sequence>
          <xsd:element name="documentManagement">
            <xsd:complexType>
              <xsd:all>
                <xsd:element ref="ns2:_dlc_DocId" minOccurs="0"/>
                <xsd:element ref="ns2:_dlc_DocIdUrl" minOccurs="0"/>
                <xsd:element ref="ns2:_dlc_DocIdPersistId" minOccurs="0"/>
                <xsd:element ref="ns3:job_no" minOccurs="0"/>
                <xsd:element ref="ns3:job_no_x003a_Wordcount" minOccurs="0"/>
                <xsd:element ref="ns3:job_no_x003a_reference_x0020__x0023_" minOccurs="0"/>
                <xsd:element ref="ns3:Doc_x0020_category" minOccurs="0"/>
                <xsd:element ref="ns3:Status" minOccurs="0"/>
                <xsd:element ref="ns3:Version_x0020_type" minOccurs="0"/>
                <xsd:element ref="ns3:Description0" minOccurs="0"/>
                <xsd:element ref="ns3:session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30ebff-5104-4209-ae81-cc89295db4a5" elementFormDefault="qualified">
    <xsd:import namespace="http://schemas.microsoft.com/office/2006/documentManagement/types"/>
    <xsd:import namespace="http://schemas.microsoft.com/office/infopath/2007/PartnerControls"/>
    <xsd:element name="job_no" ma:index="11" nillable="true" ma:displayName="job_no" ma:list="{6505e868-cb90-42b8-b009-e574a87c0e1f}" ma:internalName="job_no" ma:showField="job_no">
      <xsd:simpleType>
        <xsd:restriction base="dms:Lookup"/>
      </xsd:simpleType>
    </xsd:element>
    <xsd:element name="job_no_x003a_Wordcount" ma:index="12" nillable="true" ma:displayName="job_no:Wordcount" ma:list="{6505e868-cb90-42b8-b009-e574a87c0e1f}" ma:internalName="job_no_x003a_Wordcount" ma:readOnly="true" ma:showField="Word_x0020_count" ma:web="e133a587-e321-45ee-aa4f-494286a8c38e">
      <xsd:simpleType>
        <xsd:restriction base="dms:Lookup"/>
      </xsd:simpleType>
    </xsd:element>
    <xsd:element name="job_no_x003a_reference_x0020__x0023_" ma:index="13" nillable="true" ma:displayName="job_no:reference #" ma:list="{6505e868-cb90-42b8-b009-e574a87c0e1f}" ma:internalName="job_no_x003a_reference_x0020__x0023_" ma:readOnly="true" ma:showField="RC_x0020_doc_x002e__x0020_ref_x0" ma:web="e133a587-e321-45ee-aa4f-494286a8c38e">
      <xsd:simpleType>
        <xsd:restriction base="dms:Lookup"/>
      </xsd:simpleType>
    </xsd:element>
    <xsd:element name="Doc_x0020_category" ma:index="14" nillable="true" ma:displayName="Doc category" ma:format="Dropdown" ma:internalName="Doc_x0020_category">
      <xsd:simpleType>
        <xsd:restriction base="dms:Choice">
          <xsd:enumeration value="background document"/>
          <xsd:enumeration value="conf.doc"/>
          <xsd:enumeration value="decision"/>
          <xsd:enumeration value="inf.doc"/>
          <xsd:enumeration value="letter"/>
          <xsd:enumeration value="diverse"/>
          <xsd:enumeration value="ministerial lunch"/>
          <xsd:enumeration value="ppt"/>
          <xsd:enumeration value="report"/>
          <xsd:enumeration value="resolution"/>
          <xsd:enumeration value="speech"/>
          <xsd:enumeration value="technical briefing"/>
          <xsd:enumeration value="working document"/>
          <xsd:enumeration value="concept note"/>
          <xsd:enumeration value="doc for consultation"/>
        </xsd:restriction>
      </xsd:simpleType>
    </xsd:element>
    <xsd:element name="Status" ma:index="15" nillable="true" ma:displayName="Status" ma:format="Dropdown" ma:internalName="Status">
      <xsd:simpleType>
        <xsd:restriction base="dms:Choice">
          <xsd:enumeration value="received by LNG"/>
          <xsd:enumeration value="originated by LNG"/>
          <xsd:enumeration value="with in-house editor"/>
          <xsd:enumeration value="with freelance editor"/>
          <xsd:enumeration value="for technical clearance"/>
          <xsd:enumeration value="formatting"/>
          <xsd:enumeration value="in-house proofreading"/>
          <xsd:enumeration value="freelance proofreading"/>
          <xsd:enumeration value="awaits approval"/>
          <xsd:enumeration value="approved"/>
          <xsd:enumeration value="revised"/>
          <xsd:enumeration value="on hold"/>
          <xsd:enumeration value="withdrawn"/>
        </xsd:restriction>
      </xsd:simpleType>
    </xsd:element>
    <xsd:element name="Version_x0020_type" ma:index="16" nillable="true" ma:displayName="Version type" ma:format="Dropdown" ma:internalName="Version_x0020_type">
      <xsd:simpleType>
        <xsd:restriction base="dms:Choice">
          <xsd:enumeration value="for editing"/>
          <xsd:enumeration value="edited"/>
          <xsd:enumeration value="unedited"/>
          <xsd:enumeration value="formatted"/>
          <xsd:enumeration value="proofread"/>
          <xsd:enumeration value="for approval"/>
          <xsd:enumeration value="approved"/>
          <xsd:enumeration value="advance copy"/>
          <xsd:enumeration value="final"/>
          <xsd:enumeration value="revision 1"/>
          <xsd:enumeration value="revision 2"/>
        </xsd:restriction>
      </xsd:simpleType>
    </xsd:element>
    <xsd:element name="Description0" ma:index="17" nillable="true" ma:displayName="Description" ma:format="Dropdown" ma:internalName="Description0">
      <xsd:simpleType>
        <xsd:restriction base="dms:Choice">
          <xsd:enumeration value="old template"/>
          <xsd:enumeration value="new template"/>
          <xsd:enumeration value="text only"/>
          <xsd:enumeration value="with RD for approval"/>
          <xsd:enumeration value="with RGO for approval"/>
          <xsd:enumeration value="ready for translation"/>
          <xsd:enumeration value="in progress"/>
          <xsd:enumeration value="see version comment"/>
        </xsd:restriction>
      </xsd:simpleType>
    </xsd:element>
    <xsd:element name="session_no" ma:index="18" nillable="true" ma:displayName="session_no" ma:format="Dropdown" ma:internalName="session_no">
      <xsd:simpleType>
        <xsd:restriction base="dms:Choice">
          <xsd:enumeration value="SC25(1)"/>
          <xsd:enumeration value="SC25(2)"/>
          <xsd:enumeration value="SC25(3)"/>
          <xsd:enumeration value="SC25(4)"/>
          <xsd:enumeration value="SC25(5)"/>
          <xsd:enumeration value="SC24(1)"/>
          <xsd:enumeration value="SC24(2)"/>
          <xsd:enumeration value="SC24(3)"/>
          <xsd:enumeration value="SC24(4)"/>
          <xsd:enumeration value="SC24(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0D56AF6-AE70-4D05-9559-15EC0C9AC30B}">
  <ds:schemaRefs>
    <ds:schemaRef ds:uri="http://schemas.microsoft.com/office/2006/metadata/properties"/>
    <ds:schemaRef ds:uri="88702faf-b26c-4069-9abd-b0d6ffcc54b5"/>
    <ds:schemaRef ds:uri="aa30ebff-5104-4209-ae81-cc89295db4a5"/>
  </ds:schemaRefs>
</ds:datastoreItem>
</file>

<file path=customXml/itemProps2.xml><?xml version="1.0" encoding="utf-8"?>
<ds:datastoreItem xmlns:ds="http://schemas.openxmlformats.org/officeDocument/2006/customXml" ds:itemID="{CF6E8D6B-BC92-4085-93E6-77080D3B3079}">
  <ds:schemaRefs>
    <ds:schemaRef ds:uri="http://schemas.microsoft.com/sharepoint/events"/>
  </ds:schemaRefs>
</ds:datastoreItem>
</file>

<file path=customXml/itemProps3.xml><?xml version="1.0" encoding="utf-8"?>
<ds:datastoreItem xmlns:ds="http://schemas.openxmlformats.org/officeDocument/2006/customXml" ds:itemID="{7D118167-070C-4F73-8A64-4B954DFE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2faf-b26c-4069-9abd-b0d6ffcc54b5"/>
    <ds:schemaRef ds:uri="aa30ebff-5104-4209-ae81-cc89295db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D209F-7195-4D4B-ADD2-690C1183A176}">
  <ds:schemaRefs>
    <ds:schemaRef ds:uri="http://schemas.microsoft.com/sharepoint/v3/contenttype/forms"/>
  </ds:schemaRefs>
</ds:datastoreItem>
</file>

<file path=customXml/itemProps5.xml><?xml version="1.0" encoding="utf-8"?>
<ds:datastoreItem xmlns:ds="http://schemas.openxmlformats.org/officeDocument/2006/customXml" ds:itemID="{D9DC5376-25DC-4CDF-A1FF-F6896574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Doc_RC_SCRC_template_ENG</Template>
  <TotalTime>1</TotalTime>
  <Pages>10</Pages>
  <Words>5950</Words>
  <Characters>33917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EUR/SC25(4)/12: Action plan to improve public health preparedness and response in the WHO European Region, 2018–2023</vt:lpstr>
    </vt:vector>
  </TitlesOfParts>
  <Company>World Health Organization</Company>
  <LinksUpToDate>false</LinksUpToDate>
  <CharactersWithSpaces>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EUR/SC25(4)/12: Action plan to improve public health preparedness and response in the WHO European Region, 2018–2023</dc:title>
  <dc:creator>WHO Regional Office for Europe</dc:creator>
  <cp:lastModifiedBy>Maia Nikoleishvili</cp:lastModifiedBy>
  <cp:revision>2</cp:revision>
  <cp:lastPrinted>2018-04-30T16:09:00Z</cp:lastPrinted>
  <dcterms:created xsi:type="dcterms:W3CDTF">2018-06-12T10:18:00Z</dcterms:created>
  <dcterms:modified xsi:type="dcterms:W3CDTF">2018-06-12T10:18:00Z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0x0101007B091BE20396AB48A623F4FC5D4C71CF</vt:lpwstr>
  </property>
  <property fmtid="{D5CDD505-2E9C-101B-9397-08002B2CF9AE}" pid="3" name="_dlc_DocIdItemGuid">
    <vt:lpwstr>23090554-10a1-4fc1-9ffc-6a1dd835bf6c</vt:lpwstr>
  </property>
  <property fmtid="{D5CDD505-2E9C-101B-9397-08002B2CF9AE}" pid="6" name="_NewReviewCycle">
    <vt:lpwstr/>
  </property>
</Properties>
</file>