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DA" w:rsidRPr="007769DA" w:rsidRDefault="007769DA" w:rsidP="00762555">
      <w:pPr>
        <w:spacing w:after="120"/>
        <w:jc w:val="both"/>
        <w:rPr>
          <w:rFonts w:cs="Sylfaen"/>
          <w:b/>
          <w:color w:val="1F4E79" w:themeColor="accent1" w:themeShade="80"/>
          <w:sz w:val="20"/>
        </w:rPr>
      </w:pPr>
      <w:r w:rsidRPr="007769DA">
        <w:rPr>
          <w:rFonts w:cs="Sylfaen"/>
          <w:b/>
          <w:color w:val="1F4E79" w:themeColor="accent1" w:themeShade="80"/>
          <w:sz w:val="20"/>
        </w:rPr>
        <w:t>ინფორმაცია თამბაქოს კონტროლის ღონისძიებების გაძლიერების შესახებ</w:t>
      </w:r>
    </w:p>
    <w:p w:rsidR="00511D6B" w:rsidRPr="0046454B" w:rsidRDefault="009B1E96" w:rsidP="00762555">
      <w:pPr>
        <w:spacing w:after="120"/>
        <w:jc w:val="both"/>
        <w:rPr>
          <w:rFonts w:ascii="AcadNusx" w:hAnsi="AcadNusx" w:cs="Segoe UI"/>
          <w:bCs/>
          <w:color w:val="1F4E79" w:themeColor="accent1" w:themeShade="80"/>
          <w:sz w:val="20"/>
        </w:rPr>
      </w:pPr>
      <w:r w:rsidRPr="0046454B">
        <w:rPr>
          <w:rFonts w:cs="Sylfaen"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მომხარება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საზოგადოებრივი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ჯანმრთელობის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ერთ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>-</w:t>
      </w:r>
      <w:r w:rsidRPr="0046454B">
        <w:rPr>
          <w:rFonts w:cs="Sylfaen"/>
          <w:color w:val="1F4E79" w:themeColor="accent1" w:themeShade="80"/>
          <w:sz w:val="20"/>
        </w:rPr>
        <w:t>ერთი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ყველაზე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მნიშვნელოვანი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color w:val="1F4E79" w:themeColor="accent1" w:themeShade="80"/>
          <w:sz w:val="20"/>
        </w:rPr>
        <w:t>ამავდროულად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color w:val="1F4E79" w:themeColor="accent1" w:themeShade="80"/>
          <w:sz w:val="20"/>
        </w:rPr>
        <w:t>პრევენტირებადი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პრობლემაა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. </w:t>
      </w:r>
      <w:r w:rsidRPr="0046454B">
        <w:rPr>
          <w:rFonts w:cs="Sylfaen"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გლობალური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ეპიდემია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ყოველწლიურად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დაახლოებით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7 </w:t>
      </w:r>
      <w:r w:rsidRPr="0046454B">
        <w:rPr>
          <w:rFonts w:cs="Sylfaen"/>
          <w:color w:val="1F4E79" w:themeColor="accent1" w:themeShade="80"/>
          <w:sz w:val="20"/>
        </w:rPr>
        <w:t>მილიონ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ადამიანს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კლავს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მათ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შორის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6 </w:t>
      </w:r>
      <w:r w:rsidRPr="0046454B">
        <w:rPr>
          <w:rFonts w:cs="Sylfaen"/>
          <w:bCs/>
          <w:color w:val="1F4E79" w:themeColor="accent1" w:themeShade="80"/>
          <w:sz w:val="20"/>
        </w:rPr>
        <w:t>მილიონი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მწეველია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ხოლო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დაახლოებით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1 </w:t>
      </w:r>
      <w:r w:rsidRPr="0046454B">
        <w:rPr>
          <w:rFonts w:cs="Sylfaen"/>
          <w:bCs/>
          <w:color w:val="1F4E79" w:themeColor="accent1" w:themeShade="80"/>
          <w:sz w:val="20"/>
        </w:rPr>
        <w:t>მილიონი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პასიური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მწეველი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. </w:t>
      </w:r>
      <w:r w:rsidRPr="0046454B">
        <w:rPr>
          <w:rFonts w:cs="Sylfaen"/>
          <w:bCs/>
          <w:color w:val="1F4E79" w:themeColor="accent1" w:themeShade="80"/>
          <w:sz w:val="20"/>
        </w:rPr>
        <w:t>თუ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მსოფლიოში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უკავშირდება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სიკვდილის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შემთხვევების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დაახლოებით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10%; </w:t>
      </w:r>
      <w:r w:rsidRPr="0046454B">
        <w:rPr>
          <w:rFonts w:cs="Sylfaen"/>
          <w:bCs/>
          <w:color w:val="1F4E79" w:themeColor="accent1" w:themeShade="80"/>
          <w:sz w:val="20"/>
        </w:rPr>
        <w:t>საქართველოში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ეს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მაჩვენებელი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22%-</w:t>
      </w:r>
      <w:r w:rsidRPr="0046454B">
        <w:rPr>
          <w:rFonts w:cs="Sylfaen"/>
          <w:bCs/>
          <w:color w:val="1F4E79" w:themeColor="accent1" w:themeShade="80"/>
          <w:sz w:val="20"/>
        </w:rPr>
        <w:t>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აღწევს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.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მოხმარება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გულ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>-</w:t>
      </w:r>
      <w:r w:rsidRPr="0046454B">
        <w:rPr>
          <w:rFonts w:cs="Sylfaen"/>
          <w:bCs/>
          <w:color w:val="1F4E79" w:themeColor="accent1" w:themeShade="80"/>
          <w:sz w:val="20"/>
        </w:rPr>
        <w:t>სისხლძარღვთა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დაავადებების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კიბოს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ფილტვის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ქრონიკული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დაავადებებისა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დიაბეტი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ტიპი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2-</w:t>
      </w:r>
      <w:r w:rsidRPr="0046454B">
        <w:rPr>
          <w:rFonts w:cs="Sylfaen"/>
          <w:bCs/>
          <w:color w:val="1F4E79" w:themeColor="accent1" w:themeShade="80"/>
          <w:sz w:val="20"/>
        </w:rPr>
        <w:t>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მნიშვნელოვანი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რისკ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>-</w:t>
      </w:r>
      <w:r w:rsidRPr="0046454B">
        <w:rPr>
          <w:rFonts w:cs="Sylfaen"/>
          <w:bCs/>
          <w:color w:val="1F4E79" w:themeColor="accent1" w:themeShade="80"/>
          <w:sz w:val="20"/>
        </w:rPr>
        <w:t>ფაქტორია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>.</w:t>
      </w:r>
    </w:p>
    <w:p w:rsidR="00511D6B" w:rsidRPr="0046454B" w:rsidRDefault="00511D6B" w:rsidP="00762555">
      <w:pPr>
        <w:spacing w:after="120"/>
        <w:jc w:val="both"/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</w:pP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თამბაქოს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კვამლი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შეიცავს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7000-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ზე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მეტ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ქიმიურ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ინგრედიენტს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რომელთა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შორის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ასობით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ტოქსიურია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;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მასში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ასევე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შედის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69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კარცინოგენური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ნივთიერება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. </w:t>
      </w:r>
      <w:r w:rsidRPr="0046454B">
        <w:rPr>
          <w:rFonts w:cs="Sylfaen"/>
          <w:color w:val="1F4E79" w:themeColor="accent1" w:themeShade="80"/>
          <w:sz w:val="20"/>
          <w:szCs w:val="24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მეორადი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კვამლი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შეიცავს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4000-</w:t>
      </w:r>
      <w:r w:rsidRPr="0046454B">
        <w:rPr>
          <w:rFonts w:cs="Sylfaen"/>
          <w:color w:val="1F4E79" w:themeColor="accent1" w:themeShade="80"/>
          <w:sz w:val="20"/>
          <w:szCs w:val="24"/>
        </w:rPr>
        <w:t>ზე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მეტ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ქიმიურ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ნივთიერებას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>,</w:t>
      </w:r>
      <w:r w:rsidR="00B242E9">
        <w:rPr>
          <w:rFonts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მათგან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50 </w:t>
      </w:r>
      <w:r w:rsidRPr="0046454B">
        <w:rPr>
          <w:rFonts w:cs="Sylfaen"/>
          <w:color w:val="1F4E79" w:themeColor="accent1" w:themeShade="80"/>
          <w:sz w:val="20"/>
          <w:szCs w:val="24"/>
        </w:rPr>
        <w:t>კიბოს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გამომწვევი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. </w:t>
      </w:r>
      <w:r w:rsidRPr="0046454B">
        <w:rPr>
          <w:rFonts w:cs="Sylfaen"/>
          <w:color w:val="1F4E79" w:themeColor="accent1" w:themeShade="80"/>
          <w:sz w:val="20"/>
          <w:szCs w:val="24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კვამლში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არის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იგივე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ნივთიერებები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cs="Sylfaen"/>
          <w:color w:val="1F4E79" w:themeColor="accent1" w:themeShade="80"/>
          <w:sz w:val="20"/>
          <w:szCs w:val="24"/>
        </w:rPr>
        <w:t>რაც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არის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სადეზინფექციო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ხსნარებსა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და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ფხვნილებში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cs="Sylfaen"/>
          <w:color w:val="1F4E79" w:themeColor="accent1" w:themeShade="80"/>
          <w:sz w:val="20"/>
          <w:szCs w:val="24"/>
        </w:rPr>
        <w:t>ფანჯრის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საწმენდ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სითხეებში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cs="Sylfaen"/>
          <w:color w:val="1F4E79" w:themeColor="accent1" w:themeShade="80"/>
          <w:sz w:val="20"/>
          <w:szCs w:val="24"/>
        </w:rPr>
        <w:t>გაზის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ბალონებში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cs="Sylfaen"/>
          <w:color w:val="1F4E79" w:themeColor="accent1" w:themeShade="80"/>
          <w:sz w:val="20"/>
          <w:szCs w:val="24"/>
        </w:rPr>
        <w:t>ბენზინში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cs="Sylfaen"/>
          <w:color w:val="1F4E79" w:themeColor="accent1" w:themeShade="80"/>
          <w:sz w:val="20"/>
          <w:szCs w:val="24"/>
        </w:rPr>
        <w:t>ლაქის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გამხსნელებში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და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ა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>.</w:t>
      </w:r>
      <w:r w:rsidRPr="0046454B">
        <w:rPr>
          <w:rFonts w:cs="Sylfaen"/>
          <w:color w:val="1F4E79" w:themeColor="accent1" w:themeShade="80"/>
          <w:sz w:val="20"/>
          <w:szCs w:val="24"/>
        </w:rPr>
        <w:t>შ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. </w:t>
      </w:r>
      <w:r w:rsidRPr="0046454B">
        <w:rPr>
          <w:rFonts w:cs="Sylfaen"/>
          <w:color w:val="1F4E79" w:themeColor="accent1" w:themeShade="80"/>
          <w:sz w:val="20"/>
          <w:szCs w:val="24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ერთ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>-</w:t>
      </w:r>
      <w:r w:rsidRPr="0046454B">
        <w:rPr>
          <w:rFonts w:cs="Sylfaen"/>
          <w:color w:val="1F4E79" w:themeColor="accent1" w:themeShade="80"/>
          <w:sz w:val="20"/>
          <w:szCs w:val="24"/>
        </w:rPr>
        <w:t>ერთ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შემადგენელ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ნაწილს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- </w:t>
      </w:r>
      <w:r w:rsidRPr="0046454B">
        <w:rPr>
          <w:rFonts w:cs="Sylfaen"/>
          <w:color w:val="1F4E79" w:themeColor="accent1" w:themeShade="80"/>
          <w:sz w:val="20"/>
          <w:szCs w:val="24"/>
        </w:rPr>
        <w:t>ნიკოტინს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ადამიანი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ისევე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ეჩვევა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, </w:t>
      </w:r>
      <w:r w:rsidRPr="0046454B">
        <w:rPr>
          <w:rFonts w:cs="Sylfaen"/>
          <w:color w:val="1F4E79" w:themeColor="accent1" w:themeShade="80"/>
          <w:sz w:val="20"/>
          <w:szCs w:val="24"/>
        </w:rPr>
        <w:t>როგორც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კოკაინს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ან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cs="Sylfaen"/>
          <w:color w:val="1F4E79" w:themeColor="accent1" w:themeShade="80"/>
          <w:sz w:val="20"/>
          <w:szCs w:val="24"/>
        </w:rPr>
        <w:t>ჰეროინს</w:t>
      </w:r>
      <w:r w:rsidRPr="0046454B">
        <w:rPr>
          <w:rFonts w:ascii="AcadNusx" w:hAnsi="AcadNusx" w:cs="Segoe UI"/>
          <w:color w:val="1F4E79" w:themeColor="accent1" w:themeShade="80"/>
          <w:sz w:val="20"/>
          <w:szCs w:val="24"/>
        </w:rPr>
        <w:t xml:space="preserve">. 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10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ან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ნაკლები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სიგარეტის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ღერის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მოწევა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დღეში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ამცირებს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სიცოცხლის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ხანგრძლივობას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საშუალოდ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5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წლით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და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ზრდის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ფილტვის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კიბოს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განვითარების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რისკს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 20-</w:t>
      </w:r>
      <w:r w:rsidRPr="0046454B">
        <w:rPr>
          <w:rFonts w:eastAsia="Times New Roman" w:cs="Sylfaen"/>
          <w:color w:val="1F4E79" w:themeColor="accent1" w:themeShade="80"/>
          <w:sz w:val="20"/>
          <w:szCs w:val="24"/>
        </w:rPr>
        <w:t>ჯერ</w:t>
      </w:r>
      <w:r w:rsidRPr="0046454B">
        <w:rPr>
          <w:rFonts w:ascii="AcadNusx" w:eastAsia="Times New Roman" w:hAnsi="AcadNusx" w:cs="Segoe UI"/>
          <w:color w:val="1F4E79" w:themeColor="accent1" w:themeShade="80"/>
          <w:sz w:val="20"/>
          <w:szCs w:val="24"/>
        </w:rPr>
        <w:t xml:space="preserve">. </w:t>
      </w:r>
    </w:p>
    <w:p w:rsidR="009B1E96" w:rsidRPr="0046454B" w:rsidRDefault="009B1E96" w:rsidP="00762555">
      <w:pPr>
        <w:spacing w:after="120"/>
        <w:jc w:val="both"/>
        <w:rPr>
          <w:rFonts w:ascii="AcadNusx" w:hAnsi="AcadNusx" w:cs="Segoe UI"/>
          <w:bCs/>
          <w:color w:val="1F4E79" w:themeColor="accent1" w:themeShade="80"/>
          <w:sz w:val="20"/>
        </w:rPr>
      </w:pPr>
      <w:r w:rsidRPr="0046454B">
        <w:rPr>
          <w:rFonts w:cs="Sylfaen"/>
          <w:color w:val="1F4E79" w:themeColor="accent1" w:themeShade="80"/>
          <w:sz w:val="20"/>
        </w:rPr>
        <w:t>გარდა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ამისა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ეკონომიკური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ზარალის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გათვლები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აჩვენებს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color w:val="1F4E79" w:themeColor="accent1" w:themeShade="80"/>
          <w:sz w:val="20"/>
        </w:rPr>
        <w:t>რომ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საქართველოში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პირდაპირი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არაპირდაპირი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დანახარჯები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>824.9</w:t>
      </w:r>
      <w:r w:rsidRPr="0046454B">
        <w:rPr>
          <w:rFonts w:ascii="AcadNusx" w:hAnsi="AcadNusx" w:cs="Segoe UI"/>
          <w:i/>
          <w:i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მილიონი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ლარია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რაც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წლიური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მშპ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>-</w:t>
      </w:r>
      <w:r w:rsidRPr="0046454B">
        <w:rPr>
          <w:rFonts w:cs="Sylfaen"/>
          <w:bCs/>
          <w:color w:val="1F4E79" w:themeColor="accent1" w:themeShade="80"/>
          <w:sz w:val="20"/>
        </w:rPr>
        <w:t>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2.43%-</w:t>
      </w:r>
      <w:r w:rsidRPr="0046454B">
        <w:rPr>
          <w:rFonts w:cs="Sylfaen"/>
          <w:bCs/>
          <w:color w:val="1F4E79" w:themeColor="accent1" w:themeShade="80"/>
          <w:sz w:val="20"/>
        </w:rPr>
        <w:t>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შეადგენს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.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კონტროლის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ოთხი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(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ნაწარმის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დაბეგვრა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საჯარო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სივრცეში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მოწევის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სრულად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აკრძალვა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ნაწარმის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რეკლამირება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პოპულარიზაცია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სპონსორობა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პროდუქტის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შეფუთვა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მარკირება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) </w:t>
      </w:r>
      <w:r w:rsidRPr="0046454B">
        <w:rPr>
          <w:rFonts w:cs="Sylfaen"/>
          <w:bCs/>
          <w:color w:val="1F4E79" w:themeColor="accent1" w:themeShade="80"/>
          <w:sz w:val="20"/>
        </w:rPr>
        <w:t>პრიორიტეტული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მუხლის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აღსრულების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შემთხვევაში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15 </w:t>
      </w:r>
      <w:r w:rsidRPr="0046454B">
        <w:rPr>
          <w:rFonts w:cs="Sylfaen"/>
          <w:bCs/>
          <w:color w:val="1F4E79" w:themeColor="accent1" w:themeShade="80"/>
          <w:sz w:val="20"/>
        </w:rPr>
        <w:t>წლის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განმავლობაში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ქვეყანა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თავიდან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აიცილებს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53 100 </w:t>
      </w:r>
      <w:r w:rsidR="00511D6B" w:rsidRPr="0046454B">
        <w:rPr>
          <w:rFonts w:cs="Sylfaen"/>
          <w:bCs/>
          <w:color w:val="1F4E79" w:themeColor="accent1" w:themeShade="80"/>
          <w:sz w:val="20"/>
        </w:rPr>
        <w:t>ადამიანის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გარდაცვალებას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რაც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თამბაქოსთან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ასოცირებულ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მთლიან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ეკონომიკურ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ხარჯებს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3.6 </w:t>
      </w:r>
      <w:r w:rsidRPr="0046454B">
        <w:rPr>
          <w:rFonts w:cs="Sylfaen"/>
          <w:bCs/>
          <w:color w:val="1F4E79" w:themeColor="accent1" w:themeShade="80"/>
          <w:sz w:val="20"/>
        </w:rPr>
        <w:t>მილიარდი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ლარით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შეამცირებს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; </w:t>
      </w:r>
      <w:r w:rsidRPr="0046454B">
        <w:rPr>
          <w:rFonts w:cs="Sylfaen"/>
          <w:bCs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კონტროლში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ჩადებული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ყოველი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1 </w:t>
      </w:r>
      <w:r w:rsidRPr="0046454B">
        <w:rPr>
          <w:rFonts w:cs="Sylfaen"/>
          <w:bCs/>
          <w:color w:val="1F4E79" w:themeColor="accent1" w:themeShade="80"/>
          <w:sz w:val="20"/>
        </w:rPr>
        <w:t>ლარით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უკუ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>-</w:t>
      </w:r>
      <w:r w:rsidRPr="0046454B">
        <w:rPr>
          <w:rFonts w:cs="Sylfaen"/>
          <w:bCs/>
          <w:color w:val="1F4E79" w:themeColor="accent1" w:themeShade="80"/>
          <w:sz w:val="20"/>
        </w:rPr>
        <w:t>ინვესტიციის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სახით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ქვეყანა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მიიღებს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161 </w:t>
      </w:r>
      <w:r w:rsidRPr="0046454B">
        <w:rPr>
          <w:rFonts w:cs="Sylfaen"/>
          <w:bCs/>
          <w:color w:val="1F4E79" w:themeColor="accent1" w:themeShade="80"/>
          <w:sz w:val="20"/>
        </w:rPr>
        <w:t>ლარს</w:t>
      </w:r>
      <w:r w:rsidRPr="0046454B">
        <w:rPr>
          <w:rFonts w:ascii="AcadNusx" w:hAnsi="AcadNusx" w:cs="Segoe UI"/>
          <w:b/>
          <w:bCs/>
          <w:color w:val="1F4E79" w:themeColor="accent1" w:themeShade="80"/>
          <w:sz w:val="20"/>
        </w:rPr>
        <w:t xml:space="preserve"> 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5 </w:t>
      </w:r>
      <w:r w:rsidRPr="0046454B">
        <w:rPr>
          <w:rFonts w:cs="Sylfaen"/>
          <w:bCs/>
          <w:color w:val="1F4E79" w:themeColor="accent1" w:themeShade="80"/>
          <w:sz w:val="20"/>
        </w:rPr>
        <w:t>წლის</w:t>
      </w:r>
      <w:r w:rsidRPr="0046454B">
        <w:rPr>
          <w:rFonts w:ascii="AcadNusx" w:hAnsi="AcadNusx" w:cs="Segoe UI"/>
          <w:b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b/>
          <w:bCs/>
          <w:color w:val="1F4E79" w:themeColor="accent1" w:themeShade="80"/>
          <w:sz w:val="20"/>
        </w:rPr>
        <w:t xml:space="preserve"> 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357 </w:t>
      </w:r>
      <w:r w:rsidRPr="0046454B">
        <w:rPr>
          <w:rFonts w:cs="Sylfaen"/>
          <w:bCs/>
          <w:color w:val="1F4E79" w:themeColor="accent1" w:themeShade="80"/>
          <w:sz w:val="20"/>
        </w:rPr>
        <w:t>ლარს</w:t>
      </w:r>
      <w:r w:rsidRPr="0046454B">
        <w:rPr>
          <w:rFonts w:ascii="AcadNusx" w:hAnsi="AcadNusx" w:cs="Segoe UI"/>
          <w:b/>
          <w:bCs/>
          <w:color w:val="1F4E79" w:themeColor="accent1" w:themeShade="80"/>
          <w:sz w:val="20"/>
        </w:rPr>
        <w:t xml:space="preserve"> 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15 </w:t>
      </w:r>
      <w:r w:rsidRPr="0046454B">
        <w:rPr>
          <w:rFonts w:cs="Sylfaen"/>
          <w:bCs/>
          <w:color w:val="1F4E79" w:themeColor="accent1" w:themeShade="80"/>
          <w:sz w:val="20"/>
        </w:rPr>
        <w:t>წლის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განმავლობაში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. </w:t>
      </w:r>
    </w:p>
    <w:p w:rsidR="00762555" w:rsidRPr="0046454B" w:rsidRDefault="009B1E96" w:rsidP="00762555">
      <w:pPr>
        <w:spacing w:after="120"/>
        <w:jc w:val="both"/>
        <w:rPr>
          <w:rFonts w:ascii="AcadNusx" w:hAnsi="AcadNusx" w:cs="Segoe UI"/>
          <w:color w:val="1F4E79" w:themeColor="accent1" w:themeShade="80"/>
          <w:sz w:val="20"/>
          <w:szCs w:val="20"/>
        </w:rPr>
      </w:pP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2017 </w:t>
      </w:r>
      <w:r w:rsidRPr="0046454B">
        <w:rPr>
          <w:rFonts w:cs="Sylfaen"/>
          <w:color w:val="1F4E79" w:themeColor="accent1" w:themeShade="80"/>
          <w:sz w:val="20"/>
        </w:rPr>
        <w:t>წელს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პარლამენტმა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მიიღო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ახალი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თაობის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კონტროლის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საკანონმდებლო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ცვლილებათა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პაკეტი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(</w:t>
      </w:r>
      <w:r w:rsidRPr="0046454B">
        <w:rPr>
          <w:rFonts w:cs="Sylfaen"/>
          <w:color w:val="1F4E79" w:themeColor="accent1" w:themeShade="80"/>
          <w:sz w:val="20"/>
        </w:rPr>
        <w:t>კანონები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კონტროლის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შესახებ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color w:val="1F4E79" w:themeColor="accent1" w:themeShade="80"/>
          <w:sz w:val="20"/>
        </w:rPr>
        <w:t>რეკლა</w:t>
      </w:r>
      <w:bookmarkStart w:id="0" w:name="_GoBack"/>
      <w:bookmarkEnd w:id="0"/>
      <w:r w:rsidRPr="0046454B">
        <w:rPr>
          <w:rFonts w:cs="Sylfaen"/>
          <w:color w:val="1F4E79" w:themeColor="accent1" w:themeShade="80"/>
          <w:sz w:val="20"/>
        </w:rPr>
        <w:t>მის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შესახებ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color w:val="1F4E79" w:themeColor="accent1" w:themeShade="80"/>
          <w:sz w:val="20"/>
        </w:rPr>
        <w:t>მაუწყებლობის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შესახებ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>,</w:t>
      </w:r>
      <w:r w:rsidRPr="0046454B">
        <w:rPr>
          <w:rFonts w:ascii="AcadNusx" w:eastAsia="Arial" w:hAnsi="AcadNusx" w:cs="Segoe UI"/>
          <w:noProof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ლატარიების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, </w:t>
      </w:r>
      <w:r w:rsidRPr="0046454B">
        <w:rPr>
          <w:rFonts w:cs="Sylfaen"/>
          <w:bCs/>
          <w:color w:val="1F4E79" w:themeColor="accent1" w:themeShade="80"/>
          <w:sz w:val="20"/>
        </w:rPr>
        <w:t>აზარტული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მომგებიანი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თამაშობების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მოწყობის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bCs/>
          <w:color w:val="1F4E79" w:themeColor="accent1" w:themeShade="80"/>
          <w:sz w:val="20"/>
        </w:rPr>
        <w:t>შესახებ</w:t>
      </w:r>
      <w:r w:rsidRPr="0046454B">
        <w:rPr>
          <w:rFonts w:ascii="AcadNusx" w:hAnsi="AcadNusx" w:cs="Segoe UI"/>
          <w:bCs/>
          <w:color w:val="1F4E79" w:themeColor="accent1" w:themeShade="80"/>
          <w:sz w:val="20"/>
        </w:rPr>
        <w:t xml:space="preserve">; </w:t>
      </w:r>
      <w:r w:rsidRPr="0046454B">
        <w:rPr>
          <w:rFonts w:cs="Sylfaen"/>
          <w:color w:val="1F4E79" w:themeColor="accent1" w:themeShade="80"/>
          <w:sz w:val="20"/>
        </w:rPr>
        <w:t>ადმინისტრაცულ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სამართალდარღვევათა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კოდექსი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), </w:t>
      </w:r>
      <w:r w:rsidRPr="0046454B">
        <w:rPr>
          <w:rFonts w:cs="Sylfaen"/>
          <w:color w:val="1F4E79" w:themeColor="accent1" w:themeShade="80"/>
          <w:sz w:val="20"/>
        </w:rPr>
        <w:t>რითიც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საქართველო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ხდება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რეგიონში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მოწინავე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ქვეყანა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თამბაქოს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ეპიდემიასთან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მისი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მოხმარებით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გამოწვეულ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ავადობასა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და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სიკვდილიანობასთან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ბრძოლის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 </w:t>
      </w:r>
      <w:r w:rsidRPr="0046454B">
        <w:rPr>
          <w:rFonts w:cs="Sylfaen"/>
          <w:color w:val="1F4E79" w:themeColor="accent1" w:themeShade="80"/>
          <w:sz w:val="20"/>
        </w:rPr>
        <w:t>კუთხით</w:t>
      </w:r>
      <w:r w:rsidRPr="0046454B">
        <w:rPr>
          <w:rFonts w:ascii="AcadNusx" w:hAnsi="AcadNusx" w:cs="Segoe UI"/>
          <w:color w:val="1F4E79" w:themeColor="accent1" w:themeShade="80"/>
          <w:sz w:val="20"/>
        </w:rPr>
        <w:t xml:space="preserve">.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კანონში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განხორციელებული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ცვლილებების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მიზანია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ეფექტურად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დაიცვას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არამწეველები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,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განსაკუთრებით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ბავშვები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,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თამბაქოს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მეორადი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კვამლის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 xml:space="preserve"> </w:t>
      </w:r>
      <w:r w:rsidR="00762555" w:rsidRPr="0046454B">
        <w:rPr>
          <w:rFonts w:cs="Sylfaen"/>
          <w:color w:val="1F4E79" w:themeColor="accent1" w:themeShade="80"/>
          <w:sz w:val="20"/>
          <w:szCs w:val="20"/>
        </w:rPr>
        <w:t>ზემოქმედებისაგან</w:t>
      </w:r>
      <w:r w:rsidR="00762555" w:rsidRPr="0046454B">
        <w:rPr>
          <w:rFonts w:ascii="AcadNusx" w:hAnsi="AcadNusx" w:cs="Segoe UI"/>
          <w:color w:val="1F4E79" w:themeColor="accent1" w:themeShade="80"/>
          <w:sz w:val="20"/>
          <w:szCs w:val="20"/>
        </w:rPr>
        <w:t>.</w:t>
      </w:r>
    </w:p>
    <w:p w:rsidR="00F04A93" w:rsidRPr="0024704F" w:rsidRDefault="00F04A93" w:rsidP="00F04A93">
      <w:pPr>
        <w:spacing w:after="120"/>
        <w:jc w:val="both"/>
        <w:rPr>
          <w:rFonts w:cs="Segoe UI"/>
          <w:bCs/>
          <w:color w:val="1F4E79" w:themeColor="accent1" w:themeShade="80"/>
          <w:sz w:val="20"/>
        </w:rPr>
      </w:pPr>
      <w:r w:rsidRPr="0024704F">
        <w:rPr>
          <w:rFonts w:cs="Segoe UI"/>
          <w:color w:val="1F4E79" w:themeColor="accent1" w:themeShade="80"/>
          <w:sz w:val="20"/>
        </w:rPr>
        <w:t xml:space="preserve">ძირითადი ცვლილებები ეხება </w:t>
      </w:r>
      <w:r w:rsidRPr="0024704F">
        <w:rPr>
          <w:rFonts w:cs="Segoe UI"/>
          <w:bCs/>
          <w:color w:val="1F4E79" w:themeColor="accent1" w:themeShade="80"/>
          <w:sz w:val="20"/>
        </w:rPr>
        <w:t>თამბაქოს მწარმოებელთა ინტერესების გამორიცხვას და თამბაქოს მწარმოებელთა და საზოგადოებრივი ორგანიზაციების/პირების ურთიერთობის გამჭვირვალობას ჯანდაცვის სფეროში გადაწყვეტილების მომზადების, მიღების და დამკვიდრების პროცესში; საზოგადოებრივი თავშეყრის ადგილების თამბაქოს კვამლისგან განთავისუფლებასა და თამბაქოს ნაწარმის ყველა სახის რეკლამის, პოპულარიზაციისა და სპონსორობის აკრძალვას 2018 წლის 1 მაისიდან; თამბაქოს ნაწარმისა და მისი აქსესუარების განთავსების აკრძალვას მაღაზიების გარე ვიტრინებსა და ფანჯრებზე 2018 წლის 1 სექტემბრიდან და ა.შ.</w:t>
      </w:r>
    </w:p>
    <w:p w:rsidR="007769DA" w:rsidRDefault="007769DA" w:rsidP="00762555">
      <w:pPr>
        <w:spacing w:after="120"/>
        <w:jc w:val="both"/>
        <w:rPr>
          <w:rFonts w:cs="Segoe UI"/>
          <w:bCs/>
          <w:color w:val="1F4E79" w:themeColor="accent1" w:themeShade="80"/>
          <w:sz w:val="20"/>
        </w:rPr>
      </w:pPr>
    </w:p>
    <w:p w:rsidR="00762555" w:rsidRPr="00B242E9" w:rsidRDefault="00762555" w:rsidP="00762555">
      <w:pPr>
        <w:rPr>
          <w:rFonts w:ascii="AcadNusx" w:hAnsi="AcadNusx" w:cs="Segoe UI"/>
          <w:b/>
          <w:color w:val="1F4E79" w:themeColor="accent1" w:themeShade="80"/>
          <w:sz w:val="20"/>
          <w:szCs w:val="20"/>
        </w:rPr>
      </w:pPr>
      <w:r w:rsidRPr="00B242E9">
        <w:rPr>
          <w:rFonts w:cs="Sylfaen"/>
          <w:b/>
          <w:color w:val="1F4E79" w:themeColor="accent1" w:themeShade="80"/>
          <w:sz w:val="20"/>
          <w:szCs w:val="20"/>
        </w:rPr>
        <w:t>დავიცვათ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 xml:space="preserve"> </w:t>
      </w:r>
      <w:r w:rsidRPr="00B242E9">
        <w:rPr>
          <w:rFonts w:cs="Sylfaen"/>
          <w:b/>
          <w:color w:val="1F4E79" w:themeColor="accent1" w:themeShade="80"/>
          <w:sz w:val="20"/>
          <w:szCs w:val="20"/>
        </w:rPr>
        <w:t>კანონი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>!</w:t>
      </w:r>
    </w:p>
    <w:p w:rsidR="00762555" w:rsidRPr="00B242E9" w:rsidRDefault="00762555" w:rsidP="00762555">
      <w:pPr>
        <w:rPr>
          <w:rFonts w:ascii="AcadNusx" w:hAnsi="AcadNusx" w:cs="Segoe UI"/>
          <w:b/>
          <w:color w:val="1F4E79" w:themeColor="accent1" w:themeShade="80"/>
          <w:sz w:val="20"/>
          <w:szCs w:val="20"/>
        </w:rPr>
      </w:pPr>
      <w:r w:rsidRPr="00B242E9">
        <w:rPr>
          <w:rFonts w:cs="Sylfaen"/>
          <w:b/>
          <w:color w:val="1F4E79" w:themeColor="accent1" w:themeShade="80"/>
          <w:sz w:val="20"/>
          <w:szCs w:val="20"/>
        </w:rPr>
        <w:t>გავუფრთხილდეთ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 xml:space="preserve"> </w:t>
      </w:r>
      <w:r w:rsidRPr="00B242E9">
        <w:rPr>
          <w:rFonts w:cs="Sylfaen"/>
          <w:b/>
          <w:color w:val="1F4E79" w:themeColor="accent1" w:themeShade="80"/>
          <w:sz w:val="20"/>
          <w:szCs w:val="20"/>
        </w:rPr>
        <w:t>ერთმანეთს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>!</w:t>
      </w:r>
    </w:p>
    <w:p w:rsidR="00341BEA" w:rsidRPr="00B242E9" w:rsidRDefault="00D72A81" w:rsidP="00762555">
      <w:pPr>
        <w:spacing w:after="120"/>
        <w:rPr>
          <w:rFonts w:ascii="AcadNusx" w:hAnsi="AcadNusx" w:cs="Segoe UI"/>
          <w:b/>
          <w:color w:val="1F4E79" w:themeColor="accent1" w:themeShade="80"/>
          <w:sz w:val="20"/>
          <w:szCs w:val="20"/>
        </w:rPr>
      </w:pPr>
      <w:r w:rsidRPr="00B242E9">
        <w:rPr>
          <w:rFonts w:cs="Sylfaen"/>
          <w:b/>
          <w:color w:val="1F4E79" w:themeColor="accent1" w:themeShade="80"/>
          <w:sz w:val="20"/>
          <w:szCs w:val="20"/>
        </w:rPr>
        <w:t>გავთავისუფლდეთ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 xml:space="preserve"> </w:t>
      </w:r>
      <w:r w:rsidRPr="00B242E9">
        <w:rPr>
          <w:rFonts w:cs="Sylfaen"/>
          <w:b/>
          <w:color w:val="1F4E79" w:themeColor="accent1" w:themeShade="80"/>
          <w:sz w:val="20"/>
          <w:szCs w:val="20"/>
        </w:rPr>
        <w:t>თამბაქოსაგან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 xml:space="preserve"> 1 </w:t>
      </w:r>
      <w:r w:rsidRPr="00B242E9">
        <w:rPr>
          <w:rFonts w:cs="Sylfaen"/>
          <w:b/>
          <w:color w:val="1F4E79" w:themeColor="accent1" w:themeShade="80"/>
          <w:sz w:val="20"/>
          <w:szCs w:val="20"/>
        </w:rPr>
        <w:t>მაისიდან</w:t>
      </w:r>
      <w:r w:rsidRPr="00B242E9">
        <w:rPr>
          <w:rFonts w:ascii="AcadNusx" w:hAnsi="AcadNusx" w:cs="Segoe UI"/>
          <w:b/>
          <w:color w:val="1F4E79" w:themeColor="accent1" w:themeShade="80"/>
          <w:sz w:val="20"/>
          <w:szCs w:val="20"/>
        </w:rPr>
        <w:t>!</w:t>
      </w:r>
    </w:p>
    <w:p w:rsidR="0046454B" w:rsidRPr="0046454B" w:rsidRDefault="0046454B">
      <w:pPr>
        <w:spacing w:after="120"/>
        <w:rPr>
          <w:rFonts w:ascii="AcadNusx" w:hAnsi="AcadNusx" w:cs="Segoe UI"/>
          <w:color w:val="1F4E79" w:themeColor="accent1" w:themeShade="80"/>
          <w:sz w:val="20"/>
          <w:szCs w:val="20"/>
        </w:rPr>
      </w:pPr>
    </w:p>
    <w:sectPr w:rsidR="0046454B" w:rsidRPr="00464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26E7F"/>
    <w:multiLevelType w:val="hybridMultilevel"/>
    <w:tmpl w:val="9CBE9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EA"/>
    <w:rsid w:val="00043762"/>
    <w:rsid w:val="00341BEA"/>
    <w:rsid w:val="0046454B"/>
    <w:rsid w:val="00511D6B"/>
    <w:rsid w:val="00762555"/>
    <w:rsid w:val="007769DA"/>
    <w:rsid w:val="0087535E"/>
    <w:rsid w:val="009B1E96"/>
    <w:rsid w:val="00B242E9"/>
    <w:rsid w:val="00C15D01"/>
    <w:rsid w:val="00D72A81"/>
    <w:rsid w:val="00E91413"/>
    <w:rsid w:val="00F0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6094A-372E-49F3-9AF8-D50B7768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EA"/>
    <w:pPr>
      <w:spacing w:after="0" w:line="240" w:lineRule="auto"/>
    </w:pPr>
    <w:rPr>
      <w:rFonts w:ascii="Sylfaen" w:hAnsi="Sylfaen" w:cs="Times New Roman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1D6B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51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6</cp:revision>
  <dcterms:created xsi:type="dcterms:W3CDTF">2018-04-24T19:19:00Z</dcterms:created>
  <dcterms:modified xsi:type="dcterms:W3CDTF">2018-04-25T08:15:00Z</dcterms:modified>
</cp:coreProperties>
</file>