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FD690A" w:rsidRPr="00155EB0" w14:paraId="6AC8E3AA" w14:textId="77777777" w:rsidTr="00FD690A">
        <w:trPr>
          <w:cantSplit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BE9CCDA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  <w:lang w:eastAsia="en-US"/>
              </w:rPr>
            </w:pPr>
            <w:r>
              <w:rPr>
                <w:caps/>
                <w:sz w:val="18"/>
              </w:rPr>
              <w:t>World Health Organization</w:t>
            </w:r>
          </w:p>
          <w:p w14:paraId="13648D7B" w14:textId="77777777" w:rsidR="00FD690A" w:rsidRDefault="00FD690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Regional Office for Europe</w:t>
            </w:r>
          </w:p>
          <w:p w14:paraId="139469B3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14:paraId="3FA7AC7A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>
              <w:rPr>
                <w:caps/>
                <w:sz w:val="18"/>
              </w:rPr>
              <w:t>Weltgesundheitsorganisation</w:t>
            </w:r>
          </w:p>
          <w:p w14:paraId="1E90A3DB" w14:textId="77777777" w:rsidR="00FD690A" w:rsidRDefault="00FD690A">
            <w:pPr>
              <w:tabs>
                <w:tab w:val="right" w:pos="9356"/>
              </w:tabs>
              <w:ind w:right="-1"/>
              <w:rPr>
                <w:caps/>
                <w:sz w:val="18"/>
                <w:lang w:eastAsia="en-US"/>
              </w:rPr>
            </w:pPr>
            <w:r>
              <w:rPr>
                <w:b/>
                <w:caps/>
                <w:sz w:val="18"/>
              </w:rPr>
              <w:t>Regionalb</w:t>
            </w:r>
            <w:r>
              <w:rPr>
                <w:b/>
                <w:caps/>
                <w:sz w:val="18"/>
                <w:lang w:val="fr-FR"/>
              </w:rPr>
              <w:t>ü</w:t>
            </w:r>
            <w:r>
              <w:rPr>
                <w:b/>
                <w:caps/>
                <w:sz w:val="18"/>
              </w:rPr>
              <w:t>ro f</w:t>
            </w:r>
            <w:r>
              <w:rPr>
                <w:b/>
                <w:caps/>
                <w:sz w:val="18"/>
                <w:lang w:val="fr-FR"/>
              </w:rPr>
              <w:t>üR</w:t>
            </w:r>
            <w:r>
              <w:rPr>
                <w:b/>
                <w:caps/>
                <w:sz w:val="18"/>
              </w:rPr>
              <w:t xml:space="preserve">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EAD2BD" w14:textId="77777777" w:rsidR="00FD690A" w:rsidRDefault="00FD69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0443" w:dyaOrig="9233" w14:anchorId="152023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2.5pt" o:ole="" fillcolor="window">
                  <v:imagedata r:id="rId9" o:title=""/>
                </v:shape>
                <o:OLEObject Type="Embed" ProgID="MSDraw" ShapeID="_x0000_i1025" DrawAspect="Content" ObjectID="_1577001060" r:id="rId10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14:paraId="24A36FC2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 w:eastAsia="en-US"/>
              </w:rPr>
            </w:pPr>
            <w:r>
              <w:rPr>
                <w:caps/>
                <w:sz w:val="18"/>
                <w:lang w:val="fr-FR"/>
              </w:rPr>
              <w:t>Organisation Mondiale de la SantÉ</w:t>
            </w:r>
          </w:p>
          <w:p w14:paraId="2D0329D0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>
              <w:rPr>
                <w:b/>
                <w:caps/>
                <w:sz w:val="18"/>
                <w:lang w:val="fr-FR"/>
              </w:rPr>
              <w:t>Bureau R</w:t>
            </w:r>
            <w:r w:rsidRPr="006C27FB">
              <w:rPr>
                <w:b/>
                <w:caps/>
                <w:sz w:val="18"/>
                <w:lang w:val="fr-CH"/>
              </w:rPr>
              <w:t>É</w:t>
            </w:r>
            <w:r>
              <w:rPr>
                <w:b/>
                <w:caps/>
                <w:sz w:val="18"/>
                <w:lang w:val="fr-FR"/>
              </w:rPr>
              <w:t>gional de l'Europe</w:t>
            </w:r>
          </w:p>
          <w:p w14:paraId="6D67DD36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14:paraId="449E59DA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14:paraId="09E9D624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 w:eastAsia="en-US"/>
              </w:rPr>
            </w:pPr>
            <w:r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FD690A" w:rsidRPr="00155EB0" w14:paraId="7B983E17" w14:textId="77777777" w:rsidTr="00FD690A">
        <w:trPr>
          <w:cantSplit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D2E0A0" w14:textId="77777777" w:rsidR="00FD690A" w:rsidRDefault="00FD690A">
            <w:pPr>
              <w:tabs>
                <w:tab w:val="right" w:pos="9356"/>
              </w:tabs>
              <w:ind w:right="-1"/>
              <w:rPr>
                <w:smallCaps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003B4F" w14:textId="77777777" w:rsidR="00FD690A" w:rsidRDefault="00FD690A">
            <w:pPr>
              <w:tabs>
                <w:tab w:val="right" w:pos="9356"/>
              </w:tabs>
              <w:rPr>
                <w:smallCaps/>
                <w:lang w:val="ru-RU" w:eastAsia="en-US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00FBB" w14:textId="77777777" w:rsidR="00FD690A" w:rsidRDefault="00FD690A">
            <w:pPr>
              <w:tabs>
                <w:tab w:val="right" w:pos="9356"/>
              </w:tabs>
              <w:ind w:right="-1"/>
              <w:jc w:val="right"/>
              <w:rPr>
                <w:smallCaps/>
                <w:lang w:val="ru-RU" w:eastAsia="en-US"/>
              </w:rPr>
            </w:pPr>
          </w:p>
        </w:tc>
      </w:tr>
    </w:tbl>
    <w:p w14:paraId="1A92EB4C" w14:textId="77777777" w:rsidR="00A5328B" w:rsidRPr="00510AB4" w:rsidRDefault="00A5328B">
      <w:pPr>
        <w:tabs>
          <w:tab w:val="right" w:pos="9356"/>
        </w:tabs>
        <w:rPr>
          <w:b/>
          <w:sz w:val="24"/>
          <w:lang w:val="ru-RU"/>
        </w:rPr>
      </w:pPr>
    </w:p>
    <w:tbl>
      <w:tblPr>
        <w:tblW w:w="4890" w:type="pct"/>
        <w:tblInd w:w="101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1C0C5E" w14:paraId="33C2D13F" w14:textId="7FC321E1" w:rsidTr="001C0C5E">
        <w:trPr>
          <w:trHeight w:val="529"/>
        </w:trPr>
        <w:tc>
          <w:tcPr>
            <w:tcW w:w="2500" w:type="pct"/>
          </w:tcPr>
          <w:p w14:paraId="11598EAA" w14:textId="286EFDDD" w:rsidR="001C0C5E" w:rsidRDefault="00B66A08" w:rsidP="00344581">
            <w:pPr>
              <w:rPr>
                <w:b/>
              </w:rPr>
            </w:pPr>
            <w:bookmarkStart w:id="0" w:name="activitynumber"/>
            <w:bookmarkStart w:id="1" w:name="text"/>
            <w:bookmarkEnd w:id="0"/>
            <w:bookmarkEnd w:id="1"/>
            <w:r>
              <w:rPr>
                <w:b/>
              </w:rPr>
              <w:t xml:space="preserve">European </w:t>
            </w:r>
            <w:r w:rsidR="00344581">
              <w:rPr>
                <w:b/>
              </w:rPr>
              <w:t>H</w:t>
            </w:r>
            <w:r>
              <w:rPr>
                <w:b/>
              </w:rPr>
              <w:t xml:space="preserve">ealth </w:t>
            </w:r>
            <w:r w:rsidR="00344581">
              <w:rPr>
                <w:b/>
              </w:rPr>
              <w:t>S</w:t>
            </w:r>
            <w:r>
              <w:rPr>
                <w:b/>
              </w:rPr>
              <w:t xml:space="preserve">ystems </w:t>
            </w:r>
            <w:r w:rsidR="00344581">
              <w:rPr>
                <w:b/>
              </w:rPr>
              <w:t>F</w:t>
            </w:r>
            <w:r>
              <w:rPr>
                <w:b/>
              </w:rPr>
              <w:t>oresight</w:t>
            </w:r>
            <w:r w:rsidR="003972DF">
              <w:rPr>
                <w:b/>
              </w:rPr>
              <w:t xml:space="preserve"> </w:t>
            </w:r>
            <w:r w:rsidR="00344581">
              <w:rPr>
                <w:b/>
              </w:rPr>
              <w:t>G</w:t>
            </w:r>
            <w:r w:rsidR="003972DF">
              <w:rPr>
                <w:b/>
              </w:rPr>
              <w:t xml:space="preserve">roup - </w:t>
            </w:r>
            <w:r w:rsidR="00344581">
              <w:rPr>
                <w:b/>
              </w:rPr>
              <w:t>S</w:t>
            </w:r>
            <w:r w:rsidR="000D06E9">
              <w:rPr>
                <w:b/>
              </w:rPr>
              <w:t>econd</w:t>
            </w:r>
            <w:r w:rsidR="00BD4924">
              <w:rPr>
                <w:b/>
              </w:rPr>
              <w:t xml:space="preserve"> </w:t>
            </w:r>
            <w:r w:rsidR="00344581">
              <w:rPr>
                <w:b/>
              </w:rPr>
              <w:t>M</w:t>
            </w:r>
            <w:r w:rsidR="00BD4924">
              <w:rPr>
                <w:b/>
              </w:rPr>
              <w:t>eeting</w:t>
            </w:r>
          </w:p>
        </w:tc>
        <w:tc>
          <w:tcPr>
            <w:tcW w:w="2500" w:type="pct"/>
          </w:tcPr>
          <w:p w14:paraId="7BF7B7B6" w14:textId="2942A53D" w:rsidR="001C0C5E" w:rsidRDefault="001C0C5E" w:rsidP="001C0C5E">
            <w:pPr>
              <w:jc w:val="right"/>
              <w:rPr>
                <w:b/>
              </w:rPr>
            </w:pPr>
            <w:r>
              <w:rPr>
                <w:b/>
              </w:rPr>
              <w:t>/1</w:t>
            </w:r>
          </w:p>
        </w:tc>
      </w:tr>
      <w:tr w:rsidR="001C0C5E" w14:paraId="27167C8A" w14:textId="694FAE6F" w:rsidTr="001C0C5E">
        <w:trPr>
          <w:trHeight w:val="245"/>
        </w:trPr>
        <w:tc>
          <w:tcPr>
            <w:tcW w:w="2500" w:type="pct"/>
          </w:tcPr>
          <w:p w14:paraId="53E22E49" w14:textId="5208B963" w:rsidR="001C0C5E" w:rsidRDefault="000D06E9">
            <w:pPr>
              <w:rPr>
                <w:b/>
              </w:rPr>
            </w:pPr>
            <w:r>
              <w:rPr>
                <w:b/>
              </w:rPr>
              <w:t>Copenhagen, Denmark</w:t>
            </w:r>
          </w:p>
        </w:tc>
        <w:tc>
          <w:tcPr>
            <w:tcW w:w="2500" w:type="pct"/>
          </w:tcPr>
          <w:p w14:paraId="30E3D921" w14:textId="77777777" w:rsidR="001C0C5E" w:rsidRDefault="001C0C5E">
            <w:pPr>
              <w:rPr>
                <w:b/>
              </w:rPr>
            </w:pPr>
          </w:p>
        </w:tc>
      </w:tr>
      <w:tr w:rsidR="001C0C5E" w14:paraId="3BE028AF" w14:textId="300D83AE" w:rsidTr="001C0C5E">
        <w:trPr>
          <w:trHeight w:val="245"/>
        </w:trPr>
        <w:tc>
          <w:tcPr>
            <w:tcW w:w="2500" w:type="pct"/>
          </w:tcPr>
          <w:p w14:paraId="24B481B1" w14:textId="4169996A" w:rsidR="001C0C5E" w:rsidRDefault="000D06E9" w:rsidP="00AF620A">
            <w:pPr>
              <w:rPr>
                <w:b/>
              </w:rPr>
            </w:pPr>
            <w:r>
              <w:rPr>
                <w:b/>
              </w:rPr>
              <w:t>0</w:t>
            </w:r>
            <w:r w:rsidR="001C0C5E">
              <w:rPr>
                <w:b/>
              </w:rPr>
              <w:t xml:space="preserve">7 </w:t>
            </w:r>
            <w:r w:rsidR="00AF620A">
              <w:rPr>
                <w:b/>
              </w:rPr>
              <w:t>February</w:t>
            </w:r>
            <w:r w:rsidR="001C0C5E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</w:p>
        </w:tc>
        <w:tc>
          <w:tcPr>
            <w:tcW w:w="2500" w:type="pct"/>
          </w:tcPr>
          <w:p w14:paraId="11818900" w14:textId="53C7A684" w:rsidR="001C0C5E" w:rsidRDefault="001C0C5E" w:rsidP="00155EB0">
            <w:pPr>
              <w:jc w:val="right"/>
              <w:rPr>
                <w:b/>
              </w:rPr>
            </w:pPr>
            <w:r>
              <w:rPr>
                <w:b/>
              </w:rPr>
              <w:t xml:space="preserve">Issue date: </w:t>
            </w:r>
            <w:r w:rsidR="00155EB0">
              <w:rPr>
                <w:b/>
              </w:rPr>
              <w:t>08</w:t>
            </w:r>
            <w:bookmarkStart w:id="2" w:name="_GoBack"/>
            <w:bookmarkEnd w:id="2"/>
            <w:r w:rsidR="00155EB0">
              <w:rPr>
                <w:b/>
              </w:rPr>
              <w:t xml:space="preserve"> January 2018</w:t>
            </w:r>
          </w:p>
        </w:tc>
      </w:tr>
    </w:tbl>
    <w:p w14:paraId="1ECD35FE" w14:textId="1D26EE5B" w:rsidR="00F950AE" w:rsidRPr="00625700" w:rsidRDefault="00220322" w:rsidP="00625700">
      <w:pPr>
        <w:pStyle w:val="Title"/>
      </w:pPr>
      <w:r w:rsidRPr="00625700">
        <w:t>Scope and purpose</w:t>
      </w:r>
    </w:p>
    <w:p w14:paraId="1EAA3CEF" w14:textId="15F3FC1D" w:rsidR="00220322" w:rsidRPr="00625700" w:rsidRDefault="00220322" w:rsidP="00625700">
      <w:pPr>
        <w:pStyle w:val="Heading1"/>
      </w:pPr>
      <w:r w:rsidRPr="00625700">
        <w:t>Background</w:t>
      </w:r>
    </w:p>
    <w:p w14:paraId="49950C59" w14:textId="6B89314E" w:rsidR="00B268C0" w:rsidRDefault="006D31F1" w:rsidP="00C13A49">
      <w:pPr>
        <w:outlineLvl w:val="0"/>
      </w:pPr>
      <w:r>
        <w:t xml:space="preserve">The </w:t>
      </w:r>
      <w:r w:rsidR="00C13A49">
        <w:t xml:space="preserve">2008 </w:t>
      </w:r>
      <w:r>
        <w:t>“Tallinn Charter</w:t>
      </w:r>
      <w:r w:rsidR="00C13A49">
        <w:t>: Health Systems for Health and Wealth”</w:t>
      </w:r>
      <w:r>
        <w:t xml:space="preserve"> has </w:t>
      </w:r>
      <w:r w:rsidR="007B6A27">
        <w:t>become</w:t>
      </w:r>
      <w:r>
        <w:t xml:space="preserve"> a reference point for strengthening health systems throughout Europe</w:t>
      </w:r>
      <w:r w:rsidR="00E2157D">
        <w:rPr>
          <w:rStyle w:val="FootnoteReference"/>
        </w:rPr>
        <w:footnoteReference w:id="1"/>
      </w:r>
      <w:r>
        <w:t>.</w:t>
      </w:r>
      <w:r w:rsidR="00B268C0">
        <w:t xml:space="preserve"> </w:t>
      </w:r>
      <w:r w:rsidR="007B6A27">
        <w:t>Its seven commitments have provided a shared and solid basis for improving hea</w:t>
      </w:r>
      <w:r w:rsidR="00926523">
        <w:t>lth systems</w:t>
      </w:r>
      <w:r w:rsidR="00C13A49">
        <w:t>,</w:t>
      </w:r>
      <w:r w:rsidR="00926523">
        <w:t xml:space="preserve"> and its </w:t>
      </w:r>
      <w:r w:rsidR="00344581">
        <w:t xml:space="preserve">assertion of a common European value base around </w:t>
      </w:r>
      <w:r w:rsidR="0035364F">
        <w:t xml:space="preserve">the provision of </w:t>
      </w:r>
      <w:r w:rsidR="00344581">
        <w:t>health</w:t>
      </w:r>
      <w:r w:rsidR="00926523">
        <w:t xml:space="preserve"> remain</w:t>
      </w:r>
      <w:r w:rsidR="00344581">
        <w:t>s</w:t>
      </w:r>
      <w:r w:rsidR="00926523">
        <w:t xml:space="preserve"> fundamental to the</w:t>
      </w:r>
      <w:r w:rsidR="00D67FFE">
        <w:t>ir future</w:t>
      </w:r>
      <w:r w:rsidR="00926523">
        <w:t>.</w:t>
      </w:r>
      <w:r w:rsidR="00C40547">
        <w:t xml:space="preserve"> </w:t>
      </w:r>
      <w:r w:rsidR="0035625F">
        <w:t>In</w:t>
      </w:r>
      <w:r w:rsidR="00E2157D">
        <w:t xml:space="preserve"> June 2018</w:t>
      </w:r>
      <w:r w:rsidR="0035625F">
        <w:t>, a</w:t>
      </w:r>
      <w:r w:rsidR="00344581">
        <w:t xml:space="preserve"> High-Level </w:t>
      </w:r>
      <w:r w:rsidR="0035625F">
        <w:t>t</w:t>
      </w:r>
      <w:r w:rsidR="00344581">
        <w:t xml:space="preserve">echnical meeting </w:t>
      </w:r>
      <w:r w:rsidR="0035625F">
        <w:t xml:space="preserve">will be </w:t>
      </w:r>
      <w:r w:rsidR="00344581">
        <w:t>organised</w:t>
      </w:r>
      <w:r w:rsidR="0035625F">
        <w:t xml:space="preserve"> by WHO/Europe</w:t>
      </w:r>
      <w:r w:rsidR="009D2392">
        <w:t xml:space="preserve"> – with the support of the European Observatory on health Systems and Policies</w:t>
      </w:r>
      <w:r w:rsidR="0035625F">
        <w:t xml:space="preserve"> </w:t>
      </w:r>
      <w:r w:rsidR="009D2392">
        <w:t xml:space="preserve">– </w:t>
      </w:r>
      <w:r w:rsidR="0035625F">
        <w:t>and the Government of Estonia</w:t>
      </w:r>
      <w:r w:rsidR="00344581">
        <w:t xml:space="preserve"> to mark the</w:t>
      </w:r>
      <w:r w:rsidR="00C40547">
        <w:t xml:space="preserve"> 10</w:t>
      </w:r>
      <w:r w:rsidR="00C40547" w:rsidRPr="00C40547">
        <w:rPr>
          <w:vertAlign w:val="superscript"/>
        </w:rPr>
        <w:t>th</w:t>
      </w:r>
      <w:r w:rsidR="00C40547">
        <w:t xml:space="preserve"> Anniversary of the Charter</w:t>
      </w:r>
      <w:r w:rsidR="00C13A49">
        <w:t>. I</w:t>
      </w:r>
      <w:r w:rsidR="0035625F">
        <w:t>t</w:t>
      </w:r>
      <w:r w:rsidR="00C40547">
        <w:t xml:space="preserve"> will provide an opportunity to celebrate the</w:t>
      </w:r>
      <w:r w:rsidR="00D67FFE">
        <w:t xml:space="preserve"> contribution of the Charter</w:t>
      </w:r>
      <w:r w:rsidR="00C40547">
        <w:t xml:space="preserve"> and to situate health systems strengthening within wider</w:t>
      </w:r>
      <w:r w:rsidR="00C13A49">
        <w:t xml:space="preserve"> developments</w:t>
      </w:r>
      <w:r w:rsidR="00C40547">
        <w:t xml:space="preserve"> such as the</w:t>
      </w:r>
      <w:r w:rsidR="00344581">
        <w:t xml:space="preserve"> global push towards Universal Health Coverage</w:t>
      </w:r>
      <w:r w:rsidR="00344581">
        <w:rPr>
          <w:rStyle w:val="FootnoteReference"/>
        </w:rPr>
        <w:footnoteReference w:id="2"/>
      </w:r>
      <w:r w:rsidR="00344581">
        <w:t xml:space="preserve"> and the</w:t>
      </w:r>
      <w:r w:rsidR="00C40547">
        <w:t xml:space="preserve"> Sustainable Development Goals</w:t>
      </w:r>
      <w:r w:rsidR="00344581">
        <w:rPr>
          <w:rStyle w:val="FootnoteReference"/>
        </w:rPr>
        <w:footnoteReference w:id="3"/>
      </w:r>
      <w:r w:rsidR="00C40547">
        <w:t>.</w:t>
      </w:r>
      <w:r w:rsidR="00B268C0">
        <w:t xml:space="preserve"> </w:t>
      </w:r>
      <w:r w:rsidR="00C13A49">
        <w:t>T</w:t>
      </w:r>
      <w:r w:rsidR="00E2157D">
        <w:t>he</w:t>
      </w:r>
      <w:r w:rsidR="00D67FFE">
        <w:t xml:space="preserve"> </w:t>
      </w:r>
      <w:r w:rsidR="00344581">
        <w:t>meeting</w:t>
      </w:r>
      <w:r w:rsidR="00D67FFE">
        <w:t xml:space="preserve"> </w:t>
      </w:r>
      <w:r w:rsidR="00C40547">
        <w:t xml:space="preserve">will also provide an </w:t>
      </w:r>
      <w:r w:rsidR="0035364F">
        <w:t xml:space="preserve">important </w:t>
      </w:r>
      <w:r w:rsidR="00C40547">
        <w:t>opportunity to look forward</w:t>
      </w:r>
      <w:r w:rsidR="00D67FFE">
        <w:t>s,</w:t>
      </w:r>
      <w:r w:rsidR="003C6CE3">
        <w:t xml:space="preserve"> both</w:t>
      </w:r>
      <w:r w:rsidR="00C40547">
        <w:t xml:space="preserve"> at </w:t>
      </w:r>
      <w:r w:rsidR="00926523">
        <w:t>specific challenges fac</w:t>
      </w:r>
      <w:r w:rsidR="00F05487">
        <w:t>ing</w:t>
      </w:r>
      <w:r w:rsidR="00926523">
        <w:t xml:space="preserve"> health systems in Europe</w:t>
      </w:r>
      <w:r w:rsidR="0035364F">
        <w:t>, and</w:t>
      </w:r>
      <w:r w:rsidR="003C6CE3">
        <w:t xml:space="preserve"> </w:t>
      </w:r>
      <w:r w:rsidR="00E2157D">
        <w:t>how to plan for the future</w:t>
      </w:r>
      <w:r w:rsidR="003C6CE3">
        <w:t xml:space="preserve">. </w:t>
      </w:r>
    </w:p>
    <w:p w14:paraId="1D56A61A" w14:textId="77777777" w:rsidR="00B268C0" w:rsidRDefault="00B268C0" w:rsidP="00B268C0">
      <w:pPr>
        <w:outlineLvl w:val="0"/>
      </w:pPr>
    </w:p>
    <w:p w14:paraId="7CD55118" w14:textId="5B964B11" w:rsidR="00B268C0" w:rsidRDefault="00B268C0" w:rsidP="009D2392">
      <w:pPr>
        <w:outlineLvl w:val="0"/>
      </w:pPr>
      <w:r>
        <w:t xml:space="preserve">Beyond technological advances, shifting disease profiles, changes in models of care and health workforce composition, and concerns over future financial sustainability, the first meeting of the European </w:t>
      </w:r>
      <w:r w:rsidR="00344581">
        <w:t>H</w:t>
      </w:r>
      <w:r>
        <w:t xml:space="preserve">ealth </w:t>
      </w:r>
      <w:r w:rsidR="00344581">
        <w:t>S</w:t>
      </w:r>
      <w:r>
        <w:t xml:space="preserve">ystems </w:t>
      </w:r>
      <w:r w:rsidR="00344581">
        <w:t>F</w:t>
      </w:r>
      <w:r>
        <w:t xml:space="preserve">oresight </w:t>
      </w:r>
      <w:r w:rsidR="00344581">
        <w:t>G</w:t>
      </w:r>
      <w:r>
        <w:t xml:space="preserve">roup identified other changes and challenges which </w:t>
      </w:r>
      <w:r w:rsidR="00926523">
        <w:t>have the potential to fundamentally change how healthcare is provided</w:t>
      </w:r>
      <w:r>
        <w:t xml:space="preserve"> in future</w:t>
      </w:r>
      <w:r w:rsidR="00926523">
        <w:t xml:space="preserve">, and how people </w:t>
      </w:r>
      <w:r w:rsidR="0035364F">
        <w:t xml:space="preserve">will </w:t>
      </w:r>
      <w:r w:rsidR="00926523">
        <w:t>relate to</w:t>
      </w:r>
      <w:r w:rsidR="0035364F">
        <w:t xml:space="preserve"> their</w:t>
      </w:r>
      <w:r w:rsidR="00926523">
        <w:t xml:space="preserve"> health systems. </w:t>
      </w:r>
      <w:r>
        <w:t xml:space="preserve">These include </w:t>
      </w:r>
      <w:r w:rsidR="00E2157D">
        <w:t xml:space="preserve">wider societal shifts, the impact of climate change, changing political directions, the role of artificial intelligence, and as yet unknown challenges such </w:t>
      </w:r>
      <w:r w:rsidR="00530473">
        <w:t xml:space="preserve">as stemming from </w:t>
      </w:r>
      <w:r w:rsidR="00E2157D">
        <w:t>new types of health emergency / pandemic,</w:t>
      </w:r>
      <w:r w:rsidR="0035364F">
        <w:t xml:space="preserve"> the impact of anti-microbial resistance,</w:t>
      </w:r>
      <w:r w:rsidR="00E2157D">
        <w:t xml:space="preserve"> </w:t>
      </w:r>
      <w:r w:rsidR="00530473">
        <w:t>broken economic models, and how people may come to regard responsibility for their own health</w:t>
      </w:r>
      <w:r>
        <w:t xml:space="preserve">. </w:t>
      </w:r>
      <w:r w:rsidR="00530473">
        <w:t>Through Health 2020, the overarching health policy and framework for Europe</w:t>
      </w:r>
      <w:r w:rsidR="00F01E8B">
        <w:rPr>
          <w:rStyle w:val="FootnoteReference"/>
        </w:rPr>
        <w:footnoteReference w:id="4"/>
      </w:r>
      <w:r w:rsidR="00530473">
        <w:t xml:space="preserve">, </w:t>
      </w:r>
      <w:r w:rsidR="009D2392" w:rsidRPr="009D2392">
        <w:t xml:space="preserve">WHO/Europe </w:t>
      </w:r>
      <w:r w:rsidR="00530473">
        <w:t>remains committed to working with and for its Member States in ensuring that their health systems are people-centred and fit for purpose in future. But c</w:t>
      </w:r>
      <w:r w:rsidR="00E2157D">
        <w:t xml:space="preserve">larity on what impacts </w:t>
      </w:r>
      <w:r w:rsidR="00530473">
        <w:t>such changes and challenges</w:t>
      </w:r>
      <w:r w:rsidR="00E2157D">
        <w:t xml:space="preserve"> will have, and a</w:t>
      </w:r>
      <w:r w:rsidR="00344581">
        <w:t>nswers</w:t>
      </w:r>
      <w:r w:rsidR="00530473">
        <w:t xml:space="preserve"> to address them,</w:t>
      </w:r>
      <w:r w:rsidR="00344581">
        <w:t xml:space="preserve"> are not readily forthcoming.</w:t>
      </w:r>
    </w:p>
    <w:p w14:paraId="55DA62DD" w14:textId="77777777" w:rsidR="00B268C0" w:rsidRDefault="00B268C0" w:rsidP="00B268C0">
      <w:pPr>
        <w:outlineLvl w:val="0"/>
      </w:pPr>
    </w:p>
    <w:p w14:paraId="7E9D947D" w14:textId="2455C461" w:rsidR="0035364F" w:rsidRDefault="00530473" w:rsidP="009D2392">
      <w:pPr>
        <w:outlineLvl w:val="0"/>
        <w:rPr>
          <w:b/>
        </w:rPr>
      </w:pPr>
      <w:r>
        <w:t>Given the nature of some of these issues,</w:t>
      </w:r>
      <w:r w:rsidR="0035364F">
        <w:t xml:space="preserve"> therefore,</w:t>
      </w:r>
      <w:r w:rsidR="009D32F5">
        <w:t xml:space="preserve"> a</w:t>
      </w:r>
      <w:r w:rsidR="00B268C0">
        <w:t xml:space="preserve"> key question going forwards is </w:t>
      </w:r>
      <w:r>
        <w:t xml:space="preserve">whether </w:t>
      </w:r>
      <w:r w:rsidR="00B268C0">
        <w:t xml:space="preserve">we </w:t>
      </w:r>
      <w:r>
        <w:t xml:space="preserve">can </w:t>
      </w:r>
      <w:r w:rsidR="00344581">
        <w:t>safeguard</w:t>
      </w:r>
      <w:r w:rsidR="009D32F5">
        <w:t xml:space="preserve"> – </w:t>
      </w:r>
      <w:r w:rsidR="00B268C0">
        <w:t>and if so to what extent</w:t>
      </w:r>
      <w:r w:rsidR="00F01E8B">
        <w:t xml:space="preserve"> </w:t>
      </w:r>
      <w:r w:rsidR="009D32F5">
        <w:t xml:space="preserve">– </w:t>
      </w:r>
      <w:r w:rsidR="00B268C0">
        <w:t>the shared values of solidarity, universalism and equity which we associate with European health systems</w:t>
      </w:r>
      <w:r w:rsidR="009D32F5">
        <w:t>, and which are at the centre of the Tallinn Charter?</w:t>
      </w:r>
      <w:r w:rsidR="00B268C0">
        <w:t xml:space="preserve"> How can decision- and policy-makers ensure that their health systems work to provide the best possible care for everyone</w:t>
      </w:r>
      <w:r w:rsidR="009D52EE">
        <w:t xml:space="preserve">; </w:t>
      </w:r>
      <w:r w:rsidR="00F01E8B">
        <w:t>and be</w:t>
      </w:r>
      <w:r w:rsidR="009D32F5">
        <w:t xml:space="preserve"> sure to</w:t>
      </w:r>
      <w:r w:rsidR="009D52EE">
        <w:t xml:space="preserve"> </w:t>
      </w:r>
      <w:r w:rsidR="00344581">
        <w:t>not leave anyone behind</w:t>
      </w:r>
      <w:r w:rsidR="0035364F">
        <w:t>, in keeping with the SDG commitments</w:t>
      </w:r>
      <w:r w:rsidR="00344581">
        <w:t xml:space="preserve">? </w:t>
      </w:r>
      <w:r w:rsidR="009D2392">
        <w:t>A</w:t>
      </w:r>
      <w:r w:rsidR="009D32F5">
        <w:t>dditional insights are needed and more targeted health systems work and preparedness is crucial.</w:t>
      </w:r>
    </w:p>
    <w:p w14:paraId="378A2354" w14:textId="1F0ADBC3" w:rsidR="00FA4113" w:rsidRDefault="00930119" w:rsidP="00625700">
      <w:pPr>
        <w:pStyle w:val="Heading1"/>
      </w:pPr>
      <w:r>
        <w:t>Overall aim</w:t>
      </w:r>
    </w:p>
    <w:p w14:paraId="1474E4F6" w14:textId="77777777" w:rsidR="009D2392" w:rsidRDefault="00152A0A" w:rsidP="009D2392">
      <w:r>
        <w:t>The overall aim of the Health Systems Foresight Group is to develop perspectives on the long-</w:t>
      </w:r>
      <w:r w:rsidR="009D2392">
        <w:t>t</w:t>
      </w:r>
      <w:r>
        <w:t>erm future of health systems in Europe</w:t>
      </w:r>
      <w:r w:rsidR="0035364F">
        <w:t xml:space="preserve">. This work will be an important input into </w:t>
      </w:r>
      <w:r>
        <w:t xml:space="preserve">the June 2018 </w:t>
      </w:r>
      <w:r>
        <w:lastRenderedPageBreak/>
        <w:t>Tallinn Charter</w:t>
      </w:r>
      <w:r w:rsidR="0035364F">
        <w:t xml:space="preserve"> anniversary</w:t>
      </w:r>
      <w:r>
        <w:t xml:space="preserve"> meeting. But, as</w:t>
      </w:r>
      <w:r w:rsidR="00530473">
        <w:t xml:space="preserve"> noted earlier, a</w:t>
      </w:r>
      <w:r w:rsidR="00530473" w:rsidRPr="00530473">
        <w:t xml:space="preserve">ccurate predictions on the future of health systems are difficult to make given the environment described, and they are potentially even more difficult to prepare for; small scale real-world experiments are not a viable strategy for example. </w:t>
      </w:r>
      <w:r w:rsidR="00530473">
        <w:t>The</w:t>
      </w:r>
      <w:r w:rsidR="00530473" w:rsidRPr="00530473">
        <w:t xml:space="preserve"> </w:t>
      </w:r>
      <w:r w:rsidR="00F01E8B">
        <w:t xml:space="preserve">European </w:t>
      </w:r>
      <w:r w:rsidR="00530473" w:rsidRPr="00530473">
        <w:t>Health Systems Foresight Group</w:t>
      </w:r>
      <w:r w:rsidR="009D2392">
        <w:t xml:space="preserve"> will draw on the principles of the ‘Foresight’ approach</w:t>
      </w:r>
      <w:r w:rsidR="009D2392">
        <w:rPr>
          <w:rStyle w:val="FootnoteReference"/>
        </w:rPr>
        <w:footnoteReference w:id="5"/>
      </w:r>
      <w:r w:rsidR="009D2392">
        <w:t xml:space="preserve">, adapting them for this specific purpose: </w:t>
      </w:r>
    </w:p>
    <w:p w14:paraId="63807061" w14:textId="77777777" w:rsidR="009D2392" w:rsidRDefault="009D2392" w:rsidP="009D2392">
      <w:pPr>
        <w:pStyle w:val="ListParagraph"/>
        <w:numPr>
          <w:ilvl w:val="0"/>
          <w:numId w:val="23"/>
        </w:numPr>
      </w:pPr>
      <w:r>
        <w:t>Action-focused: the aim of this process is to guide action by Member States and WHO;</w:t>
      </w:r>
    </w:p>
    <w:p w14:paraId="51643039" w14:textId="77777777" w:rsidR="009D2392" w:rsidRDefault="009D2392" w:rsidP="009D2392">
      <w:pPr>
        <w:pStyle w:val="ListParagraph"/>
        <w:numPr>
          <w:ilvl w:val="0"/>
          <w:numId w:val="23"/>
        </w:numPr>
      </w:pPr>
      <w:r>
        <w:t>Exploring alternative futures: the process will explore different issues, trends and challenges, and consider different scenarios;</w:t>
      </w:r>
    </w:p>
    <w:p w14:paraId="0B9AE5A2" w14:textId="17DFA7DB" w:rsidR="009D2392" w:rsidRDefault="009D2392" w:rsidP="005D39C8">
      <w:pPr>
        <w:pStyle w:val="ListParagraph"/>
        <w:numPr>
          <w:ilvl w:val="0"/>
          <w:numId w:val="23"/>
        </w:numPr>
      </w:pPr>
      <w:r>
        <w:t>Participatory: the process will be driven by key stakeholders</w:t>
      </w:r>
      <w:r w:rsidR="005D39C8">
        <w:t xml:space="preserve"> and experts</w:t>
      </w:r>
      <w:r>
        <w:t>, reflecting the range of health systems in different parts of Europe and their different contexts;</w:t>
      </w:r>
    </w:p>
    <w:p w14:paraId="5068330B" w14:textId="5A2E0BE7" w:rsidR="009D2392" w:rsidRDefault="009D2392" w:rsidP="005D39C8">
      <w:pPr>
        <w:pStyle w:val="ListParagraph"/>
        <w:numPr>
          <w:ilvl w:val="0"/>
          <w:numId w:val="23"/>
        </w:numPr>
      </w:pPr>
      <w:r>
        <w:t xml:space="preserve">Multidisciplinary: the process will involve a wide range of stakeholders and </w:t>
      </w:r>
      <w:r w:rsidR="005D39C8">
        <w:t>expertise</w:t>
      </w:r>
      <w:r>
        <w:t xml:space="preserve">. </w:t>
      </w:r>
    </w:p>
    <w:p w14:paraId="338B8E23" w14:textId="77777777" w:rsidR="005D39C8" w:rsidRDefault="005D39C8" w:rsidP="00C13A49"/>
    <w:p w14:paraId="124F4ADD" w14:textId="0A78F078" w:rsidR="00530473" w:rsidRDefault="009D2392" w:rsidP="00C13A49">
      <w:r>
        <w:t>The group</w:t>
      </w:r>
      <w:r w:rsidR="00530473" w:rsidRPr="00530473">
        <w:t xml:space="preserve"> is</w:t>
      </w:r>
      <w:r w:rsidR="00530473">
        <w:t xml:space="preserve"> </w:t>
      </w:r>
      <w:r w:rsidR="00530473" w:rsidRPr="00530473">
        <w:t>mandated to work through three stages</w:t>
      </w:r>
      <w:r w:rsidR="0035364F">
        <w:t xml:space="preserve"> which will go beyond the Tallinn meeting</w:t>
      </w:r>
      <w:r w:rsidR="00530473" w:rsidRPr="00530473">
        <w:t xml:space="preserve">: </w:t>
      </w:r>
      <w:r w:rsidR="00530473" w:rsidRPr="009D2392">
        <w:rPr>
          <w:b/>
          <w:bCs/>
        </w:rPr>
        <w:t>diagnosis</w:t>
      </w:r>
      <w:r w:rsidR="00530473" w:rsidRPr="00530473">
        <w:t xml:space="preserve"> (understanding where we are), </w:t>
      </w:r>
      <w:r w:rsidR="00530473" w:rsidRPr="009D2392">
        <w:rPr>
          <w:b/>
          <w:bCs/>
        </w:rPr>
        <w:t>prognosis</w:t>
      </w:r>
      <w:r w:rsidR="00530473" w:rsidRPr="00530473">
        <w:t xml:space="preserve"> (exploring future and different scenarios), and potential </w:t>
      </w:r>
      <w:r w:rsidR="00530473" w:rsidRPr="009D2392">
        <w:rPr>
          <w:b/>
          <w:bCs/>
        </w:rPr>
        <w:t>prescription</w:t>
      </w:r>
      <w:r w:rsidR="00530473" w:rsidRPr="00530473">
        <w:t xml:space="preserve"> (recommending ways forward).</w:t>
      </w:r>
      <w:r w:rsidR="009757F3">
        <w:t xml:space="preserve"> The first meeting of the group covered the first stage. This second meeting will now look at the second stage.</w:t>
      </w:r>
    </w:p>
    <w:p w14:paraId="1B3FF614" w14:textId="7FD022A5" w:rsidR="00625700" w:rsidRDefault="00220322" w:rsidP="00625700">
      <w:pPr>
        <w:pStyle w:val="Heading1"/>
      </w:pPr>
      <w:r w:rsidRPr="00220322">
        <w:t>Objectives</w:t>
      </w:r>
    </w:p>
    <w:p w14:paraId="29EAD24F" w14:textId="50A2CBCC" w:rsidR="00625700" w:rsidRDefault="007573C2" w:rsidP="00152A0A">
      <w:r>
        <w:t xml:space="preserve">The </w:t>
      </w:r>
      <w:r w:rsidR="000D06E9">
        <w:t>second</w:t>
      </w:r>
      <w:r>
        <w:t xml:space="preserve"> meeting of </w:t>
      </w:r>
      <w:r w:rsidR="00152A0A">
        <w:t>European Health Systems</w:t>
      </w:r>
      <w:r>
        <w:t xml:space="preserve"> </w:t>
      </w:r>
      <w:r w:rsidR="00B66A08">
        <w:t xml:space="preserve">Foresight </w:t>
      </w:r>
      <w:r w:rsidR="00625700">
        <w:t xml:space="preserve">group is planned for </w:t>
      </w:r>
      <w:r w:rsidR="000D06E9">
        <w:t>0</w:t>
      </w:r>
      <w:r w:rsidR="00625700">
        <w:t>7 J</w:t>
      </w:r>
      <w:r w:rsidR="000D06E9">
        <w:t>anuary</w:t>
      </w:r>
      <w:r w:rsidR="00625700">
        <w:t xml:space="preserve"> in </w:t>
      </w:r>
      <w:r w:rsidR="000D06E9">
        <w:t>Copenhagen</w:t>
      </w:r>
      <w:r w:rsidR="00625700">
        <w:t xml:space="preserve">. The objectives of this </w:t>
      </w:r>
      <w:r>
        <w:t xml:space="preserve">one-day </w:t>
      </w:r>
      <w:r w:rsidR="00625700">
        <w:t>meeting are:</w:t>
      </w:r>
    </w:p>
    <w:p w14:paraId="4D616A62" w14:textId="2AF59511" w:rsidR="00FA4113" w:rsidRDefault="00625700" w:rsidP="000D06E9">
      <w:pPr>
        <w:numPr>
          <w:ilvl w:val="0"/>
          <w:numId w:val="16"/>
        </w:numPr>
      </w:pPr>
      <w:r>
        <w:t xml:space="preserve">to </w:t>
      </w:r>
      <w:r w:rsidR="000D06E9">
        <w:t>recall the main elements of the initial</w:t>
      </w:r>
      <w:r>
        <w:t xml:space="preserve"> brainstorming </w:t>
      </w:r>
      <w:r w:rsidR="000D06E9">
        <w:t xml:space="preserve">held during the first meeting – </w:t>
      </w:r>
      <w:r>
        <w:t>on the issues</w:t>
      </w:r>
      <w:r w:rsidR="000D06E9">
        <w:t xml:space="preserve"> and </w:t>
      </w:r>
      <w:r>
        <w:t>challenges facing health systems in Euro</w:t>
      </w:r>
      <w:r w:rsidR="00AF4C79">
        <w:t>pe</w:t>
      </w:r>
      <w:r w:rsidR="000D06E9">
        <w:t xml:space="preserve"> – and to see whether additional elements need to be considered</w:t>
      </w:r>
      <w:r>
        <w:t>;</w:t>
      </w:r>
    </w:p>
    <w:p w14:paraId="1071336B" w14:textId="364515FF" w:rsidR="00152A0A" w:rsidRDefault="00152A0A" w:rsidP="00AF5AA9">
      <w:pPr>
        <w:numPr>
          <w:ilvl w:val="0"/>
          <w:numId w:val="16"/>
        </w:numPr>
      </w:pPr>
      <w:r>
        <w:t xml:space="preserve">based on the deliberations at the first meeting, two reports on </w:t>
      </w:r>
      <w:r w:rsidR="00AF5AA9">
        <w:t>the (a) uptake / adoption of innovation</w:t>
      </w:r>
      <w:r w:rsidR="0035364F">
        <w:t>s</w:t>
      </w:r>
      <w:r w:rsidR="00AF5AA9">
        <w:t xml:space="preserve"> (hard and soft) by health systems, and (b) </w:t>
      </w:r>
      <w:r w:rsidR="007B5B4C">
        <w:t xml:space="preserve">current and future health and healthcare trends (spending, life expectancy </w:t>
      </w:r>
      <w:proofErr w:type="spellStart"/>
      <w:r w:rsidR="007B5B4C">
        <w:t>etc</w:t>
      </w:r>
      <w:proofErr w:type="spellEnd"/>
      <w:r w:rsidR="007B5B4C">
        <w:t>)</w:t>
      </w:r>
      <w:r>
        <w:t xml:space="preserve"> have been commissioned, and the group will be apprised of progress</w:t>
      </w:r>
      <w:r w:rsidR="007B5B4C">
        <w:t xml:space="preserve"> on both</w:t>
      </w:r>
      <w:r>
        <w:t xml:space="preserve"> and asked to provide feedback;</w:t>
      </w:r>
    </w:p>
    <w:p w14:paraId="307FEA04" w14:textId="17D760EB" w:rsidR="007573C2" w:rsidRDefault="007573C2" w:rsidP="00152A0A">
      <w:pPr>
        <w:numPr>
          <w:ilvl w:val="0"/>
          <w:numId w:val="16"/>
        </w:numPr>
      </w:pPr>
      <w:r>
        <w:t>to consider what outcome the group should produce</w:t>
      </w:r>
      <w:r w:rsidR="00152A0A">
        <w:t xml:space="preserve"> for the June 2018</w:t>
      </w:r>
      <w:r>
        <w:t xml:space="preserve"> </w:t>
      </w:r>
      <w:r w:rsidR="00510AB4">
        <w:t xml:space="preserve">Tallinn Charter </w:t>
      </w:r>
      <w:r w:rsidR="00152A0A">
        <w:t>meeting,</w:t>
      </w:r>
      <w:r w:rsidR="00152A0A" w:rsidRPr="00152A0A">
        <w:t xml:space="preserve"> </w:t>
      </w:r>
      <w:r w:rsidR="00152A0A">
        <w:t>including what sources of input are needed and how the group can most effectively work together over the coming months</w:t>
      </w:r>
      <w:r w:rsidR="00686D10">
        <w:t>;</w:t>
      </w:r>
      <w:r w:rsidR="00152A0A">
        <w:t xml:space="preserve"> and</w:t>
      </w:r>
    </w:p>
    <w:p w14:paraId="0563E493" w14:textId="30B68845" w:rsidR="00152A0A" w:rsidRDefault="00152A0A" w:rsidP="00152A0A">
      <w:pPr>
        <w:numPr>
          <w:ilvl w:val="0"/>
          <w:numId w:val="16"/>
        </w:numPr>
      </w:pPr>
      <w:proofErr w:type="gramStart"/>
      <w:r>
        <w:t>following</w:t>
      </w:r>
      <w:proofErr w:type="gramEnd"/>
      <w:r>
        <w:t xml:space="preserve"> as a recommendation from the first meeting, the group will be invited to reflect on the possibility of developing a platform on the future of health systems in Europe to support Member States after the 2018 Tallinn Charter meeting</w:t>
      </w:r>
      <w:r w:rsidR="001A1F05">
        <w:t>.</w:t>
      </w:r>
    </w:p>
    <w:p w14:paraId="022D7B6F" w14:textId="77777777" w:rsidR="00152A0A" w:rsidRDefault="00152A0A" w:rsidP="007573C2"/>
    <w:p w14:paraId="5EA9B706" w14:textId="67F406BC" w:rsidR="00F904CC" w:rsidRDefault="00A4575C" w:rsidP="000B170B">
      <w:r>
        <w:t>Participation in this meeting is by invitation, and on a personal basis.  The working language of the group will be English.</w:t>
      </w:r>
    </w:p>
    <w:p w14:paraId="2FDF4EE0" w14:textId="16FBF473" w:rsidR="00F904CC" w:rsidRPr="00F80E2D" w:rsidRDefault="00E31F60" w:rsidP="00E31F60">
      <w:pPr>
        <w:pStyle w:val="Heading1"/>
        <w:rPr>
          <w:szCs w:val="22"/>
        </w:rPr>
      </w:pPr>
      <w:r w:rsidRPr="00F80E2D">
        <w:rPr>
          <w:szCs w:val="22"/>
        </w:rPr>
        <w:t>Additional material</w:t>
      </w:r>
    </w:p>
    <w:p w14:paraId="2A3C7FA1" w14:textId="682865EF" w:rsidR="00810A55" w:rsidRPr="005D39C8" w:rsidRDefault="00810A55" w:rsidP="00810A55">
      <w:pPr>
        <w:pStyle w:val="ListParagraph"/>
        <w:numPr>
          <w:ilvl w:val="0"/>
          <w:numId w:val="20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Whitty CJM (2017). Triumphs and challenges in a world shaped by medicine. </w:t>
      </w:r>
      <w:proofErr w:type="spellStart"/>
      <w:r w:rsidRPr="005D39C8">
        <w:rPr>
          <w:rFonts w:cs="Arial"/>
          <w:color w:val="222222"/>
          <w:sz w:val="18"/>
          <w:szCs w:val="18"/>
          <w:shd w:val="clear" w:color="auto" w:fill="FFFFFF"/>
        </w:rPr>
        <w:t>Harveian</w:t>
      </w:r>
      <w:proofErr w:type="spellEnd"/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Oration Wednesday 18 October 2017, Royal College of Physicians. RCP; London.</w:t>
      </w:r>
    </w:p>
    <w:p w14:paraId="4CC8AB9C" w14:textId="77777777" w:rsidR="00810A55" w:rsidRPr="005D39C8" w:rsidRDefault="00810A55" w:rsidP="00810A55">
      <w:pPr>
        <w:pStyle w:val="ListParagraph"/>
        <w:numPr>
          <w:ilvl w:val="0"/>
          <w:numId w:val="20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Crisp LN et al (2014). </w:t>
      </w:r>
      <w:r w:rsidRPr="005D39C8">
        <w:rPr>
          <w:rFonts w:cs="Arial"/>
          <w:i/>
          <w:iCs/>
          <w:color w:val="222222"/>
          <w:sz w:val="18"/>
          <w:szCs w:val="18"/>
          <w:shd w:val="clear" w:color="auto" w:fill="FFFFFF"/>
        </w:rPr>
        <w:t>The Future for Health</w:t>
      </w: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. </w:t>
      </w:r>
      <w:proofErr w:type="spellStart"/>
      <w:r w:rsidRPr="005D39C8">
        <w:rPr>
          <w:rFonts w:cs="Arial"/>
          <w:color w:val="222222"/>
          <w:sz w:val="18"/>
          <w:szCs w:val="18"/>
          <w:shd w:val="clear" w:color="auto" w:fill="FFFFFF"/>
        </w:rPr>
        <w:t>Calouste</w:t>
      </w:r>
      <w:proofErr w:type="spellEnd"/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5D39C8">
        <w:rPr>
          <w:rFonts w:cs="Arial"/>
          <w:color w:val="222222"/>
          <w:sz w:val="18"/>
          <w:szCs w:val="18"/>
          <w:shd w:val="clear" w:color="auto" w:fill="FFFFFF"/>
        </w:rPr>
        <w:t>Gulbenkian</w:t>
      </w:r>
      <w:proofErr w:type="spellEnd"/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Foundation. Lisbon, Portugal. available at: </w:t>
      </w:r>
      <w:hyperlink r:id="rId11" w:history="1">
        <w:r w:rsidRPr="005D39C8">
          <w:rPr>
            <w:rStyle w:val="Hyperlink"/>
            <w:rFonts w:cs="Arial"/>
            <w:sz w:val="18"/>
            <w:szCs w:val="18"/>
            <w:shd w:val="clear" w:color="auto" w:fill="FFFFFF"/>
          </w:rPr>
          <w:t>https://gulbenkian.pt/wp-content/uploads/2016/03/Full-Report-The-Future-for-Health.pdf</w:t>
        </w:r>
      </w:hyperlink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</w:t>
      </w:r>
    </w:p>
    <w:p w14:paraId="562F98DE" w14:textId="77777777" w:rsidR="00810A55" w:rsidRPr="005D39C8" w:rsidRDefault="00810A55" w:rsidP="00810A55">
      <w:pPr>
        <w:pStyle w:val="ListParagraph"/>
        <w:numPr>
          <w:ilvl w:val="0"/>
          <w:numId w:val="20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WEF (2013). World Economic Forum 2013. Sustainable Health Systems Visions, Strategies, Critical Uncertainties and Scenarios. available at: </w:t>
      </w:r>
      <w:hyperlink r:id="rId12" w:history="1">
        <w:r w:rsidRPr="005D39C8">
          <w:rPr>
            <w:rStyle w:val="Hyperlink"/>
            <w:rFonts w:cs="Arial"/>
            <w:sz w:val="18"/>
            <w:szCs w:val="18"/>
            <w:shd w:val="clear" w:color="auto" w:fill="FFFFFF"/>
          </w:rPr>
          <w:t>https://www.weforum.org/reports/sustainable-health-systems-visions-strategies-critical-uncertainties-and-scenarios/</w:t>
        </w:r>
      </w:hyperlink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</w:t>
      </w:r>
    </w:p>
    <w:p w14:paraId="41DB677C" w14:textId="77777777" w:rsidR="00810A55" w:rsidRPr="005D39C8" w:rsidRDefault="00810A55" w:rsidP="006565CD">
      <w:pPr>
        <w:pStyle w:val="ListParagraph"/>
        <w:numPr>
          <w:ilvl w:val="0"/>
          <w:numId w:val="20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Wild C, Torgersen H (2000). Foresight in medicine: Lessons from three European Delphi studies. </w:t>
      </w:r>
      <w:r w:rsidRPr="005D39C8">
        <w:rPr>
          <w:rFonts w:cs="Arial"/>
          <w:i/>
          <w:iCs/>
          <w:color w:val="222222"/>
          <w:sz w:val="18"/>
          <w:szCs w:val="18"/>
          <w:shd w:val="clear" w:color="auto" w:fill="FFFFFF"/>
        </w:rPr>
        <w:t>European Journal of Public Health</w:t>
      </w: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 10(2): 114–119.</w:t>
      </w:r>
    </w:p>
    <w:p w14:paraId="0A1978BA" w14:textId="191DE08F" w:rsidR="007979FF" w:rsidRPr="005D39C8" w:rsidRDefault="006565CD" w:rsidP="006565CD">
      <w:pPr>
        <w:pStyle w:val="ListParagraph"/>
        <w:numPr>
          <w:ilvl w:val="0"/>
          <w:numId w:val="20"/>
        </w:numPr>
        <w:rPr>
          <w:rFonts w:cs="Arial"/>
          <w:color w:val="222222"/>
          <w:sz w:val="18"/>
          <w:szCs w:val="18"/>
          <w:shd w:val="clear" w:color="auto" w:fill="FFFFFF"/>
        </w:rPr>
      </w:pPr>
      <w:r w:rsidRPr="005D39C8">
        <w:rPr>
          <w:sz w:val="18"/>
          <w:szCs w:val="18"/>
        </w:rPr>
        <w:t xml:space="preserve">Smith R (1997). </w:t>
      </w:r>
      <w:r w:rsidR="007979FF" w:rsidRPr="005D39C8">
        <w:rPr>
          <w:sz w:val="18"/>
          <w:szCs w:val="18"/>
        </w:rPr>
        <w:t>On future challenges for European health systems:</w:t>
      </w:r>
      <w:r w:rsidR="00F67953" w:rsidRPr="005D39C8">
        <w:rPr>
          <w:sz w:val="18"/>
          <w:szCs w:val="18"/>
        </w:rPr>
        <w:t xml:space="preserve"> </w:t>
      </w:r>
      <w:r w:rsidR="00F67953" w:rsidRPr="005D39C8">
        <w:rPr>
          <w:rFonts w:cs="Arial"/>
          <w:color w:val="222222"/>
          <w:sz w:val="18"/>
          <w:szCs w:val="18"/>
          <w:shd w:val="clear" w:color="auto" w:fill="FFFFFF"/>
        </w:rPr>
        <w:t>The future of healthcare systems. </w:t>
      </w:r>
      <w:r w:rsidR="00F67953" w:rsidRPr="005D39C8">
        <w:rPr>
          <w:rFonts w:cs="Arial"/>
          <w:i/>
          <w:iCs/>
          <w:color w:val="222222"/>
          <w:sz w:val="18"/>
          <w:szCs w:val="18"/>
        </w:rPr>
        <w:t xml:space="preserve"> British Medical Journal</w:t>
      </w:r>
      <w:r w:rsidR="00F67953" w:rsidRPr="005D39C8">
        <w:rPr>
          <w:rFonts w:cs="Arial"/>
          <w:color w:val="222222"/>
          <w:sz w:val="18"/>
          <w:szCs w:val="18"/>
          <w:shd w:val="clear" w:color="auto" w:fill="FFFFFF"/>
        </w:rPr>
        <w:t> </w:t>
      </w:r>
      <w:r w:rsidR="00F67953" w:rsidRPr="005D39C8">
        <w:rPr>
          <w:rFonts w:cs="Arial"/>
          <w:color w:val="222222"/>
          <w:sz w:val="18"/>
          <w:szCs w:val="18"/>
        </w:rPr>
        <w:t>314</w:t>
      </w:r>
      <w:r w:rsidR="00F67953" w:rsidRPr="005D39C8">
        <w:rPr>
          <w:rFonts w:cs="Arial"/>
          <w:color w:val="222222"/>
          <w:sz w:val="18"/>
          <w:szCs w:val="18"/>
          <w:shd w:val="clear" w:color="auto" w:fill="FFFFFF"/>
        </w:rPr>
        <w:t>(7093)</w:t>
      </w:r>
      <w:r w:rsidRPr="005D39C8">
        <w:rPr>
          <w:rFonts w:cs="Arial"/>
          <w:color w:val="222222"/>
          <w:sz w:val="18"/>
          <w:szCs w:val="18"/>
          <w:shd w:val="clear" w:color="auto" w:fill="FFFFFF"/>
        </w:rPr>
        <w:t xml:space="preserve">: </w:t>
      </w:r>
      <w:r w:rsidR="00F67953" w:rsidRPr="005D39C8">
        <w:rPr>
          <w:rFonts w:cs="Arial"/>
          <w:color w:val="222222"/>
          <w:sz w:val="18"/>
          <w:szCs w:val="18"/>
          <w:shd w:val="clear" w:color="auto" w:fill="FFFFFF"/>
        </w:rPr>
        <w:t>1495.</w:t>
      </w:r>
    </w:p>
    <w:p w14:paraId="5056C927" w14:textId="77777777" w:rsidR="005408C0" w:rsidRPr="005D39C8" w:rsidRDefault="005408C0" w:rsidP="00E31F60">
      <w:pPr>
        <w:rPr>
          <w:rFonts w:cs="Arial"/>
          <w:color w:val="222222"/>
          <w:sz w:val="18"/>
          <w:szCs w:val="18"/>
          <w:shd w:val="clear" w:color="auto" w:fill="FFFFFF"/>
        </w:rPr>
      </w:pPr>
    </w:p>
    <w:p w14:paraId="50137F00" w14:textId="03F378EF" w:rsidR="00E31F60" w:rsidRPr="005D39C8" w:rsidRDefault="00E31F60" w:rsidP="00E31F60">
      <w:pPr>
        <w:rPr>
          <w:sz w:val="18"/>
          <w:szCs w:val="18"/>
        </w:rPr>
      </w:pPr>
      <w:r w:rsidRPr="005D39C8">
        <w:rPr>
          <w:i/>
          <w:iCs/>
          <w:sz w:val="18"/>
          <w:szCs w:val="18"/>
        </w:rPr>
        <w:t>On Foresight processes</w:t>
      </w:r>
      <w:r w:rsidRPr="005D39C8">
        <w:rPr>
          <w:sz w:val="18"/>
          <w:szCs w:val="18"/>
        </w:rPr>
        <w:t>:</w:t>
      </w:r>
    </w:p>
    <w:p w14:paraId="5ADDA443" w14:textId="76EA17F7" w:rsidR="00E31F60" w:rsidRPr="005D39C8" w:rsidRDefault="007979FF" w:rsidP="00E31F60">
      <w:pPr>
        <w:numPr>
          <w:ilvl w:val="0"/>
          <w:numId w:val="19"/>
        </w:numPr>
        <w:rPr>
          <w:sz w:val="18"/>
          <w:szCs w:val="18"/>
        </w:rPr>
      </w:pPr>
      <w:r w:rsidRPr="005D39C8">
        <w:rPr>
          <w:sz w:val="18"/>
          <w:szCs w:val="18"/>
        </w:rPr>
        <w:t xml:space="preserve">The FOR-LEARN project: </w:t>
      </w:r>
      <w:hyperlink r:id="rId13" w:history="1">
        <w:r w:rsidRPr="005D39C8">
          <w:rPr>
            <w:rStyle w:val="Hyperlink"/>
            <w:sz w:val="18"/>
            <w:szCs w:val="18"/>
          </w:rPr>
          <w:t>http://forlearn.jrc.ec.europa.eu/guide/3_scoping/index.htm</w:t>
        </w:r>
      </w:hyperlink>
      <w:r w:rsidRPr="005D39C8">
        <w:rPr>
          <w:sz w:val="18"/>
          <w:szCs w:val="18"/>
        </w:rPr>
        <w:t xml:space="preserve">; </w:t>
      </w:r>
    </w:p>
    <w:p w14:paraId="648DCF65" w14:textId="266AEAE1" w:rsidR="007979FF" w:rsidRPr="005D39C8" w:rsidRDefault="007979FF" w:rsidP="000D06E9">
      <w:pPr>
        <w:numPr>
          <w:ilvl w:val="0"/>
          <w:numId w:val="19"/>
        </w:numPr>
        <w:rPr>
          <w:sz w:val="18"/>
          <w:szCs w:val="18"/>
        </w:rPr>
      </w:pPr>
      <w:r w:rsidRPr="005D39C8">
        <w:rPr>
          <w:sz w:val="18"/>
          <w:szCs w:val="18"/>
        </w:rPr>
        <w:t xml:space="preserve">The Handbook of Knowledge Society Foresight: </w:t>
      </w:r>
      <w:hyperlink r:id="rId14" w:history="1">
        <w:r w:rsidRPr="005D39C8">
          <w:rPr>
            <w:rStyle w:val="Hyperlink"/>
            <w:sz w:val="18"/>
            <w:szCs w:val="18"/>
          </w:rPr>
          <w:t>https://www.eurofound.europa.eu/publications/2003/handbook-of-knowledge-society-foresight</w:t>
        </w:r>
      </w:hyperlink>
    </w:p>
    <w:p w14:paraId="43541217" w14:textId="61C8A701" w:rsidR="00220322" w:rsidRDefault="00220322" w:rsidP="00FA4113"/>
    <w:sectPr w:rsidR="00220322" w:rsidSect="003D2F16">
      <w:headerReference w:type="even" r:id="rId15"/>
      <w:headerReference w:type="default" r:id="rId16"/>
      <w:footerReference w:type="first" r:id="rId17"/>
      <w:pgSz w:w="11907" w:h="16840" w:code="9"/>
      <w:pgMar w:top="1134" w:right="1276" w:bottom="1134" w:left="1276" w:header="567" w:footer="284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E93B01" w15:done="0"/>
  <w15:commentEx w15:paraId="7FFBDD4B" w15:paraIdParent="3CE93B01" w15:done="0"/>
  <w15:commentEx w15:paraId="1C46A2DD" w15:done="0"/>
  <w15:commentEx w15:paraId="67F841E9" w15:paraIdParent="1C46A2DD" w15:done="0"/>
  <w15:commentEx w15:paraId="74FC2F36" w15:done="0"/>
  <w15:commentEx w15:paraId="31CC1CCC" w15:paraIdParent="74FC2F36" w15:done="0"/>
  <w15:commentEx w15:paraId="0EA5AD49" w15:done="0"/>
  <w15:commentEx w15:paraId="27F373BD" w15:paraIdParent="0EA5AD49" w15:done="0"/>
  <w15:commentEx w15:paraId="570F1D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FECD5" w14:textId="77777777" w:rsidR="002467C0" w:rsidRDefault="002467C0">
      <w:r>
        <w:separator/>
      </w:r>
    </w:p>
  </w:endnote>
  <w:endnote w:type="continuationSeparator" w:id="0">
    <w:p w14:paraId="6C409050" w14:textId="77777777" w:rsidR="002467C0" w:rsidRDefault="0024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C9885" w14:textId="7E588449" w:rsidR="00DA77DF" w:rsidRPr="00DA77DF" w:rsidRDefault="00DA77DF" w:rsidP="00DA77DF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143A6" w14:textId="77777777" w:rsidR="002467C0" w:rsidRDefault="002467C0">
      <w:r>
        <w:separator/>
      </w:r>
    </w:p>
  </w:footnote>
  <w:footnote w:type="continuationSeparator" w:id="0">
    <w:p w14:paraId="24376302" w14:textId="77777777" w:rsidR="002467C0" w:rsidRDefault="002467C0">
      <w:r>
        <w:continuationSeparator/>
      </w:r>
    </w:p>
  </w:footnote>
  <w:footnote w:id="1">
    <w:p w14:paraId="3F684497" w14:textId="215D6528" w:rsidR="00E2157D" w:rsidRPr="00E2157D" w:rsidRDefault="00E2157D" w:rsidP="006565C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1E1DAB" w:rsidRPr="00B33451">
          <w:rPr>
            <w:rStyle w:val="Hyperlink"/>
            <w:lang w:val="en-US"/>
          </w:rPr>
          <w:t>http://www.euro.who.int/__data/assets/pdf_file/0008/88613/E91438.pdf</w:t>
        </w:r>
      </w:hyperlink>
    </w:p>
  </w:footnote>
  <w:footnote w:id="2">
    <w:p w14:paraId="44E6136A" w14:textId="4BA903E2" w:rsidR="00344581" w:rsidRPr="00344581" w:rsidRDefault="00344581" w:rsidP="001E1D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1E1DAB" w:rsidRPr="00B33451">
          <w:rPr>
            <w:rStyle w:val="Hyperlink"/>
            <w:lang w:val="en-US"/>
          </w:rPr>
          <w:t>https://www.uhc2030.org/</w:t>
        </w:r>
      </w:hyperlink>
      <w:r w:rsidR="001E1DAB">
        <w:rPr>
          <w:lang w:val="en-US"/>
        </w:rPr>
        <w:t xml:space="preserve"> </w:t>
      </w:r>
    </w:p>
  </w:footnote>
  <w:footnote w:id="3">
    <w:p w14:paraId="2F5F6B0A" w14:textId="2FAD2738" w:rsidR="00344581" w:rsidRPr="00344581" w:rsidRDefault="00344581" w:rsidP="001E1D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1E1DAB" w:rsidRPr="00B33451">
          <w:rPr>
            <w:rStyle w:val="Hyperlink"/>
            <w:lang w:val="en-US"/>
          </w:rPr>
          <w:t>https://sustainabledevelopment.un.org/post2015/transformingourworld</w:t>
        </w:r>
      </w:hyperlink>
      <w:r w:rsidR="001E1DAB">
        <w:rPr>
          <w:lang w:val="en-US"/>
        </w:rPr>
        <w:t xml:space="preserve"> </w:t>
      </w:r>
    </w:p>
  </w:footnote>
  <w:footnote w:id="4">
    <w:p w14:paraId="565D2AEA" w14:textId="436E828B" w:rsidR="00F01E8B" w:rsidRPr="00F01E8B" w:rsidRDefault="00F01E8B" w:rsidP="00462E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462E1F" w:rsidRPr="00B33451">
          <w:rPr>
            <w:rStyle w:val="Hyperlink"/>
            <w:lang w:val="en-US"/>
          </w:rPr>
          <w:t>http://www.euro.who.int/__data/assets/pdf_file/0011/199532/Health2020-Long.pdf</w:t>
        </w:r>
      </w:hyperlink>
      <w:r w:rsidR="00462E1F">
        <w:rPr>
          <w:lang w:val="en-US"/>
        </w:rPr>
        <w:t xml:space="preserve"> </w:t>
      </w:r>
    </w:p>
  </w:footnote>
  <w:footnote w:id="5">
    <w:p w14:paraId="487B19DE" w14:textId="77777777" w:rsidR="009D2392" w:rsidRPr="009D2392" w:rsidRDefault="009D2392" w:rsidP="009D239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9D2392">
        <w:t>European Commission Joint Research Centre.</w:t>
      </w:r>
      <w:proofErr w:type="gramEnd"/>
      <w:r w:rsidRPr="009D2392">
        <w:t xml:space="preserve"> </w:t>
      </w:r>
      <w:proofErr w:type="gramStart"/>
      <w:r w:rsidRPr="009D2392">
        <w:t>FOR-LEARN.</w:t>
      </w:r>
      <w:proofErr w:type="gramEnd"/>
      <w:r w:rsidRPr="009D2392">
        <w:t xml:space="preserve"> Brussels: European Commission,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F1CCE" w14:textId="5EEA1420" w:rsidR="006E4071" w:rsidRPr="003D2F16" w:rsidRDefault="000B170B">
    <w:pPr>
      <w:pStyle w:val="Header"/>
      <w:rPr>
        <w:rFonts w:cs="Arial"/>
        <w:sz w:val="18"/>
        <w:szCs w:val="18"/>
      </w:rPr>
    </w:pPr>
    <w:r>
      <w:rPr>
        <w:rFonts w:cs="Arial"/>
        <w:sz w:val="18"/>
        <w:szCs w:val="18"/>
      </w:rPr>
      <w:t>Scope and purpose</w:t>
    </w:r>
  </w:p>
  <w:p w14:paraId="12B0AC08" w14:textId="26F972BC" w:rsidR="006E4071" w:rsidRPr="00DA77DF" w:rsidRDefault="00DA77DF">
    <w:pPr>
      <w:pStyle w:val="Header"/>
      <w:rPr>
        <w:rStyle w:val="PageNumber"/>
        <w:rFonts w:cs="Arial"/>
        <w:sz w:val="18"/>
        <w:szCs w:val="18"/>
      </w:rPr>
    </w:pPr>
    <w:r w:rsidRPr="00DA77DF">
      <w:rPr>
        <w:rFonts w:cs="Arial"/>
        <w:sz w:val="18"/>
        <w:szCs w:val="18"/>
      </w:rPr>
      <w:t xml:space="preserve">Page </w:t>
    </w:r>
    <w:r w:rsidRPr="00DA77DF">
      <w:rPr>
        <w:rFonts w:cs="Arial"/>
        <w:sz w:val="18"/>
        <w:szCs w:val="18"/>
      </w:rPr>
      <w:fldChar w:fldCharType="begin"/>
    </w:r>
    <w:r w:rsidRPr="00DA77DF">
      <w:rPr>
        <w:rFonts w:cs="Arial"/>
        <w:sz w:val="18"/>
        <w:szCs w:val="18"/>
      </w:rPr>
      <w:instrText xml:space="preserve"> PAGE </w:instrText>
    </w:r>
    <w:r w:rsidRPr="00DA77DF">
      <w:rPr>
        <w:rFonts w:cs="Arial"/>
        <w:sz w:val="18"/>
        <w:szCs w:val="18"/>
      </w:rPr>
      <w:fldChar w:fldCharType="separate"/>
    </w:r>
    <w:r w:rsidR="00FD4524">
      <w:rPr>
        <w:rFonts w:cs="Arial"/>
        <w:noProof/>
        <w:sz w:val="18"/>
        <w:szCs w:val="18"/>
      </w:rPr>
      <w:t>2</w:t>
    </w:r>
    <w:r w:rsidRPr="00DA77DF">
      <w:rPr>
        <w:rFonts w:cs="Arial"/>
        <w:sz w:val="18"/>
        <w:szCs w:val="18"/>
      </w:rPr>
      <w:fldChar w:fldCharType="end"/>
    </w:r>
    <w:r w:rsidRPr="00DA77DF">
      <w:rPr>
        <w:rFonts w:cs="Arial"/>
        <w:sz w:val="18"/>
        <w:szCs w:val="18"/>
      </w:rPr>
      <w:t xml:space="preserve"> of </w:t>
    </w:r>
    <w:r w:rsidRPr="00DA77DF">
      <w:rPr>
        <w:rFonts w:cs="Arial"/>
        <w:sz w:val="18"/>
        <w:szCs w:val="18"/>
      </w:rPr>
      <w:fldChar w:fldCharType="begin"/>
    </w:r>
    <w:r w:rsidRPr="00DA77DF">
      <w:rPr>
        <w:rFonts w:cs="Arial"/>
        <w:sz w:val="18"/>
        <w:szCs w:val="18"/>
      </w:rPr>
      <w:instrText xml:space="preserve"> NUMPAGES </w:instrText>
    </w:r>
    <w:r w:rsidRPr="00DA77DF">
      <w:rPr>
        <w:rFonts w:cs="Arial"/>
        <w:sz w:val="18"/>
        <w:szCs w:val="18"/>
      </w:rPr>
      <w:fldChar w:fldCharType="separate"/>
    </w:r>
    <w:r w:rsidR="00FD4524">
      <w:rPr>
        <w:rFonts w:cs="Arial"/>
        <w:noProof/>
        <w:sz w:val="18"/>
        <w:szCs w:val="18"/>
      </w:rPr>
      <w:t>2</w:t>
    </w:r>
    <w:r w:rsidRPr="00DA77DF">
      <w:rPr>
        <w:rFonts w:cs="Arial"/>
        <w:sz w:val="18"/>
        <w:szCs w:val="18"/>
      </w:rPr>
      <w:fldChar w:fldCharType="end"/>
    </w:r>
  </w:p>
  <w:p w14:paraId="1EC4744B" w14:textId="77777777" w:rsidR="006E4071" w:rsidRPr="003D2F16" w:rsidRDefault="006E4071">
    <w:pPr>
      <w:pStyle w:val="Header"/>
      <w:rPr>
        <w:rStyle w:val="PageNumber"/>
        <w:rFonts w:cs="Arial"/>
        <w:sz w:val="18"/>
        <w:szCs w:val="18"/>
      </w:rPr>
    </w:pPr>
  </w:p>
  <w:p w14:paraId="71AE1C5D" w14:textId="77777777" w:rsidR="006E4071" w:rsidRPr="003D2F16" w:rsidRDefault="006E4071">
    <w:pPr>
      <w:pStyle w:val="Header"/>
      <w:rPr>
        <w:rStyle w:val="PageNumber"/>
        <w:rFonts w:cs="Arial"/>
        <w:sz w:val="18"/>
        <w:szCs w:val="18"/>
      </w:rPr>
    </w:pPr>
  </w:p>
  <w:p w14:paraId="3F8301B0" w14:textId="77777777" w:rsidR="006E4071" w:rsidRPr="003D2F16" w:rsidRDefault="006E4071">
    <w:pPr>
      <w:pStyle w:val="Head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71FE6" w14:textId="77777777" w:rsidR="006E4071" w:rsidRPr="003D2F16" w:rsidRDefault="006E4071" w:rsidP="003D2F16">
    <w:pPr>
      <w:pStyle w:val="Header"/>
      <w:jc w:val="right"/>
      <w:rPr>
        <w:rFonts w:cs="Arial"/>
        <w:sz w:val="18"/>
        <w:szCs w:val="18"/>
      </w:rPr>
    </w:pPr>
    <w:r w:rsidRPr="003D2F16">
      <w:rPr>
        <w:rFonts w:cs="Arial"/>
        <w:sz w:val="18"/>
        <w:szCs w:val="18"/>
      </w:rPr>
      <w:t>Provisional agenda</w:t>
    </w:r>
  </w:p>
  <w:p w14:paraId="697F785E" w14:textId="77777777" w:rsidR="006E4071" w:rsidRPr="003D2F16" w:rsidRDefault="006E4071" w:rsidP="003D2F16">
    <w:pPr>
      <w:pStyle w:val="Header"/>
      <w:jc w:val="right"/>
      <w:rPr>
        <w:rStyle w:val="PageNumber"/>
        <w:rFonts w:cs="Arial"/>
        <w:sz w:val="18"/>
        <w:szCs w:val="18"/>
      </w:rPr>
    </w:pPr>
    <w:r w:rsidRPr="003D2F16">
      <w:rPr>
        <w:rFonts w:cs="Arial"/>
        <w:sz w:val="18"/>
        <w:szCs w:val="18"/>
      </w:rPr>
      <w:t xml:space="preserve">Page </w:t>
    </w:r>
    <w:r w:rsidRPr="003D2F16">
      <w:rPr>
        <w:rStyle w:val="PageNumber"/>
        <w:rFonts w:cs="Arial"/>
        <w:sz w:val="18"/>
        <w:szCs w:val="18"/>
      </w:rPr>
      <w:fldChar w:fldCharType="begin"/>
    </w:r>
    <w:r w:rsidRPr="003D2F16">
      <w:rPr>
        <w:rStyle w:val="PageNumber"/>
        <w:rFonts w:cs="Arial"/>
        <w:sz w:val="18"/>
        <w:szCs w:val="18"/>
      </w:rPr>
      <w:instrText xml:space="preserve"> PAGE </w:instrText>
    </w:r>
    <w:r w:rsidRPr="003D2F16">
      <w:rPr>
        <w:rStyle w:val="PageNumber"/>
        <w:rFonts w:cs="Arial"/>
        <w:sz w:val="18"/>
        <w:szCs w:val="18"/>
      </w:rPr>
      <w:fldChar w:fldCharType="separate"/>
    </w:r>
    <w:r w:rsidR="005D39C8">
      <w:rPr>
        <w:rStyle w:val="PageNumber"/>
        <w:rFonts w:cs="Arial"/>
        <w:noProof/>
        <w:sz w:val="18"/>
        <w:szCs w:val="18"/>
      </w:rPr>
      <w:t>3</w:t>
    </w:r>
    <w:r w:rsidRPr="003D2F16">
      <w:rPr>
        <w:rStyle w:val="PageNumber"/>
        <w:rFonts w:cs="Arial"/>
        <w:sz w:val="18"/>
        <w:szCs w:val="18"/>
      </w:rPr>
      <w:fldChar w:fldCharType="end"/>
    </w:r>
  </w:p>
  <w:p w14:paraId="5A39A8BB" w14:textId="77777777" w:rsidR="006E4071" w:rsidRPr="003D2F16" w:rsidRDefault="006E4071" w:rsidP="003D2F16">
    <w:pPr>
      <w:pStyle w:val="Header"/>
      <w:jc w:val="right"/>
      <w:rPr>
        <w:rStyle w:val="PageNumber"/>
        <w:rFonts w:cs="Arial"/>
        <w:sz w:val="18"/>
        <w:szCs w:val="18"/>
      </w:rPr>
    </w:pPr>
  </w:p>
  <w:p w14:paraId="710AEE10" w14:textId="77777777" w:rsidR="006E4071" w:rsidRPr="003D2F16" w:rsidRDefault="006E4071" w:rsidP="003D2F16">
    <w:pPr>
      <w:pStyle w:val="Header"/>
      <w:jc w:val="right"/>
      <w:rPr>
        <w:rStyle w:val="PageNumber"/>
        <w:rFonts w:cs="Arial"/>
        <w:sz w:val="18"/>
        <w:szCs w:val="18"/>
      </w:rPr>
    </w:pPr>
  </w:p>
  <w:p w14:paraId="4B5BDDBD" w14:textId="77777777" w:rsidR="006E4071" w:rsidRPr="003D2F16" w:rsidRDefault="006E4071" w:rsidP="003D2F16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10D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B76C2"/>
    <w:multiLevelType w:val="hybridMultilevel"/>
    <w:tmpl w:val="7BE0E53A"/>
    <w:lvl w:ilvl="0" w:tplc="08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>
    <w:nsid w:val="1E765066"/>
    <w:multiLevelType w:val="hybridMultilevel"/>
    <w:tmpl w:val="2B64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F152E"/>
    <w:multiLevelType w:val="hybridMultilevel"/>
    <w:tmpl w:val="A4D0310E"/>
    <w:lvl w:ilvl="0" w:tplc="67582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46D98"/>
    <w:multiLevelType w:val="hybridMultilevel"/>
    <w:tmpl w:val="704A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20EC9"/>
    <w:multiLevelType w:val="hybridMultilevel"/>
    <w:tmpl w:val="ED6CF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524F1"/>
    <w:multiLevelType w:val="hybridMultilevel"/>
    <w:tmpl w:val="61DA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66ED3"/>
    <w:multiLevelType w:val="hybridMultilevel"/>
    <w:tmpl w:val="0EF2D8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D18AF"/>
    <w:multiLevelType w:val="hybridMultilevel"/>
    <w:tmpl w:val="B8AC2C52"/>
    <w:lvl w:ilvl="0" w:tplc="2F80B0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177C4"/>
    <w:multiLevelType w:val="hybridMultilevel"/>
    <w:tmpl w:val="F396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03836"/>
    <w:multiLevelType w:val="hybridMultilevel"/>
    <w:tmpl w:val="4A7E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93202"/>
    <w:multiLevelType w:val="hybridMultilevel"/>
    <w:tmpl w:val="BA689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B2D8C"/>
    <w:multiLevelType w:val="hybridMultilevel"/>
    <w:tmpl w:val="32B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E460D"/>
    <w:multiLevelType w:val="singleLevel"/>
    <w:tmpl w:val="343C28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731125E6"/>
    <w:multiLevelType w:val="hybridMultilevel"/>
    <w:tmpl w:val="D032CA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B2916"/>
    <w:multiLevelType w:val="hybridMultilevel"/>
    <w:tmpl w:val="BB16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14"/>
  </w:num>
  <w:num w:numId="11">
    <w:abstractNumId w:val="3"/>
  </w:num>
  <w:num w:numId="12">
    <w:abstractNumId w:val="0"/>
  </w:num>
  <w:num w:numId="13">
    <w:abstractNumId w:val="9"/>
  </w:num>
  <w:num w:numId="14">
    <w:abstractNumId w:val="12"/>
  </w:num>
  <w:num w:numId="15">
    <w:abstractNumId w:val="1"/>
  </w:num>
  <w:num w:numId="16">
    <w:abstractNumId w:val="6"/>
  </w:num>
  <w:num w:numId="17">
    <w:abstractNumId w:val="10"/>
  </w:num>
  <w:num w:numId="18">
    <w:abstractNumId w:val="11"/>
  </w:num>
  <w:num w:numId="19">
    <w:abstractNumId w:val="5"/>
  </w:num>
  <w:num w:numId="20">
    <w:abstractNumId w:val="4"/>
  </w:num>
  <w:num w:numId="21">
    <w:abstractNumId w:val="15"/>
  </w:num>
  <w:num w:numId="22">
    <w:abstractNumId w:val="8"/>
  </w:num>
  <w:num w:numId="23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k Fahy">
    <w15:presenceInfo w15:providerId="None" w15:userId="Nick Fa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E1"/>
    <w:rsid w:val="00006C73"/>
    <w:rsid w:val="00015E72"/>
    <w:rsid w:val="000244BA"/>
    <w:rsid w:val="00025241"/>
    <w:rsid w:val="00052D92"/>
    <w:rsid w:val="00070117"/>
    <w:rsid w:val="00080105"/>
    <w:rsid w:val="000B1454"/>
    <w:rsid w:val="000B170B"/>
    <w:rsid w:val="000C2450"/>
    <w:rsid w:val="000D06E9"/>
    <w:rsid w:val="000D5724"/>
    <w:rsid w:val="000D7F13"/>
    <w:rsid w:val="000E4F10"/>
    <w:rsid w:val="00105CF0"/>
    <w:rsid w:val="00107B42"/>
    <w:rsid w:val="00111AF2"/>
    <w:rsid w:val="00152A0A"/>
    <w:rsid w:val="00155EB0"/>
    <w:rsid w:val="001626D2"/>
    <w:rsid w:val="001637BE"/>
    <w:rsid w:val="00165459"/>
    <w:rsid w:val="00177828"/>
    <w:rsid w:val="001A1F05"/>
    <w:rsid w:val="001C0C5E"/>
    <w:rsid w:val="001E1DAB"/>
    <w:rsid w:val="001F5FC5"/>
    <w:rsid w:val="002148A1"/>
    <w:rsid w:val="0021738E"/>
    <w:rsid w:val="002175CE"/>
    <w:rsid w:val="00220322"/>
    <w:rsid w:val="00226349"/>
    <w:rsid w:val="002467C0"/>
    <w:rsid w:val="00253692"/>
    <w:rsid w:val="002538D4"/>
    <w:rsid w:val="002770D4"/>
    <w:rsid w:val="00286095"/>
    <w:rsid w:val="002930C1"/>
    <w:rsid w:val="002A0AF2"/>
    <w:rsid w:val="002A6A76"/>
    <w:rsid w:val="002B504F"/>
    <w:rsid w:val="002D152A"/>
    <w:rsid w:val="002F297F"/>
    <w:rsid w:val="003013A2"/>
    <w:rsid w:val="00310F6C"/>
    <w:rsid w:val="00314705"/>
    <w:rsid w:val="00344581"/>
    <w:rsid w:val="0035364F"/>
    <w:rsid w:val="00354218"/>
    <w:rsid w:val="0035625F"/>
    <w:rsid w:val="003612BC"/>
    <w:rsid w:val="003641C5"/>
    <w:rsid w:val="003907FA"/>
    <w:rsid w:val="00393381"/>
    <w:rsid w:val="003972DF"/>
    <w:rsid w:val="003B2B8C"/>
    <w:rsid w:val="003B48E6"/>
    <w:rsid w:val="003B65E4"/>
    <w:rsid w:val="003C6CE3"/>
    <w:rsid w:val="003D2F16"/>
    <w:rsid w:val="00401501"/>
    <w:rsid w:val="00405062"/>
    <w:rsid w:val="00420240"/>
    <w:rsid w:val="00432341"/>
    <w:rsid w:val="0043636F"/>
    <w:rsid w:val="00446ACB"/>
    <w:rsid w:val="00462E1F"/>
    <w:rsid w:val="0048257F"/>
    <w:rsid w:val="004902A8"/>
    <w:rsid w:val="00494A6B"/>
    <w:rsid w:val="004A51CA"/>
    <w:rsid w:val="004B1D3B"/>
    <w:rsid w:val="004B32CF"/>
    <w:rsid w:val="004E08AB"/>
    <w:rsid w:val="004E08B3"/>
    <w:rsid w:val="004E1B93"/>
    <w:rsid w:val="0050210B"/>
    <w:rsid w:val="00510AB4"/>
    <w:rsid w:val="005141EA"/>
    <w:rsid w:val="00530473"/>
    <w:rsid w:val="00531D52"/>
    <w:rsid w:val="005408C0"/>
    <w:rsid w:val="00540F53"/>
    <w:rsid w:val="00542262"/>
    <w:rsid w:val="00544088"/>
    <w:rsid w:val="00557A3C"/>
    <w:rsid w:val="00574D75"/>
    <w:rsid w:val="0057599E"/>
    <w:rsid w:val="00583FDD"/>
    <w:rsid w:val="0058499C"/>
    <w:rsid w:val="0059712F"/>
    <w:rsid w:val="005A2B62"/>
    <w:rsid w:val="005D2384"/>
    <w:rsid w:val="005D36FC"/>
    <w:rsid w:val="005D39C8"/>
    <w:rsid w:val="005E05BF"/>
    <w:rsid w:val="005E4BE6"/>
    <w:rsid w:val="006006EC"/>
    <w:rsid w:val="00611828"/>
    <w:rsid w:val="0061784E"/>
    <w:rsid w:val="00625700"/>
    <w:rsid w:val="00625E5A"/>
    <w:rsid w:val="00632B40"/>
    <w:rsid w:val="00646D5B"/>
    <w:rsid w:val="006565CD"/>
    <w:rsid w:val="006608D2"/>
    <w:rsid w:val="006750BE"/>
    <w:rsid w:val="00686D10"/>
    <w:rsid w:val="00687343"/>
    <w:rsid w:val="00690FE0"/>
    <w:rsid w:val="006B3873"/>
    <w:rsid w:val="006C27FB"/>
    <w:rsid w:val="006D2633"/>
    <w:rsid w:val="006D31F1"/>
    <w:rsid w:val="006D4B28"/>
    <w:rsid w:val="006E4071"/>
    <w:rsid w:val="006E478D"/>
    <w:rsid w:val="006F4638"/>
    <w:rsid w:val="006F6177"/>
    <w:rsid w:val="007244A1"/>
    <w:rsid w:val="00733A19"/>
    <w:rsid w:val="0074410F"/>
    <w:rsid w:val="007573C2"/>
    <w:rsid w:val="00776320"/>
    <w:rsid w:val="00782C22"/>
    <w:rsid w:val="00784814"/>
    <w:rsid w:val="007979FF"/>
    <w:rsid w:val="007B5B4C"/>
    <w:rsid w:val="007B6A27"/>
    <w:rsid w:val="007C1AFB"/>
    <w:rsid w:val="007F4883"/>
    <w:rsid w:val="00806C71"/>
    <w:rsid w:val="00810A55"/>
    <w:rsid w:val="00814D53"/>
    <w:rsid w:val="00822323"/>
    <w:rsid w:val="00824BC1"/>
    <w:rsid w:val="00825E45"/>
    <w:rsid w:val="00857AA4"/>
    <w:rsid w:val="00862A63"/>
    <w:rsid w:val="00887002"/>
    <w:rsid w:val="008A15E4"/>
    <w:rsid w:val="008A2C6B"/>
    <w:rsid w:val="008A56B8"/>
    <w:rsid w:val="008B39B9"/>
    <w:rsid w:val="008C0637"/>
    <w:rsid w:val="008D0299"/>
    <w:rsid w:val="0092363C"/>
    <w:rsid w:val="00926523"/>
    <w:rsid w:val="00930119"/>
    <w:rsid w:val="0093098A"/>
    <w:rsid w:val="00973E2C"/>
    <w:rsid w:val="009757F3"/>
    <w:rsid w:val="009849C7"/>
    <w:rsid w:val="00994FEE"/>
    <w:rsid w:val="009B0486"/>
    <w:rsid w:val="009C067F"/>
    <w:rsid w:val="009C2F90"/>
    <w:rsid w:val="009D0F35"/>
    <w:rsid w:val="009D2392"/>
    <w:rsid w:val="009D3287"/>
    <w:rsid w:val="009D32F5"/>
    <w:rsid w:val="009D408C"/>
    <w:rsid w:val="009D437A"/>
    <w:rsid w:val="009D52EE"/>
    <w:rsid w:val="009E06F6"/>
    <w:rsid w:val="00A00988"/>
    <w:rsid w:val="00A224B3"/>
    <w:rsid w:val="00A22A5E"/>
    <w:rsid w:val="00A4575C"/>
    <w:rsid w:val="00A51B65"/>
    <w:rsid w:val="00A53246"/>
    <w:rsid w:val="00A5328B"/>
    <w:rsid w:val="00A532CA"/>
    <w:rsid w:val="00A651C4"/>
    <w:rsid w:val="00A701A4"/>
    <w:rsid w:val="00A85E0B"/>
    <w:rsid w:val="00A87F33"/>
    <w:rsid w:val="00A90DBC"/>
    <w:rsid w:val="00AA51C9"/>
    <w:rsid w:val="00AB29A7"/>
    <w:rsid w:val="00AC2984"/>
    <w:rsid w:val="00AC3ABC"/>
    <w:rsid w:val="00AF4C79"/>
    <w:rsid w:val="00AF5AA9"/>
    <w:rsid w:val="00AF620A"/>
    <w:rsid w:val="00AF6689"/>
    <w:rsid w:val="00B04AC1"/>
    <w:rsid w:val="00B11919"/>
    <w:rsid w:val="00B13FE1"/>
    <w:rsid w:val="00B1462D"/>
    <w:rsid w:val="00B229A1"/>
    <w:rsid w:val="00B268C0"/>
    <w:rsid w:val="00B511DA"/>
    <w:rsid w:val="00B54829"/>
    <w:rsid w:val="00B572BA"/>
    <w:rsid w:val="00B66A08"/>
    <w:rsid w:val="00B66CCF"/>
    <w:rsid w:val="00BA0886"/>
    <w:rsid w:val="00BA0ED4"/>
    <w:rsid w:val="00BD4924"/>
    <w:rsid w:val="00C13A49"/>
    <w:rsid w:val="00C14A05"/>
    <w:rsid w:val="00C158D2"/>
    <w:rsid w:val="00C17BD1"/>
    <w:rsid w:val="00C204C3"/>
    <w:rsid w:val="00C32A2A"/>
    <w:rsid w:val="00C40547"/>
    <w:rsid w:val="00C6389D"/>
    <w:rsid w:val="00C86CF2"/>
    <w:rsid w:val="00C9350A"/>
    <w:rsid w:val="00CD2A36"/>
    <w:rsid w:val="00CD3184"/>
    <w:rsid w:val="00CD68B8"/>
    <w:rsid w:val="00CF3247"/>
    <w:rsid w:val="00CF6F01"/>
    <w:rsid w:val="00D114C4"/>
    <w:rsid w:val="00D1414D"/>
    <w:rsid w:val="00D332F2"/>
    <w:rsid w:val="00D4094E"/>
    <w:rsid w:val="00D6060F"/>
    <w:rsid w:val="00D61B4F"/>
    <w:rsid w:val="00D67FFE"/>
    <w:rsid w:val="00D843D4"/>
    <w:rsid w:val="00DA2D78"/>
    <w:rsid w:val="00DA77DF"/>
    <w:rsid w:val="00E2157D"/>
    <w:rsid w:val="00E31F60"/>
    <w:rsid w:val="00E32D4C"/>
    <w:rsid w:val="00E34468"/>
    <w:rsid w:val="00E353DD"/>
    <w:rsid w:val="00E42A00"/>
    <w:rsid w:val="00E5010B"/>
    <w:rsid w:val="00E514E1"/>
    <w:rsid w:val="00E52B0F"/>
    <w:rsid w:val="00E6794A"/>
    <w:rsid w:val="00E7442F"/>
    <w:rsid w:val="00E75BA4"/>
    <w:rsid w:val="00EA476C"/>
    <w:rsid w:val="00EC2271"/>
    <w:rsid w:val="00ED4EA3"/>
    <w:rsid w:val="00EF0808"/>
    <w:rsid w:val="00F01463"/>
    <w:rsid w:val="00F01E8B"/>
    <w:rsid w:val="00F05487"/>
    <w:rsid w:val="00F1131D"/>
    <w:rsid w:val="00F1347B"/>
    <w:rsid w:val="00F36CA7"/>
    <w:rsid w:val="00F371AF"/>
    <w:rsid w:val="00F4597F"/>
    <w:rsid w:val="00F50A38"/>
    <w:rsid w:val="00F5205A"/>
    <w:rsid w:val="00F522D7"/>
    <w:rsid w:val="00F561C3"/>
    <w:rsid w:val="00F564A1"/>
    <w:rsid w:val="00F67953"/>
    <w:rsid w:val="00F73133"/>
    <w:rsid w:val="00F80E2D"/>
    <w:rsid w:val="00F904CC"/>
    <w:rsid w:val="00F950AE"/>
    <w:rsid w:val="00FA4113"/>
    <w:rsid w:val="00FA5EA0"/>
    <w:rsid w:val="00FD4524"/>
    <w:rsid w:val="00FD6394"/>
    <w:rsid w:val="00FD690A"/>
    <w:rsid w:val="00FE4293"/>
    <w:rsid w:val="00FE4D7D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D648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5700"/>
    <w:pPr>
      <w:spacing w:before="240"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F16"/>
  </w:style>
  <w:style w:type="table" w:styleId="TableGrid">
    <w:name w:val="Table Grid"/>
    <w:basedOn w:val="TableNormal"/>
    <w:rsid w:val="006C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5700"/>
    <w:rPr>
      <w:rFonts w:ascii="Arial" w:hAnsi="Arial"/>
      <w:b/>
      <w:sz w:val="22"/>
    </w:rPr>
  </w:style>
  <w:style w:type="character" w:customStyle="1" w:styleId="apple-converted-space">
    <w:name w:val="apple-converted-space"/>
    <w:rsid w:val="00994FEE"/>
  </w:style>
  <w:style w:type="character" w:styleId="Emphasis">
    <w:name w:val="Emphasis"/>
    <w:uiPriority w:val="20"/>
    <w:qFormat/>
    <w:rsid w:val="00994FEE"/>
    <w:rPr>
      <w:i/>
      <w:iCs/>
    </w:rPr>
  </w:style>
  <w:style w:type="paragraph" w:styleId="BalloonText">
    <w:name w:val="Balloon Text"/>
    <w:basedOn w:val="Normal"/>
    <w:link w:val="BalloonTextChar"/>
    <w:rsid w:val="00C6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89D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rsid w:val="00CD68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8B8"/>
  </w:style>
  <w:style w:type="character" w:customStyle="1" w:styleId="CommentTextChar">
    <w:name w:val="Comment Text Char"/>
    <w:link w:val="CommentText"/>
    <w:rsid w:val="00CD68B8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D68B8"/>
    <w:rPr>
      <w:b/>
      <w:bCs/>
    </w:rPr>
  </w:style>
  <w:style w:type="character" w:customStyle="1" w:styleId="CommentSubjectChar">
    <w:name w:val="Comment Subject Char"/>
    <w:link w:val="CommentSubject"/>
    <w:rsid w:val="00CD68B8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rsid w:val="00887002"/>
    <w:rPr>
      <w:sz w:val="18"/>
      <w:szCs w:val="24"/>
    </w:rPr>
  </w:style>
  <w:style w:type="character" w:customStyle="1" w:styleId="FootnoteTextChar">
    <w:name w:val="Footnote Text Char"/>
    <w:link w:val="FootnoteText"/>
    <w:rsid w:val="00887002"/>
    <w:rPr>
      <w:rFonts w:ascii="Arial" w:hAnsi="Arial"/>
      <w:sz w:val="18"/>
      <w:szCs w:val="24"/>
    </w:rPr>
  </w:style>
  <w:style w:type="character" w:styleId="FootnoteReference">
    <w:name w:val="footnote reference"/>
    <w:rsid w:val="00887002"/>
    <w:rPr>
      <w:vertAlign w:val="superscript"/>
    </w:rPr>
  </w:style>
  <w:style w:type="paragraph" w:styleId="DocumentMap">
    <w:name w:val="Document Map"/>
    <w:basedOn w:val="Normal"/>
    <w:link w:val="DocumentMapChar"/>
    <w:rsid w:val="00FA4113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rsid w:val="00FA411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25700"/>
    <w:pPr>
      <w:tabs>
        <w:tab w:val="right" w:pos="9639"/>
      </w:tabs>
      <w:spacing w:before="120" w:after="360"/>
      <w:jc w:val="center"/>
    </w:pPr>
    <w:rPr>
      <w:rFonts w:ascii="Arial Bold" w:hAnsi="Arial Bold"/>
      <w:b/>
      <w:sz w:val="28"/>
    </w:rPr>
  </w:style>
  <w:style w:type="character" w:customStyle="1" w:styleId="TitleChar">
    <w:name w:val="Title Char"/>
    <w:link w:val="Title"/>
    <w:rsid w:val="00625700"/>
    <w:rPr>
      <w:rFonts w:ascii="Arial Bold" w:hAnsi="Arial Bold"/>
      <w:b/>
      <w:sz w:val="28"/>
    </w:rPr>
  </w:style>
  <w:style w:type="character" w:styleId="Hyperlink">
    <w:name w:val="Hyperlink"/>
    <w:rsid w:val="007979FF"/>
    <w:rPr>
      <w:color w:val="0563C1"/>
      <w:u w:val="single"/>
    </w:rPr>
  </w:style>
  <w:style w:type="paragraph" w:styleId="ListParagraph">
    <w:name w:val="List Paragraph"/>
    <w:basedOn w:val="Normal"/>
    <w:uiPriority w:val="72"/>
    <w:rsid w:val="000D0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5700"/>
    <w:pPr>
      <w:spacing w:before="240"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F16"/>
  </w:style>
  <w:style w:type="table" w:styleId="TableGrid">
    <w:name w:val="Table Grid"/>
    <w:basedOn w:val="TableNormal"/>
    <w:rsid w:val="006C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5700"/>
    <w:rPr>
      <w:rFonts w:ascii="Arial" w:hAnsi="Arial"/>
      <w:b/>
      <w:sz w:val="22"/>
    </w:rPr>
  </w:style>
  <w:style w:type="character" w:customStyle="1" w:styleId="apple-converted-space">
    <w:name w:val="apple-converted-space"/>
    <w:rsid w:val="00994FEE"/>
  </w:style>
  <w:style w:type="character" w:styleId="Emphasis">
    <w:name w:val="Emphasis"/>
    <w:uiPriority w:val="20"/>
    <w:qFormat/>
    <w:rsid w:val="00994FEE"/>
    <w:rPr>
      <w:i/>
      <w:iCs/>
    </w:rPr>
  </w:style>
  <w:style w:type="paragraph" w:styleId="BalloonText">
    <w:name w:val="Balloon Text"/>
    <w:basedOn w:val="Normal"/>
    <w:link w:val="BalloonTextChar"/>
    <w:rsid w:val="00C6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89D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rsid w:val="00CD68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8B8"/>
  </w:style>
  <w:style w:type="character" w:customStyle="1" w:styleId="CommentTextChar">
    <w:name w:val="Comment Text Char"/>
    <w:link w:val="CommentText"/>
    <w:rsid w:val="00CD68B8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D68B8"/>
    <w:rPr>
      <w:b/>
      <w:bCs/>
    </w:rPr>
  </w:style>
  <w:style w:type="character" w:customStyle="1" w:styleId="CommentSubjectChar">
    <w:name w:val="Comment Subject Char"/>
    <w:link w:val="CommentSubject"/>
    <w:rsid w:val="00CD68B8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rsid w:val="00887002"/>
    <w:rPr>
      <w:sz w:val="18"/>
      <w:szCs w:val="24"/>
    </w:rPr>
  </w:style>
  <w:style w:type="character" w:customStyle="1" w:styleId="FootnoteTextChar">
    <w:name w:val="Footnote Text Char"/>
    <w:link w:val="FootnoteText"/>
    <w:rsid w:val="00887002"/>
    <w:rPr>
      <w:rFonts w:ascii="Arial" w:hAnsi="Arial"/>
      <w:sz w:val="18"/>
      <w:szCs w:val="24"/>
    </w:rPr>
  </w:style>
  <w:style w:type="character" w:styleId="FootnoteReference">
    <w:name w:val="footnote reference"/>
    <w:rsid w:val="00887002"/>
    <w:rPr>
      <w:vertAlign w:val="superscript"/>
    </w:rPr>
  </w:style>
  <w:style w:type="paragraph" w:styleId="DocumentMap">
    <w:name w:val="Document Map"/>
    <w:basedOn w:val="Normal"/>
    <w:link w:val="DocumentMapChar"/>
    <w:rsid w:val="00FA4113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rsid w:val="00FA411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25700"/>
    <w:pPr>
      <w:tabs>
        <w:tab w:val="right" w:pos="9639"/>
      </w:tabs>
      <w:spacing w:before="120" w:after="360"/>
      <w:jc w:val="center"/>
    </w:pPr>
    <w:rPr>
      <w:rFonts w:ascii="Arial Bold" w:hAnsi="Arial Bold"/>
      <w:b/>
      <w:sz w:val="28"/>
    </w:rPr>
  </w:style>
  <w:style w:type="character" w:customStyle="1" w:styleId="TitleChar">
    <w:name w:val="Title Char"/>
    <w:link w:val="Title"/>
    <w:rsid w:val="00625700"/>
    <w:rPr>
      <w:rFonts w:ascii="Arial Bold" w:hAnsi="Arial Bold"/>
      <w:b/>
      <w:sz w:val="28"/>
    </w:rPr>
  </w:style>
  <w:style w:type="character" w:styleId="Hyperlink">
    <w:name w:val="Hyperlink"/>
    <w:rsid w:val="007979FF"/>
    <w:rPr>
      <w:color w:val="0563C1"/>
      <w:u w:val="single"/>
    </w:rPr>
  </w:style>
  <w:style w:type="paragraph" w:styleId="ListParagraph">
    <w:name w:val="List Paragraph"/>
    <w:basedOn w:val="Normal"/>
    <w:uiPriority w:val="72"/>
    <w:rsid w:val="000D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rlearn.jrc.ec.europa.eu/guide/3_scoping/index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weforum.org/reports/sustainable-health-systems-visions-strategies-critical-uncertainties-and-scenario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lbenkian.pt/wp-content/uploads/2016/03/Full-Report-The-Future-for-Health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eurofound.europa.eu/publications/2003/handbook-of-knowledge-society-foresigh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stainabledevelopment.un.org/post2015/transformingourworld" TargetMode="External"/><Relationship Id="rId2" Type="http://schemas.openxmlformats.org/officeDocument/2006/relationships/hyperlink" Target="https://www.uhc2030.org/" TargetMode="External"/><Relationship Id="rId1" Type="http://schemas.openxmlformats.org/officeDocument/2006/relationships/hyperlink" Target="http://www.euro.who.int/__data/assets/pdf_file/0008/88613/E91438.pdf" TargetMode="External"/><Relationship Id="rId4" Type="http://schemas.openxmlformats.org/officeDocument/2006/relationships/hyperlink" Target="http://www.euro.who.int/__data/assets/pdf_file/0011/199532/Health2020-Lo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FAA2-34F0-4319-9863-994B11A7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 - English</vt:lpstr>
    </vt:vector>
  </TitlesOfParts>
  <Manager>B. Heesemann-Nielsen (HIS), Kristel M. Bronwen Player (HIS)</Manager>
  <Company>World Health Organization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 - English</dc:title>
  <dc:subject>Support file WHO meetings</dc:subject>
  <dc:creator>WHO</dc:creator>
  <cp:lastModifiedBy>BOYAKHCHYAN, Varduhi</cp:lastModifiedBy>
  <cp:revision>6</cp:revision>
  <cp:lastPrinted>2018-01-09T10:03:00Z</cp:lastPrinted>
  <dcterms:created xsi:type="dcterms:W3CDTF">2018-01-08T15:02:00Z</dcterms:created>
  <dcterms:modified xsi:type="dcterms:W3CDTF">2018-01-09T10:05:00Z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-378859981</vt:i4>
  </property>
  <property fmtid="{D5CDD505-2E9C-101B-9397-08002B2CF9AE}" pid="3" name="_NewReviewCycle">
    <vt:lpwstr/>
  </property>
  <property fmtid="{D5CDD505-2E9C-101B-9397-08002B2CF9AE}" pid="4" name="_EmailSubject">
    <vt:lpwstr>WHO European health systems foresight group - second meeting, Copenhagen, Denmark, 7 February 2018</vt:lpwstr>
  </property>
  <property fmtid="{D5CDD505-2E9C-101B-9397-08002B2CF9AE}" pid="5" name="_AuthorEmail">
    <vt:lpwstr>klugeh@who.int</vt:lpwstr>
  </property>
  <property fmtid="{D5CDD505-2E9C-101B-9397-08002B2CF9AE}" pid="6" name="_AuthorEmailDisplayName">
    <vt:lpwstr>KLUGE, Hans Henri P.</vt:lpwstr>
  </property>
  <property fmtid="{D5CDD505-2E9C-101B-9397-08002B2CF9AE}" pid="7" name="_PreviousAdHocReviewCycleID">
    <vt:i4>1979627104</vt:i4>
  </property>
</Properties>
</file>