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A7" w:rsidRPr="00504BA7" w:rsidRDefault="00504BA7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0" w:name="_Toc514861845"/>
      <w:r w:rsidRPr="00504BA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  <w:r w:rsidRPr="00504BA7">
        <w:rPr>
          <w:rFonts w:ascii="Sylfaen" w:hAnsi="Sylfaen" w:cs="Sylfaen"/>
          <w:b/>
          <w:sz w:val="22"/>
          <w:szCs w:val="22"/>
          <w:lang w:val="ka-GE"/>
        </w:rPr>
        <w:t>: 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</w:r>
      <w:bookmarkEnd w:id="0"/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ვალდებულების მიხედვით, უზრუნველყოფილი იქნება მძიმე, მავნე და საშიშპირობებიან სამუშაოებთან დაკავშირებით შრომის ინსპექტირების პროცესისა და მისი შედეგების პროაქტიული გამჭვირვალობა და ახალ ინტერნეტ პლატფორმაზე დაინტერესებული პირებისათვის თავისუფალი წვდომა. </w:t>
      </w:r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შესაბამის სახელმწიფო უწყებას ექნება ვალდებულება, რომ მძიმე მავნე და საშიშპირობებიან სამუშაოებთან დაკავშირებით შრომის უსაფრთხოების კანონმდებლობის დარღვევის შემთხვევების, წარმართული ინსპექტირებისა და პასუხისმგებლობის გამოყენებული ზომების/ასევე შედეგების შესახებ პროაქტიულ რეჟიმში საჯარო ინფორმაცია განათავსოს ინტერნეტ პლატფორმაზე, რაც მოიცავს საქმესთან დაკავშირებით წარმოების ფარგლებში არსებულ საჯარო ინფორმაციას, მათ შორის, ადრესატის სახელწოდებას; შემოწმების შესახებ ინფორმაციას, ინფორმაციას დარღვევისა და გაცემული მითითების შესახებ, მითითების შესრულების შედეგს, </w:t>
      </w:r>
      <w:proofErr w:type="spellStart"/>
      <w:r w:rsidRPr="00504BA7">
        <w:rPr>
          <w:rFonts w:ascii="Sylfaen" w:hAnsi="Sylfaen"/>
          <w:sz w:val="20"/>
          <w:szCs w:val="20"/>
          <w:lang w:val="ka-GE"/>
        </w:rPr>
        <w:t>გამოუსწორებელობის</w:t>
      </w:r>
      <w:proofErr w:type="spellEnd"/>
      <w:r w:rsidRPr="00504BA7">
        <w:rPr>
          <w:rFonts w:ascii="Sylfaen" w:hAnsi="Sylfaen"/>
          <w:sz w:val="20"/>
          <w:szCs w:val="20"/>
          <w:lang w:val="ka-GE"/>
        </w:rPr>
        <w:t xml:space="preserve"> შემთხვევაში გამოყენებულ სანქციას და სანქციის შედეგად დარღვევის აღმოფხვრის ან ინსპექტირების მხრიდან შესაბამისი ზომების გამოყენების შესახებ ინფორმაციას და სხვა. </w:t>
      </w:r>
    </w:p>
    <w:p w:rsidR="00504BA7" w:rsidRPr="00504BA7" w:rsidRDefault="00504BA7" w:rsidP="00504BA7">
      <w:pPr>
        <w:spacing w:before="60" w:after="60"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504BA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504BA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შრომის უსაფრთხოების დაცვის პროცესის საჯაროობა - მძიმე, მავნე და საშიშპირობებიან სამუშაოებთან მიმართებით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504BA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საჭიროებას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განსაკუთრებულად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ადგილებზე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დაშავებისა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დაღუპვის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უცვლელად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მძიმე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2011-2016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ჩათვლით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724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დაიღუპა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252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შრომითი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სიმწვავეს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ცხადყოფს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რამდენიმე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ბაზისური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მშრომელთა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წინააღმდეგობები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გაერთიანებების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წარმოებული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გაფიცვები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წარმოადგენს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პრიორიტეტს</w:t>
            </w:r>
            <w:r w:rsidRPr="00504BA7"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ინსპექტირების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გაუმჯობესება; უსაფრთხო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საჯარო ინფორმაციის ხელმისაწვდომობა; მოქალაქეთა მონაწილეობა; ანგარიშვალდებულება</w:t>
            </w:r>
          </w:p>
        </w:tc>
      </w:tr>
      <w:tr w:rsidR="00504BA7" w:rsidRPr="00504BA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სპეციალური ინტერნეტ პორტალის სატესტო ვერსიის შექმნა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ოქტომბერი, 2019 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უკვე არსებული ინფორმაციის შესაბამის პლატფორმაზე განთავსება და პლატფორმის ამოქმედება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ნოემბერი, 2019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საინფორმაციო კამპანიების დაგეგმვა და განხორციელება 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დეკემბერი, 2019 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504BA7" w:rsidRPr="00504BA7" w:rsidRDefault="00504BA7" w:rsidP="00504BA7">
      <w:pPr>
        <w:rPr>
          <w:lang w:val="ka-GE"/>
        </w:rPr>
      </w:pPr>
    </w:p>
    <w:p w:rsidR="00504BA7" w:rsidRPr="00504BA7" w:rsidRDefault="00504BA7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1" w:name="_Toc514861846"/>
      <w:r w:rsidRPr="00504BA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  <w:r w:rsidRPr="00504BA7">
        <w:rPr>
          <w:rFonts w:ascii="Sylfaen" w:hAnsi="Sylfaen" w:cs="Sylfaen"/>
          <w:b/>
          <w:sz w:val="22"/>
          <w:szCs w:val="22"/>
          <w:lang w:val="ka-GE"/>
        </w:rPr>
        <w:t>: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</w:r>
      <w:bookmarkEnd w:id="1"/>
    </w:p>
    <w:p w:rsidR="00504BA7" w:rsidRPr="00504BA7" w:rsidRDefault="00504BA7" w:rsidP="00504BA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04BA7">
        <w:rPr>
          <w:rFonts w:ascii="Sylfaen" w:hAnsi="Sylfaen"/>
          <w:sz w:val="20"/>
          <w:szCs w:val="20"/>
          <w:lang w:val="ka-GE"/>
        </w:rPr>
        <w:t xml:space="preserve">2015 </w:t>
      </w:r>
      <w:r w:rsidRPr="00504BA7">
        <w:rPr>
          <w:rFonts w:ascii="Sylfaen" w:hAnsi="Sylfaen" w:cs="Sylfaen"/>
          <w:sz w:val="20"/>
          <w:szCs w:val="20"/>
          <w:lang w:val="ka-GE"/>
        </w:rPr>
        <w:t>წლის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აგვისტოში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შრომის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დაცვის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სამინისტროში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შეიქმნა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ჯგუფი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რომლის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მიზნად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ბრძოლის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დამუშავება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განისაზღვრა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პროცესი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ცენტრალური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ხელისუფლების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წარმომადგენლების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გარდა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სახალხო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დამცველისა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504BA7">
        <w:rPr>
          <w:rFonts w:ascii="Sylfaen" w:hAnsi="Sylfaen" w:cs="Sylfaen"/>
          <w:sz w:val="20"/>
          <w:szCs w:val="20"/>
          <w:lang w:val="ka-GE"/>
        </w:rPr>
        <w:t>აქტორის</w:t>
      </w:r>
      <w:proofErr w:type="spellEnd"/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მონაწილეობით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მიმდინარეობდა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  <w:r w:rsidRPr="00504BA7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სამინისტრომ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შექმნა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ბრძოლის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ვერსია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</w:p>
    <w:p w:rsidR="00504BA7" w:rsidRPr="00504BA7" w:rsidRDefault="00504BA7" w:rsidP="00504BA7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04BA7">
        <w:rPr>
          <w:rFonts w:ascii="Sylfaen" w:hAnsi="Sylfaen" w:cs="Sylfaen"/>
          <w:sz w:val="20"/>
          <w:szCs w:val="20"/>
          <w:lang w:val="ka-GE"/>
        </w:rPr>
        <w:t>მთავრობის მიზანია, ღია მმართველობის ფარგლებში შეიქმნას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504BA7">
        <w:rPr>
          <w:rFonts w:ascii="Sylfaen" w:hAnsi="Sylfaen"/>
          <w:sz w:val="20"/>
          <w:szCs w:val="20"/>
          <w:lang w:val="ka-GE"/>
        </w:rPr>
        <w:t>/</w:t>
      </w:r>
      <w:r w:rsidRPr="00504BA7">
        <w:rPr>
          <w:rFonts w:ascii="Sylfaen" w:hAnsi="Sylfaen" w:cs="Sylfaen"/>
          <w:sz w:val="20"/>
          <w:szCs w:val="20"/>
          <w:lang w:val="ka-GE"/>
        </w:rPr>
        <w:t>საბჭო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განსაზღვრავს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დაძლევის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სტრატეგიისა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გეგმის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შემუშავებისთვის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ნაბიჯებს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კერძოდ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უსახლკაროთა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საჭიროებების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მიზეზების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მასშტაბის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კვლევის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ჩატარებისთვის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504BA7">
        <w:rPr>
          <w:rFonts w:ascii="Sylfaen" w:hAnsi="Sylfaen" w:cs="Sylfaen"/>
          <w:sz w:val="20"/>
          <w:szCs w:val="20"/>
          <w:lang w:val="ka-GE"/>
        </w:rPr>
        <w:t>საჭირტო</w:t>
      </w:r>
      <w:proofErr w:type="spellEnd"/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ღონისძიებებს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საცხოვრისების</w:t>
      </w:r>
      <w:r w:rsidRPr="00504BA7">
        <w:rPr>
          <w:rFonts w:ascii="Sylfaen" w:hAnsi="Sylfaen"/>
          <w:sz w:val="20"/>
          <w:szCs w:val="20"/>
          <w:lang w:val="ka-GE"/>
        </w:rPr>
        <w:t>/</w:t>
      </w:r>
      <w:r w:rsidRPr="00504BA7">
        <w:rPr>
          <w:rFonts w:ascii="Sylfaen" w:hAnsi="Sylfaen" w:cs="Sylfaen"/>
          <w:sz w:val="20"/>
          <w:szCs w:val="20"/>
          <w:lang w:val="ka-GE"/>
        </w:rPr>
        <w:t>თავშესაფრების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ანალიზს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ამ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ანალიზის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მოამზადებს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სტრატეგიას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გეგმას</w:t>
      </w:r>
      <w:r w:rsidRPr="00504BA7">
        <w:rPr>
          <w:rFonts w:ascii="Sylfaen" w:hAnsi="Sylfaen"/>
          <w:sz w:val="20"/>
          <w:szCs w:val="20"/>
          <w:lang w:val="ka-GE"/>
        </w:rPr>
        <w:t xml:space="preserve">, </w:t>
      </w:r>
      <w:r w:rsidRPr="00504BA7">
        <w:rPr>
          <w:rFonts w:ascii="Sylfaen" w:hAnsi="Sylfaen" w:cs="Sylfaen"/>
          <w:sz w:val="20"/>
          <w:szCs w:val="20"/>
          <w:lang w:val="ka-GE"/>
        </w:rPr>
        <w:t>თუ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დაგეგმავს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სხვა</w:t>
      </w:r>
      <w:r w:rsidRPr="00504BA7">
        <w:rPr>
          <w:rFonts w:ascii="Sylfaen" w:hAnsi="Sylfaen"/>
          <w:sz w:val="20"/>
          <w:szCs w:val="20"/>
          <w:lang w:val="ka-GE"/>
        </w:rPr>
        <w:t xml:space="preserve"> </w:t>
      </w:r>
      <w:r w:rsidRPr="00504BA7">
        <w:rPr>
          <w:rFonts w:ascii="Sylfaen" w:hAnsi="Sylfaen" w:cs="Sylfaen"/>
          <w:sz w:val="20"/>
          <w:szCs w:val="20"/>
          <w:lang w:val="ka-GE"/>
        </w:rPr>
        <w:t>აქტივობებს</w:t>
      </w:r>
      <w:r w:rsidRPr="00504BA7">
        <w:rPr>
          <w:rFonts w:ascii="Sylfaen" w:hAnsi="Sylfaen"/>
          <w:sz w:val="20"/>
          <w:szCs w:val="20"/>
          <w:lang w:val="ka-GE"/>
        </w:rPr>
        <w:t xml:space="preserve">. </w:t>
      </w:r>
    </w:p>
    <w:p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2018-2020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504BA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504BA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: სათანადო საცხოვრებლის უფლების რეალიზების მიზნით სტრატეგიის დოკუმენტისა და სამთავრობო სამოქმედო გეგმის შემუშავება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504BA7" w:rsidRPr="00504BA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504BA7" w:rsidRPr="00504BA7" w:rsidRDefault="00504BA7" w:rsidP="00504BA7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სათანადო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უფლების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რეალიზების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 პრობლემასთან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შექმნის მთავარი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სახელმწიფომ </w:t>
            </w:r>
            <w:proofErr w:type="spellStart"/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შიმუშავოს</w:t>
            </w:r>
            <w:proofErr w:type="spellEnd"/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.   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504BA7" w:rsidRPr="00504BA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დასრულების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504BA7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 მიზნით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მასშტაბის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მიზეზების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შესწავლისათვის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კვლევის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</w:p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504BA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</w:p>
          <w:p w:rsidR="00504BA7" w:rsidRPr="00504BA7" w:rsidRDefault="00504BA7" w:rsidP="00504BA7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504BA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504BA7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504BA7" w:rsidRPr="00504BA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504BA7" w:rsidRPr="00504BA7" w:rsidRDefault="00504BA7" w:rsidP="00504BA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504BA7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504BA7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504BA7" w:rsidRPr="00504BA7" w:rsidRDefault="00504BA7" w:rsidP="00504BA7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D1DF6" w:rsidRPr="00ED1DF6" w:rsidRDefault="00ED1DF6" w:rsidP="00ED1DF6">
      <w:pPr>
        <w:rPr>
          <w:rFonts w:ascii="Sylfaen" w:eastAsiaTheme="majorEastAsia" w:hAnsi="Sylfaen" w:cs="Sylfaen"/>
          <w:b/>
          <w:sz w:val="22"/>
          <w:szCs w:val="22"/>
          <w:lang w:val="ka-GE"/>
        </w:rPr>
      </w:pPr>
    </w:p>
    <w:p w:rsidR="00A946D9" w:rsidRDefault="00ED1DF6" w:rsidP="00ED1DF6">
      <w:pPr>
        <w:jc w:val="center"/>
        <w:rPr>
          <w:rFonts w:ascii="Sylfaen" w:eastAsiaTheme="majorEastAsia" w:hAnsi="Sylfaen" w:cs="Sylfaen"/>
          <w:b/>
          <w:sz w:val="22"/>
          <w:szCs w:val="22"/>
          <w:lang w:val="ka-GE"/>
        </w:rPr>
      </w:pP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ვალდებულება N: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გარემოსდაცვითი შეფასების კოდექსით გათვალისწინებული</w:t>
      </w: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მოთხოვნების შესასრულებლად</w:t>
      </w:r>
      <w:r>
        <w:rPr>
          <w:rFonts w:ascii="Sylfaen" w:eastAsiaTheme="majorEastAsia" w:hAnsi="Sylfaen" w:cs="Sylfaen"/>
          <w:b/>
          <w:sz w:val="22"/>
          <w:szCs w:val="22"/>
          <w:lang w:val="ka-GE"/>
        </w:rPr>
        <w:t xml:space="preserve"> </w:t>
      </w:r>
      <w:r w:rsidRPr="00ED1DF6">
        <w:rPr>
          <w:rFonts w:ascii="Sylfaen" w:eastAsiaTheme="majorEastAsia" w:hAnsi="Sylfaen" w:cs="Sylfaen"/>
          <w:b/>
          <w:sz w:val="22"/>
          <w:szCs w:val="22"/>
          <w:lang w:val="ka-GE"/>
        </w:rPr>
        <w:t>ელექტრონული პორტალის შექმნა</w:t>
      </w:r>
    </w:p>
    <w:p w:rsidR="00ED1DF6" w:rsidRPr="00ED1DF6" w:rsidRDefault="00ED1DF6" w:rsidP="00ED1DF6">
      <w:pPr>
        <w:spacing w:line="276" w:lineRule="auto"/>
        <w:jc w:val="both"/>
        <w:rPr>
          <w:rFonts w:ascii="Sylfaen" w:eastAsiaTheme="majorEastAsia" w:hAnsi="Sylfaen"/>
          <w:lang w:val="ka-GE"/>
        </w:rPr>
      </w:pPr>
      <w:r w:rsidRPr="00ED1DF6">
        <w:rPr>
          <w:rFonts w:ascii="Sylfaen" w:eastAsiaTheme="majorEastAsia" w:hAnsi="Sylfaen" w:cs="Sylfaen"/>
          <w:lang w:val="ka-GE"/>
        </w:rPr>
        <w:t>ღია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მმართველობის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პარტნიორობის</w:t>
      </w:r>
      <w:r w:rsidRPr="00ED1DF6">
        <w:rPr>
          <w:rFonts w:ascii="Sylfaen" w:eastAsiaTheme="majorEastAsia" w:hAnsi="Sylfaen"/>
          <w:lang w:val="ka-GE"/>
        </w:rPr>
        <w:t xml:space="preserve"> 2016-2017 </w:t>
      </w:r>
      <w:r w:rsidRPr="00ED1DF6">
        <w:rPr>
          <w:rFonts w:ascii="Sylfaen" w:eastAsiaTheme="majorEastAsia" w:hAnsi="Sylfaen" w:cs="Sylfaen"/>
          <w:lang w:val="ka-GE"/>
        </w:rPr>
        <w:t>წლების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სამოქმედო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გეგმით</w:t>
      </w:r>
      <w:r w:rsidRPr="00ED1DF6">
        <w:rPr>
          <w:rFonts w:ascii="Sylfaen" w:eastAsiaTheme="majorEastAsia" w:hAnsi="Sylfaen"/>
          <w:lang w:val="ka-GE"/>
        </w:rPr>
        <w:t xml:space="preserve"> (</w:t>
      </w:r>
      <w:r w:rsidRPr="00ED1DF6">
        <w:rPr>
          <w:rFonts w:ascii="Sylfaen" w:eastAsiaTheme="majorEastAsia" w:hAnsi="Sylfaen" w:cs="Sylfaen"/>
          <w:lang w:val="ka-GE"/>
        </w:rPr>
        <w:t>ვალდებულება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 xml:space="preserve">#16) </w:t>
      </w:r>
      <w:r w:rsidRPr="00ED1DF6">
        <w:rPr>
          <w:rFonts w:ascii="Sylfaen" w:eastAsiaTheme="majorEastAsia" w:hAnsi="Sylfaen" w:cs="Sylfaen"/>
          <w:lang w:val="ka-GE"/>
        </w:rPr>
        <w:t>გათვალისწინებული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ვალდებულებების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შესასრულებლად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საქართველოს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პარლამენტმა</w:t>
      </w:r>
      <w:r w:rsidRPr="00ED1DF6">
        <w:rPr>
          <w:rFonts w:ascii="Sylfaen" w:eastAsiaTheme="majorEastAsia" w:hAnsi="Sylfaen"/>
          <w:lang w:val="ka-GE"/>
        </w:rPr>
        <w:t xml:space="preserve">, 2017 </w:t>
      </w:r>
      <w:r w:rsidRPr="00ED1DF6">
        <w:rPr>
          <w:rFonts w:ascii="Sylfaen" w:eastAsiaTheme="majorEastAsia" w:hAnsi="Sylfaen" w:cs="Sylfaen"/>
          <w:lang w:val="ka-GE"/>
        </w:rPr>
        <w:t>წლის</w:t>
      </w:r>
      <w:r w:rsidRPr="00ED1DF6">
        <w:rPr>
          <w:rFonts w:ascii="Sylfaen" w:eastAsiaTheme="majorEastAsia" w:hAnsi="Sylfaen"/>
          <w:lang w:val="ka-GE"/>
        </w:rPr>
        <w:t xml:space="preserve"> 1 </w:t>
      </w:r>
      <w:r w:rsidRPr="00ED1DF6">
        <w:rPr>
          <w:rFonts w:ascii="Sylfaen" w:eastAsiaTheme="majorEastAsia" w:hAnsi="Sylfaen" w:cs="Sylfaen"/>
          <w:lang w:val="ka-GE"/>
        </w:rPr>
        <w:t>ივნისს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მიიღო</w:t>
      </w:r>
      <w:r w:rsidRPr="00ED1DF6">
        <w:rPr>
          <w:rFonts w:ascii="Sylfaen" w:eastAsiaTheme="majorEastAsia" w:hAnsi="Sylfaen"/>
          <w:lang w:val="ka-GE"/>
        </w:rPr>
        <w:t xml:space="preserve"> „</w:t>
      </w:r>
      <w:r w:rsidRPr="00ED1DF6">
        <w:rPr>
          <w:rFonts w:ascii="Sylfaen" w:eastAsiaTheme="majorEastAsia" w:hAnsi="Sylfaen" w:cs="Sylfaen"/>
          <w:lang w:val="ka-GE"/>
        </w:rPr>
        <w:t>გარემოსდაცვითი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კოდექსი</w:t>
      </w:r>
      <w:r w:rsidRPr="00ED1DF6">
        <w:rPr>
          <w:rFonts w:ascii="Sylfaen" w:eastAsiaTheme="majorEastAsia" w:hAnsi="Sylfaen"/>
          <w:lang w:val="ka-GE"/>
        </w:rPr>
        <w:t xml:space="preserve">“. </w:t>
      </w:r>
      <w:r w:rsidRPr="00ED1DF6">
        <w:rPr>
          <w:rFonts w:ascii="Sylfaen" w:eastAsiaTheme="majorEastAsia" w:hAnsi="Sylfaen" w:cs="Sylfaen"/>
          <w:lang w:val="ka-GE"/>
        </w:rPr>
        <w:t>კოდექსი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ახლებურად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არეგულირებს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გარემოსა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ადამიანის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ჯანმრთელობაზე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მნიშვნელოვანი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ზეგავლენის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მქონე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საქმიანობების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განხორციელების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შესახებ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კომპეტენტური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ორგანოს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მიერ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პროცედურას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კოდექსმა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გარდა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ამისა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შემოიტანა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კომპეტენტურ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ორგანოთა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მიერ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სხვადასხვა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სახის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სხვა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ინსტრუმენტებიც</w:t>
      </w:r>
      <w:r w:rsidRPr="00ED1DF6">
        <w:rPr>
          <w:rFonts w:ascii="Sylfaen" w:eastAsiaTheme="majorEastAsia" w:hAnsi="Sylfaen"/>
          <w:lang w:val="ka-GE"/>
        </w:rPr>
        <w:t xml:space="preserve">, </w:t>
      </w:r>
      <w:r w:rsidRPr="00ED1DF6">
        <w:rPr>
          <w:rFonts w:ascii="Sylfaen" w:eastAsiaTheme="majorEastAsia" w:hAnsi="Sylfaen" w:cs="Sylfaen"/>
          <w:lang w:val="ka-GE"/>
        </w:rPr>
        <w:t>რომლებიც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აბსოლუტურად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ახალია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საქართველოსთვის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ეს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საქართველოში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ეტაპობრივად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ამოქმედდება</w:t>
      </w:r>
      <w:r w:rsidRPr="00ED1DF6">
        <w:rPr>
          <w:rFonts w:ascii="Sylfaen" w:eastAsiaTheme="majorEastAsia" w:hAnsi="Sylfaen"/>
          <w:lang w:val="ka-GE"/>
        </w:rPr>
        <w:t xml:space="preserve">. </w:t>
      </w:r>
      <w:r w:rsidRPr="00ED1DF6">
        <w:rPr>
          <w:rFonts w:ascii="Sylfaen" w:eastAsiaTheme="majorEastAsia" w:hAnsi="Sylfaen" w:cs="Sylfaen"/>
          <w:lang w:val="ka-GE"/>
        </w:rPr>
        <w:t>ქვემოთ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წარმოდგენილ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ცხრილში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შეჯამებულია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გარემოსდაცვითი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კოდექსით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დადგენილი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გადაწყვეტილებების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მიღების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ინსტრუმენტები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მათი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ამოქმედების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 w:cs="Sylfaen"/>
          <w:lang w:val="ka-GE"/>
        </w:rPr>
        <w:t>ვადები</w:t>
      </w:r>
      <w:r w:rsidRPr="00ED1DF6">
        <w:rPr>
          <w:rFonts w:ascii="Sylfaen" w:eastAsiaTheme="majorEastAsia" w:hAnsi="Sylfaen"/>
          <w:lang w:val="ka-GE"/>
        </w:rPr>
        <w:t>.</w:t>
      </w:r>
    </w:p>
    <w:p w:rsidR="00ED1DF6" w:rsidRPr="00ED1DF6" w:rsidRDefault="00ED1DF6" w:rsidP="00ED1DF6">
      <w:pPr>
        <w:spacing w:line="276" w:lineRule="auto"/>
        <w:jc w:val="both"/>
        <w:rPr>
          <w:rFonts w:ascii="Sylfaen" w:eastAsiaTheme="majorEastAsia" w:hAnsi="Sylfaen"/>
          <w:lang w:val="ka-GE"/>
        </w:rPr>
      </w:pPr>
      <w:r w:rsidRPr="00ED1DF6">
        <w:rPr>
          <w:rFonts w:ascii="Sylfaen" w:eastAsiaTheme="majorEastAsia" w:hAnsi="Sylfaen"/>
          <w:lang w:val="ka-GE"/>
        </w:rPr>
        <w:t>ვინაიდან 2018 წლის 1 იანვრიდან ამოქმედებული გარემოსდაცვითი შეფასების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 xml:space="preserve">კოდექსი გადაწყვეტილებების მიღების ახალ წესებს აყალიბებს, </w:t>
      </w:r>
      <w:r w:rsidRPr="00ED1DF6">
        <w:rPr>
          <w:rFonts w:ascii="Sylfaen" w:eastAsiaTheme="majorEastAsia" w:hAnsi="Sylfaen"/>
          <w:lang w:val="ka-GE"/>
        </w:rPr>
        <w:t xml:space="preserve">სამინისტროს მიზანია </w:t>
      </w:r>
      <w:r w:rsidRPr="00ED1DF6">
        <w:rPr>
          <w:rFonts w:ascii="Sylfaen" w:eastAsiaTheme="majorEastAsia" w:hAnsi="Sylfaen"/>
          <w:lang w:val="ka-GE"/>
        </w:rPr>
        <w:t xml:space="preserve">შეცვალოს </w:t>
      </w:r>
      <w:r w:rsidRPr="00ED1DF6">
        <w:rPr>
          <w:rFonts w:ascii="Sylfaen" w:eastAsiaTheme="majorEastAsia" w:hAnsi="Sylfaen"/>
          <w:lang w:val="ka-GE"/>
        </w:rPr>
        <w:lastRenderedPageBreak/>
        <w:t>მიდგომები და პრაქტიკა, და მოძებნოს ტექნიკური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>ინსტრუმენტი ახალი მოთხოვნების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 xml:space="preserve">სრულფასოვნად დასანერგად; </w:t>
      </w:r>
      <w:r w:rsidRPr="00ED1DF6">
        <w:rPr>
          <w:rFonts w:ascii="Sylfaen" w:eastAsiaTheme="majorEastAsia" w:hAnsi="Sylfaen"/>
          <w:lang w:val="ka-GE"/>
        </w:rPr>
        <w:t xml:space="preserve">შესაბამისად, წინამდებარე გეგმის ფარგლებში, მთავრობის მიზანია </w:t>
      </w:r>
      <w:r w:rsidRPr="00ED1DF6">
        <w:rPr>
          <w:rFonts w:ascii="Sylfaen" w:eastAsiaTheme="majorEastAsia" w:hAnsi="Sylfaen"/>
          <w:lang w:val="ka-GE"/>
        </w:rPr>
        <w:t>დანერგოს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>ისეთი ტექნიკური ინსტრუმენტი, რომელიც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>უზრუნვე</w:t>
      </w:r>
      <w:bookmarkStart w:id="2" w:name="_GoBack"/>
      <w:bookmarkEnd w:id="2"/>
      <w:r w:rsidRPr="00ED1DF6">
        <w:rPr>
          <w:rFonts w:ascii="Sylfaen" w:eastAsiaTheme="majorEastAsia" w:hAnsi="Sylfaen"/>
          <w:lang w:val="ka-GE"/>
        </w:rPr>
        <w:t>ლყოფს ინფორმაციაზე დროულ</w:t>
      </w:r>
      <w:r w:rsidRPr="00ED1DF6">
        <w:rPr>
          <w:rFonts w:ascii="Sylfaen" w:eastAsiaTheme="majorEastAsia" w:hAnsi="Sylfaen"/>
          <w:lang w:val="ka-GE"/>
        </w:rPr>
        <w:t>ა</w:t>
      </w:r>
      <w:r w:rsidRPr="00ED1DF6">
        <w:rPr>
          <w:rFonts w:ascii="Sylfaen" w:eastAsiaTheme="majorEastAsia" w:hAnsi="Sylfaen"/>
          <w:lang w:val="ka-GE"/>
        </w:rPr>
        <w:t>დ დაუბრკოლებელ ხელმისაწვდომობას და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>გადაწყვეტილებების მიღების ყველა</w:t>
      </w:r>
      <w:r w:rsidRPr="00ED1DF6">
        <w:rPr>
          <w:rFonts w:ascii="Sylfaen" w:eastAsiaTheme="majorEastAsia" w:hAnsi="Sylfaen"/>
          <w:lang w:val="ka-GE"/>
        </w:rPr>
        <w:t xml:space="preserve"> </w:t>
      </w:r>
      <w:r w:rsidRPr="00ED1DF6">
        <w:rPr>
          <w:rFonts w:ascii="Sylfaen" w:eastAsiaTheme="majorEastAsia" w:hAnsi="Sylfaen"/>
          <w:lang w:val="ka-GE"/>
        </w:rPr>
        <w:t xml:space="preserve">ეტაპზე საზოგადოების ეფექტურ მონაწილეობას. 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A14D2C" w:rsidRPr="003F44AB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ind w:right="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3F44A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3F44A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შექმნა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გარემოს დაცვისა და სოფლის მეურნეობის სამინისტრო.</w:t>
            </w:r>
          </w:p>
        </w:tc>
      </w:tr>
      <w:tr w:rsidR="00A14D2C" w:rsidRPr="003F44AB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A14D2C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შრომის, ჯანმრთელობისა და სოციალური დაცვის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A14D2C" w:rsidRPr="003F44AB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:rsidR="00A14D2C" w:rsidRPr="003F44AB" w:rsidRDefault="00A14D2C" w:rsidP="009B1BCF">
            <w:pPr>
              <w:spacing w:before="60" w:after="6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CommentText"/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line="240" w:lineRule="auto"/>
              <w:rPr>
                <w:rFonts w:ascii="Sylfae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A14D2C">
            <w:pPr>
              <w:pStyle w:val="Default"/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გარემოსთან დაკავშირებულ ინფორმაციაზე და გადაწყვეტილებების მიღების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პროცესებზე საზოგადოების ხელმისაწვდომობის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უზრუნველყოფა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pStyle w:val="CommentText"/>
              <w:spacing w:before="60" w:after="60" w:line="240" w:lineRule="auto"/>
              <w:ind w:left="7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3F44AB">
              <w:rPr>
                <w:rFonts w:ascii="Sylfaen" w:hAnsi="Sylfaen" w:cs="Sylfaen"/>
                <w:sz w:val="18"/>
                <w:szCs w:val="18"/>
              </w:rPr>
              <w:t xml:space="preserve">; </w:t>
            </w:r>
            <w:r w:rsidRPr="003F44A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მოქალაქეთა მონაწილეობა </w:t>
            </w:r>
          </w:p>
        </w:tc>
      </w:tr>
      <w:tr w:rsidR="00A14D2C" w:rsidRPr="003F44AB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OGP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A14D2C" w:rsidRPr="003F44AB" w:rsidRDefault="00A14D2C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  <w:tc>
          <w:tcPr>
            <w:tcW w:w="1492" w:type="dxa"/>
            <w:vAlign w:val="center"/>
          </w:tcPr>
          <w:p w:rsidR="00A14D2C" w:rsidRPr="003F44AB" w:rsidRDefault="003F44AB" w:rsidP="003F44AB">
            <w:pPr>
              <w:spacing w:before="60" w:after="6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x</w:t>
            </w:r>
          </w:p>
        </w:tc>
      </w:tr>
      <w:tr w:rsidR="00A14D2C" w:rsidRPr="003F44AB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დაწყების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დასრულების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თარიღი</w:t>
            </w:r>
            <w:r w:rsidRPr="003F44AB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:</w:t>
            </w: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3F44AB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ახალი პორტალის შექმნის ან არსებული პორტალების გამოყენების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შესაძლებ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ლობების გამოვლენა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9B1BCF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განსათავსებელი ინფორმაციის და ფუნქციების ზუსტი განსაზღვრადა პორტალის სტრუქტურის შემუშავება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3F44AB" w:rsidP="009B1BCF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პორტალის ამუშავება, ფუნქციური დატვირთვა</w:t>
            </w:r>
          </w:p>
        </w:tc>
        <w:tc>
          <w:tcPr>
            <w:tcW w:w="2070" w:type="dxa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3F44AB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3F44AB" w:rsidRPr="003F44AB" w:rsidRDefault="003F44AB" w:rsidP="003F44AB">
            <w:pPr>
              <w:spacing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>პორტალის ამოქმედებამდე მიღებული გადაწყვეტილებების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44AB">
              <w:rPr>
                <w:rFonts w:ascii="Sylfaen" w:hAnsi="Sylfaen"/>
                <w:sz w:val="18"/>
                <w:szCs w:val="18"/>
                <w:lang w:val="ka-GE"/>
              </w:rPr>
              <w:t xml:space="preserve">ეტაპობრივი განთავსება </w:t>
            </w:r>
          </w:p>
        </w:tc>
        <w:tc>
          <w:tcPr>
            <w:tcW w:w="2070" w:type="dxa"/>
            <w:vAlign w:val="center"/>
          </w:tcPr>
          <w:p w:rsidR="003F44AB" w:rsidRPr="003F44AB" w:rsidRDefault="003F44AB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sz w:val="18"/>
                <w:szCs w:val="18"/>
                <w:lang w:val="ka-GE"/>
              </w:rPr>
            </w:pPr>
            <w:r w:rsidRPr="003F44AB">
              <w:rPr>
                <w:rFonts w:ascii="Sylfaen" w:eastAsiaTheme="minorHAnsi" w:hAnsi="Sylfaen" w:cs="Calibri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:rsidR="003F44AB" w:rsidRPr="003F44AB" w:rsidRDefault="003F44AB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:rsidR="003F44AB" w:rsidRPr="003F44AB" w:rsidRDefault="003F44AB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line="240" w:lineRule="auto"/>
              <w:ind w:right="5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A14D2C" w:rsidRPr="003F44AB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:rsidR="00A14D2C" w:rsidRPr="003F44AB" w:rsidRDefault="00A14D2C" w:rsidP="009B1BC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</w:pP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რისკები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და</w:t>
            </w:r>
            <w:r w:rsidRPr="003F44AB">
              <w:rPr>
                <w:rFonts w:ascii="Sylfaen" w:eastAsiaTheme="minorHAnsi" w:hAnsi="Sylfaen" w:cs="Calibri"/>
                <w:b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3F44AB">
              <w:rPr>
                <w:rFonts w:ascii="Sylfaen" w:eastAsia="Helvetica" w:hAnsi="Sylfaen" w:cs="Sylfaen"/>
                <w:b/>
                <w:sz w:val="18"/>
                <w:szCs w:val="18"/>
                <w:highlight w:val="yellow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:rsidR="00A14D2C" w:rsidRPr="003F44AB" w:rsidRDefault="00A14D2C" w:rsidP="009B1BCF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ED1DF6" w:rsidRPr="00ED1DF6" w:rsidRDefault="00ED1DF6" w:rsidP="00ED1DF6">
      <w:pPr>
        <w:rPr>
          <w:rFonts w:ascii="Sylfaen" w:eastAsiaTheme="majorEastAsia" w:hAnsi="Sylfaen"/>
          <w:lang w:val="ka-GE"/>
        </w:rPr>
      </w:pPr>
    </w:p>
    <w:sectPr w:rsidR="00ED1DF6" w:rsidRPr="00ED1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EB"/>
    <w:rsid w:val="003F44AB"/>
    <w:rsid w:val="00504BA7"/>
    <w:rsid w:val="007764EB"/>
    <w:rsid w:val="00A14D2C"/>
    <w:rsid w:val="00A946D9"/>
    <w:rsid w:val="00E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A0FA-6FD9-4232-9491-25A5CF89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Tsanava</dc:creator>
  <cp:keywords/>
  <dc:description/>
  <cp:lastModifiedBy>Ketevan Tsanava</cp:lastModifiedBy>
  <cp:revision>4</cp:revision>
  <dcterms:created xsi:type="dcterms:W3CDTF">2018-05-24T06:47:00Z</dcterms:created>
  <dcterms:modified xsi:type="dcterms:W3CDTF">2018-05-24T11:16:00Z</dcterms:modified>
</cp:coreProperties>
</file>