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37A4" w14:textId="50D5EBE5" w:rsidR="00254A0C" w:rsidRPr="002A7B5E" w:rsidRDefault="00254A0C" w:rsidP="000E1F15">
      <w:pPr>
        <w:jc w:val="center"/>
        <w:rPr>
          <w:rFonts w:ascii="Sylfaen" w:hAnsi="Sylfaen"/>
          <w:noProof/>
          <w:sz w:val="28"/>
          <w:lang w:val="ka-GE"/>
        </w:rPr>
      </w:pPr>
      <w:r w:rsidRPr="00254A0C">
        <w:rPr>
          <w:rFonts w:ascii="Sylfaen" w:hAnsi="Sylfaen"/>
          <w:noProof/>
          <w:sz w:val="28"/>
        </w:rPr>
        <w:t xml:space="preserve">სახელმძღვანელოს </w:t>
      </w:r>
      <w:r w:rsidR="002A7B5E">
        <w:rPr>
          <w:rFonts w:ascii="Sylfaen" w:hAnsi="Sylfaen"/>
          <w:noProof/>
          <w:sz w:val="28"/>
          <w:lang w:val="ka-GE"/>
        </w:rPr>
        <w:t>შინაარსი</w:t>
      </w:r>
    </w:p>
    <w:p w14:paraId="285243DB" w14:textId="1A9DC0F8" w:rsidR="00510F24" w:rsidRPr="0089337A" w:rsidRDefault="00D94D29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საერთაშორისო პრაქტიკის ანალიზი </w:t>
      </w:r>
      <w:r w:rsidR="00510F24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2 </w:t>
      </w:r>
      <w:r w:rsidR="008051E7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ქ</w:t>
      </w: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ვეყნის მაგალითზე</w:t>
      </w:r>
    </w:p>
    <w:p w14:paraId="7701E1A7" w14:textId="77777777" w:rsidR="00510F24" w:rsidRDefault="00D94D29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692829">
        <w:rPr>
          <w:rFonts w:ascii="Sylfaen" w:eastAsiaTheme="minorHAnsi" w:hAnsi="Sylfaen" w:cstheme="minorBidi"/>
          <w:sz w:val="20"/>
          <w:szCs w:val="20"/>
          <w:lang w:val="ka-GE"/>
        </w:rPr>
        <w:t>ძალადობის მსხვერპლთა  კარიერის დაგეგმვის</w:t>
      </w:r>
      <w:r w:rsidR="00510F24">
        <w:rPr>
          <w:rFonts w:ascii="Sylfaen" w:eastAsiaTheme="minorHAnsi" w:hAnsi="Sylfaen" w:cstheme="minorBidi"/>
          <w:sz w:val="20"/>
          <w:szCs w:val="20"/>
          <w:lang w:val="ka-GE"/>
        </w:rPr>
        <w:t>,</w:t>
      </w:r>
      <w:r w:rsidRPr="00692829">
        <w:rPr>
          <w:rFonts w:ascii="Sylfaen" w:eastAsiaTheme="minorHAnsi" w:hAnsi="Sylfaen" w:cstheme="minorBidi"/>
          <w:sz w:val="20"/>
          <w:szCs w:val="20"/>
          <w:lang w:val="ka-GE"/>
        </w:rPr>
        <w:t xml:space="preserve"> კონსულტირების, დასაქმების ხელშეწყობის  და ზოგადად  ეკონომიკური რეაბილიტაციის პროგრამებთან დაკავშირებით </w:t>
      </w:r>
      <w:r w:rsidR="006B4407" w:rsidRPr="00692829">
        <w:rPr>
          <w:rFonts w:ascii="Sylfaen" w:eastAsiaTheme="minorHAnsi" w:hAnsi="Sylfaen" w:cstheme="minorBidi"/>
          <w:sz w:val="20"/>
          <w:szCs w:val="20"/>
          <w:lang w:val="ka-GE"/>
        </w:rPr>
        <w:t>ინფორმაცი</w:t>
      </w:r>
      <w:r w:rsidR="00510F24">
        <w:rPr>
          <w:rFonts w:ascii="Sylfaen" w:eastAsiaTheme="minorHAnsi" w:hAnsi="Sylfaen" w:cstheme="minorBidi"/>
          <w:sz w:val="20"/>
          <w:szCs w:val="20"/>
          <w:lang w:val="ka-GE"/>
        </w:rPr>
        <w:t>ა</w:t>
      </w:r>
      <w:r w:rsidR="0089337A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1E3AAD3F" w14:textId="77777777" w:rsidR="00510F24" w:rsidRDefault="00D94D29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692829">
        <w:rPr>
          <w:rFonts w:ascii="Sylfaen" w:eastAsiaTheme="minorHAnsi" w:hAnsi="Sylfaen" w:cstheme="minorBidi"/>
          <w:sz w:val="20"/>
          <w:szCs w:val="20"/>
          <w:lang w:val="ka-GE"/>
        </w:rPr>
        <w:t xml:space="preserve">რეკომენდაციებში </w:t>
      </w:r>
      <w:r w:rsidR="00510F24">
        <w:rPr>
          <w:rFonts w:ascii="Sylfaen" w:eastAsiaTheme="minorHAnsi" w:hAnsi="Sylfaen" w:cstheme="minorBidi"/>
          <w:sz w:val="20"/>
          <w:szCs w:val="20"/>
          <w:lang w:val="ka-GE"/>
        </w:rPr>
        <w:t xml:space="preserve"> და </w:t>
      </w:r>
      <w:r w:rsidRPr="00692829">
        <w:rPr>
          <w:rFonts w:ascii="Sylfaen" w:eastAsiaTheme="minorHAnsi" w:hAnsi="Sylfaen" w:cstheme="minorBidi"/>
          <w:sz w:val="20"/>
          <w:szCs w:val="20"/>
          <w:lang w:val="ka-GE"/>
        </w:rPr>
        <w:t>finding-</w:t>
      </w:r>
      <w:r w:rsidR="00510F24">
        <w:rPr>
          <w:rFonts w:ascii="Sylfaen" w:eastAsiaTheme="minorHAnsi" w:hAnsi="Sylfaen" w:cstheme="minorBidi"/>
          <w:sz w:val="20"/>
          <w:szCs w:val="20"/>
          <w:lang w:val="ka-GE"/>
        </w:rPr>
        <w:t>ი</w:t>
      </w:r>
      <w:r w:rsidR="0089337A">
        <w:rPr>
          <w:rFonts w:ascii="Sylfaen" w:eastAsiaTheme="minorHAnsi" w:hAnsi="Sylfaen" w:cstheme="minorBidi"/>
          <w:sz w:val="20"/>
          <w:szCs w:val="20"/>
          <w:lang w:val="ka-GE"/>
        </w:rPr>
        <w:t>.</w:t>
      </w:r>
    </w:p>
    <w:p w14:paraId="4C14FAD1" w14:textId="77777777" w:rsidR="0089337A" w:rsidRDefault="0089337A" w:rsidP="00510F24">
      <w:pPr>
        <w:pStyle w:val="ListParagraph"/>
        <w:spacing w:after="0"/>
        <w:ind w:left="709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</w:p>
    <w:p w14:paraId="5BE6EEDA" w14:textId="77777777" w:rsidR="00D94D29" w:rsidRDefault="00510F24" w:rsidP="00510F24">
      <w:pPr>
        <w:pStyle w:val="ListParagraph"/>
        <w:spacing w:after="0"/>
        <w:ind w:left="709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510F24">
        <w:rPr>
          <w:rFonts w:ascii="Sylfaen" w:eastAsiaTheme="minorHAnsi" w:hAnsi="Sylfaen" w:cstheme="minorBidi"/>
          <w:i/>
          <w:sz w:val="20"/>
          <w:szCs w:val="20"/>
          <w:lang w:val="ka-GE"/>
        </w:rPr>
        <w:t xml:space="preserve">შენიშვნა: </w:t>
      </w:r>
      <w:r w:rsidR="006B4407" w:rsidRPr="00510F24">
        <w:rPr>
          <w:rFonts w:ascii="Sylfaen" w:eastAsiaTheme="minorHAnsi" w:hAnsi="Sylfaen" w:cstheme="minorBidi"/>
          <w:i/>
          <w:sz w:val="20"/>
          <w:szCs w:val="20"/>
          <w:lang w:val="ka-GE"/>
        </w:rPr>
        <w:t>შერჩეული იქნება შედარებით რელევანტური და საქართველოში პრაქტიკული თვალსაზრისით გამოყენებადი პროგრამები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>.</w:t>
      </w:r>
    </w:p>
    <w:p w14:paraId="4566139C" w14:textId="77777777" w:rsidR="00C96F84" w:rsidRDefault="00C96F84" w:rsidP="00510F24">
      <w:pPr>
        <w:pStyle w:val="ListParagraph"/>
        <w:spacing w:after="0"/>
        <w:ind w:left="709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</w:p>
    <w:p w14:paraId="780B2F85" w14:textId="457BAFA2" w:rsidR="00692829" w:rsidRPr="0089337A" w:rsidRDefault="002A7B5E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ბენ</w:t>
      </w:r>
      <w:r w:rsidR="00692829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ეფიციარების </w:t>
      </w:r>
      <w:r w:rsidR="00510F24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უნარების </w:t>
      </w:r>
      <w:r w:rsidR="00692829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და შესაძლებლობების დიაგნოსტირება და ადგილობრივ შრომის ბაზარზე  დასაქმების პერსპექტივები</w:t>
      </w:r>
    </w:p>
    <w:p w14:paraId="602AF813" w14:textId="77777777" w:rsidR="00510F24" w:rsidRPr="00510F24" w:rsidRDefault="006B4407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510F24">
        <w:rPr>
          <w:rFonts w:ascii="Sylfaen" w:eastAsiaTheme="minorHAnsi" w:hAnsi="Sylfaen" w:cstheme="minorBidi"/>
          <w:sz w:val="20"/>
          <w:szCs w:val="20"/>
          <w:lang w:val="ka-GE"/>
        </w:rPr>
        <w:t>საკვლევ-სადიაგნოსტიკო საშულებები</w:t>
      </w:r>
      <w:r w:rsidR="00510F24" w:rsidRPr="00510F24">
        <w:rPr>
          <w:rFonts w:ascii="Sylfaen" w:eastAsiaTheme="minorHAnsi" w:hAnsi="Sylfaen" w:cstheme="minorBidi"/>
          <w:sz w:val="20"/>
          <w:szCs w:val="20"/>
          <w:lang w:val="ka-GE"/>
        </w:rPr>
        <w:t xml:space="preserve">, საუკეთესო გამოცდილება - </w:t>
      </w:r>
      <w:r w:rsidRPr="00510F24">
        <w:rPr>
          <w:rFonts w:ascii="Sylfaen" w:eastAsiaTheme="minorHAnsi" w:hAnsi="Sylfaen" w:cstheme="minorBidi"/>
          <w:sz w:val="20"/>
          <w:szCs w:val="20"/>
          <w:lang w:val="ka-GE"/>
        </w:rPr>
        <w:t xml:space="preserve">ბენეფიციარების უნარების, პროფესიული ორიენტაციის, მოტივაციისა და პიროვნული მახასიათებლების </w:t>
      </w:r>
      <w:r w:rsidR="00510F24" w:rsidRPr="00510F24">
        <w:rPr>
          <w:rFonts w:ascii="Sylfaen" w:eastAsiaTheme="minorHAnsi" w:hAnsi="Sylfaen" w:cstheme="minorBidi"/>
          <w:sz w:val="20"/>
          <w:szCs w:val="20"/>
          <w:lang w:val="ka-GE"/>
        </w:rPr>
        <w:t>დიაგნოსტირების მიმართულებით</w:t>
      </w:r>
      <w:r w:rsidR="0089337A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6B7BED5B" w14:textId="77777777" w:rsidR="00510F24" w:rsidRPr="00510F24" w:rsidRDefault="00510F2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510F24">
        <w:rPr>
          <w:rFonts w:ascii="Sylfaen" w:eastAsiaTheme="minorHAnsi" w:hAnsi="Sylfaen" w:cstheme="minorBidi"/>
          <w:sz w:val="20"/>
          <w:szCs w:val="20"/>
          <w:lang w:val="ka-GE"/>
        </w:rPr>
        <w:t>საჭირო</w:t>
      </w:r>
      <w:r w:rsidR="006B4407" w:rsidRPr="00510F24">
        <w:rPr>
          <w:rFonts w:ascii="Sylfaen" w:eastAsiaTheme="minorHAnsi" w:hAnsi="Sylfaen" w:cstheme="minorBidi"/>
          <w:sz w:val="20"/>
          <w:szCs w:val="20"/>
          <w:lang w:val="ka-GE"/>
        </w:rPr>
        <w:t xml:space="preserve"> </w:t>
      </w:r>
      <w:r w:rsidRPr="00510F24">
        <w:rPr>
          <w:rFonts w:ascii="Sylfaen" w:eastAsiaTheme="minorHAnsi" w:hAnsi="Sylfaen" w:cstheme="minorBidi"/>
          <w:sz w:val="20"/>
          <w:szCs w:val="20"/>
          <w:lang w:val="ka-GE"/>
        </w:rPr>
        <w:t>რესურსები</w:t>
      </w:r>
      <w:r w:rsidR="0089337A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0C4DB0F3" w14:textId="46DB511F" w:rsidR="00510F24" w:rsidRDefault="00510F2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510F24">
        <w:rPr>
          <w:rFonts w:ascii="Sylfaen" w:eastAsiaTheme="minorHAnsi" w:hAnsi="Sylfaen" w:cstheme="minorBidi"/>
          <w:sz w:val="20"/>
          <w:szCs w:val="20"/>
          <w:lang w:val="ka-GE"/>
        </w:rPr>
        <w:t>დიაგნოსტირების ბიზნეს-პროცესი და მისი განხორც</w:t>
      </w:r>
      <w:r w:rsidR="008051E7">
        <w:rPr>
          <w:rFonts w:ascii="Sylfaen" w:eastAsiaTheme="minorHAnsi" w:hAnsi="Sylfaen" w:cstheme="minorBidi"/>
          <w:sz w:val="20"/>
          <w:szCs w:val="20"/>
          <w:lang w:val="ka-GE"/>
        </w:rPr>
        <w:t>იელება</w:t>
      </w:r>
    </w:p>
    <w:p w14:paraId="1B8A1B8B" w14:textId="77777777" w:rsidR="00510F24" w:rsidRPr="00510F24" w:rsidRDefault="00510F24" w:rsidP="00510F24">
      <w:pPr>
        <w:pStyle w:val="ListParagraph"/>
        <w:spacing w:after="0"/>
        <w:ind w:left="144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</w:p>
    <w:p w14:paraId="1C4F5EFE" w14:textId="77777777" w:rsidR="00510F24" w:rsidRPr="0089337A" w:rsidRDefault="00510F24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ინდივიდუალური პროფესიული და პიროვნული პროფილების შემუშავება</w:t>
      </w:r>
    </w:p>
    <w:p w14:paraId="2BFBF24B" w14:textId="77777777" w:rsidR="00510F24" w:rsidRDefault="00510F24" w:rsidP="00510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7B8AEDAD" w14:textId="77777777" w:rsidR="00510F24" w:rsidRPr="0089337A" w:rsidRDefault="00692829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ბენეფიციარების განვითარების </w:t>
      </w:r>
      <w:r w:rsidR="00510F24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გეგმებისა და განვითრების სტრატეგიების შემუშავება</w:t>
      </w:r>
    </w:p>
    <w:p w14:paraId="1BCCFC29" w14:textId="77777777" w:rsidR="00510F24" w:rsidRDefault="00510F24" w:rsidP="0089337A">
      <w:pPr>
        <w:pStyle w:val="ListParagraph"/>
        <w:numPr>
          <w:ilvl w:val="0"/>
          <w:numId w:val="16"/>
        </w:numPr>
        <w:spacing w:after="0"/>
        <w:rPr>
          <w:rFonts w:ascii="Sylfaen" w:eastAsiaTheme="minorHAnsi" w:hAnsi="Sylfaen" w:cstheme="minorBidi"/>
          <w:sz w:val="20"/>
          <w:szCs w:val="20"/>
          <w:lang w:val="ka-GE"/>
        </w:rPr>
      </w:pPr>
      <w:r>
        <w:rPr>
          <w:rFonts w:ascii="Sylfaen" w:eastAsiaTheme="minorHAnsi" w:hAnsi="Sylfaen" w:cstheme="minorBidi"/>
          <w:sz w:val="20"/>
          <w:szCs w:val="20"/>
          <w:lang w:val="ka-GE"/>
        </w:rPr>
        <w:t>განვითარების სტრატეგიების დასახვა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21F2838B" w14:textId="77777777" w:rsidR="00692829" w:rsidRDefault="00510F24" w:rsidP="0089337A">
      <w:pPr>
        <w:pStyle w:val="ListParagraph"/>
        <w:numPr>
          <w:ilvl w:val="0"/>
          <w:numId w:val="16"/>
        </w:numPr>
        <w:spacing w:after="0"/>
        <w:rPr>
          <w:rFonts w:ascii="Sylfaen" w:eastAsiaTheme="minorHAnsi" w:hAnsi="Sylfaen" w:cstheme="minorBidi"/>
          <w:sz w:val="20"/>
          <w:szCs w:val="20"/>
          <w:lang w:val="ka-GE"/>
        </w:rPr>
      </w:pP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განვითარების გეგმების შემუშავება და </w:t>
      </w:r>
      <w:r w:rsidR="00692829" w:rsidRPr="00510F24">
        <w:rPr>
          <w:rFonts w:ascii="Sylfaen" w:eastAsiaTheme="minorHAnsi" w:hAnsi="Sylfaen" w:cstheme="minorBidi"/>
          <w:sz w:val="20"/>
          <w:szCs w:val="20"/>
          <w:lang w:val="ka-GE"/>
        </w:rPr>
        <w:t>განვითარების მიმართულებით</w:t>
      </w:r>
      <w:r w:rsid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 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>განსახორციელებელი</w:t>
      </w:r>
      <w:r w:rsidR="00692829" w:rsidRPr="00510F24">
        <w:rPr>
          <w:rFonts w:ascii="Sylfaen" w:eastAsiaTheme="minorHAnsi" w:hAnsi="Sylfaen" w:cstheme="minorBidi"/>
          <w:sz w:val="20"/>
          <w:szCs w:val="20"/>
          <w:lang w:val="ka-GE"/>
        </w:rPr>
        <w:t xml:space="preserve"> აქტივობები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>სა და ღონისძიებების დასახვა.</w:t>
      </w:r>
    </w:p>
    <w:p w14:paraId="6FAD2C62" w14:textId="77777777" w:rsidR="00C96F84" w:rsidRDefault="00C96F84" w:rsidP="00510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618C90FA" w14:textId="77777777" w:rsidR="00510F24" w:rsidRPr="0089337A" w:rsidRDefault="00C96F84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ბენეფიციარების განვითარების სისტემები და შესაძლებლობები</w:t>
      </w:r>
    </w:p>
    <w:p w14:paraId="68A2BDE1" w14:textId="183348C9" w:rsid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>
        <w:rPr>
          <w:rFonts w:ascii="Sylfaen" w:eastAsiaTheme="minorHAnsi" w:hAnsi="Sylfaen" w:cstheme="minorBidi"/>
          <w:sz w:val="20"/>
          <w:szCs w:val="20"/>
          <w:lang w:val="ka-GE"/>
        </w:rPr>
        <w:t>საინ</w:t>
      </w:r>
      <w:r w:rsidR="002A7B5E">
        <w:rPr>
          <w:rFonts w:ascii="Sylfaen" w:eastAsiaTheme="minorHAnsi" w:hAnsi="Sylfaen" w:cstheme="minorBidi"/>
          <w:sz w:val="20"/>
          <w:szCs w:val="20"/>
          <w:lang w:val="ka-GE"/>
        </w:rPr>
        <w:t xml:space="preserve">სპირაციო 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 და სამოტივაციო სისტემები და პროგრამები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465B52A1" w14:textId="77777777" w:rsidR="00C96F84" w:rsidRP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საბაზისო ტრეინინგები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387DC7ED" w14:textId="77777777" w:rsidR="00C96F84" w:rsidRP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პროფესიული ტრეინინგები და მათი განხორციელების შესაძლებლობები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4C6B95FB" w14:textId="77777777" w:rsidR="00C96F84" w:rsidRP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ქოუჩინგისა და მენტორინგის სისტემები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56659194" w14:textId="77777777" w:rsid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ადამიანების (People Development) განვითარების პროგრამები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118EBAFA" w14:textId="77777777" w:rsidR="0089337A" w:rsidRPr="0089337A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ბენეფიციარების კვალიფიკაციის  ამაღლების შესაძლებლობები ადგილობრივ ბაზარზე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2BA7C4FD" w14:textId="77777777" w:rsidR="0089337A" w:rsidRPr="0089337A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პროფესიული განათლებისა და მოკლევადიანი გადამზადების კურსების მიმართულებების შესახებ ინფორმაციის მოძიების 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სტატეგიები და არსებული </w:t>
      </w: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რესურსები.</w:t>
      </w:r>
    </w:p>
    <w:p w14:paraId="63277BDC" w14:textId="77777777" w:rsidR="00C96F84" w:rsidRPr="00C96F84" w:rsidRDefault="00C96F84" w:rsidP="00C96F8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7CC7A09A" w14:textId="77777777" w:rsidR="006B4407" w:rsidRPr="0089337A" w:rsidRDefault="006B4407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დამსაქმებლებთან კომუნიკაცია</w:t>
      </w:r>
    </w:p>
    <w:p w14:paraId="1169338D" w14:textId="77777777" w:rsidR="0089337A" w:rsidRPr="00C96F84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მოთხოვნადი პროფესიების იდენტიფიცირება;</w:t>
      </w:r>
    </w:p>
    <w:p w14:paraId="0BEB6897" w14:textId="77777777" w:rsidR="006B4407" w:rsidRDefault="006B4407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დამსაქმებლებთან კომუნიკაცია</w:t>
      </w:r>
      <w:r w:rsidR="00692829" w:rsidRPr="00C96F84">
        <w:rPr>
          <w:rFonts w:ascii="Sylfaen" w:eastAsiaTheme="minorHAnsi" w:hAnsi="Sylfaen" w:cstheme="minorBidi"/>
          <w:sz w:val="20"/>
          <w:szCs w:val="20"/>
          <w:lang w:val="ka-GE"/>
        </w:rPr>
        <w:t xml:space="preserve"> და </w:t>
      </w:r>
      <w:r w:rsidR="00C96F84" w:rsidRPr="00C96F84">
        <w:rPr>
          <w:rFonts w:ascii="Sylfaen" w:eastAsiaTheme="minorHAnsi" w:hAnsi="Sylfaen" w:cstheme="minorBidi"/>
          <w:sz w:val="20"/>
          <w:szCs w:val="20"/>
          <w:lang w:val="ka-GE"/>
        </w:rPr>
        <w:t xml:space="preserve">მხარეთა </w:t>
      </w:r>
      <w:r w:rsidR="00692829" w:rsidRPr="00C96F84">
        <w:rPr>
          <w:rFonts w:ascii="Sylfaen" w:eastAsiaTheme="minorHAnsi" w:hAnsi="Sylfaen" w:cstheme="minorBidi"/>
          <w:sz w:val="20"/>
          <w:szCs w:val="20"/>
          <w:lang w:val="ka-GE"/>
        </w:rPr>
        <w:t xml:space="preserve">ბენეფიტები; </w:t>
      </w:r>
    </w:p>
    <w:p w14:paraId="61181D74" w14:textId="77777777" w:rsidR="0089337A" w:rsidRPr="00C96F84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>
        <w:rPr>
          <w:rFonts w:ascii="Sylfaen" w:eastAsiaTheme="minorHAnsi" w:hAnsi="Sylfaen" w:cstheme="minorBidi"/>
          <w:sz w:val="20"/>
          <w:szCs w:val="20"/>
          <w:lang w:val="ka-GE"/>
        </w:rPr>
        <w:lastRenderedPageBreak/>
        <w:t>დასაქმების პერსპექტივების ანალიზი და საჭირო რესურსების მომზადება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752ED89C" w14:textId="77777777" w:rsidR="00C96F84" w:rsidRPr="00C96F84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პროფესიული უნარებისა და კომპეტენიების განვითარების სისტემები</w:t>
      </w:r>
    </w:p>
    <w:p w14:paraId="2138C0F9" w14:textId="77777777" w:rsidR="00C96F84" w:rsidRPr="0089337A" w:rsidRDefault="00C96F84" w:rsidP="0089337A">
      <w:pPr>
        <w:pStyle w:val="ListParagraph"/>
        <w:numPr>
          <w:ilvl w:val="0"/>
          <w:numId w:val="12"/>
        </w:numPr>
        <w:spacing w:after="0"/>
        <w:ind w:left="2127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i/>
          <w:sz w:val="20"/>
          <w:szCs w:val="20"/>
          <w:lang w:val="ka-GE"/>
        </w:rPr>
        <w:t>სტაჟირება</w:t>
      </w:r>
    </w:p>
    <w:p w14:paraId="194FE44E" w14:textId="77777777" w:rsidR="00C96F84" w:rsidRPr="0089337A" w:rsidRDefault="00C96F84" w:rsidP="0089337A">
      <w:pPr>
        <w:pStyle w:val="ListParagraph"/>
        <w:numPr>
          <w:ilvl w:val="0"/>
          <w:numId w:val="12"/>
        </w:numPr>
        <w:spacing w:after="0"/>
        <w:ind w:left="2127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i/>
          <w:sz w:val="20"/>
          <w:szCs w:val="20"/>
          <w:lang w:val="ka-GE"/>
        </w:rPr>
        <w:t>პრაქტიკა</w:t>
      </w:r>
    </w:p>
    <w:p w14:paraId="28F641A1" w14:textId="77777777" w:rsidR="00C96F84" w:rsidRPr="0089337A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სხვა სახის სისტემები(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 </w:t>
      </w: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 xml:space="preserve">თეორია+პრაქტიკა 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მოდელით </w:t>
      </w:r>
      <w:r w:rsidRPr="00C96F84">
        <w:rPr>
          <w:rFonts w:ascii="Sylfaen" w:eastAsiaTheme="minorHAnsi" w:hAnsi="Sylfaen" w:cstheme="minorBidi"/>
          <w:sz w:val="20"/>
          <w:szCs w:val="20"/>
          <w:lang w:val="ka-GE"/>
        </w:rPr>
        <w:t>სწავლებისთვის)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;</w:t>
      </w:r>
    </w:p>
    <w:p w14:paraId="0A40874C" w14:textId="34B0EF43" w:rsidR="00C96F84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დამსაქმებლებთან ეფექტური კომუნიკაციის </w:t>
      </w:r>
      <w:r w:rsidR="002A7B5E">
        <w:rPr>
          <w:rFonts w:ascii="Sylfaen" w:eastAsiaTheme="minorHAnsi" w:hAnsi="Sylfaen" w:cstheme="minorBidi"/>
          <w:sz w:val="20"/>
          <w:szCs w:val="20"/>
          <w:lang w:val="ka-GE"/>
        </w:rPr>
        <w:t>სქემები</w:t>
      </w: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 (კლუბები და CSR მიმართულება</w:t>
      </w:r>
      <w:r w:rsidR="00254A0C">
        <w:rPr>
          <w:rFonts w:ascii="Sylfaen" w:eastAsiaTheme="minorHAnsi" w:hAnsi="Sylfaen" w:cstheme="minorBidi"/>
          <w:sz w:val="20"/>
          <w:szCs w:val="20"/>
          <w:lang w:val="ka-GE"/>
        </w:rPr>
        <w:t>).</w:t>
      </w:r>
    </w:p>
    <w:p w14:paraId="68931EDC" w14:textId="77777777" w:rsidR="0089337A" w:rsidRPr="0089337A" w:rsidRDefault="0089337A" w:rsidP="0089337A">
      <w:pPr>
        <w:pStyle w:val="ListParagraph"/>
        <w:spacing w:after="0"/>
        <w:ind w:left="144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</w:p>
    <w:p w14:paraId="6F13DD39" w14:textId="77777777" w:rsidR="00C96F84" w:rsidRPr="0089337A" w:rsidRDefault="00254A0C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კომუნიკაციისა და ადაპტაციის სისტემები</w:t>
      </w:r>
    </w:p>
    <w:p w14:paraId="681AC4D9" w14:textId="474570FD" w:rsidR="00C96F84" w:rsidRPr="0089337A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ჯობ ქ</w:t>
      </w:r>
      <w:r w:rsidR="008051E7">
        <w:rPr>
          <w:rFonts w:ascii="Sylfaen" w:eastAsiaTheme="minorHAnsi" w:hAnsi="Sylfaen" w:cstheme="minorBidi"/>
          <w:sz w:val="20"/>
          <w:szCs w:val="20"/>
          <w:lang w:val="ka-GE"/>
        </w:rPr>
        <w:t xml:space="preserve">ოუჩინგი </w:t>
      </w:r>
      <w:bookmarkStart w:id="0" w:name="_GoBack"/>
      <w:bookmarkEnd w:id="0"/>
    </w:p>
    <w:p w14:paraId="65FE9D75" w14:textId="77777777" w:rsidR="00692829" w:rsidRPr="0089337A" w:rsidRDefault="00692829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ადაბტაციის </w:t>
      </w:r>
      <w:r w:rsidR="00C96F84" w:rsidRPr="0089337A">
        <w:rPr>
          <w:rFonts w:ascii="Sylfaen" w:eastAsiaTheme="minorHAnsi" w:hAnsi="Sylfaen" w:cstheme="minorBidi"/>
          <w:sz w:val="20"/>
          <w:szCs w:val="20"/>
          <w:lang w:val="ka-GE"/>
        </w:rPr>
        <w:t>სისტემები</w:t>
      </w:r>
    </w:p>
    <w:p w14:paraId="73EB8F88" w14:textId="77777777" w:rsidR="00C96F84" w:rsidRPr="0089337A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მენტორშიფის სისტემები</w:t>
      </w:r>
    </w:p>
    <w:p w14:paraId="2EEE422D" w14:textId="77777777" w:rsidR="00C96F84" w:rsidRPr="0089337A" w:rsidRDefault="00C96F84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სიტუაციური ანალიზი და შედგომი განვითარების პერსპექტივები</w:t>
      </w:r>
    </w:p>
    <w:p w14:paraId="056D963D" w14:textId="77777777" w:rsidR="005271B4" w:rsidRDefault="005271B4" w:rsidP="005271B4">
      <w:pPr>
        <w:pStyle w:val="ListParagraph"/>
        <w:spacing w:after="0"/>
        <w:ind w:left="126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</w:p>
    <w:p w14:paraId="58294620" w14:textId="1478A659" w:rsidR="0089337A" w:rsidRPr="0089337A" w:rsidRDefault="0089337A" w:rsidP="0089337A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დასაქმებსა და პროფესიული </w:t>
      </w:r>
      <w:r w:rsidR="002A7B5E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განვით</w:t>
      </w: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არების მიმართულების </w:t>
      </w:r>
      <w:r w:rsidR="005271B4"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ვეპ-</w:t>
      </w:r>
      <w:r w:rsidRPr="0089337A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პორტალი</w:t>
      </w:r>
    </w:p>
    <w:p w14:paraId="42741AA8" w14:textId="5429EE86" w:rsidR="0089337A" w:rsidRPr="0089337A" w:rsidRDefault="0089337A" w:rsidP="0089337A">
      <w:pPr>
        <w:pStyle w:val="ListParagraph"/>
        <w:numPr>
          <w:ilvl w:val="0"/>
          <w:numId w:val="16"/>
        </w:numPr>
        <w:spacing w:after="0"/>
        <w:jc w:val="both"/>
        <w:rPr>
          <w:rFonts w:ascii="Sylfaen" w:eastAsiaTheme="minorHAnsi" w:hAnsi="Sylfaen" w:cstheme="minorBidi"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>ვებ პორტალის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 </w:t>
      </w:r>
      <w:r w:rsidR="002A7B5E">
        <w:rPr>
          <w:rFonts w:ascii="Sylfaen" w:eastAsiaTheme="minorHAnsi" w:hAnsi="Sylfaen" w:cstheme="minorBidi"/>
          <w:sz w:val="20"/>
          <w:szCs w:val="20"/>
          <w:lang w:val="ka-GE"/>
        </w:rPr>
        <w:t xml:space="preserve">ზოგადი </w:t>
      </w:r>
      <w:r>
        <w:rPr>
          <w:rFonts w:ascii="Sylfaen" w:eastAsiaTheme="minorHAnsi" w:hAnsi="Sylfaen" w:cstheme="minorBidi"/>
          <w:sz w:val="20"/>
          <w:szCs w:val="20"/>
          <w:lang w:val="ka-GE"/>
        </w:rPr>
        <w:t xml:space="preserve"> აღწერილობა და</w:t>
      </w:r>
      <w:r w:rsidRPr="0089337A">
        <w:rPr>
          <w:rFonts w:ascii="Sylfaen" w:eastAsiaTheme="minorHAnsi" w:hAnsi="Sylfaen" w:cstheme="minorBidi"/>
          <w:sz w:val="20"/>
          <w:szCs w:val="20"/>
          <w:lang w:val="ka-GE"/>
        </w:rPr>
        <w:t xml:space="preserve"> შესაძლებლობები:</w:t>
      </w:r>
    </w:p>
    <w:p w14:paraId="7B2F817C" w14:textId="77777777" w:rsidR="0089337A" w:rsidRPr="0089337A" w:rsidRDefault="0089337A" w:rsidP="0089337A">
      <w:pPr>
        <w:pStyle w:val="ListParagraph"/>
        <w:numPr>
          <w:ilvl w:val="0"/>
          <w:numId w:val="12"/>
        </w:numPr>
        <w:spacing w:after="0"/>
        <w:ind w:left="2127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i/>
          <w:sz w:val="20"/>
          <w:szCs w:val="20"/>
          <w:lang w:val="ka-GE"/>
        </w:rPr>
        <w:t>საინფორმაციო რესურსებისა და არხების მობილიზება</w:t>
      </w:r>
    </w:p>
    <w:p w14:paraId="688765CF" w14:textId="77777777" w:rsidR="0089337A" w:rsidRPr="0089337A" w:rsidRDefault="0089337A" w:rsidP="0089337A">
      <w:pPr>
        <w:pStyle w:val="ListParagraph"/>
        <w:numPr>
          <w:ilvl w:val="0"/>
          <w:numId w:val="12"/>
        </w:numPr>
        <w:spacing w:after="0"/>
        <w:ind w:left="2127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i/>
          <w:sz w:val="20"/>
          <w:szCs w:val="20"/>
          <w:lang w:val="ka-GE"/>
        </w:rPr>
        <w:t>ინფორმაციის განახლების გზები და საშუალებები</w:t>
      </w:r>
    </w:p>
    <w:p w14:paraId="14E0FDE6" w14:textId="0AEEDFBB" w:rsidR="00C80713" w:rsidRPr="00AC1C33" w:rsidRDefault="0089337A" w:rsidP="00AC1C33">
      <w:pPr>
        <w:pStyle w:val="ListParagraph"/>
        <w:numPr>
          <w:ilvl w:val="0"/>
          <w:numId w:val="12"/>
        </w:numPr>
        <w:spacing w:after="0"/>
        <w:ind w:left="2127"/>
        <w:jc w:val="both"/>
        <w:rPr>
          <w:rFonts w:ascii="Sylfaen" w:eastAsiaTheme="minorHAnsi" w:hAnsi="Sylfaen" w:cstheme="minorBidi"/>
          <w:i/>
          <w:sz w:val="20"/>
          <w:szCs w:val="20"/>
          <w:lang w:val="ka-GE"/>
        </w:rPr>
      </w:pPr>
      <w:r w:rsidRPr="0089337A">
        <w:rPr>
          <w:rFonts w:ascii="Sylfaen" w:eastAsiaTheme="minorHAnsi" w:hAnsi="Sylfaen" w:cstheme="minorBidi"/>
          <w:i/>
          <w:sz w:val="20"/>
          <w:szCs w:val="20"/>
          <w:lang w:val="ka-GE"/>
        </w:rPr>
        <w:t>ინფორმაციის მიღებისა და შეტყობინების ინსტრუმენტები</w:t>
      </w:r>
      <w:r w:rsidR="00AC1C33">
        <w:rPr>
          <w:rFonts w:ascii="Sylfaen" w:eastAsiaTheme="minorHAnsi" w:hAnsi="Sylfaen" w:cstheme="minorBidi"/>
          <w:i/>
          <w:sz w:val="20"/>
          <w:szCs w:val="20"/>
          <w:lang w:val="ka-GE"/>
        </w:rPr>
        <w:t>.</w:t>
      </w:r>
    </w:p>
    <w:sectPr w:rsidR="00C80713" w:rsidRPr="00AC1C33" w:rsidSect="005271B4">
      <w:headerReference w:type="default" r:id="rId7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B801" w14:textId="77777777" w:rsidR="00145993" w:rsidRDefault="00145993" w:rsidP="000E1F15">
      <w:pPr>
        <w:spacing w:after="0" w:line="240" w:lineRule="auto"/>
      </w:pPr>
      <w:r>
        <w:separator/>
      </w:r>
    </w:p>
  </w:endnote>
  <w:endnote w:type="continuationSeparator" w:id="0">
    <w:p w14:paraId="154FE0C7" w14:textId="77777777" w:rsidR="00145993" w:rsidRDefault="00145993" w:rsidP="000E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rlemagne Std Bold">
    <w:altName w:val="Colonna MT"/>
    <w:charset w:val="00"/>
    <w:family w:val="auto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0688" w14:textId="77777777" w:rsidR="00145993" w:rsidRDefault="00145993" w:rsidP="000E1F15">
      <w:pPr>
        <w:spacing w:after="0" w:line="240" w:lineRule="auto"/>
      </w:pPr>
      <w:r>
        <w:separator/>
      </w:r>
    </w:p>
  </w:footnote>
  <w:footnote w:type="continuationSeparator" w:id="0">
    <w:p w14:paraId="218500DA" w14:textId="77777777" w:rsidR="00145993" w:rsidRDefault="00145993" w:rsidP="000E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0171" w14:textId="57D75CD1" w:rsidR="000E1F15" w:rsidRPr="00022E95" w:rsidRDefault="00022E95" w:rsidP="00022E95">
    <w:pPr>
      <w:pStyle w:val="Header"/>
      <w:jc w:val="center"/>
      <w:rPr>
        <w:rFonts w:ascii="Charlemagne Std Bold" w:hAnsi="Charlemagne Std Bold" w:cs="Arial Hebrew Scholar"/>
        <w:b/>
        <w:i/>
      </w:rPr>
    </w:pPr>
    <w:r w:rsidRPr="00022E95">
      <w:rPr>
        <w:rFonts w:ascii="Charlemagne Std Bold" w:hAnsi="Charlemagne Std Bold" w:cs="Arial Hebrew Scholar"/>
        <w:b/>
        <w:i/>
      </w:rPr>
      <w:t xml:space="preserve">Expert </w:t>
    </w:r>
    <w:r w:rsidR="000E1F15" w:rsidRPr="00022E95">
      <w:rPr>
        <w:rFonts w:ascii="Charlemagne Std Bold" w:hAnsi="Charlemagne Std Bold" w:cs="Arial Hebrew Scholar"/>
        <w:b/>
        <w:i/>
      </w:rPr>
      <w:t xml:space="preserve">Vision </w:t>
    </w:r>
    <w:r w:rsidRPr="00022E95">
      <w:rPr>
        <w:rFonts w:ascii="Charlemagne Std Bold" w:hAnsi="Charlemagne Std Bold" w:cs="Arial Hebrew Scholar"/>
        <w:b/>
        <w:i/>
      </w:rPr>
      <w:t xml:space="preserve">                                                                    </w:t>
    </w:r>
    <w:r w:rsidR="000E1F15" w:rsidRPr="00022E95">
      <w:rPr>
        <w:rFonts w:ascii="Charlemagne Std Bold" w:hAnsi="Charlemagne Std Bold" w:cs="Arial Hebrew Scholar"/>
        <w:b/>
        <w:i/>
      </w:rPr>
      <w:t>Draft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80D"/>
    <w:multiLevelType w:val="hybridMultilevel"/>
    <w:tmpl w:val="2F04F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52E37"/>
    <w:multiLevelType w:val="hybridMultilevel"/>
    <w:tmpl w:val="56A45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E0C"/>
    <w:multiLevelType w:val="hybridMultilevel"/>
    <w:tmpl w:val="FD16B778"/>
    <w:lvl w:ilvl="0" w:tplc="99665C1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3D9D"/>
    <w:multiLevelType w:val="hybridMultilevel"/>
    <w:tmpl w:val="C492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C2B"/>
    <w:multiLevelType w:val="hybridMultilevel"/>
    <w:tmpl w:val="9778751C"/>
    <w:lvl w:ilvl="0" w:tplc="403E0B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8710A"/>
    <w:multiLevelType w:val="hybridMultilevel"/>
    <w:tmpl w:val="D416D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E1BC8"/>
    <w:multiLevelType w:val="hybridMultilevel"/>
    <w:tmpl w:val="20DE465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9DE0C34"/>
    <w:multiLevelType w:val="hybridMultilevel"/>
    <w:tmpl w:val="C50E20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C3EAA"/>
    <w:multiLevelType w:val="hybridMultilevel"/>
    <w:tmpl w:val="70F280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E4341"/>
    <w:multiLevelType w:val="hybridMultilevel"/>
    <w:tmpl w:val="B7E2DB12"/>
    <w:lvl w:ilvl="0" w:tplc="99665C1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F11102"/>
    <w:multiLevelType w:val="hybridMultilevel"/>
    <w:tmpl w:val="57D4C18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DA2165"/>
    <w:multiLevelType w:val="hybridMultilevel"/>
    <w:tmpl w:val="D59A2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F069B"/>
    <w:multiLevelType w:val="hybridMultilevel"/>
    <w:tmpl w:val="AAB8F842"/>
    <w:lvl w:ilvl="0" w:tplc="7E36756E">
      <w:start w:val="1"/>
      <w:numFmt w:val="decimal"/>
      <w:lvlText w:val="%1."/>
      <w:lvlJc w:val="left"/>
      <w:pPr>
        <w:ind w:left="720" w:hanging="360"/>
      </w:pPr>
      <w:rPr>
        <w:b/>
        <w:i/>
        <w:color w:val="44546A" w:themeColor="text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6B24"/>
    <w:multiLevelType w:val="hybridMultilevel"/>
    <w:tmpl w:val="0E10D142"/>
    <w:lvl w:ilvl="0" w:tplc="A5FE70D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17909"/>
    <w:multiLevelType w:val="hybridMultilevel"/>
    <w:tmpl w:val="420AFE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92B1E"/>
    <w:multiLevelType w:val="hybridMultilevel"/>
    <w:tmpl w:val="954E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C0D8C"/>
    <w:multiLevelType w:val="hybridMultilevel"/>
    <w:tmpl w:val="C8EE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B2"/>
    <w:rsid w:val="00022E95"/>
    <w:rsid w:val="000E1F15"/>
    <w:rsid w:val="00145993"/>
    <w:rsid w:val="001D6669"/>
    <w:rsid w:val="00254A0C"/>
    <w:rsid w:val="002A7B5E"/>
    <w:rsid w:val="004B127D"/>
    <w:rsid w:val="00510F24"/>
    <w:rsid w:val="005271B4"/>
    <w:rsid w:val="005F73B2"/>
    <w:rsid w:val="00692829"/>
    <w:rsid w:val="006B4407"/>
    <w:rsid w:val="00785B62"/>
    <w:rsid w:val="008051E7"/>
    <w:rsid w:val="0089337A"/>
    <w:rsid w:val="00AC1C33"/>
    <w:rsid w:val="00C80713"/>
    <w:rsid w:val="00C819CA"/>
    <w:rsid w:val="00C96F84"/>
    <w:rsid w:val="00D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2D9C3"/>
  <w15:docId w15:val="{B9663762-1B1B-4544-A6A7-F1D27C20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CA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D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D94D2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"/>
    <w:link w:val="ListParagraph"/>
    <w:uiPriority w:val="34"/>
    <w:locked/>
    <w:rsid w:val="00D94D29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94D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F2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2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15"/>
  </w:style>
  <w:style w:type="paragraph" w:styleId="Footer">
    <w:name w:val="footer"/>
    <w:basedOn w:val="Normal"/>
    <w:link w:val="FooterChar"/>
    <w:uiPriority w:val="99"/>
    <w:unhideWhenUsed/>
    <w:rsid w:val="000E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Kukava</dc:creator>
  <cp:keywords/>
  <dc:description/>
  <cp:lastModifiedBy>Maka Kukava</cp:lastModifiedBy>
  <cp:revision>6</cp:revision>
  <dcterms:created xsi:type="dcterms:W3CDTF">2017-06-16T10:42:00Z</dcterms:created>
  <dcterms:modified xsi:type="dcterms:W3CDTF">2017-06-16T12:49:00Z</dcterms:modified>
</cp:coreProperties>
</file>