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1.  </w:t>
        <w:tab/>
        <w:t xml:space="preserve">სახელმწიფო პროგრამები („სახელმწიფო პროგრამები -&gt; პროგრამები“) უნდა გამოჩნდეს განმახორციელებლების მიხედვით. თითოეულ მომხმარებელ უნდა დაემატოს ატრიბუტი User Management-ში, რომელიც განსაზღვრავს მომხმარებელი რომელი განმახორციელებლისაა (FinancingAgentDepartmentID). თითოეულ პროგრამას ეთითება განმახორციელებელი, რომელიც უნდა შედარდეს მოცემულ ატრიბუტს. თუ მომხმარებელს მოცემული ატრიბუტი არ აქვს და არც Admin-ების ჯგუფშია, გადავიდეს Error.aspx-ზე და დაიწეროს, რომ „მომხმარებლის მონაცემები რეგისტრირებულია არასრულად“.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[1]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პროგრამის რეგისტრაციის გვერდს უნდა დაემატოს დეპარტამენტის ველი (/Budget/Tree/RegisterProgram.aspx).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2.  </w:t>
        <w:tab/>
        <w:t xml:space="preserve">პროგრამის რეგისტრაციისა და რედაქტირების გვერდებზე უნდა შევიდეს მხოლოდ Admin-ის უფლების მქონე მოხმარებელები.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a.   </w:t>
        <w:tab/>
        <w:t xml:space="preserve">არ ჩანდეს რეგისტრაციისა და რედაქტირების ღილაკები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[2]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b.  </w:t>
        <w:tab/>
        <w:t xml:space="preserve">პროგრამის რეგისტრაცია/რედაქტირების გვერდზე, ჩაიდოს შემოწმება: თუ მომხმარებელი არ არის Admin-ების ჯგუფში, გადავიდეს Error.aspx-ზე და დაიწეროს, რომ „მოცემული გვერდი ვერ მოიძებნა“.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[3]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3.      ფინანსური ერთეული (სახელმწიფო პროგრამები -&gt; პროგრამები -&gt; ქვეკომპონენტი -&gt; ფინანსური ერთეულები)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a.       რეგისტრაცია/რედაქტირების გვერდზე დაფინანსების წყაროების დამატების Popup-ში გამოჩნდეს მხოლოდ ის, რომელიც არის განმახორციელებელი. თუ განმახორციელებელი სათაოა, გამოჩნდეს მხოლოდ სათაო, თუ ფილიალია - გამოჩნდეს სათაო და მხოლოდ მოცემული ფილიალი (ამ შემთხვევაში შეიძლებოდეს მხოლოდ ფილიალის არჩევა). 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[12]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ცხრილი - BL_FinancingItems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b.      ნოზოლოგიები გაყოფილი იყოს განმახორციელებლების მიხედვით თუ არა? -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BL_Nosologies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c.       ასაკობრივი ჯგუფები გაყოფილი იყოს განმახორციელებლების მიხედვით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[15]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ცხრილები - BL_AgeGroupCategories, BL_AgeGroups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d.      ატრიბუტები  გასაყოფი იქნება განმახორციელებლების მიხედვით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[16] 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ცხრილი - BL_FinancingItemAttributeTypes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4.  </w:t>
        <w:tab/>
        <w:t xml:space="preserve">ბიუჯეტის კორექციის ბრძანებები გაყოფილი უნდა იყოს განმახორციელებლების მიხედვით (სახელმწიფო პროგრამები -&gt; ბიუჯეტის კორექციის ბრძანებები)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[4]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ცხრილი - BL_BudgetItemCorrectionOrders, სვეტი - FinancingAgentDepartmentID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5.  </w:t>
        <w:tab/>
        <w:t xml:space="preserve">კონტრაქტები გაყოფილი უნდა იყოს განმახორციელებლების მიხედვით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[5] 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ცხრილი - BL_</w:t>
      </w:r>
      <w:r w:rsidRPr="00000000" w:rsidR="00000000" w:rsidDel="00000000">
        <w:rPr>
          <w:color w:val="00b050"/>
          <w:sz w:val="20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BL_Contracts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6.  </w:t>
        <w:tab/>
        <w:t xml:space="preserve">მიღება-ჩაბარების აქტები გაყოფილი უნდა იყოს განმახორციელებლების მიხედვით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[6]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ცხრილი - BL_AcceptanceAct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7.  </w:t>
        <w:tab/>
        <w:t xml:space="preserve">რეესტრები  გაყოფილი უნდა იყოს განმახორციელებლების მიხედვით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[7]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ცხრილი - BL_Batches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8.  </w:t>
        <w:tab/>
        <w:t xml:space="preserve">ვალდებულებები გაყოფილი უნდა იყოს განმახორციელებლების მიხედვით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[8] 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ცხრილი -BL_Liabilities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9.  </w:t>
        <w:tab/>
        <w:t xml:space="preserve">საგადახდო მოთხოვნები გაყოფილი უნდა იყოს განმახორციელებლების მიხედვით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[9] 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ცხრილი - BL_PaymentOrders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10.  ხაზინის გვერდებზე ჩასადებია ფილტრაცია განმახორციელებლების მიხედვით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[10]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11.  ლიმიტები გაყოფილი უნდა იყოს განმახორციელებლების მიხედვით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[11] 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ცხრილი - BL_ContractBudgetLimits (გაიარე ლობჯანასთან)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9900ff"/>
          <w:sz w:val="20"/>
          <w:rtl w:val="0"/>
        </w:rPr>
        <w:t xml:space="preserve">12.  ანალიტიკა გასაყოფი იქნება განმახორციელებლების მიხედვით - ჯერ არ არის გაკეთებული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9900ff"/>
          <w:sz w:val="20"/>
          <w:rtl w:val="0"/>
        </w:rPr>
        <w:t xml:space="preserve">13.  კომპონენტისა და ქვეკომპონენტისთვის სახაზინო კოდების დამატების Popup-იდან ამოსაღებია სახაზ. კოდებისა და განმახორციელებლის შესაბამისობების მითითების ფუნქციონალი. უნდა გავიდეს ცალკე გვერდზე, რომ მხოლოდ Admin-ს შეეძლოს მითითება. -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9900ff"/>
          <w:sz w:val="20"/>
          <w:rtl w:val="0"/>
        </w:rPr>
        <w:t xml:space="preserve">გადაიდო მომავლისთვის (გასავლელია)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a.  Popup-ში გაიფილტროს მონაცემები დეპარტამენტის მიხედვით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Popup-ის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a.       Combo-ში სახაზ. კოდები გაყოფილი იყოს დეპარტამენტის მიხედვით BL_TreasuryOrganizationCodes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b.      ცხრილში გამოჩნდეს მომხმარებლის შესაბამისი განმახორციელებელი - იგივე ლოგიკა, რაც არის 4.a საკითხში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14.  ქვეკომპონენტის ატრიბუტები გაყოფილი უნდა იყოს განმახორციელებლების მიხედვით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BL_FinancingItemAttributeTypes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9900ff"/>
          <w:sz w:val="20"/>
          <w:rtl w:val="0"/>
        </w:rPr>
        <w:t xml:space="preserve">15.  ქვეკომპონენტის ეკონ. მუხლები გაყოფილი იყოს განმახორციელებლების მიხედვით თუ არა? -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9900ff"/>
          <w:sz w:val="20"/>
          <w:rtl w:val="0"/>
        </w:rPr>
        <w:t xml:space="preserve">გასავლელია (ამ ეტაპზე არ გვინდა)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16.  ყველა გვერდზე, რომელზეც მონაცემები იფილტრება განმახორციელებლის მიხედვით, ჩაიდოს შემოწმება FinancingAgentDepartmentID ატრიბუტზე. თუ მომხმარებელს მოცემული ატრიბუტი არ აქვს და არც Admin-ების ჯგუფშია, გადავიდეს Error.aspx-ზე და დაიწეროს, რომ „მომხმარებლს არ აქვს შესვლის უფლება“.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[17]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17.  ხელშეკრულების სერვისებში დაემატოს განმახორციელებლის იდენტიფიკატორი, რომელსაც შემთხვევების, მიმართვებისა და ელ. რეცეპტის რეგისტრაციის მოდულების გადმოსცემენ და გაფილტრავს მოძებნილ ხელშეკრულებებს განმახორციელებლით. თუ გადმოეცემა Null-ი, გამოიტანოს ყველა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[13];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18.  Reporting-ში საანგარიშგებო და სტატისტიკური ფორმები გაიფილტროს (გამოჩნდეს) განმახორციელებლების შესაბამისად.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b050"/>
          <w:sz w:val="20"/>
          <w:rtl w:val="0"/>
        </w:rPr>
        <w:t xml:space="preserve">[14]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19.  დასაწერია სკრიპტი, რომელიც ჩაწერს ყველა შესაბამის ცხრილში განმახორცილებელებისა და დეპარტამენტების ID-ებს: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a.   </w:t>
        <w:tab/>
        <w:t xml:space="preserve">საყოველთაო ჯანდაცვის მართვის დეპარტამენტი და SSA-ის ID უნდა გაეწეროს „მოსახლეობის საყოველთაო ჯანმრთელობის დაცვის სახელმწიფო პროგრამის“ ყველა ცხრილს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b.  </w:t>
        <w:tab/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ჯანმრთელობის მართვის პროგრამების დეპარტამენტი და SSA-ის ID უნდა გაეწეროს შემდეგ პროგრამებს: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                 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                       i.      მოსახლეობის სამედიცინო მომსახურების მიწოდება პრიორიტეტულ სფეროებში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                                  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    ii.      საზოგადოებრივი ჯანმრთელობის დაცვა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c.   დაავადებათა კონტროლისა და საზოგადოებრივი ჯანმრთელობის ეროვნული ცენტრი-ის ID უნდა გაეწეროს „საზოგადოებრივი ჯანმრთელობის დაცვა - NCDC“ პროგრამას -ჯერ არ არის დაიმპორტებული Billing-ის ბაზაში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10200.0" w:type="dxa"/>
        <w:jc w:val="left"/>
        <w:tblInd w:w="-104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3225"/>
        <w:gridCol w:w="2835"/>
        <w:gridCol w:w="414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Program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Department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Department ID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მოსახლეობის საყოველთაო ჯანმრთელობის დაცვის სახელმწიფო პროგრამა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საყოველთაო ჯანდაცვის მართვის დეპარტამენტი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BA44ADE6-F753-4A9C-AB04-0AA234E6D0D9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მოსახლეობის საყოველთაო ჯანმრთელობის დაცვის სახელმწიფო პროგრამა (ძველი)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საყოველთაო ჯანდაცვის მართვის დეპარტამენტი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BA44ADE6-F753-4A9C-AB04-0AA234E6D0D9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მოსახლეობის სამედიცინო მომსახურების მიწოდება პრიორიტეტულ სფეროებში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ჯანმრთელობის მართვის პროგრამების დეპარტამენტი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DEACE06B-0F4E-4AFC-94EF-877A08EC1C60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საზოგადოებრივი ჯანმრთელობის დაცვა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ჯანმრთელობის მართვის პროგრამების დეპარტამენტი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DEACE06B-0F4E-4AFC-94EF-877A08EC1C60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საზოგადოებრივი ჯანმრთელობის დაცვა - NCDC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სახელმწიფო პროგრამების დეპარტამენტი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05EAC501-6632-4D15-9C0E-6D29E7D5E346</w:t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საკითხები, რომლებიც გაყოფილი უნდა იყოს განმახორცილებლების მიხედვით გულისხმობს, რომ ცვლილებები უნდა შევიდეს რეგისტრაციისა და ფილტრაციის ნაწილში. აგრეთვე, ზოგ შემთხვევაში დასამატებელია ახალი გვერდები.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P.S.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საკითხების გასწვრივ ფრჩხილებში წერია პრიორიტეტები.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სერგო.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1.   </w:t>
      </w: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   ფინანსური ერთეულის რეგისტრაცია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a.       ასაკობრივი ჯგუფის კატეგორიების და ჯგუფის გაყოფა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b.      ნოზოლოგიების დაყოფა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c.       სატარიფო ზონები  გაყოფა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d.      ატრიბუტების გაყოფა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2.      სატარიფო ზონები (ცნობარები =&gt; სატარიფო ზონები)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3.      კონტროლის Postback - საჭიროა თუ არა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4.      კონტრაქტებიდან ამოვიღო ფილტრაციის კონტროლი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5.      ვალდებულებები - ამოსაღებია ფილტრაციის კონტროლი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b050"/>
          <w:sz w:val="20"/>
          <w:rtl w:val="0"/>
        </w:rPr>
        <w:t xml:space="preserve">6.      ლიმიტების რედაქტირება - გასაყოფია ყველაფერი მანდ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b050"/>
          <w:sz w:val="20"/>
          <w:rtl w:val="0"/>
        </w:rPr>
        <w:t xml:space="preserve">20:  ორგანიზაციის რედაქტირებაში დაემატოს დეპარტამენტების ცხრილი და დეპარტამენტების დამატების ფუნქციონალი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21: გასავლელია უნდა მოხდეს თუ არა დეპარტამენტების გაუქმების ფუნქციონალი და თუ კი მაშინ როგორ უნდა მოიქცეს პროგრამა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b050"/>
          <w:sz w:val="20"/>
          <w:rtl w:val="0"/>
        </w:rPr>
        <w:t xml:space="preserve">სერვისები, რომლებშიც უნდა დაემატოს FinancingAgentOrganizationId და FinancingAgentDepartmentId პარამეტრები: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color w:val="00b050"/>
          <w:sz w:val="20"/>
        </w:rPr>
      </w:pPr>
      <w:r w:rsidRPr="00000000" w:rsidR="00000000" w:rsidDel="00000000">
        <w:rPr>
          <w:color w:val="00b050"/>
          <w:sz w:val="20"/>
          <w:rtl w:val="0"/>
        </w:rPr>
        <w:t xml:space="preserve">region Contracts-ის ყველა მეთოდი, რომელსაც ContractId სავალდებულოდ არ გადაეცემა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color w:val="00b050"/>
          <w:sz w:val="20"/>
        </w:rPr>
      </w:pPr>
      <w:r w:rsidRPr="00000000" w:rsidR="00000000" w:rsidDel="00000000">
        <w:rPr>
          <w:color w:val="00b050"/>
          <w:sz w:val="20"/>
          <w:rtl w:val="0"/>
        </w:rPr>
        <w:t xml:space="preserve">RegisterAcceptanceAct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color w:val="00b050"/>
          <w:sz w:val="20"/>
        </w:rPr>
      </w:pPr>
      <w:r w:rsidRPr="00000000" w:rsidR="00000000" w:rsidDel="00000000">
        <w:rPr>
          <w:color w:val="00b050"/>
          <w:sz w:val="20"/>
          <w:rtl w:val="0"/>
        </w:rPr>
        <w:t xml:space="preserve">SearchAcceptanceActs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color w:val="00b050"/>
          <w:sz w:val="20"/>
        </w:rPr>
      </w:pPr>
      <w:r w:rsidRPr="00000000" w:rsidR="00000000" w:rsidDel="00000000">
        <w:rPr>
          <w:color w:val="00b050"/>
          <w:sz w:val="20"/>
          <w:rtl w:val="0"/>
        </w:rPr>
        <w:t xml:space="preserve">GetTransactionLimits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color w:val="00b050"/>
          <w:sz w:val="20"/>
        </w:rPr>
      </w:pPr>
      <w:r w:rsidRPr="00000000" w:rsidR="00000000" w:rsidDel="00000000">
        <w:rPr>
          <w:color w:val="00b050"/>
          <w:sz w:val="20"/>
          <w:rtl w:val="0"/>
        </w:rPr>
        <w:t xml:space="preserve">GetTransactionLimitsBySingleValues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color w:val="00b050"/>
          <w:sz w:val="20"/>
        </w:rPr>
      </w:pPr>
      <w:r w:rsidRPr="00000000" w:rsidR="00000000" w:rsidDel="00000000">
        <w:rPr>
          <w:color w:val="00b050"/>
          <w:sz w:val="20"/>
          <w:rtl w:val="0"/>
        </w:rPr>
        <w:t xml:space="preserve">GetBudgetHierarchyItemsByYear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color w:val="00b050"/>
          <w:sz w:val="20"/>
        </w:rPr>
      </w:pPr>
      <w:r w:rsidRPr="00000000" w:rsidR="00000000" w:rsidDel="00000000">
        <w:rPr>
          <w:color w:val="00b050"/>
          <w:sz w:val="20"/>
          <w:rtl w:val="0"/>
        </w:rPr>
        <w:t xml:space="preserve">GetFinancingItemRules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color w:val="00b050"/>
          <w:sz w:val="20"/>
        </w:rPr>
      </w:pPr>
      <w:r w:rsidRPr="00000000" w:rsidR="00000000" w:rsidDel="00000000">
        <w:rPr>
          <w:color w:val="00b050"/>
          <w:sz w:val="20"/>
          <w:rtl w:val="0"/>
        </w:rPr>
        <w:t xml:space="preserve">SearchFinancialItems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160" w:line="259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- მრავალდონიანი აგენტი.docx</dc:title>
</cp:coreProperties>
</file>