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03429B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710085">
              <w:rPr>
                <w:rFonts w:ascii="Sylfaen" w:hAnsi="Sylfaen"/>
                <w:szCs w:val="16"/>
              </w:rPr>
              <w:t xml:space="preserve">ამბროლაურის </w:t>
            </w:r>
            <w:r w:rsidR="0003429B">
              <w:rPr>
                <w:rFonts w:ascii="Sylfaen" w:hAnsi="Sylfaen"/>
                <w:szCs w:val="16"/>
              </w:rPr>
              <w:t>სასწრაფო სამედიცინო სამსახური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03429B">
              <w:rPr>
                <w:rFonts w:ascii="Sylfaen" w:hAnsi="Sylfaen"/>
                <w:b w:val="0"/>
                <w:spacing w:val="0"/>
                <w:sz w:val="16"/>
                <w:szCs w:val="16"/>
              </w:rPr>
              <w:t>ამბროლაური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710085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დარეჯან ნიორაძე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8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55630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9D34-C210-4A76-A9CB-1EAC58A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2011-10-01T11:36:00Z</dcterms:created>
  <dcterms:modified xsi:type="dcterms:W3CDTF">2011-10-01T11:36:00Z</dcterms:modified>
</cp:coreProperties>
</file>