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B3F" w:rsidRDefault="00070B3F" w:rsidP="005111E6">
      <w:pPr>
        <w:shd w:val="clear" w:color="auto" w:fill="FFFFFF"/>
        <w:spacing w:after="63" w:line="175" w:lineRule="atLeast"/>
        <w:rPr>
          <w:rFonts w:ascii="Sylfaen" w:hAnsi="Sylfaen"/>
          <w:sz w:val="16"/>
          <w:szCs w:val="16"/>
        </w:rPr>
      </w:pPr>
      <w:r>
        <w:rPr>
          <w:rFonts w:ascii="Sylfaen" w:hAnsi="Sylfaen"/>
          <w:sz w:val="16"/>
          <w:szCs w:val="16"/>
          <w:lang w:val="ka-GE"/>
        </w:rPr>
        <w:fldChar w:fldCharType="begin"/>
      </w:r>
      <w:r>
        <w:rPr>
          <w:rFonts w:ascii="Sylfaen" w:hAnsi="Sylfaen"/>
          <w:sz w:val="16"/>
          <w:szCs w:val="16"/>
          <w:lang w:val="ka-GE"/>
        </w:rPr>
        <w:instrText xml:space="preserve"> HYPERLINK "</w:instrText>
      </w:r>
      <w:r w:rsidRPr="00070B3F">
        <w:rPr>
          <w:rFonts w:ascii="Sylfaen" w:hAnsi="Sylfaen"/>
          <w:sz w:val="16"/>
          <w:szCs w:val="16"/>
          <w:lang w:val="ka-GE"/>
        </w:rPr>
        <w:instrText>http://www.sennheiserusa.com/pc-stereo-headset-noise-canceling-microphone_504522</w:instrText>
      </w:r>
      <w:r>
        <w:rPr>
          <w:rFonts w:ascii="Sylfaen" w:hAnsi="Sylfaen"/>
          <w:sz w:val="16"/>
          <w:szCs w:val="16"/>
          <w:lang w:val="ka-GE"/>
        </w:rPr>
        <w:instrText xml:space="preserve">" </w:instrText>
      </w:r>
      <w:r>
        <w:rPr>
          <w:rFonts w:ascii="Sylfaen" w:hAnsi="Sylfaen"/>
          <w:sz w:val="16"/>
          <w:szCs w:val="16"/>
          <w:lang w:val="ka-GE"/>
        </w:rPr>
        <w:fldChar w:fldCharType="separate"/>
      </w:r>
      <w:r w:rsidRPr="00F827BC">
        <w:rPr>
          <w:rStyle w:val="Hyperlink"/>
          <w:rFonts w:ascii="Sylfaen" w:hAnsi="Sylfaen"/>
          <w:sz w:val="16"/>
          <w:szCs w:val="16"/>
          <w:lang w:val="ka-GE"/>
        </w:rPr>
        <w:t>http://www.sennheiserusa.com/pc-stereo-headset-noise-canceling-microphone_504522</w:t>
      </w:r>
      <w:r>
        <w:rPr>
          <w:rFonts w:ascii="Sylfaen" w:hAnsi="Sylfaen"/>
          <w:sz w:val="16"/>
          <w:szCs w:val="16"/>
          <w:lang w:val="ka-GE"/>
        </w:rPr>
        <w:fldChar w:fldCharType="end"/>
      </w:r>
    </w:p>
    <w:p w:rsidR="00070B3F" w:rsidRDefault="00070B3F" w:rsidP="005111E6">
      <w:pPr>
        <w:shd w:val="clear" w:color="auto" w:fill="FFFFFF"/>
        <w:spacing w:after="63" w:line="175" w:lineRule="atLeast"/>
        <w:rPr>
          <w:rFonts w:ascii="Sylfaen" w:hAnsi="Sylfaen"/>
          <w:sz w:val="16"/>
          <w:szCs w:val="16"/>
        </w:rPr>
      </w:pPr>
    </w:p>
    <w:p w:rsidR="00070B3F" w:rsidRPr="00070B3F" w:rsidRDefault="00070B3F" w:rsidP="005111E6">
      <w:pPr>
        <w:shd w:val="clear" w:color="auto" w:fill="FFFFFF"/>
        <w:spacing w:after="63" w:line="175" w:lineRule="atLeast"/>
        <w:rPr>
          <w:rFonts w:ascii="Verdana" w:eastAsia="Times New Roman" w:hAnsi="Verdana" w:cs="Times New Roman"/>
          <w:color w:val="333333"/>
          <w:sz w:val="14"/>
          <w:szCs w:val="14"/>
        </w:rPr>
      </w:pPr>
    </w:p>
    <w:p w:rsidR="00070B3F" w:rsidRDefault="00070B3F" w:rsidP="005111E6">
      <w:pPr>
        <w:shd w:val="clear" w:color="auto" w:fill="FFFFFF"/>
        <w:spacing w:after="63" w:line="175" w:lineRule="atLeast"/>
        <w:rPr>
          <w:rFonts w:ascii="Verdana" w:eastAsia="Times New Roman" w:hAnsi="Verdana" w:cs="Times New Roman"/>
          <w:color w:val="333333"/>
          <w:sz w:val="14"/>
          <w:szCs w:val="14"/>
        </w:rPr>
      </w:pPr>
    </w:p>
    <w:p w:rsidR="005111E6" w:rsidRPr="005111E6" w:rsidRDefault="005111E6" w:rsidP="005111E6">
      <w:pPr>
        <w:shd w:val="clear" w:color="auto" w:fill="FFFFFF"/>
        <w:spacing w:after="63" w:line="175" w:lineRule="atLeast"/>
        <w:rPr>
          <w:rFonts w:ascii="Verdana" w:eastAsia="Times New Roman" w:hAnsi="Verdana" w:cs="Times New Roman"/>
          <w:color w:val="333333"/>
          <w:sz w:val="14"/>
          <w:szCs w:val="14"/>
        </w:rPr>
      </w:pPr>
      <w:r w:rsidRPr="005111E6">
        <w:rPr>
          <w:rFonts w:ascii="Verdana" w:eastAsia="Times New Roman" w:hAnsi="Verdana" w:cs="Times New Roman"/>
          <w:color w:val="333333"/>
          <w:sz w:val="14"/>
          <w:szCs w:val="14"/>
        </w:rPr>
        <w:t xml:space="preserve">The PC 31 is a starter headset with the most superior stereo sound in its class, providing great value for money. </w:t>
      </w:r>
      <w:proofErr w:type="spellStart"/>
      <w:proofErr w:type="gramStart"/>
      <w:r w:rsidRPr="005111E6">
        <w:rPr>
          <w:rFonts w:ascii="Verdana" w:eastAsia="Times New Roman" w:hAnsi="Verdana" w:cs="Times New Roman"/>
          <w:color w:val="333333"/>
          <w:sz w:val="14"/>
          <w:szCs w:val="14"/>
        </w:rPr>
        <w:t>Its</w:t>
      </w:r>
      <w:proofErr w:type="spellEnd"/>
      <w:proofErr w:type="gramEnd"/>
      <w:r w:rsidRPr="005111E6">
        <w:rPr>
          <w:rFonts w:ascii="Verdana" w:eastAsia="Times New Roman" w:hAnsi="Verdana" w:cs="Times New Roman"/>
          <w:color w:val="333333"/>
          <w:sz w:val="14"/>
          <w:szCs w:val="14"/>
        </w:rPr>
        <w:t xml:space="preserve"> the perfect tool for voice recognition, internet telephony and all VoIP applications and even listening to music via your PC/laptop. The stylish design and comfortable fit make it an ideal choice for business or private use.</w:t>
      </w:r>
    </w:p>
    <w:p w:rsidR="005111E6" w:rsidRPr="005111E6" w:rsidRDefault="005111E6" w:rsidP="005111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11E6">
        <w:rPr>
          <w:rFonts w:ascii="Verdana" w:eastAsia="Times New Roman" w:hAnsi="Verdana" w:cs="Times New Roman"/>
          <w:b/>
          <w:bCs/>
          <w:color w:val="333333"/>
          <w:sz w:val="14"/>
        </w:rPr>
        <w:t>Features</w:t>
      </w:r>
    </w:p>
    <w:p w:rsidR="005111E6" w:rsidRPr="005111E6" w:rsidRDefault="005111E6" w:rsidP="005111E6">
      <w:pPr>
        <w:numPr>
          <w:ilvl w:val="0"/>
          <w:numId w:val="1"/>
        </w:numPr>
        <w:shd w:val="clear" w:color="auto" w:fill="FFFFFF"/>
        <w:spacing w:after="0" w:line="175" w:lineRule="atLeast"/>
        <w:ind w:left="0"/>
        <w:rPr>
          <w:rFonts w:ascii="Verdana" w:eastAsia="Times New Roman" w:hAnsi="Verdana" w:cs="Times New Roman"/>
          <w:color w:val="333333"/>
          <w:sz w:val="14"/>
          <w:szCs w:val="14"/>
        </w:rPr>
      </w:pPr>
      <w:r w:rsidRPr="005111E6">
        <w:rPr>
          <w:rFonts w:ascii="Verdana" w:eastAsia="Times New Roman" w:hAnsi="Verdana" w:cs="Times New Roman"/>
          <w:color w:val="333333"/>
          <w:sz w:val="14"/>
          <w:szCs w:val="14"/>
        </w:rPr>
        <w:t>Excellent voice clarity – noise-canceling microphone filters background noise out</w:t>
      </w:r>
    </w:p>
    <w:p w:rsidR="005111E6" w:rsidRPr="005111E6" w:rsidRDefault="005111E6" w:rsidP="005111E6">
      <w:pPr>
        <w:numPr>
          <w:ilvl w:val="0"/>
          <w:numId w:val="1"/>
        </w:numPr>
        <w:shd w:val="clear" w:color="auto" w:fill="FFFFFF"/>
        <w:spacing w:after="0" w:line="175" w:lineRule="atLeast"/>
        <w:ind w:left="0"/>
        <w:rPr>
          <w:rFonts w:ascii="Verdana" w:eastAsia="Times New Roman" w:hAnsi="Verdana" w:cs="Times New Roman"/>
          <w:color w:val="333333"/>
          <w:sz w:val="14"/>
          <w:szCs w:val="14"/>
        </w:rPr>
      </w:pPr>
      <w:r w:rsidRPr="005111E6">
        <w:rPr>
          <w:rFonts w:ascii="Verdana" w:eastAsia="Times New Roman" w:hAnsi="Verdana" w:cs="Times New Roman"/>
          <w:color w:val="333333"/>
          <w:sz w:val="14"/>
          <w:szCs w:val="14"/>
        </w:rPr>
        <w:t xml:space="preserve">Enjoy listening to music – speakers providing excellent </w:t>
      </w:r>
      <w:proofErr w:type="spellStart"/>
      <w:r w:rsidRPr="005111E6">
        <w:rPr>
          <w:rFonts w:ascii="Verdana" w:eastAsia="Times New Roman" w:hAnsi="Verdana" w:cs="Times New Roman"/>
          <w:color w:val="333333"/>
          <w:sz w:val="14"/>
          <w:szCs w:val="14"/>
        </w:rPr>
        <w:t>Sennheiser</w:t>
      </w:r>
      <w:proofErr w:type="spellEnd"/>
      <w:r w:rsidRPr="005111E6">
        <w:rPr>
          <w:rFonts w:ascii="Verdana" w:eastAsia="Times New Roman" w:hAnsi="Verdana" w:cs="Times New Roman"/>
          <w:color w:val="333333"/>
          <w:sz w:val="14"/>
          <w:szCs w:val="14"/>
        </w:rPr>
        <w:t xml:space="preserve"> stereo sound</w:t>
      </w:r>
    </w:p>
    <w:p w:rsidR="005111E6" w:rsidRPr="005111E6" w:rsidRDefault="005111E6" w:rsidP="005111E6">
      <w:pPr>
        <w:numPr>
          <w:ilvl w:val="0"/>
          <w:numId w:val="1"/>
        </w:numPr>
        <w:shd w:val="clear" w:color="auto" w:fill="FFFFFF"/>
        <w:spacing w:after="0" w:line="175" w:lineRule="atLeast"/>
        <w:ind w:left="0"/>
        <w:rPr>
          <w:rFonts w:ascii="Verdana" w:eastAsia="Times New Roman" w:hAnsi="Verdana" w:cs="Times New Roman"/>
          <w:color w:val="333333"/>
          <w:sz w:val="14"/>
          <w:szCs w:val="14"/>
        </w:rPr>
      </w:pPr>
      <w:r w:rsidRPr="005111E6">
        <w:rPr>
          <w:rFonts w:ascii="Verdana" w:eastAsia="Times New Roman" w:hAnsi="Verdana" w:cs="Times New Roman"/>
          <w:color w:val="333333"/>
          <w:sz w:val="14"/>
          <w:szCs w:val="14"/>
        </w:rPr>
        <w:t>Highly comfortable – lightweight extendable headband for hours of use in the office and at home</w:t>
      </w:r>
    </w:p>
    <w:p w:rsidR="005111E6" w:rsidRPr="005111E6" w:rsidRDefault="005111E6" w:rsidP="005111E6">
      <w:pPr>
        <w:numPr>
          <w:ilvl w:val="0"/>
          <w:numId w:val="1"/>
        </w:numPr>
        <w:shd w:val="clear" w:color="auto" w:fill="FFFFFF"/>
        <w:spacing w:after="0" w:line="175" w:lineRule="atLeast"/>
        <w:ind w:left="0"/>
        <w:rPr>
          <w:rFonts w:ascii="Verdana" w:eastAsia="Times New Roman" w:hAnsi="Verdana" w:cs="Times New Roman"/>
          <w:color w:val="333333"/>
          <w:sz w:val="14"/>
          <w:szCs w:val="14"/>
        </w:rPr>
      </w:pPr>
      <w:r w:rsidRPr="005111E6">
        <w:rPr>
          <w:rFonts w:ascii="Verdana" w:eastAsia="Times New Roman" w:hAnsi="Verdana" w:cs="Times New Roman"/>
          <w:color w:val="333333"/>
          <w:sz w:val="14"/>
          <w:szCs w:val="14"/>
        </w:rPr>
        <w:t>Adjustable microphone boom – easy correct microphone positioning which keeps the speech clear</w:t>
      </w:r>
    </w:p>
    <w:p w:rsidR="005111E6" w:rsidRPr="005111E6" w:rsidRDefault="005111E6" w:rsidP="005111E6">
      <w:pPr>
        <w:numPr>
          <w:ilvl w:val="0"/>
          <w:numId w:val="1"/>
        </w:numPr>
        <w:shd w:val="clear" w:color="auto" w:fill="FFFFFF"/>
        <w:spacing w:after="0" w:line="175" w:lineRule="atLeast"/>
        <w:ind w:left="0"/>
        <w:rPr>
          <w:rFonts w:ascii="Verdana" w:eastAsia="Times New Roman" w:hAnsi="Verdana" w:cs="Times New Roman"/>
          <w:color w:val="333333"/>
          <w:sz w:val="14"/>
          <w:szCs w:val="14"/>
        </w:rPr>
      </w:pPr>
      <w:r w:rsidRPr="005111E6">
        <w:rPr>
          <w:rFonts w:ascii="Verdana" w:eastAsia="Times New Roman" w:hAnsi="Verdana" w:cs="Times New Roman"/>
          <w:color w:val="333333"/>
          <w:sz w:val="14"/>
          <w:szCs w:val="14"/>
        </w:rPr>
        <w:t xml:space="preserve">Easy to use – simply </w:t>
      </w:r>
      <w:proofErr w:type="spellStart"/>
      <w:r w:rsidRPr="005111E6">
        <w:rPr>
          <w:rFonts w:ascii="Verdana" w:eastAsia="Times New Roman" w:hAnsi="Verdana" w:cs="Times New Roman"/>
          <w:color w:val="333333"/>
          <w:sz w:val="14"/>
          <w:szCs w:val="14"/>
        </w:rPr>
        <w:t>plug’n’play</w:t>
      </w:r>
      <w:proofErr w:type="spellEnd"/>
    </w:p>
    <w:tbl>
      <w:tblPr>
        <w:tblW w:w="7500" w:type="dxa"/>
        <w:tblCellSpacing w:w="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949"/>
        <w:gridCol w:w="3551"/>
      </w:tblGrid>
      <w:tr w:rsidR="005111E6" w:rsidRPr="005111E6" w:rsidTr="005111E6">
        <w:trPr>
          <w:tblCellSpacing w:w="0" w:type="dxa"/>
        </w:trPr>
        <w:tc>
          <w:tcPr>
            <w:tcW w:w="0" w:type="auto"/>
            <w:shd w:val="clear" w:color="auto" w:fill="ECECEC"/>
            <w:tcMar>
              <w:top w:w="45" w:type="dxa"/>
              <w:left w:w="100" w:type="dxa"/>
              <w:bottom w:w="45" w:type="dxa"/>
              <w:right w:w="45" w:type="dxa"/>
            </w:tcMar>
            <w:hideMark/>
          </w:tcPr>
          <w:p w:rsidR="005111E6" w:rsidRPr="005111E6" w:rsidRDefault="00070B3F" w:rsidP="005111E6">
            <w:pPr>
              <w:spacing w:after="0" w:line="175" w:lineRule="atLeast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hyperlink r:id="rId6" w:history="1">
              <w:r w:rsidR="005111E6" w:rsidRPr="005111E6">
                <w:rPr>
                  <w:rFonts w:ascii="Verdana" w:eastAsia="Times New Roman" w:hAnsi="Verdana" w:cs="Times New Roman"/>
                  <w:color w:val="333333"/>
                  <w:sz w:val="14"/>
                </w:rPr>
                <w:t>Cable length</w:t>
              </w:r>
            </w:hyperlink>
          </w:p>
        </w:tc>
        <w:tc>
          <w:tcPr>
            <w:tcW w:w="0" w:type="auto"/>
            <w:shd w:val="clear" w:color="auto" w:fill="ECECEC"/>
            <w:tcMar>
              <w:top w:w="45" w:type="dxa"/>
              <w:left w:w="100" w:type="dxa"/>
              <w:bottom w:w="45" w:type="dxa"/>
              <w:right w:w="45" w:type="dxa"/>
            </w:tcMar>
            <w:hideMark/>
          </w:tcPr>
          <w:p w:rsidR="005111E6" w:rsidRPr="005111E6" w:rsidRDefault="005111E6" w:rsidP="005111E6">
            <w:pPr>
              <w:spacing w:after="0" w:line="175" w:lineRule="atLeast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5111E6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3 m</w:t>
            </w:r>
          </w:p>
        </w:tc>
      </w:tr>
      <w:tr w:rsidR="005111E6" w:rsidRPr="005111E6" w:rsidTr="005111E6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45" w:type="dxa"/>
              <w:left w:w="100" w:type="dxa"/>
              <w:bottom w:w="45" w:type="dxa"/>
              <w:right w:w="45" w:type="dxa"/>
            </w:tcMar>
            <w:hideMark/>
          </w:tcPr>
          <w:p w:rsidR="005111E6" w:rsidRPr="005111E6" w:rsidRDefault="00070B3F" w:rsidP="005111E6">
            <w:pPr>
              <w:spacing w:after="0" w:line="175" w:lineRule="atLeast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hyperlink r:id="rId7" w:history="1">
              <w:r w:rsidR="005111E6" w:rsidRPr="005111E6">
                <w:rPr>
                  <w:rFonts w:ascii="Verdana" w:eastAsia="Times New Roman" w:hAnsi="Verdana" w:cs="Times New Roman"/>
                  <w:color w:val="333333"/>
                  <w:sz w:val="14"/>
                </w:rPr>
                <w:t>Connector</w:t>
              </w:r>
            </w:hyperlink>
          </w:p>
        </w:tc>
        <w:tc>
          <w:tcPr>
            <w:tcW w:w="0" w:type="auto"/>
            <w:shd w:val="clear" w:color="auto" w:fill="FFFFFF"/>
            <w:tcMar>
              <w:top w:w="45" w:type="dxa"/>
              <w:left w:w="100" w:type="dxa"/>
              <w:bottom w:w="45" w:type="dxa"/>
              <w:right w:w="45" w:type="dxa"/>
            </w:tcMar>
            <w:hideMark/>
          </w:tcPr>
          <w:p w:rsidR="005111E6" w:rsidRPr="005111E6" w:rsidRDefault="005111E6" w:rsidP="005111E6">
            <w:pPr>
              <w:spacing w:after="0" w:line="175" w:lineRule="atLeast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5111E6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2 x 3,5 mm for PC/Laptop</w:t>
            </w:r>
          </w:p>
        </w:tc>
      </w:tr>
      <w:tr w:rsidR="005111E6" w:rsidRPr="005111E6" w:rsidTr="005111E6">
        <w:trPr>
          <w:tblCellSpacing w:w="0" w:type="dxa"/>
        </w:trPr>
        <w:tc>
          <w:tcPr>
            <w:tcW w:w="0" w:type="auto"/>
            <w:gridSpan w:val="2"/>
            <w:shd w:val="clear" w:color="auto" w:fill="ECECEC"/>
            <w:tcMar>
              <w:top w:w="45" w:type="dxa"/>
              <w:left w:w="100" w:type="dxa"/>
              <w:bottom w:w="45" w:type="dxa"/>
              <w:right w:w="45" w:type="dxa"/>
            </w:tcMar>
            <w:hideMark/>
          </w:tcPr>
          <w:p w:rsidR="005111E6" w:rsidRPr="005111E6" w:rsidRDefault="005111E6" w:rsidP="005111E6">
            <w:pPr>
              <w:spacing w:after="0" w:line="175" w:lineRule="atLeast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5111E6">
              <w:rPr>
                <w:rFonts w:ascii="Verdana" w:eastAsia="Times New Roman" w:hAnsi="Verdana" w:cs="Times New Roman"/>
                <w:b/>
                <w:bCs/>
                <w:color w:val="333333"/>
                <w:sz w:val="14"/>
                <w:szCs w:val="14"/>
              </w:rPr>
              <w:t>Headphone</w:t>
            </w:r>
          </w:p>
        </w:tc>
      </w:tr>
      <w:tr w:rsidR="005111E6" w:rsidRPr="005111E6" w:rsidTr="005111E6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45" w:type="dxa"/>
              <w:left w:w="100" w:type="dxa"/>
              <w:bottom w:w="45" w:type="dxa"/>
              <w:right w:w="45" w:type="dxa"/>
            </w:tcMar>
            <w:hideMark/>
          </w:tcPr>
          <w:p w:rsidR="005111E6" w:rsidRPr="005111E6" w:rsidRDefault="005111E6" w:rsidP="005111E6">
            <w:pPr>
              <w:spacing w:after="0" w:line="175" w:lineRule="atLeast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5111E6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Frequency response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00" w:type="dxa"/>
              <w:bottom w:w="45" w:type="dxa"/>
              <w:right w:w="45" w:type="dxa"/>
            </w:tcMar>
            <w:hideMark/>
          </w:tcPr>
          <w:p w:rsidR="005111E6" w:rsidRPr="005111E6" w:rsidRDefault="005111E6" w:rsidP="005111E6">
            <w:pPr>
              <w:spacing w:after="0" w:line="175" w:lineRule="atLeast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5111E6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40 – 18.000 Hz</w:t>
            </w:r>
          </w:p>
        </w:tc>
      </w:tr>
      <w:tr w:rsidR="005111E6" w:rsidRPr="005111E6" w:rsidTr="005111E6">
        <w:trPr>
          <w:tblCellSpacing w:w="0" w:type="dxa"/>
        </w:trPr>
        <w:tc>
          <w:tcPr>
            <w:tcW w:w="0" w:type="auto"/>
            <w:shd w:val="clear" w:color="auto" w:fill="ECECEC"/>
            <w:tcMar>
              <w:top w:w="45" w:type="dxa"/>
              <w:left w:w="100" w:type="dxa"/>
              <w:bottom w:w="45" w:type="dxa"/>
              <w:right w:w="45" w:type="dxa"/>
            </w:tcMar>
            <w:hideMark/>
          </w:tcPr>
          <w:p w:rsidR="005111E6" w:rsidRPr="005111E6" w:rsidRDefault="00070B3F" w:rsidP="005111E6">
            <w:pPr>
              <w:spacing w:after="0" w:line="175" w:lineRule="atLeast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hyperlink r:id="rId8" w:history="1">
              <w:r w:rsidR="005111E6" w:rsidRPr="005111E6">
                <w:rPr>
                  <w:rFonts w:ascii="Verdana" w:eastAsia="Times New Roman" w:hAnsi="Verdana" w:cs="Times New Roman"/>
                  <w:color w:val="333333"/>
                  <w:sz w:val="14"/>
                </w:rPr>
                <w:t>Impedance</w:t>
              </w:r>
            </w:hyperlink>
          </w:p>
        </w:tc>
        <w:tc>
          <w:tcPr>
            <w:tcW w:w="0" w:type="auto"/>
            <w:shd w:val="clear" w:color="auto" w:fill="ECECEC"/>
            <w:tcMar>
              <w:top w:w="45" w:type="dxa"/>
              <w:left w:w="100" w:type="dxa"/>
              <w:bottom w:w="45" w:type="dxa"/>
              <w:right w:w="45" w:type="dxa"/>
            </w:tcMar>
            <w:hideMark/>
          </w:tcPr>
          <w:p w:rsidR="005111E6" w:rsidRPr="005111E6" w:rsidRDefault="005111E6" w:rsidP="005111E6">
            <w:pPr>
              <w:spacing w:after="0" w:line="175" w:lineRule="atLeast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5111E6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32 Ohm</w:t>
            </w:r>
          </w:p>
        </w:tc>
      </w:tr>
      <w:tr w:rsidR="005111E6" w:rsidRPr="005111E6" w:rsidTr="005111E6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45" w:type="dxa"/>
              <w:left w:w="100" w:type="dxa"/>
              <w:bottom w:w="45" w:type="dxa"/>
              <w:right w:w="45" w:type="dxa"/>
            </w:tcMar>
            <w:hideMark/>
          </w:tcPr>
          <w:p w:rsidR="005111E6" w:rsidRPr="005111E6" w:rsidRDefault="00070B3F" w:rsidP="005111E6">
            <w:pPr>
              <w:spacing w:after="0" w:line="175" w:lineRule="atLeast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hyperlink r:id="rId9" w:history="1">
              <w:r w:rsidR="005111E6" w:rsidRPr="005111E6">
                <w:rPr>
                  <w:rFonts w:ascii="Verdana" w:eastAsia="Times New Roman" w:hAnsi="Verdana" w:cs="Times New Roman"/>
                  <w:color w:val="333333"/>
                  <w:sz w:val="14"/>
                </w:rPr>
                <w:t>Sound pressure level (SPL)</w:t>
              </w:r>
            </w:hyperlink>
          </w:p>
        </w:tc>
        <w:tc>
          <w:tcPr>
            <w:tcW w:w="0" w:type="auto"/>
            <w:shd w:val="clear" w:color="auto" w:fill="FFFFFF"/>
            <w:tcMar>
              <w:top w:w="45" w:type="dxa"/>
              <w:left w:w="100" w:type="dxa"/>
              <w:bottom w:w="45" w:type="dxa"/>
              <w:right w:w="45" w:type="dxa"/>
            </w:tcMar>
            <w:hideMark/>
          </w:tcPr>
          <w:p w:rsidR="005111E6" w:rsidRPr="005111E6" w:rsidRDefault="005111E6" w:rsidP="005111E6">
            <w:pPr>
              <w:spacing w:after="0" w:line="175" w:lineRule="atLeast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5111E6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109 dB</w:t>
            </w:r>
          </w:p>
        </w:tc>
      </w:tr>
      <w:tr w:rsidR="005111E6" w:rsidRPr="005111E6" w:rsidTr="005111E6">
        <w:trPr>
          <w:tblCellSpacing w:w="0" w:type="dxa"/>
        </w:trPr>
        <w:tc>
          <w:tcPr>
            <w:tcW w:w="0" w:type="auto"/>
            <w:gridSpan w:val="2"/>
            <w:shd w:val="clear" w:color="auto" w:fill="ECECEC"/>
            <w:tcMar>
              <w:top w:w="45" w:type="dxa"/>
              <w:left w:w="100" w:type="dxa"/>
              <w:bottom w:w="45" w:type="dxa"/>
              <w:right w:w="45" w:type="dxa"/>
            </w:tcMar>
            <w:hideMark/>
          </w:tcPr>
          <w:p w:rsidR="005111E6" w:rsidRPr="005111E6" w:rsidRDefault="005111E6" w:rsidP="005111E6">
            <w:pPr>
              <w:spacing w:after="0" w:line="175" w:lineRule="atLeast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5111E6">
              <w:rPr>
                <w:rFonts w:ascii="Verdana" w:eastAsia="Times New Roman" w:hAnsi="Verdana" w:cs="Times New Roman"/>
                <w:b/>
                <w:bCs/>
                <w:color w:val="333333"/>
                <w:sz w:val="14"/>
                <w:szCs w:val="14"/>
              </w:rPr>
              <w:t>Microphone</w:t>
            </w:r>
          </w:p>
        </w:tc>
      </w:tr>
      <w:tr w:rsidR="005111E6" w:rsidRPr="005111E6" w:rsidTr="005111E6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45" w:type="dxa"/>
              <w:left w:w="100" w:type="dxa"/>
              <w:bottom w:w="45" w:type="dxa"/>
              <w:right w:w="45" w:type="dxa"/>
            </w:tcMar>
            <w:hideMark/>
          </w:tcPr>
          <w:p w:rsidR="005111E6" w:rsidRPr="005111E6" w:rsidRDefault="005111E6" w:rsidP="005111E6">
            <w:pPr>
              <w:spacing w:after="0" w:line="175" w:lineRule="atLeast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5111E6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Frequency response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00" w:type="dxa"/>
              <w:bottom w:w="45" w:type="dxa"/>
              <w:right w:w="45" w:type="dxa"/>
            </w:tcMar>
            <w:hideMark/>
          </w:tcPr>
          <w:p w:rsidR="005111E6" w:rsidRPr="005111E6" w:rsidRDefault="005111E6" w:rsidP="005111E6">
            <w:pPr>
              <w:spacing w:after="0" w:line="175" w:lineRule="atLeast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5111E6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80 – 15.000 Hz</w:t>
            </w:r>
          </w:p>
        </w:tc>
      </w:tr>
      <w:tr w:rsidR="005111E6" w:rsidRPr="005111E6" w:rsidTr="005111E6">
        <w:trPr>
          <w:tblCellSpacing w:w="0" w:type="dxa"/>
        </w:trPr>
        <w:tc>
          <w:tcPr>
            <w:tcW w:w="0" w:type="auto"/>
            <w:shd w:val="clear" w:color="auto" w:fill="ECECEC"/>
            <w:tcMar>
              <w:top w:w="45" w:type="dxa"/>
              <w:left w:w="100" w:type="dxa"/>
              <w:bottom w:w="45" w:type="dxa"/>
              <w:right w:w="45" w:type="dxa"/>
            </w:tcMar>
            <w:hideMark/>
          </w:tcPr>
          <w:p w:rsidR="005111E6" w:rsidRPr="005111E6" w:rsidRDefault="005111E6" w:rsidP="005111E6">
            <w:pPr>
              <w:spacing w:after="0" w:line="175" w:lineRule="atLeast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5111E6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Microphone</w:t>
            </w:r>
          </w:p>
        </w:tc>
        <w:tc>
          <w:tcPr>
            <w:tcW w:w="0" w:type="auto"/>
            <w:shd w:val="clear" w:color="auto" w:fill="ECECEC"/>
            <w:tcMar>
              <w:top w:w="45" w:type="dxa"/>
              <w:left w:w="100" w:type="dxa"/>
              <w:bottom w:w="45" w:type="dxa"/>
              <w:right w:w="45" w:type="dxa"/>
            </w:tcMar>
            <w:hideMark/>
          </w:tcPr>
          <w:p w:rsidR="005111E6" w:rsidRPr="005111E6" w:rsidRDefault="005111E6" w:rsidP="005111E6">
            <w:pPr>
              <w:spacing w:after="0" w:line="175" w:lineRule="atLeast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5111E6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noise cancelling</w:t>
            </w:r>
          </w:p>
        </w:tc>
      </w:tr>
      <w:tr w:rsidR="005111E6" w:rsidRPr="005111E6" w:rsidTr="005111E6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45" w:type="dxa"/>
              <w:left w:w="100" w:type="dxa"/>
              <w:bottom w:w="45" w:type="dxa"/>
              <w:right w:w="45" w:type="dxa"/>
            </w:tcMar>
            <w:hideMark/>
          </w:tcPr>
          <w:p w:rsidR="005111E6" w:rsidRPr="005111E6" w:rsidRDefault="00070B3F" w:rsidP="005111E6">
            <w:pPr>
              <w:spacing w:after="0" w:line="175" w:lineRule="atLeast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hyperlink r:id="rId10" w:history="1">
              <w:r w:rsidR="005111E6" w:rsidRPr="005111E6">
                <w:rPr>
                  <w:rFonts w:ascii="Verdana" w:eastAsia="Times New Roman" w:hAnsi="Verdana" w:cs="Times New Roman"/>
                  <w:color w:val="333333"/>
                  <w:sz w:val="14"/>
                </w:rPr>
                <w:t>Impedance</w:t>
              </w:r>
            </w:hyperlink>
          </w:p>
        </w:tc>
        <w:tc>
          <w:tcPr>
            <w:tcW w:w="0" w:type="auto"/>
            <w:shd w:val="clear" w:color="auto" w:fill="FFFFFF"/>
            <w:tcMar>
              <w:top w:w="45" w:type="dxa"/>
              <w:left w:w="100" w:type="dxa"/>
              <w:bottom w:w="45" w:type="dxa"/>
              <w:right w:w="45" w:type="dxa"/>
            </w:tcMar>
            <w:hideMark/>
          </w:tcPr>
          <w:p w:rsidR="005111E6" w:rsidRPr="005111E6" w:rsidRDefault="005111E6" w:rsidP="005111E6">
            <w:pPr>
              <w:spacing w:after="0" w:line="175" w:lineRule="atLeast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5111E6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~2000 Ohm</w:t>
            </w:r>
          </w:p>
        </w:tc>
      </w:tr>
      <w:tr w:rsidR="005111E6" w:rsidRPr="005111E6" w:rsidTr="005111E6">
        <w:trPr>
          <w:tblCellSpacing w:w="0" w:type="dxa"/>
        </w:trPr>
        <w:tc>
          <w:tcPr>
            <w:tcW w:w="0" w:type="auto"/>
            <w:shd w:val="clear" w:color="auto" w:fill="ECECEC"/>
            <w:tcMar>
              <w:top w:w="45" w:type="dxa"/>
              <w:left w:w="100" w:type="dxa"/>
              <w:bottom w:w="45" w:type="dxa"/>
              <w:right w:w="45" w:type="dxa"/>
            </w:tcMar>
            <w:hideMark/>
          </w:tcPr>
          <w:p w:rsidR="005111E6" w:rsidRPr="005111E6" w:rsidRDefault="00070B3F" w:rsidP="005111E6">
            <w:pPr>
              <w:spacing w:after="0" w:line="175" w:lineRule="atLeast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hyperlink r:id="rId11" w:history="1">
              <w:r w:rsidR="005111E6" w:rsidRPr="005111E6">
                <w:rPr>
                  <w:rFonts w:ascii="Verdana" w:eastAsia="Times New Roman" w:hAnsi="Verdana" w:cs="Times New Roman"/>
                  <w:color w:val="333333"/>
                  <w:sz w:val="14"/>
                </w:rPr>
                <w:t>Sensitivity as per 121 TR 9-5</w:t>
              </w:r>
            </w:hyperlink>
          </w:p>
        </w:tc>
        <w:tc>
          <w:tcPr>
            <w:tcW w:w="0" w:type="auto"/>
            <w:shd w:val="clear" w:color="auto" w:fill="ECECEC"/>
            <w:tcMar>
              <w:top w:w="45" w:type="dxa"/>
              <w:left w:w="100" w:type="dxa"/>
              <w:bottom w:w="45" w:type="dxa"/>
              <w:right w:w="45" w:type="dxa"/>
            </w:tcMar>
            <w:hideMark/>
          </w:tcPr>
          <w:p w:rsidR="005111E6" w:rsidRPr="005111E6" w:rsidRDefault="005111E6" w:rsidP="005111E6">
            <w:pPr>
              <w:spacing w:after="0" w:line="175" w:lineRule="atLeast"/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</w:pPr>
            <w:r w:rsidRPr="005111E6">
              <w:rPr>
                <w:rFonts w:ascii="Verdana" w:eastAsia="Times New Roman" w:hAnsi="Verdana" w:cs="Times New Roman"/>
                <w:color w:val="333333"/>
                <w:sz w:val="14"/>
                <w:szCs w:val="14"/>
              </w:rPr>
              <w:t>-38 dB</w:t>
            </w:r>
          </w:p>
        </w:tc>
      </w:tr>
    </w:tbl>
    <w:p w:rsidR="00B00F74" w:rsidRDefault="00B00F74">
      <w:bookmarkStart w:id="0" w:name="_GoBack"/>
      <w:bookmarkEnd w:id="0"/>
    </w:p>
    <w:p w:rsidR="002C34A5" w:rsidRDefault="002C34A5"/>
    <w:p w:rsidR="00987F3E" w:rsidRDefault="00987F3E" w:rsidP="00987F3E">
      <w:pPr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 xml:space="preserve">ზოგადი მინიმალური მახასიათებლები: </w:t>
      </w:r>
    </w:p>
    <w:p w:rsidR="00987F3E" w:rsidRDefault="002C34A5">
      <w:pPr>
        <w:rPr>
          <w:rFonts w:ascii="Sylfaen" w:hAnsi="Sylfaen"/>
          <w:sz w:val="16"/>
          <w:szCs w:val="16"/>
          <w:lang w:val="ka-GE"/>
        </w:rPr>
      </w:pPr>
      <w:r w:rsidRPr="002C34A5">
        <w:rPr>
          <w:rFonts w:ascii="Sylfaen" w:hAnsi="Sylfaen"/>
          <w:sz w:val="16"/>
          <w:szCs w:val="16"/>
          <w:lang w:val="ka-GE"/>
        </w:rPr>
        <w:t>ინტერნეტ</w:t>
      </w:r>
      <w:r>
        <w:rPr>
          <w:rFonts w:ascii="Sylfaen" w:hAnsi="Sylfaen"/>
          <w:sz w:val="16"/>
          <w:szCs w:val="16"/>
          <w:lang w:val="ka-GE"/>
        </w:rPr>
        <w:t xml:space="preserve"> ტელეფონიისათვის განკუთვნილი </w:t>
      </w:r>
      <w:r w:rsidR="00C834BF">
        <w:rPr>
          <w:rFonts w:ascii="Sylfaen" w:hAnsi="Sylfaen"/>
          <w:sz w:val="16"/>
          <w:szCs w:val="16"/>
          <w:lang w:val="ka-GE"/>
        </w:rPr>
        <w:t xml:space="preserve">ზემსუბუქი </w:t>
      </w:r>
      <w:r>
        <w:rPr>
          <w:rFonts w:ascii="Sylfaen" w:hAnsi="Sylfaen"/>
          <w:sz w:val="16"/>
          <w:szCs w:val="16"/>
          <w:lang w:val="ka-GE"/>
        </w:rPr>
        <w:t>სტერეო ყურსასმენი</w:t>
      </w:r>
      <w:r w:rsidR="00C834BF">
        <w:rPr>
          <w:rFonts w:ascii="Sylfaen" w:hAnsi="Sylfaen"/>
          <w:sz w:val="16"/>
          <w:szCs w:val="16"/>
          <w:lang w:val="ka-GE"/>
        </w:rPr>
        <w:t>, უმაღლესი ხარისხის ჟღერადობით</w:t>
      </w:r>
      <w:r>
        <w:rPr>
          <w:rFonts w:ascii="Sylfaen" w:hAnsi="Sylfaen"/>
          <w:sz w:val="16"/>
          <w:szCs w:val="16"/>
          <w:lang w:val="ka-GE"/>
        </w:rPr>
        <w:t>, ხმაურის ჩამხშობი მიკროფონით</w:t>
      </w:r>
      <w:r w:rsidR="00C834BF">
        <w:rPr>
          <w:rFonts w:ascii="Sylfaen" w:hAnsi="Sylfaen"/>
          <w:sz w:val="16"/>
          <w:szCs w:val="16"/>
          <w:lang w:val="ka-GE"/>
        </w:rPr>
        <w:t xml:space="preserve"> და</w:t>
      </w:r>
      <w:r>
        <w:rPr>
          <w:rFonts w:ascii="Sylfaen" w:hAnsi="Sylfaen"/>
          <w:sz w:val="16"/>
          <w:szCs w:val="16"/>
          <w:lang w:val="ka-GE"/>
        </w:rPr>
        <w:t xml:space="preserve"> ხანგრძლივი გამოყენების</w:t>
      </w:r>
      <w:r w:rsidR="00C834BF">
        <w:rPr>
          <w:rFonts w:ascii="Sylfaen" w:hAnsi="Sylfaen"/>
          <w:sz w:val="16"/>
          <w:szCs w:val="16"/>
          <w:lang w:val="ka-GE"/>
        </w:rPr>
        <w:t>თვის მორგებული მოხერხებული ყურსაცმებით</w:t>
      </w:r>
      <w:r>
        <w:rPr>
          <w:rFonts w:ascii="Sylfaen" w:hAnsi="Sylfaen"/>
          <w:sz w:val="16"/>
          <w:szCs w:val="16"/>
          <w:lang w:val="ka-GE"/>
        </w:rPr>
        <w:t>.</w:t>
      </w:r>
    </w:p>
    <w:p w:rsidR="002C34A5" w:rsidRDefault="002C34A5">
      <w:pPr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>კაბელის სიგრძე მინიმუმ 3 მეტრი, ორი 3.5 მილიმეტრიანი შესაერთებლით</w:t>
      </w:r>
      <w:r w:rsidR="00447AF8">
        <w:rPr>
          <w:rFonts w:ascii="Sylfaen" w:hAnsi="Sylfaen"/>
          <w:sz w:val="16"/>
          <w:szCs w:val="16"/>
          <w:lang w:val="ka-GE"/>
        </w:rPr>
        <w:t>.</w:t>
      </w:r>
    </w:p>
    <w:p w:rsidR="00447AF8" w:rsidRDefault="00447AF8">
      <w:pPr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 xml:space="preserve">ყურსასმენის მინიმალური მახასიათებლები: </w:t>
      </w:r>
    </w:p>
    <w:p w:rsidR="00447AF8" w:rsidRDefault="00447AF8">
      <w:pPr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>40 – 18000 ჰერცი ხმის გამოცემა</w:t>
      </w:r>
    </w:p>
    <w:p w:rsidR="00447AF8" w:rsidRDefault="00447AF8">
      <w:pPr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>32 ომი წინაღობა</w:t>
      </w:r>
    </w:p>
    <w:p w:rsidR="00447AF8" w:rsidRDefault="00447AF8">
      <w:pPr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>109 დეციბელი ხმის ძალა</w:t>
      </w:r>
    </w:p>
    <w:p w:rsidR="00447AF8" w:rsidRDefault="00447AF8">
      <w:pPr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>მიკროფონის მინიმალური მახასიათებლები:</w:t>
      </w:r>
    </w:p>
    <w:p w:rsidR="00447AF8" w:rsidRDefault="00447AF8">
      <w:pPr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>80 – 15000 ჰერცი ხმის აღქმა</w:t>
      </w:r>
    </w:p>
    <w:p w:rsidR="00447AF8" w:rsidRDefault="00447AF8">
      <w:pPr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>2000 ომი წინაღობა</w:t>
      </w:r>
    </w:p>
    <w:p w:rsidR="00447AF8" w:rsidRDefault="00447AF8">
      <w:pPr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>-38 დეციბელი მგრძნობელობა</w:t>
      </w:r>
    </w:p>
    <w:p w:rsidR="006B03D9" w:rsidRDefault="006B03D9">
      <w:pPr>
        <w:rPr>
          <w:rFonts w:ascii="Sylfaen" w:hAnsi="Sylfaen"/>
          <w:sz w:val="16"/>
          <w:szCs w:val="16"/>
          <w:lang w:val="ka-GE"/>
        </w:rPr>
      </w:pPr>
    </w:p>
    <w:sectPr w:rsidR="006B03D9" w:rsidSect="00B00F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C52343"/>
    <w:multiLevelType w:val="multilevel"/>
    <w:tmpl w:val="25E2A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111E6"/>
    <w:rsid w:val="00070B3F"/>
    <w:rsid w:val="002C34A5"/>
    <w:rsid w:val="00447AF8"/>
    <w:rsid w:val="005111E6"/>
    <w:rsid w:val="006B03D9"/>
    <w:rsid w:val="00987F3E"/>
    <w:rsid w:val="00B00F74"/>
    <w:rsid w:val="00C8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F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1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111E6"/>
    <w:rPr>
      <w:b/>
      <w:bCs/>
    </w:rPr>
  </w:style>
  <w:style w:type="character" w:customStyle="1" w:styleId="linkgray">
    <w:name w:val="linkgray"/>
    <w:basedOn w:val="DefaultParagraphFont"/>
    <w:rsid w:val="005111E6"/>
  </w:style>
  <w:style w:type="paragraph" w:styleId="ListParagraph">
    <w:name w:val="List Paragraph"/>
    <w:basedOn w:val="Normal"/>
    <w:uiPriority w:val="34"/>
    <w:qFormat/>
    <w:rsid w:val="00987F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70B3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nnheiser.co.uk/uk/home_en.nsf/root/private_headsets_pc_voip_50277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sennheiser.co.uk/uk/home_en.nsf/root/private_headsets_pc_voip_50277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ennheiser.co.uk/uk/home_en.nsf/root/private_headsets_pc_voip_502770" TargetMode="External"/><Relationship Id="rId11" Type="http://schemas.openxmlformats.org/officeDocument/2006/relationships/hyperlink" Target="http://www.sennheiser.co.uk/uk/home_en.nsf/root/private_headsets_pc_voip_50277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ennheiser.co.uk/uk/home_en.nsf/root/private_headsets_pc_voip_50277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nnheiser.co.uk/uk/home_en.nsf/root/private_headsets_pc_voip_502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Boker</dc:creator>
  <cp:keywords/>
  <dc:description/>
  <cp:lastModifiedBy>Vano Goliadze</cp:lastModifiedBy>
  <cp:revision>7</cp:revision>
  <dcterms:created xsi:type="dcterms:W3CDTF">2012-08-14T12:57:00Z</dcterms:created>
  <dcterms:modified xsi:type="dcterms:W3CDTF">2012-08-14T14:06:00Z</dcterms:modified>
</cp:coreProperties>
</file>