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09" w:rsidRPr="005F7534" w:rsidRDefault="004B5E09" w:rsidP="004B5E09">
      <w:pPr>
        <w:jc w:val="center"/>
        <w:rPr>
          <w:rFonts w:ascii="Sylfaen" w:hAnsi="Sylfaen"/>
          <w:b/>
          <w:bCs/>
          <w:color w:val="000000"/>
          <w:lang w:val="ka-GE"/>
        </w:rPr>
      </w:pPr>
      <w:r w:rsidRPr="005F7534">
        <w:rPr>
          <w:rFonts w:ascii="Sylfaen" w:hAnsi="Sylfaen"/>
          <w:b/>
          <w:bCs/>
          <w:color w:val="000000"/>
          <w:lang w:val="ka-GE"/>
        </w:rPr>
        <w:t>2</w:t>
      </w:r>
      <w:r w:rsidRPr="00F97436">
        <w:rPr>
          <w:rFonts w:ascii="Sylfaen" w:hAnsi="Sylfaen"/>
          <w:b/>
          <w:bCs/>
          <w:color w:val="000000"/>
          <w:lang w:val="ka-GE"/>
        </w:rPr>
        <w:t xml:space="preserve">. </w:t>
      </w:r>
      <w:r w:rsidRPr="00C44982">
        <w:rPr>
          <w:rFonts w:ascii="Sylfaen" w:hAnsi="Sylfaen"/>
          <w:b/>
          <w:bCs/>
          <w:color w:val="000000"/>
          <w:lang w:val="ka-GE"/>
        </w:rPr>
        <w:t xml:space="preserve">ტექნიკური დავალება  </w:t>
      </w:r>
    </w:p>
    <w:p w:rsidR="004B5E09" w:rsidRDefault="004B5E09" w:rsidP="004B5E09">
      <w:pPr>
        <w:jc w:val="center"/>
        <w:rPr>
          <w:rFonts w:ascii="Sylfaen" w:hAnsi="Sylfaen"/>
          <w:b/>
          <w:bCs/>
          <w:color w:val="000000"/>
          <w:lang w:val="ka-GE"/>
        </w:rPr>
      </w:pPr>
    </w:p>
    <w:p w:rsidR="004B5E09" w:rsidRPr="00E126C2" w:rsidRDefault="004B5E09" w:rsidP="004B5E09">
      <w:pPr>
        <w:jc w:val="center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ka-GE"/>
        </w:rPr>
        <w:t>გასაწევი</w:t>
      </w:r>
      <w:r w:rsidRPr="00E126C2">
        <w:rPr>
          <w:b/>
          <w:bCs/>
          <w:i/>
          <w:color w:val="000000" w:themeColor="text1"/>
          <w:sz w:val="20"/>
          <w:szCs w:val="20"/>
          <w:lang w:val="ka-GE"/>
        </w:rPr>
        <w:t xml:space="preserve"> </w:t>
      </w: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ka-GE"/>
        </w:rPr>
        <w:t>მომსახურების</w:t>
      </w:r>
      <w:r w:rsidRPr="00E126C2">
        <w:rPr>
          <w:b/>
          <w:bCs/>
          <w:i/>
          <w:color w:val="000000" w:themeColor="text1"/>
          <w:sz w:val="20"/>
          <w:szCs w:val="20"/>
          <w:lang w:val="ka-GE"/>
        </w:rPr>
        <w:t xml:space="preserve"> </w:t>
      </w: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ka-GE"/>
        </w:rPr>
        <w:t>აღწერილობა</w:t>
      </w:r>
      <w:r w:rsidRPr="00E126C2">
        <w:rPr>
          <w:b/>
          <w:bCs/>
          <w:i/>
          <w:color w:val="000000" w:themeColor="text1"/>
          <w:sz w:val="20"/>
          <w:szCs w:val="20"/>
          <w:lang w:val="ka-GE"/>
        </w:rPr>
        <w:t xml:space="preserve"> </w:t>
      </w: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ka-GE"/>
        </w:rPr>
        <w:t>ვ</w:t>
      </w: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de-DE"/>
        </w:rPr>
        <w:t>ადები</w:t>
      </w:r>
      <w:r w:rsidRPr="00E126C2">
        <w:rPr>
          <w:rFonts w:ascii="AcadMtavr" w:hAnsi="AcadMtavr" w:cs="AcadMtavr"/>
          <w:b/>
          <w:bCs/>
          <w:i/>
          <w:color w:val="000000" w:themeColor="text1"/>
          <w:sz w:val="20"/>
          <w:szCs w:val="20"/>
          <w:lang w:val="de-DE"/>
        </w:rPr>
        <w:t xml:space="preserve"> </w:t>
      </w: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de-DE"/>
        </w:rPr>
        <w:t>და</w:t>
      </w:r>
      <w:r w:rsidRPr="00E126C2">
        <w:rPr>
          <w:rFonts w:ascii="AcadMtavr" w:hAnsi="AcadMtavr" w:cs="AcadMtavr"/>
          <w:b/>
          <w:bCs/>
          <w:i/>
          <w:color w:val="000000" w:themeColor="text1"/>
          <w:sz w:val="20"/>
          <w:szCs w:val="20"/>
          <w:lang w:val="de-DE"/>
        </w:rPr>
        <w:t xml:space="preserve"> </w:t>
      </w:r>
      <w:r w:rsidRPr="00E126C2">
        <w:rPr>
          <w:rFonts w:ascii="Sylfaen" w:hAnsi="Sylfaen" w:cs="Sylfaen"/>
          <w:b/>
          <w:bCs/>
          <w:i/>
          <w:color w:val="000000" w:themeColor="text1"/>
          <w:sz w:val="20"/>
          <w:szCs w:val="20"/>
          <w:lang w:val="de-DE"/>
        </w:rPr>
        <w:t>პირობები</w:t>
      </w:r>
    </w:p>
    <w:p w:rsidR="004B5E09" w:rsidRDefault="004B5E09" w:rsidP="004B5E09">
      <w:pPr>
        <w:spacing w:before="100" w:beforeAutospacing="1" w:after="100" w:afterAutospacing="1"/>
        <w:jc w:val="both"/>
        <w:rPr>
          <w:rFonts w:ascii="Sylfaen" w:hAnsi="Sylfaen" w:cs="Times New Roman"/>
          <w:color w:val="auto"/>
          <w:sz w:val="20"/>
          <w:szCs w:val="20"/>
          <w:lang w:val="ka-GE" w:eastAsia="en-US"/>
        </w:rPr>
      </w:pP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>საქართველოს შრომის, ჯანმრთელობისა და სოციალური დაცვის სამინისტროს საკუთრებაში არსებული დაზიანებული მონაცემთა სანახის დისკური მასივის აღდგენა</w:t>
      </w:r>
      <w:r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და </w:t>
      </w: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>ტექნიკური მხარდაჭერ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>ა</w:t>
      </w: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>.</w:t>
      </w:r>
      <w:r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</w:t>
      </w:r>
    </w:p>
    <w:p w:rsidR="004B5E09" w:rsidRPr="00E126C2" w:rsidRDefault="004B5E09" w:rsidP="004B5E09">
      <w:pPr>
        <w:spacing w:before="100" w:beforeAutospacing="1" w:after="100" w:afterAutospacing="1"/>
        <w:jc w:val="both"/>
        <w:rPr>
          <w:rFonts w:ascii="Sylfaen" w:hAnsi="Sylfaen" w:cs="Times New Roman"/>
          <w:b/>
          <w:color w:val="auto"/>
          <w:sz w:val="20"/>
          <w:szCs w:val="20"/>
          <w:lang w:val="ka-GE" w:eastAsia="en-US"/>
        </w:rPr>
      </w:pPr>
      <w:r w:rsidRPr="005F7534">
        <w:rPr>
          <w:rFonts w:ascii="Sylfaen" w:hAnsi="Sylfaen" w:cs="Times New Roman"/>
          <w:b/>
          <w:color w:val="auto"/>
          <w:sz w:val="20"/>
          <w:szCs w:val="20"/>
          <w:lang w:val="ka-GE" w:eastAsia="en-US"/>
        </w:rPr>
        <w:t>აღნიშნული</w:t>
      </w:r>
      <w:r w:rsidRPr="00E126C2">
        <w:rPr>
          <w:rFonts w:ascii="Sylfaen" w:hAnsi="Sylfaen" w:cs="Times New Roman"/>
          <w:b/>
          <w:color w:val="auto"/>
          <w:sz w:val="20"/>
          <w:szCs w:val="20"/>
          <w:lang w:val="ka-GE" w:eastAsia="en-US"/>
        </w:rPr>
        <w:t xml:space="preserve"> </w:t>
      </w:r>
      <w:r w:rsidRPr="005F7534">
        <w:rPr>
          <w:rFonts w:ascii="Sylfaen" w:hAnsi="Sylfaen" w:cs="Times New Roman"/>
          <w:b/>
          <w:color w:val="auto"/>
          <w:sz w:val="20"/>
          <w:szCs w:val="20"/>
          <w:lang w:val="ka-GE" w:eastAsia="en-US"/>
        </w:rPr>
        <w:t>მასივის მახასიათებლებია:</w:t>
      </w:r>
      <w:r w:rsidRPr="00E126C2">
        <w:rPr>
          <w:rFonts w:ascii="Sylfaen" w:hAnsi="Sylfaen" w:cs="Times New Roman"/>
          <w:b/>
          <w:color w:val="auto"/>
          <w:sz w:val="20"/>
          <w:szCs w:val="20"/>
          <w:lang w:val="ka-GE" w:eastAsia="en-US"/>
        </w:rPr>
        <w:t xml:space="preserve"> </w:t>
      </w:r>
    </w:p>
    <w:p w:rsidR="004B5E09" w:rsidRPr="005F7534" w:rsidRDefault="004B5E09" w:rsidP="004B5E0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hAnsi="Sylfaen" w:cs="Times New Roman"/>
          <w:sz w:val="20"/>
          <w:szCs w:val="20"/>
          <w:lang w:val="ka-GE" w:eastAsia="en-US"/>
        </w:rPr>
      </w:pPr>
      <w:r w:rsidRPr="005F7534">
        <w:rPr>
          <w:rFonts w:ascii="Sylfaen" w:hAnsi="Sylfaen" w:cs="Times New Roman"/>
          <w:sz w:val="20"/>
          <w:szCs w:val="20"/>
          <w:lang w:val="ka-GE" w:eastAsia="en-US"/>
        </w:rPr>
        <w:t>Sun Storage 6580 Controller Module w/8GB cache and 8 host ports; Includes: 2*4GB-cache memory FC RAID Controllers; 2*redundant AC power supplies &amp; cooling fans; 4GB flash disks for back-up power; 16*FC ports for expansion trays, 8* FC host ports – 1</w:t>
      </w:r>
      <w:r>
        <w:rPr>
          <w:rFonts w:ascii="Sylfaen" w:hAnsi="Sylfaen" w:cs="Times New Roman"/>
          <w:sz w:val="20"/>
          <w:szCs w:val="20"/>
          <w:lang w:val="ka-GE" w:eastAsia="en-US"/>
        </w:rPr>
        <w:t xml:space="preserve"> </w:t>
      </w:r>
      <w:r w:rsidRPr="005F7534">
        <w:rPr>
          <w:rFonts w:ascii="Sylfaen" w:hAnsi="Sylfaen" w:cs="Times New Roman"/>
          <w:sz w:val="20"/>
          <w:szCs w:val="20"/>
          <w:lang w:val="ka-GE" w:eastAsia="en-US"/>
        </w:rPr>
        <w:t xml:space="preserve">ერთეული. </w:t>
      </w:r>
    </w:p>
    <w:p w:rsidR="004B5E09" w:rsidRPr="00E126C2" w:rsidRDefault="004B5E09" w:rsidP="004B5E0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hAnsi="Sylfaen" w:cs="Times New Roman"/>
          <w:sz w:val="20"/>
          <w:szCs w:val="20"/>
          <w:lang w:val="ka-GE" w:eastAsia="en-US"/>
        </w:rPr>
      </w:pPr>
      <w:r w:rsidRPr="005F7534">
        <w:rPr>
          <w:rFonts w:ascii="Sylfaen" w:hAnsi="Sylfaen" w:cs="Times New Roman"/>
          <w:sz w:val="20"/>
          <w:szCs w:val="20"/>
          <w:lang w:val="ka-GE" w:eastAsia="en-US"/>
        </w:rPr>
        <w:t>Expansion Tray Sun StorageTek CSM200, 16* 300GB 15Krpm 4Gb FC-AL Drives, 2* I/O Modules, 2* redundant AC power supplies and cooling fans, 2* FC ports for expansions, 4* shortwave SFPs with LC-LC FC cables – 4 ერთეული.</w:t>
      </w:r>
    </w:p>
    <w:p w:rsidR="004B5E09" w:rsidRPr="00D00A2C" w:rsidRDefault="004B5E09" w:rsidP="004B5E09">
      <w:pPr>
        <w:spacing w:before="100" w:beforeAutospacing="1" w:after="100" w:afterAutospacing="1"/>
        <w:jc w:val="both"/>
        <w:rPr>
          <w:rFonts w:ascii="Sylfaen" w:hAnsi="Sylfaen" w:cs="Times New Roman"/>
          <w:color w:val="auto"/>
          <w:sz w:val="20"/>
          <w:szCs w:val="20"/>
          <w:lang w:val="ka-GE" w:eastAsia="en-US"/>
        </w:rPr>
      </w:pPr>
      <w:r w:rsidRPr="00D00A2C">
        <w:rPr>
          <w:rFonts w:ascii="Sylfaen" w:hAnsi="Sylfaen" w:cs="Times New Roman"/>
          <w:b/>
          <w:color w:val="auto"/>
          <w:sz w:val="20"/>
          <w:szCs w:val="20"/>
          <w:lang w:val="ka-GE" w:eastAsia="en-US"/>
        </w:rPr>
        <w:t>მოთხოვნები პრეტენდენტის მიმართ: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პრეტენდენტმა უნდა უზრუნველყოს მწყობრიდან გამოსული დისკური მასივის დიგნოსტიკა, დაზიანებული კომპონენტების (დისკები, კონტროლერი) </w:t>
      </w:r>
      <w:r>
        <w:rPr>
          <w:rFonts w:ascii="Sylfaen" w:hAnsi="Sylfaen" w:cs="Times New Roman"/>
          <w:color w:val="auto"/>
          <w:sz w:val="20"/>
          <w:szCs w:val="20"/>
          <w:lang w:val="ka-GE" w:eastAsia="en-US"/>
        </w:rPr>
        <w:t>დამატებითი ხარჯების გარეშე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გამოცვლა და აღდგენილი მონაცემების მიგრაცია სამინისტროს საკუთრებაში არსებულ EMC VNX სერიის დისკურ მასივზე.</w:t>
      </w:r>
      <w:r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პრეტენდენტმა ასევე უნდა </w:t>
      </w:r>
      <w:r>
        <w:rPr>
          <w:rFonts w:ascii="Sylfaen" w:hAnsi="Sylfaen" w:cs="Times New Roman"/>
          <w:color w:val="auto"/>
          <w:sz w:val="20"/>
          <w:szCs w:val="20"/>
          <w:lang w:val="ka-GE" w:eastAsia="en-US"/>
        </w:rPr>
        <w:t>განახორციელოს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</w:t>
      </w: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საგარანტიო 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მომსახურება </w:t>
      </w: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>და ტექნიკური მხარდაჭერ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>ა</w:t>
      </w: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</w:t>
      </w:r>
      <w:r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 </w:t>
      </w:r>
      <w:r w:rsidRPr="005F7534">
        <w:rPr>
          <w:rFonts w:ascii="Sylfaen" w:hAnsi="Sylfaen" w:cs="Times New Roman"/>
          <w:color w:val="auto"/>
          <w:sz w:val="20"/>
          <w:szCs w:val="20"/>
          <w:lang w:val="ka-GE" w:eastAsia="en-US"/>
        </w:rPr>
        <w:t>2014 წლის ბოლომდე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t xml:space="preserve">.პრეტენდენტი უნდა წარმოადგენდეს SUN Microsystems-ის (Oracle Hardware) ავტორიზებულ პარტნიორს სერვისების განხორციელების უფლებამოსილებით (Field Delivery Partner), უნდა ყავდეს მინიმუმ ერთი თანამშრომელი SUN-ის 65xx და EMC VNX სერიის დისკური მასივების  მომსახურების აკრედიტაციით. </w:t>
      </w:r>
      <w:r w:rsidRPr="00D00A2C">
        <w:rPr>
          <w:rFonts w:ascii="Sylfaen" w:hAnsi="Sylfaen" w:cs="Times New Roman"/>
          <w:color w:val="auto"/>
          <w:sz w:val="20"/>
          <w:szCs w:val="20"/>
          <w:lang w:val="ka-GE" w:eastAsia="en-US"/>
        </w:rPr>
        <w:br/>
        <w:t>პრეტენდენს ასევე უნდა გააჩნდეს SUN–ისა და EMC–ის ზემოთმოყვანილ ტექნოლოგიებთან მუშაობის შესაბამისი გამოცდილება.</w:t>
      </w:r>
    </w:p>
    <w:p w:rsidR="004B5E09" w:rsidRDefault="004B5E09" w:rsidP="004B5E0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Sylfaen" w:hAnsi="Sylfaen" w:cs="Times New Roman"/>
          <w:sz w:val="20"/>
          <w:szCs w:val="20"/>
          <w:lang w:val="ka-GE" w:eastAsia="en-US"/>
        </w:rPr>
      </w:pPr>
      <w:r w:rsidRPr="00E126C2">
        <w:rPr>
          <w:rFonts w:ascii="Sylfaen" w:hAnsi="Sylfaen" w:cs="Times New Roman"/>
          <w:b/>
          <w:sz w:val="20"/>
          <w:szCs w:val="20"/>
          <w:lang w:val="ka-GE" w:eastAsia="en-US"/>
        </w:rPr>
        <w:t>სატენდერო დოკუმენტაციასთან ერთად პრეტენდენტმა ერთიან ელექტრონულ სისტემაში უნდა ატვირთოს:</w:t>
      </w:r>
    </w:p>
    <w:p w:rsidR="004B5E09" w:rsidRDefault="004B5E09" w:rsidP="004B5E0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0"/>
          <w:szCs w:val="20"/>
          <w:lang w:val="ka-GE" w:eastAsia="en-US"/>
        </w:rPr>
      </w:pPr>
      <w:r>
        <w:rPr>
          <w:rFonts w:ascii="Sylfaen" w:hAnsi="Sylfaen" w:cs="Times New Roman"/>
          <w:sz w:val="20"/>
          <w:szCs w:val="20"/>
          <w:lang w:val="ka-GE" w:eastAsia="en-US"/>
        </w:rPr>
        <w:t>ინფორმაცია ანალოგიური მომსახურების გაწევის შესახებ, სადაც მითითებული იქნება მომსახურების მიმღები ორგანიზაციის დასახელება, გაწეული მომსახურების მოცულობა/სახელშეკრულებო თანხა და პერიოდი;</w:t>
      </w:r>
    </w:p>
    <w:p w:rsidR="004B5E09" w:rsidRPr="00E126C2" w:rsidRDefault="004B5E09" w:rsidP="004B5E0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0"/>
          <w:szCs w:val="20"/>
          <w:lang w:val="ka-GE" w:eastAsia="en-US"/>
        </w:rPr>
      </w:pPr>
      <w:r w:rsidRPr="00E126C2">
        <w:rPr>
          <w:rFonts w:ascii="Sylfaen" w:hAnsi="Sylfaen" w:cs="Times New Roman"/>
          <w:sz w:val="20"/>
          <w:szCs w:val="20"/>
          <w:lang w:val="ka-GE" w:eastAsia="en-US"/>
        </w:rPr>
        <w:t xml:space="preserve">აკრედიტაცია/ავტორიზაციის </w:t>
      </w:r>
      <w:r>
        <w:rPr>
          <w:rFonts w:ascii="Sylfaen" w:hAnsi="Sylfaen" w:cs="Times New Roman"/>
          <w:sz w:val="20"/>
          <w:szCs w:val="20"/>
          <w:lang w:val="ka-GE" w:eastAsia="en-US"/>
        </w:rPr>
        <w:t>დამადასტურებელი</w:t>
      </w:r>
      <w:r w:rsidRPr="00E126C2">
        <w:rPr>
          <w:rFonts w:ascii="Sylfaen" w:hAnsi="Sylfaen" w:cs="Times New Roman"/>
          <w:sz w:val="20"/>
          <w:szCs w:val="20"/>
          <w:lang w:val="ka-GE" w:eastAsia="en-US"/>
        </w:rPr>
        <w:t xml:space="preserve"> შესაბამისი სერტიფიკატები.</w:t>
      </w:r>
    </w:p>
    <w:p w:rsidR="004B5E09" w:rsidRDefault="004B5E09" w:rsidP="004B5E09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C44982">
        <w:rPr>
          <w:rFonts w:ascii="Sylfaen" w:hAnsi="Sylfaen"/>
          <w:b/>
          <w:bCs/>
          <w:color w:val="000000"/>
          <w:sz w:val="20"/>
          <w:szCs w:val="20"/>
          <w:lang w:val="ka-GE"/>
        </w:rPr>
        <w:t>მიწოდების ვადები:</w:t>
      </w:r>
      <w:r w:rsidRPr="00C44982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>მომსახურების გაწევა განხორციელდება მხარეებს შორის სახელმწიფო შესყიდვის შესახებ ხელშეკრულების გაფორმებიდან 2014 წლის ბოლომდე.</w:t>
      </w:r>
    </w:p>
    <w:p w:rsidR="004B5E09" w:rsidRPr="00BE20DD" w:rsidRDefault="004B5E09" w:rsidP="004B5E09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E20DD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 xml:space="preserve">მიწოდების ადგილი: </w:t>
      </w:r>
      <w:r w:rsidRPr="00BE20DD">
        <w:rPr>
          <w:rFonts w:ascii="Sylfaen" w:hAnsi="Sylfaen"/>
          <w:color w:val="000000" w:themeColor="text1"/>
          <w:sz w:val="20"/>
          <w:szCs w:val="20"/>
          <w:lang w:val="ka-GE"/>
        </w:rPr>
        <w:t>შესყიდვის ობიექტის მიწოდება განხორციელდება მიმწოდებლის მისამართზე, ქ. თბილისი, წერეთლის გამზ. 144.</w:t>
      </w:r>
    </w:p>
    <w:p w:rsidR="004B5E09" w:rsidRDefault="004B5E09" w:rsidP="004B5E09">
      <w:pPr>
        <w:spacing w:after="200" w:line="276" w:lineRule="auto"/>
        <w:jc w:val="center"/>
        <w:rPr>
          <w:rFonts w:ascii="Sylfaen" w:hAnsi="Sylfaen" w:cs="Sylfaen"/>
          <w:b/>
          <w:bCs/>
          <w:color w:val="auto"/>
          <w:sz w:val="22"/>
          <w:szCs w:val="22"/>
          <w:lang w:val="ka-GE"/>
        </w:rPr>
      </w:pPr>
    </w:p>
    <w:p w:rsidR="001712E9" w:rsidRDefault="004B5E09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1E4"/>
    <w:multiLevelType w:val="hybridMultilevel"/>
    <w:tmpl w:val="29D8C468"/>
    <w:lvl w:ilvl="0" w:tplc="6B30A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4575DA"/>
    <w:multiLevelType w:val="hybridMultilevel"/>
    <w:tmpl w:val="12F0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3D"/>
    <w:rsid w:val="000465C1"/>
    <w:rsid w:val="000F6DF8"/>
    <w:rsid w:val="00101220"/>
    <w:rsid w:val="002719A5"/>
    <w:rsid w:val="002D2F4A"/>
    <w:rsid w:val="00316BF5"/>
    <w:rsid w:val="003F3EEA"/>
    <w:rsid w:val="00471437"/>
    <w:rsid w:val="004B5E09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35A3D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09"/>
    <w:pPr>
      <w:spacing w:after="0" w:line="240" w:lineRule="auto"/>
    </w:pPr>
    <w:rPr>
      <w:rFonts w:ascii="SPAcademi" w:eastAsia="Times New Roman" w:hAnsi="SPAcademi" w:cs="SPAcademi"/>
      <w:color w:val="008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5E09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09"/>
    <w:pPr>
      <w:spacing w:after="0" w:line="240" w:lineRule="auto"/>
    </w:pPr>
    <w:rPr>
      <w:rFonts w:ascii="SPAcademi" w:eastAsia="Times New Roman" w:hAnsi="SPAcademi" w:cs="SPAcademi"/>
      <w:color w:val="008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5E09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2014-01-30T15:56:00Z</dcterms:created>
  <dcterms:modified xsi:type="dcterms:W3CDTF">2014-01-30T15:56:00Z</dcterms:modified>
</cp:coreProperties>
</file>