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0BF04" w14:textId="1AC82CE6" w:rsidR="00CC1F2C" w:rsidRPr="008F0515" w:rsidRDefault="00B45532" w:rsidP="00D30C5F">
      <w:pPr>
        <w:shd w:val="clear" w:color="auto" w:fill="FFFFFF"/>
        <w:spacing w:after="0" w:line="240" w:lineRule="auto"/>
        <w:jc w:val="center"/>
        <w:rPr>
          <w:rFonts w:ascii="Times New Roman" w:eastAsia="Times New Roman" w:hAnsi="Times New Roman" w:cs="Times New Roman"/>
          <w:b/>
          <w:bCs/>
          <w:color w:val="222222"/>
          <w:sz w:val="26"/>
          <w:szCs w:val="26"/>
        </w:rPr>
      </w:pPr>
      <w:r w:rsidRPr="008F0515">
        <w:rPr>
          <w:rFonts w:ascii="Times New Roman" w:eastAsia="Times New Roman" w:hAnsi="Times New Roman" w:cs="Times New Roman"/>
          <w:b/>
          <w:bCs/>
          <w:color w:val="222222"/>
          <w:sz w:val="26"/>
          <w:szCs w:val="26"/>
        </w:rPr>
        <w:t>Legal Opinion</w:t>
      </w:r>
    </w:p>
    <w:p w14:paraId="09955E0B" w14:textId="77777777" w:rsidR="005E5363" w:rsidRPr="0031571A" w:rsidRDefault="005E5363" w:rsidP="005E5363">
      <w:pPr>
        <w:shd w:val="clear" w:color="auto" w:fill="FFFFFF"/>
        <w:spacing w:after="0" w:line="240" w:lineRule="auto"/>
        <w:jc w:val="center"/>
        <w:rPr>
          <w:rFonts w:ascii="Times New Roman" w:eastAsia="Times New Roman" w:hAnsi="Times New Roman" w:cs="Times New Roman"/>
          <w:color w:val="222222"/>
          <w:lang w:val="ka-GE"/>
        </w:rPr>
      </w:pPr>
    </w:p>
    <w:p w14:paraId="600ABC5D" w14:textId="27B14E67" w:rsidR="006418A8" w:rsidRPr="0031571A" w:rsidRDefault="005D0ABC" w:rsidP="006418A8">
      <w:pPr>
        <w:shd w:val="clear" w:color="auto" w:fill="FFFFFF"/>
        <w:spacing w:after="0" w:line="240" w:lineRule="auto"/>
        <w:jc w:val="both"/>
        <w:rPr>
          <w:rFonts w:ascii="Times New Roman" w:eastAsia="Times New Roman" w:hAnsi="Times New Roman" w:cs="Times New Roman"/>
          <w:color w:val="222222"/>
        </w:rPr>
      </w:pPr>
      <w:r w:rsidRPr="0031571A">
        <w:rPr>
          <w:rFonts w:ascii="Times New Roman" w:eastAsia="Times New Roman" w:hAnsi="Times New Roman" w:cs="Times New Roman"/>
          <w:color w:val="222222"/>
        </w:rPr>
        <w:t>Law of Georgia on Pension Savings</w:t>
      </w:r>
      <w:r w:rsidR="00E513E6" w:rsidRPr="0031571A">
        <w:rPr>
          <w:rFonts w:ascii="Times New Roman" w:eastAsia="Times New Roman" w:hAnsi="Times New Roman" w:cs="Times New Roman"/>
          <w:color w:val="222222"/>
        </w:rPr>
        <w:t xml:space="preserve"> prescribes an obligation to ensure </w:t>
      </w:r>
      <w:r w:rsidRPr="0031571A">
        <w:rPr>
          <w:rFonts w:ascii="Times New Roman" w:eastAsia="Times New Roman" w:hAnsi="Times New Roman" w:cs="Times New Roman"/>
          <w:color w:val="222222"/>
        </w:rPr>
        <w:t>transparent and competitive selection process</w:t>
      </w:r>
      <w:r w:rsidR="00E513E6" w:rsidRPr="0031571A">
        <w:rPr>
          <w:rFonts w:ascii="Times New Roman" w:eastAsia="Times New Roman" w:hAnsi="Times New Roman" w:cs="Times New Roman"/>
          <w:color w:val="222222"/>
        </w:rPr>
        <w:t xml:space="preserve"> of Chief Investment Officer (CIO) by the </w:t>
      </w:r>
      <w:r w:rsidR="00F44293" w:rsidRPr="0031571A">
        <w:rPr>
          <w:rFonts w:ascii="Times New Roman" w:eastAsia="Times New Roman" w:hAnsi="Times New Roman" w:cs="Times New Roman"/>
          <w:color w:val="222222"/>
        </w:rPr>
        <w:t>Investment Board (</w:t>
      </w:r>
      <w:r w:rsidR="00E513E6" w:rsidRPr="0031571A">
        <w:rPr>
          <w:rFonts w:ascii="Times New Roman" w:eastAsia="Times New Roman" w:hAnsi="Times New Roman" w:cs="Times New Roman"/>
          <w:color w:val="222222"/>
        </w:rPr>
        <w:t>I</w:t>
      </w:r>
      <w:r w:rsidR="00F44293" w:rsidRPr="0031571A">
        <w:rPr>
          <w:rFonts w:ascii="Times New Roman" w:eastAsia="Times New Roman" w:hAnsi="Times New Roman" w:cs="Times New Roman"/>
          <w:color w:val="222222"/>
        </w:rPr>
        <w:t>B)</w:t>
      </w:r>
      <w:r w:rsidR="006418A8" w:rsidRPr="0031571A">
        <w:rPr>
          <w:rFonts w:ascii="Times New Roman" w:eastAsia="Times New Roman" w:hAnsi="Times New Roman" w:cs="Times New Roman"/>
          <w:color w:val="222222"/>
        </w:rPr>
        <w:t xml:space="preserve"> and to ensure effective functioning of the Pension Agency and the pension reform as a whole, the candidate must be in </w:t>
      </w:r>
      <w:r w:rsidR="00F44293" w:rsidRPr="0031571A">
        <w:rPr>
          <w:rFonts w:ascii="Times New Roman" w:eastAsia="Times New Roman" w:hAnsi="Times New Roman" w:cs="Times New Roman"/>
          <w:color w:val="222222"/>
        </w:rPr>
        <w:t>full compliance with applicable law</w:t>
      </w:r>
      <w:bookmarkStart w:id="0" w:name="_GoBack"/>
      <w:bookmarkEnd w:id="0"/>
      <w:r w:rsidR="00F44293" w:rsidRPr="0031571A">
        <w:rPr>
          <w:rFonts w:ascii="Times New Roman" w:eastAsia="Times New Roman" w:hAnsi="Times New Roman" w:cs="Times New Roman"/>
          <w:color w:val="222222"/>
        </w:rPr>
        <w:t>s of Georgia</w:t>
      </w:r>
      <w:r w:rsidR="006418A8" w:rsidRPr="0031571A">
        <w:rPr>
          <w:rFonts w:ascii="Times New Roman" w:eastAsia="Times New Roman" w:hAnsi="Times New Roman" w:cs="Times New Roman"/>
          <w:color w:val="222222"/>
        </w:rPr>
        <w:t xml:space="preserve">. Present legal opinion assesses the question of conflict of interests and legality of appointing to the office of Chief Investment Officer (CIO) of the Pension Agency one of the short-listed candidates with the extensive NBG background. Following paragraphs elaborate on particular </w:t>
      </w:r>
      <w:r w:rsidR="004C6583" w:rsidRPr="0031571A">
        <w:rPr>
          <w:rFonts w:ascii="Times New Roman" w:eastAsia="Times New Roman" w:hAnsi="Times New Roman" w:cs="Times New Roman"/>
          <w:color w:val="222222"/>
        </w:rPr>
        <w:t xml:space="preserve">legal </w:t>
      </w:r>
      <w:r w:rsidR="006418A8" w:rsidRPr="0031571A">
        <w:rPr>
          <w:rFonts w:ascii="Times New Roman" w:eastAsia="Times New Roman" w:hAnsi="Times New Roman" w:cs="Times New Roman"/>
          <w:color w:val="222222"/>
        </w:rPr>
        <w:t xml:space="preserve">aspects pertaining to the question raised.  </w:t>
      </w:r>
    </w:p>
    <w:p w14:paraId="40CF3451" w14:textId="77777777" w:rsidR="006418A8" w:rsidRPr="0031571A" w:rsidRDefault="006418A8" w:rsidP="0022336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 w:val="left" w:pos="9360"/>
        </w:tabs>
        <w:spacing w:line="20" w:lineRule="atLeast"/>
        <w:ind w:firstLine="142"/>
        <w:jc w:val="both"/>
        <w:rPr>
          <w:rFonts w:ascii="Times New Roman" w:eastAsia="Times New Roman" w:hAnsi="Times New Roman" w:cs="Times New Roman"/>
          <w:color w:val="222222"/>
          <w:sz w:val="22"/>
          <w:szCs w:val="22"/>
          <w:lang w:val="ka-GE"/>
        </w:rPr>
      </w:pPr>
    </w:p>
    <w:p w14:paraId="2708DC16" w14:textId="77777777" w:rsidR="00F81E87" w:rsidRPr="0031571A" w:rsidRDefault="00603520" w:rsidP="00F81E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 w:val="left" w:pos="9360"/>
        </w:tabs>
        <w:spacing w:line="20" w:lineRule="atLeast"/>
        <w:jc w:val="both"/>
        <w:rPr>
          <w:rFonts w:ascii="Times New Roman" w:hAnsi="Times New Roman" w:cs="Times New Roman"/>
          <w:sz w:val="22"/>
          <w:szCs w:val="22"/>
          <w:lang w:val="ka-GE"/>
        </w:rPr>
      </w:pPr>
      <w:r w:rsidRPr="0031571A">
        <w:rPr>
          <w:rFonts w:ascii="Times New Roman" w:eastAsia="Times New Roman" w:hAnsi="Times New Roman" w:cs="Times New Roman"/>
          <w:color w:val="222222"/>
          <w:sz w:val="22"/>
          <w:szCs w:val="22"/>
          <w:lang w:val="en-US"/>
        </w:rPr>
        <w:t>U</w:t>
      </w:r>
      <w:r w:rsidR="006F4C79" w:rsidRPr="0031571A">
        <w:rPr>
          <w:rFonts w:ascii="Times New Roman" w:eastAsia="Times New Roman" w:hAnsi="Times New Roman" w:cs="Times New Roman"/>
          <w:color w:val="222222"/>
          <w:sz w:val="22"/>
          <w:szCs w:val="22"/>
          <w:lang w:val="en-US"/>
        </w:rPr>
        <w:t xml:space="preserve">nder Article 14(11) of the Pension Savings Law, obligations prescribed by the Law of Georgia on Conflict of Interests and Corruption in Public Service </w:t>
      </w:r>
      <w:r w:rsidR="00497B5A" w:rsidRPr="0031571A">
        <w:rPr>
          <w:rFonts w:ascii="Times New Roman" w:eastAsia="Times New Roman" w:hAnsi="Times New Roman" w:cs="Times New Roman"/>
          <w:color w:val="222222"/>
          <w:sz w:val="22"/>
          <w:szCs w:val="22"/>
          <w:lang w:val="en-US"/>
        </w:rPr>
        <w:t xml:space="preserve">specifically </w:t>
      </w:r>
      <w:r w:rsidR="006F4C79" w:rsidRPr="0031571A">
        <w:rPr>
          <w:rFonts w:ascii="Times New Roman" w:eastAsia="Times New Roman" w:hAnsi="Times New Roman" w:cs="Times New Roman"/>
          <w:color w:val="222222"/>
          <w:sz w:val="22"/>
          <w:szCs w:val="22"/>
          <w:lang w:val="en-US"/>
        </w:rPr>
        <w:t>apply to CIO</w:t>
      </w:r>
      <w:r w:rsidRPr="0031571A">
        <w:rPr>
          <w:rFonts w:ascii="Times New Roman" w:eastAsia="Times New Roman" w:hAnsi="Times New Roman" w:cs="Times New Roman"/>
          <w:color w:val="222222"/>
          <w:sz w:val="22"/>
          <w:szCs w:val="22"/>
          <w:lang w:val="en-US"/>
        </w:rPr>
        <w:t xml:space="preserve"> implying that prior to appointment as CIO, the candidate must be in compliance with the requirements of this law. </w:t>
      </w:r>
      <w:r w:rsidRPr="0031571A">
        <w:rPr>
          <w:rFonts w:ascii="Times New Roman" w:eastAsia="Times New Roman" w:hAnsi="Times New Roman" w:cs="Times New Roman"/>
          <w:color w:val="222222"/>
          <w:sz w:val="22"/>
          <w:szCs w:val="22"/>
        </w:rPr>
        <w:t xml:space="preserve">Prohibition prescribed under Article 13(10) of the Law of Georgia </w:t>
      </w:r>
      <w:hyperlink r:id="rId7" w:history="1">
        <w:r w:rsidRPr="0031571A">
          <w:rPr>
            <w:rFonts w:ascii="Times New Roman" w:eastAsia="Times New Roman" w:hAnsi="Times New Roman" w:cs="Times New Roman"/>
            <w:color w:val="222222"/>
            <w:sz w:val="22"/>
            <w:szCs w:val="22"/>
          </w:rPr>
          <w:t>on Conflict of Interest and Corruption in Public Service</w:t>
        </w:r>
      </w:hyperlink>
      <w:r w:rsidRPr="0031571A">
        <w:rPr>
          <w:rFonts w:ascii="Times New Roman" w:eastAsia="Times New Roman" w:hAnsi="Times New Roman" w:cs="Times New Roman"/>
          <w:color w:val="222222"/>
          <w:sz w:val="22"/>
          <w:szCs w:val="22"/>
        </w:rPr>
        <w:t xml:space="preserve"> is stemming from the so called </w:t>
      </w:r>
      <w:r w:rsidRPr="0031571A">
        <w:rPr>
          <w:rFonts w:ascii="Times New Roman" w:eastAsia="Times New Roman" w:hAnsi="Times New Roman" w:cs="Times New Roman"/>
          <w:i/>
          <w:color w:val="222222"/>
          <w:sz w:val="22"/>
          <w:szCs w:val="22"/>
        </w:rPr>
        <w:t>revolving door</w:t>
      </w:r>
      <w:r w:rsidRPr="0031571A">
        <w:rPr>
          <w:rFonts w:ascii="Times New Roman" w:eastAsia="Times New Roman" w:hAnsi="Times New Roman" w:cs="Times New Roman"/>
          <w:color w:val="222222"/>
          <w:sz w:val="22"/>
          <w:szCs w:val="22"/>
        </w:rPr>
        <w:t xml:space="preserve"> principle, which is the core principle in fighting with conflict of interests. The movement of individuals between positions of public institutions as well as from public institutions to the private sector (the </w:t>
      </w:r>
      <w:r w:rsidRPr="0031571A">
        <w:rPr>
          <w:rFonts w:ascii="Times New Roman" w:eastAsia="Times New Roman" w:hAnsi="Times New Roman" w:cs="Times New Roman"/>
          <w:i/>
          <w:color w:val="222222"/>
          <w:sz w:val="22"/>
          <w:szCs w:val="22"/>
        </w:rPr>
        <w:t>revolving door</w:t>
      </w:r>
      <w:r w:rsidRPr="0031571A">
        <w:rPr>
          <w:rFonts w:ascii="Times New Roman" w:eastAsia="Times New Roman" w:hAnsi="Times New Roman" w:cs="Times New Roman"/>
          <w:color w:val="222222"/>
          <w:sz w:val="22"/>
          <w:szCs w:val="22"/>
        </w:rPr>
        <w:t xml:space="preserve">) can involve the risks of the conflict of interests and corruption. Many countries use a mechanism of the so-called </w:t>
      </w:r>
      <w:r w:rsidRPr="0031571A">
        <w:rPr>
          <w:rFonts w:ascii="Times New Roman" w:eastAsia="Times New Roman" w:hAnsi="Times New Roman" w:cs="Times New Roman"/>
          <w:i/>
          <w:color w:val="222222"/>
          <w:sz w:val="22"/>
          <w:szCs w:val="22"/>
        </w:rPr>
        <w:t>cooling-off period</w:t>
      </w:r>
      <w:r w:rsidRPr="0031571A">
        <w:rPr>
          <w:rFonts w:ascii="Times New Roman" w:eastAsia="Times New Roman" w:hAnsi="Times New Roman" w:cs="Times New Roman"/>
          <w:color w:val="222222"/>
          <w:sz w:val="22"/>
          <w:szCs w:val="22"/>
        </w:rPr>
        <w:t xml:space="preserve"> which prohibits public officials from taking positions of some categories in another public institution or private sector after they leave the previous position. </w:t>
      </w:r>
      <w:r w:rsidRPr="0031571A">
        <w:rPr>
          <w:rFonts w:ascii="Times New Roman" w:hAnsi="Times New Roman" w:cs="Times New Roman"/>
          <w:sz w:val="22"/>
          <w:szCs w:val="22"/>
        </w:rPr>
        <w:t xml:space="preserve">Prohibition envisaged by Article 13(10) is an imperative standard established for the purposes of avoiding potential bias in specific circumstances. The prohibition is aimed at ensuring that the public servant does not use his/her former regulatory authorities and tight connections with the current high-ranking officials of the regulator for lobbying or granting additional advantages for the public or private institution, in which he/she is occupying position. </w:t>
      </w:r>
    </w:p>
    <w:p w14:paraId="29719F6B" w14:textId="77777777" w:rsidR="00F81E87" w:rsidRPr="0031571A" w:rsidRDefault="00F81E87" w:rsidP="00F81E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 w:val="left" w:pos="9360"/>
        </w:tabs>
        <w:spacing w:line="20" w:lineRule="atLeast"/>
        <w:jc w:val="both"/>
        <w:rPr>
          <w:rFonts w:ascii="Times New Roman" w:hAnsi="Times New Roman" w:cs="Times New Roman"/>
          <w:sz w:val="22"/>
          <w:szCs w:val="22"/>
          <w:lang w:val="ka-GE"/>
        </w:rPr>
      </w:pPr>
    </w:p>
    <w:p w14:paraId="320C904E" w14:textId="19F00EB9" w:rsidR="00F81E87" w:rsidRPr="0031571A" w:rsidRDefault="00F81E87" w:rsidP="00F81E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 w:val="left" w:pos="9360"/>
        </w:tabs>
        <w:spacing w:line="20" w:lineRule="atLeast"/>
        <w:jc w:val="both"/>
        <w:rPr>
          <w:rFonts w:ascii="Times New Roman" w:hAnsi="Times New Roman" w:cs="Times New Roman"/>
          <w:sz w:val="22"/>
          <w:szCs w:val="22"/>
          <w:lang w:val="ka-GE"/>
        </w:rPr>
      </w:pPr>
      <w:r w:rsidRPr="0031571A">
        <w:rPr>
          <w:rFonts w:ascii="Times New Roman" w:hAnsi="Times New Roman" w:cs="Times New Roman"/>
          <w:sz w:val="22"/>
          <w:szCs w:val="22"/>
          <w:lang w:val="en-US"/>
        </w:rPr>
        <w:t xml:space="preserve">Under </w:t>
      </w:r>
      <w:r w:rsidRPr="0031571A">
        <w:rPr>
          <w:rFonts w:ascii="Times New Roman" w:hAnsi="Times New Roman" w:cs="Times New Roman"/>
          <w:sz w:val="22"/>
          <w:szCs w:val="22"/>
        </w:rPr>
        <w:t>Article 13(10) of</w:t>
      </w:r>
      <w:r w:rsidRPr="0031571A">
        <w:rPr>
          <w:rFonts w:ascii="Times New Roman" w:hAnsi="Times New Roman" w:cs="Times New Roman"/>
          <w:b/>
          <w:bCs/>
          <w:sz w:val="22"/>
          <w:szCs w:val="22"/>
        </w:rPr>
        <w:t xml:space="preserve"> </w:t>
      </w:r>
      <w:r w:rsidRPr="0031571A">
        <w:rPr>
          <w:rFonts w:ascii="Times New Roman" w:eastAsia="Times New Roman" w:hAnsi="Times New Roman" w:cs="Times New Roman"/>
          <w:color w:val="222222"/>
          <w:sz w:val="22"/>
          <w:szCs w:val="22"/>
        </w:rPr>
        <w:t xml:space="preserve">the Law of Georgia </w:t>
      </w:r>
      <w:hyperlink r:id="rId8" w:history="1">
        <w:r w:rsidRPr="0031571A">
          <w:rPr>
            <w:rFonts w:ascii="Times New Roman" w:eastAsia="Times New Roman" w:hAnsi="Times New Roman" w:cs="Times New Roman"/>
            <w:color w:val="222222"/>
            <w:sz w:val="22"/>
            <w:szCs w:val="22"/>
          </w:rPr>
          <w:t>on Conflict of Interest and Corruption in Public Service</w:t>
        </w:r>
      </w:hyperlink>
      <w:r w:rsidRPr="0031571A">
        <w:rPr>
          <w:rFonts w:ascii="Times New Roman" w:eastAsia="Times New Roman" w:hAnsi="Times New Roman" w:cs="Times New Roman"/>
          <w:color w:val="222222"/>
          <w:sz w:val="22"/>
          <w:szCs w:val="22"/>
        </w:rPr>
        <w:t xml:space="preserve">, within one year from the date of dismissal of the </w:t>
      </w:r>
      <w:r w:rsidRPr="0031571A">
        <w:rPr>
          <w:rFonts w:ascii="Times New Roman" w:eastAsia="Times New Roman" w:hAnsi="Times New Roman" w:cs="Times New Roman"/>
          <w:bCs/>
          <w:color w:val="222222"/>
          <w:sz w:val="22"/>
          <w:szCs w:val="22"/>
        </w:rPr>
        <w:t>public servant</w:t>
      </w:r>
      <w:r w:rsidRPr="0031571A">
        <w:rPr>
          <w:rFonts w:ascii="Times New Roman" w:eastAsia="Times New Roman" w:hAnsi="Times New Roman" w:cs="Times New Roman"/>
          <w:color w:val="222222"/>
          <w:sz w:val="22"/>
          <w:szCs w:val="22"/>
        </w:rPr>
        <w:t xml:space="preserve">, he/she is not authorized to occupy a position in the </w:t>
      </w:r>
      <w:r w:rsidRPr="0031571A">
        <w:rPr>
          <w:rFonts w:ascii="Times New Roman" w:eastAsia="Times New Roman" w:hAnsi="Times New Roman" w:cs="Times New Roman"/>
          <w:bCs/>
          <w:color w:val="222222"/>
          <w:sz w:val="22"/>
          <w:szCs w:val="22"/>
        </w:rPr>
        <w:t>public institution</w:t>
      </w:r>
      <w:r w:rsidRPr="0031571A">
        <w:rPr>
          <w:rFonts w:ascii="Times New Roman" w:eastAsia="Times New Roman" w:hAnsi="Times New Roman" w:cs="Times New Roman"/>
          <w:color w:val="222222"/>
          <w:sz w:val="22"/>
          <w:szCs w:val="22"/>
        </w:rPr>
        <w:t xml:space="preserve"> or </w:t>
      </w:r>
      <w:r w:rsidRPr="0031571A">
        <w:rPr>
          <w:rFonts w:ascii="Times New Roman" w:eastAsia="Times New Roman" w:hAnsi="Times New Roman" w:cs="Times New Roman"/>
          <w:color w:val="222222"/>
          <w:sz w:val="22"/>
          <w:szCs w:val="22"/>
          <w:lang w:val="en-US"/>
        </w:rPr>
        <w:t xml:space="preserve">to </w:t>
      </w:r>
      <w:r w:rsidRPr="0031571A">
        <w:rPr>
          <w:rFonts w:ascii="Times New Roman" w:eastAsia="Times New Roman" w:hAnsi="Times New Roman" w:cs="Times New Roman"/>
          <w:color w:val="222222"/>
          <w:sz w:val="22"/>
          <w:szCs w:val="22"/>
        </w:rPr>
        <w:t>work in the enterprise which was under his/her official supervision during the last three years.</w:t>
      </w:r>
      <w:r w:rsidRPr="0031571A">
        <w:rPr>
          <w:rFonts w:ascii="Times New Roman" w:hAnsi="Times New Roman" w:cs="Times New Roman"/>
          <w:sz w:val="22"/>
          <w:szCs w:val="22"/>
          <w:lang w:val="ka-GE"/>
        </w:rPr>
        <w:t xml:space="preserve"> </w:t>
      </w:r>
      <w:r w:rsidRPr="0031571A">
        <w:rPr>
          <w:rFonts w:ascii="Times New Roman" w:hAnsi="Times New Roman" w:cs="Times New Roman"/>
          <w:sz w:val="22"/>
          <w:szCs w:val="22"/>
          <w:lang w:val="en-US"/>
        </w:rPr>
        <w:t xml:space="preserve">Further, during one year from dismissal, </w:t>
      </w:r>
      <w:r w:rsidRPr="0031571A">
        <w:rPr>
          <w:rFonts w:ascii="Times New Roman" w:hAnsi="Times New Roman" w:cs="Times New Roman"/>
          <w:sz w:val="22"/>
          <w:szCs w:val="22"/>
        </w:rPr>
        <w:t xml:space="preserve">he/she is not </w:t>
      </w:r>
      <w:r w:rsidRPr="0031571A">
        <w:rPr>
          <w:rFonts w:ascii="Times New Roman" w:hAnsi="Times New Roman" w:cs="Times New Roman"/>
          <w:sz w:val="22"/>
          <w:szCs w:val="22"/>
          <w:lang w:val="en-US"/>
        </w:rPr>
        <w:t xml:space="preserve">authorized </w:t>
      </w:r>
      <w:r w:rsidRPr="0031571A">
        <w:rPr>
          <w:rFonts w:ascii="Times New Roman" w:hAnsi="Times New Roman" w:cs="Times New Roman"/>
          <w:sz w:val="22"/>
          <w:szCs w:val="22"/>
        </w:rPr>
        <w:t xml:space="preserve">to receive any income from </w:t>
      </w:r>
      <w:r w:rsidRPr="0031571A">
        <w:rPr>
          <w:rFonts w:ascii="Times New Roman" w:hAnsi="Times New Roman" w:cs="Times New Roman"/>
          <w:bCs/>
          <w:sz w:val="22"/>
          <w:szCs w:val="22"/>
        </w:rPr>
        <w:t>such public institution</w:t>
      </w:r>
      <w:r w:rsidRPr="0031571A">
        <w:rPr>
          <w:rFonts w:ascii="Times New Roman" w:hAnsi="Times New Roman" w:cs="Times New Roman"/>
          <w:sz w:val="22"/>
          <w:szCs w:val="22"/>
        </w:rPr>
        <w:t> or enterprise.</w:t>
      </w:r>
      <w:r w:rsidRPr="0031571A">
        <w:rPr>
          <w:rFonts w:ascii="Times New Roman" w:hAnsi="Times New Roman" w:cs="Times New Roman"/>
          <w:sz w:val="22"/>
          <w:szCs w:val="22"/>
          <w:lang w:val="ka-GE"/>
        </w:rPr>
        <w:t xml:space="preserve"> </w:t>
      </w:r>
    </w:p>
    <w:p w14:paraId="3811CFC9" w14:textId="77777777" w:rsidR="00603520" w:rsidRPr="0031571A" w:rsidRDefault="00603520" w:rsidP="0022336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 w:val="left" w:pos="9360"/>
        </w:tabs>
        <w:spacing w:line="20" w:lineRule="atLeast"/>
        <w:jc w:val="both"/>
        <w:rPr>
          <w:rFonts w:ascii="Times New Roman" w:eastAsia="Times New Roman" w:hAnsi="Times New Roman" w:cs="Times New Roman"/>
          <w:color w:val="222222"/>
          <w:sz w:val="22"/>
          <w:szCs w:val="22"/>
          <w:lang w:val="en-US"/>
        </w:rPr>
      </w:pPr>
    </w:p>
    <w:p w14:paraId="0B402E05" w14:textId="77777777" w:rsidR="00AF56C5" w:rsidRPr="0031571A" w:rsidRDefault="00603520" w:rsidP="0022336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 w:val="left" w:pos="9360"/>
        </w:tabs>
        <w:spacing w:line="20" w:lineRule="atLeast"/>
        <w:jc w:val="both"/>
        <w:rPr>
          <w:rFonts w:ascii="Times New Roman" w:eastAsia="Times New Roman" w:hAnsi="Times New Roman" w:cs="Times New Roman"/>
          <w:color w:val="222222"/>
          <w:sz w:val="22"/>
          <w:szCs w:val="22"/>
          <w:lang w:val="en-US"/>
        </w:rPr>
      </w:pPr>
      <w:r w:rsidRPr="0031571A">
        <w:rPr>
          <w:rFonts w:ascii="Times New Roman" w:eastAsia="Times New Roman" w:hAnsi="Times New Roman" w:cs="Times New Roman"/>
          <w:color w:val="222222"/>
          <w:sz w:val="22"/>
          <w:szCs w:val="22"/>
          <w:lang w:val="en-US"/>
        </w:rPr>
        <w:t>Provisions of the same Law of Georgia on Conflict of Interests and Corruption in Public Service also apply to the potential candidate from the perspective of the Law of Georgia on Public Service if he/she is a former public servant of the legal entity of public law.</w:t>
      </w:r>
      <w:r w:rsidRPr="0031571A">
        <w:rPr>
          <w:rStyle w:val="FootnoteReference"/>
          <w:rFonts w:ascii="Times New Roman" w:eastAsia="Times New Roman" w:hAnsi="Times New Roman" w:cs="Times New Roman"/>
          <w:color w:val="222222"/>
          <w:sz w:val="22"/>
          <w:szCs w:val="22"/>
          <w:lang w:val="en-US"/>
        </w:rPr>
        <w:footnoteReference w:id="1"/>
      </w:r>
      <w:r w:rsidRPr="0031571A">
        <w:rPr>
          <w:rFonts w:ascii="Times New Roman" w:eastAsia="Times New Roman" w:hAnsi="Times New Roman" w:cs="Times New Roman"/>
          <w:color w:val="222222"/>
          <w:sz w:val="22"/>
          <w:szCs w:val="22"/>
          <w:lang w:val="en-US"/>
        </w:rPr>
        <w:t xml:space="preserve"> In most conservative </w:t>
      </w:r>
      <w:r w:rsidR="00F81E87" w:rsidRPr="0031571A">
        <w:rPr>
          <w:rFonts w:ascii="Times New Roman" w:eastAsia="Times New Roman" w:hAnsi="Times New Roman" w:cs="Times New Roman"/>
          <w:color w:val="222222"/>
          <w:sz w:val="22"/>
          <w:szCs w:val="22"/>
          <w:lang w:val="en-US"/>
        </w:rPr>
        <w:t xml:space="preserve">reading </w:t>
      </w:r>
      <w:r w:rsidRPr="0031571A">
        <w:rPr>
          <w:rFonts w:ascii="Times New Roman" w:eastAsia="Times New Roman" w:hAnsi="Times New Roman" w:cs="Times New Roman"/>
          <w:color w:val="222222"/>
          <w:sz w:val="22"/>
          <w:szCs w:val="22"/>
          <w:lang w:val="en-US"/>
        </w:rPr>
        <w:t xml:space="preserve">of the Law of Georgia on Public Service, if the CIO is a former employee of a regulator, </w:t>
      </w:r>
      <w:r w:rsidR="00F81E87" w:rsidRPr="0031571A">
        <w:rPr>
          <w:rFonts w:ascii="Times New Roman" w:eastAsia="Times New Roman" w:hAnsi="Times New Roman" w:cs="Times New Roman"/>
          <w:color w:val="222222"/>
          <w:sz w:val="22"/>
          <w:szCs w:val="22"/>
          <w:lang w:val="en-US"/>
        </w:rPr>
        <w:t xml:space="preserve">as a public servant </w:t>
      </w:r>
      <w:r w:rsidRPr="0031571A">
        <w:rPr>
          <w:rFonts w:ascii="Times New Roman" w:eastAsia="Times New Roman" w:hAnsi="Times New Roman" w:cs="Times New Roman"/>
          <w:color w:val="222222"/>
          <w:sz w:val="22"/>
          <w:szCs w:val="22"/>
          <w:lang w:val="en-US"/>
        </w:rPr>
        <w:t xml:space="preserve">he/she </w:t>
      </w:r>
      <w:r w:rsidR="00734F10" w:rsidRPr="0031571A">
        <w:rPr>
          <w:rFonts w:ascii="Times New Roman" w:eastAsia="Times New Roman" w:hAnsi="Times New Roman" w:cs="Times New Roman"/>
          <w:color w:val="222222"/>
          <w:sz w:val="22"/>
          <w:szCs w:val="22"/>
          <w:lang w:val="en-US"/>
        </w:rPr>
        <w:t xml:space="preserve">in effect </w:t>
      </w:r>
      <w:r w:rsidRPr="0031571A">
        <w:rPr>
          <w:rFonts w:ascii="Times New Roman" w:eastAsia="Times New Roman" w:hAnsi="Times New Roman" w:cs="Times New Roman"/>
          <w:color w:val="222222"/>
          <w:sz w:val="22"/>
          <w:szCs w:val="22"/>
          <w:lang w:val="en-US"/>
        </w:rPr>
        <w:t xml:space="preserve">will be in breach of the </w:t>
      </w:r>
      <w:r w:rsidR="00F81E87" w:rsidRPr="0031571A">
        <w:rPr>
          <w:rFonts w:ascii="Times New Roman" w:eastAsia="Times New Roman" w:hAnsi="Times New Roman" w:cs="Times New Roman"/>
          <w:color w:val="222222"/>
          <w:sz w:val="22"/>
          <w:szCs w:val="22"/>
          <w:lang w:val="en-US"/>
        </w:rPr>
        <w:t>this law as of January 1, 20</w:t>
      </w:r>
      <w:r w:rsidR="00734F10" w:rsidRPr="0031571A">
        <w:rPr>
          <w:rFonts w:ascii="Times New Roman" w:eastAsia="Times New Roman" w:hAnsi="Times New Roman" w:cs="Times New Roman"/>
          <w:color w:val="222222"/>
          <w:sz w:val="22"/>
          <w:szCs w:val="22"/>
          <w:lang w:val="en-US"/>
        </w:rPr>
        <w:t>20</w:t>
      </w:r>
      <w:r w:rsidR="00153C73" w:rsidRPr="0031571A">
        <w:rPr>
          <w:rFonts w:ascii="Times New Roman" w:eastAsia="Times New Roman" w:hAnsi="Times New Roman" w:cs="Times New Roman"/>
          <w:color w:val="222222"/>
          <w:sz w:val="22"/>
          <w:szCs w:val="22"/>
          <w:lang w:val="en-US"/>
        </w:rPr>
        <w:t xml:space="preserve"> subject to removal</w:t>
      </w:r>
      <w:r w:rsidR="00C00481" w:rsidRPr="0031571A">
        <w:rPr>
          <w:rFonts w:ascii="Times New Roman" w:eastAsia="Times New Roman" w:hAnsi="Times New Roman" w:cs="Times New Roman"/>
          <w:color w:val="222222"/>
          <w:sz w:val="22"/>
          <w:szCs w:val="22"/>
          <w:lang w:val="en-US"/>
        </w:rPr>
        <w:t>/dismissal from the office from such date</w:t>
      </w:r>
      <w:r w:rsidR="00F81E87" w:rsidRPr="0031571A">
        <w:rPr>
          <w:rFonts w:ascii="Times New Roman" w:eastAsia="Times New Roman" w:hAnsi="Times New Roman" w:cs="Times New Roman"/>
          <w:color w:val="222222"/>
          <w:sz w:val="22"/>
          <w:szCs w:val="22"/>
          <w:lang w:val="en-US"/>
        </w:rPr>
        <w:t>.</w:t>
      </w:r>
      <w:r w:rsidR="00E32B4D" w:rsidRPr="0031571A">
        <w:rPr>
          <w:rStyle w:val="FootnoteReference"/>
          <w:rFonts w:ascii="Times New Roman" w:eastAsia="Times New Roman" w:hAnsi="Times New Roman" w:cs="Times New Roman"/>
          <w:color w:val="222222"/>
          <w:sz w:val="22"/>
          <w:szCs w:val="22"/>
          <w:lang w:val="en-US"/>
        </w:rPr>
        <w:footnoteReference w:id="2"/>
      </w:r>
      <w:r w:rsidR="00C00481" w:rsidRPr="0031571A">
        <w:rPr>
          <w:rFonts w:ascii="Times New Roman" w:eastAsia="Times New Roman" w:hAnsi="Times New Roman" w:cs="Times New Roman"/>
          <w:color w:val="222222"/>
          <w:sz w:val="22"/>
          <w:szCs w:val="22"/>
          <w:lang w:val="en-US"/>
        </w:rPr>
        <w:t xml:space="preserve"> </w:t>
      </w:r>
    </w:p>
    <w:p w14:paraId="57131191" w14:textId="02B86C84" w:rsidR="00603520" w:rsidRPr="0031571A" w:rsidRDefault="00AF56C5" w:rsidP="0022336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 w:val="left" w:pos="9360"/>
        </w:tabs>
        <w:spacing w:line="20" w:lineRule="atLeast"/>
        <w:jc w:val="both"/>
        <w:rPr>
          <w:rFonts w:ascii="Times New Roman" w:eastAsia="Times New Roman" w:hAnsi="Times New Roman" w:cs="Times New Roman"/>
          <w:color w:val="222222"/>
          <w:sz w:val="22"/>
          <w:szCs w:val="22"/>
          <w:lang w:val="en-US"/>
        </w:rPr>
      </w:pPr>
      <w:r w:rsidRPr="0031571A">
        <w:rPr>
          <w:rFonts w:ascii="Times New Roman" w:eastAsia="Times New Roman" w:hAnsi="Times New Roman" w:cs="Times New Roman"/>
          <w:color w:val="222222"/>
          <w:sz w:val="22"/>
          <w:szCs w:val="22"/>
          <w:lang w:val="en-US"/>
        </w:rPr>
        <w:t xml:space="preserve">Therefore, while appointment may seem legal prior to the year end, </w:t>
      </w:r>
      <w:r w:rsidR="00153C73" w:rsidRPr="0031571A">
        <w:rPr>
          <w:rFonts w:ascii="Times New Roman" w:eastAsia="Times New Roman" w:hAnsi="Times New Roman" w:cs="Times New Roman"/>
          <w:color w:val="222222"/>
          <w:sz w:val="22"/>
          <w:szCs w:val="22"/>
          <w:lang w:val="en-US"/>
        </w:rPr>
        <w:t xml:space="preserve">under applicable legal principles (predictability and objective of the law), such appointment would </w:t>
      </w:r>
      <w:r w:rsidRPr="0031571A">
        <w:rPr>
          <w:rFonts w:ascii="Times New Roman" w:eastAsia="Times New Roman" w:hAnsi="Times New Roman" w:cs="Times New Roman"/>
          <w:color w:val="222222"/>
          <w:sz w:val="22"/>
          <w:szCs w:val="22"/>
          <w:lang w:val="en-US"/>
        </w:rPr>
        <w:t xml:space="preserve">contradict objective of the law and </w:t>
      </w:r>
      <w:r w:rsidR="00153C73" w:rsidRPr="0031571A">
        <w:rPr>
          <w:rFonts w:ascii="Times New Roman" w:eastAsia="Times New Roman" w:hAnsi="Times New Roman" w:cs="Times New Roman"/>
          <w:color w:val="222222"/>
          <w:sz w:val="22"/>
          <w:szCs w:val="22"/>
          <w:lang w:val="en-US"/>
        </w:rPr>
        <w:t xml:space="preserve">be held illegal </w:t>
      </w:r>
      <w:r w:rsidRPr="0031571A">
        <w:rPr>
          <w:rFonts w:ascii="Times New Roman" w:eastAsia="Times New Roman" w:hAnsi="Times New Roman" w:cs="Times New Roman"/>
          <w:color w:val="222222"/>
          <w:sz w:val="22"/>
          <w:szCs w:val="22"/>
          <w:lang w:val="en-US"/>
        </w:rPr>
        <w:t xml:space="preserve">during that period </w:t>
      </w:r>
      <w:r w:rsidR="00153C73" w:rsidRPr="0031571A">
        <w:rPr>
          <w:rFonts w:ascii="Times New Roman" w:eastAsia="Times New Roman" w:hAnsi="Times New Roman" w:cs="Times New Roman"/>
          <w:color w:val="222222"/>
          <w:sz w:val="22"/>
          <w:szCs w:val="22"/>
          <w:lang w:val="en-US"/>
        </w:rPr>
        <w:t>as well.</w:t>
      </w:r>
      <w:r w:rsidR="00E32B4D" w:rsidRPr="0031571A">
        <w:rPr>
          <w:rFonts w:ascii="Times New Roman" w:eastAsia="Times New Roman" w:hAnsi="Times New Roman" w:cs="Times New Roman"/>
          <w:color w:val="222222"/>
          <w:sz w:val="22"/>
          <w:szCs w:val="22"/>
          <w:lang w:val="en-US"/>
        </w:rPr>
        <w:t xml:space="preserve"> </w:t>
      </w:r>
      <w:r w:rsidR="00153C73" w:rsidRPr="0031571A">
        <w:rPr>
          <w:rFonts w:ascii="Times New Roman" w:eastAsia="Times New Roman" w:hAnsi="Times New Roman" w:cs="Times New Roman"/>
          <w:color w:val="222222"/>
          <w:sz w:val="22"/>
          <w:szCs w:val="22"/>
          <w:lang w:val="en-US"/>
        </w:rPr>
        <w:t xml:space="preserve">   </w:t>
      </w:r>
      <w:r w:rsidR="00603520" w:rsidRPr="0031571A">
        <w:rPr>
          <w:rFonts w:ascii="Times New Roman" w:eastAsia="Times New Roman" w:hAnsi="Times New Roman" w:cs="Times New Roman"/>
          <w:color w:val="222222"/>
          <w:sz w:val="22"/>
          <w:szCs w:val="22"/>
          <w:lang w:val="en-US"/>
        </w:rPr>
        <w:t xml:space="preserve">  </w:t>
      </w:r>
    </w:p>
    <w:p w14:paraId="2E67F010" w14:textId="77777777" w:rsidR="00DB2B41" w:rsidRPr="0031571A" w:rsidRDefault="00DB2B41" w:rsidP="003353A7">
      <w:pPr>
        <w:shd w:val="clear" w:color="auto" w:fill="FFFFFF"/>
        <w:spacing w:after="0" w:line="240" w:lineRule="auto"/>
        <w:jc w:val="both"/>
        <w:rPr>
          <w:rFonts w:ascii="Times New Roman" w:hAnsi="Times New Roman" w:cs="Times New Roman"/>
        </w:rPr>
      </w:pPr>
    </w:p>
    <w:p w14:paraId="34A8D384" w14:textId="0F10451A" w:rsidR="00DB2B41" w:rsidRPr="0031571A" w:rsidRDefault="00497B5A">
      <w:pPr>
        <w:shd w:val="clear" w:color="auto" w:fill="FFFFFF"/>
        <w:spacing w:after="0" w:line="240" w:lineRule="auto"/>
        <w:jc w:val="both"/>
        <w:rPr>
          <w:rFonts w:ascii="Times New Roman" w:hAnsi="Times New Roman" w:cs="Times New Roman"/>
        </w:rPr>
      </w:pPr>
      <w:r w:rsidRPr="0031571A">
        <w:rPr>
          <w:rFonts w:ascii="Times New Roman" w:hAnsi="Times New Roman" w:cs="Times New Roman"/>
        </w:rPr>
        <w:t>Based on the above, appointing a former employee of NBG as a regulator of investment activities of the Pension Agency to the position of CIO is not lawful and should not be considered by Investment Board of the Pension Agency.</w:t>
      </w:r>
      <w:r w:rsidR="00F81E87" w:rsidRPr="0031571A">
        <w:rPr>
          <w:rFonts w:ascii="Times New Roman" w:hAnsi="Times New Roman" w:cs="Times New Roman"/>
        </w:rPr>
        <w:t xml:space="preserve"> </w:t>
      </w:r>
      <w:r w:rsidRPr="0031571A">
        <w:rPr>
          <w:rFonts w:ascii="Times New Roman" w:hAnsi="Times New Roman" w:cs="Times New Roman"/>
        </w:rPr>
        <w:t xml:space="preserve"> </w:t>
      </w:r>
    </w:p>
    <w:sectPr w:rsidR="00DB2B41" w:rsidRPr="0031571A" w:rsidSect="0022336A">
      <w:pgSz w:w="12240" w:h="15840"/>
      <w:pgMar w:top="1138" w:right="1463" w:bottom="1138" w:left="142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97200" w14:textId="77777777" w:rsidR="00A56E30" w:rsidRDefault="00A56E30" w:rsidP="004C6583">
      <w:pPr>
        <w:spacing w:after="0" w:line="240" w:lineRule="auto"/>
      </w:pPr>
      <w:r>
        <w:separator/>
      </w:r>
    </w:p>
  </w:endnote>
  <w:endnote w:type="continuationSeparator" w:id="0">
    <w:p w14:paraId="550112E7" w14:textId="77777777" w:rsidR="00A56E30" w:rsidRDefault="00A56E30" w:rsidP="004C6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04371" w14:textId="77777777" w:rsidR="00A56E30" w:rsidRDefault="00A56E30" w:rsidP="004C6583">
      <w:pPr>
        <w:spacing w:after="0" w:line="240" w:lineRule="auto"/>
      </w:pPr>
      <w:r>
        <w:separator/>
      </w:r>
    </w:p>
  </w:footnote>
  <w:footnote w:type="continuationSeparator" w:id="0">
    <w:p w14:paraId="4F508E6E" w14:textId="77777777" w:rsidR="00A56E30" w:rsidRDefault="00A56E30" w:rsidP="004C6583">
      <w:pPr>
        <w:spacing w:after="0" w:line="240" w:lineRule="auto"/>
      </w:pPr>
      <w:r>
        <w:continuationSeparator/>
      </w:r>
    </w:p>
  </w:footnote>
  <w:footnote w:id="1">
    <w:p w14:paraId="3F053CA0" w14:textId="4B858004" w:rsidR="00603520" w:rsidRPr="0031571A" w:rsidRDefault="00603520" w:rsidP="0060352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 w:val="left" w:pos="9360"/>
        </w:tabs>
        <w:spacing w:line="20" w:lineRule="atLeast"/>
        <w:jc w:val="both"/>
        <w:rPr>
          <w:rFonts w:ascii="Times New Roman" w:eastAsia="Times New Roman" w:hAnsi="Times New Roman" w:cs="Times New Roman"/>
          <w:color w:val="222222"/>
          <w:sz w:val="22"/>
          <w:szCs w:val="22"/>
          <w:lang w:val="en-US"/>
        </w:rPr>
      </w:pPr>
      <w:r w:rsidRPr="0031571A">
        <w:rPr>
          <w:rStyle w:val="FootnoteReference"/>
          <w:rFonts w:ascii="Times New Roman" w:hAnsi="Times New Roman" w:cs="Times New Roman"/>
          <w:sz w:val="21"/>
        </w:rPr>
        <w:footnoteRef/>
      </w:r>
      <w:r w:rsidRPr="0031571A">
        <w:rPr>
          <w:rFonts w:ascii="Times New Roman" w:hAnsi="Times New Roman" w:cs="Times New Roman"/>
          <w:sz w:val="21"/>
        </w:rPr>
        <w:t xml:space="preserve"> </w:t>
      </w:r>
      <w:r w:rsidRPr="0031571A">
        <w:rPr>
          <w:rFonts w:ascii="Times New Roman" w:eastAsia="Times New Roman" w:hAnsi="Times New Roman" w:cs="Times New Roman"/>
          <w:color w:val="222222"/>
          <w:sz w:val="20"/>
          <w:szCs w:val="22"/>
          <w:lang w:val="en-US"/>
        </w:rPr>
        <w:t xml:space="preserve">Under Article 1(1) of the Organic Law of Georgia on the National Bank of Georgia, NBG is a Legal Entity of Public Law (the “LEPL”). Under </w:t>
      </w:r>
      <w:r w:rsidRPr="0031571A">
        <w:rPr>
          <w:rFonts w:ascii="Times New Roman" w:eastAsia="Times New Roman" w:hAnsi="Times New Roman" w:cs="Times New Roman"/>
          <w:color w:val="222222"/>
          <w:sz w:val="20"/>
          <w:szCs w:val="22"/>
        </w:rPr>
        <w:t>Article 3</w:t>
      </w:r>
      <w:r w:rsidRPr="0031571A">
        <w:rPr>
          <w:rFonts w:ascii="Times New Roman" w:eastAsia="Times New Roman" w:hAnsi="Times New Roman" w:cs="Times New Roman"/>
          <w:color w:val="222222"/>
          <w:sz w:val="20"/>
          <w:szCs w:val="22"/>
          <w:lang w:val="ka-GE"/>
        </w:rPr>
        <w:t>(</w:t>
      </w:r>
      <w:r w:rsidRPr="0031571A">
        <w:rPr>
          <w:rFonts w:ascii="Times New Roman" w:eastAsia="Times New Roman" w:hAnsi="Times New Roman" w:cs="Times New Roman"/>
          <w:color w:val="222222"/>
          <w:sz w:val="20"/>
          <w:szCs w:val="22"/>
          <w:lang w:val="en-US"/>
        </w:rPr>
        <w:t>c</w:t>
      </w:r>
      <w:r w:rsidRPr="0031571A">
        <w:rPr>
          <w:rFonts w:ascii="Times New Roman" w:eastAsia="Times New Roman" w:hAnsi="Times New Roman" w:cs="Times New Roman"/>
          <w:color w:val="222222"/>
          <w:sz w:val="20"/>
          <w:szCs w:val="22"/>
          <w:lang w:val="ka-GE"/>
        </w:rPr>
        <w:t>)</w:t>
      </w:r>
      <w:r w:rsidRPr="0031571A">
        <w:rPr>
          <w:rFonts w:ascii="Times New Roman" w:eastAsia="Times New Roman" w:hAnsi="Times New Roman" w:cs="Times New Roman"/>
          <w:color w:val="222222"/>
          <w:sz w:val="20"/>
          <w:szCs w:val="22"/>
          <w:lang w:val="en-US"/>
        </w:rPr>
        <w:t xml:space="preserve"> </w:t>
      </w:r>
      <w:r w:rsidRPr="0031571A">
        <w:rPr>
          <w:rFonts w:ascii="Times New Roman" w:eastAsia="Times New Roman" w:hAnsi="Times New Roman" w:cs="Times New Roman"/>
          <w:color w:val="222222"/>
          <w:sz w:val="20"/>
          <w:szCs w:val="22"/>
        </w:rPr>
        <w:t>of the Law of Georgia on Public Service</w:t>
      </w:r>
      <w:r w:rsidRPr="0031571A">
        <w:rPr>
          <w:rFonts w:ascii="Times New Roman" w:eastAsia="Times New Roman" w:hAnsi="Times New Roman" w:cs="Times New Roman"/>
          <w:color w:val="222222"/>
          <w:sz w:val="20"/>
          <w:szCs w:val="22"/>
          <w:lang w:val="en-US"/>
        </w:rPr>
        <w:t xml:space="preserve">, working in LEPL constitutes public service and an employee of NBG is a public servant under </w:t>
      </w:r>
      <w:r w:rsidRPr="0031571A">
        <w:rPr>
          <w:rFonts w:ascii="Times New Roman" w:eastAsia="Times New Roman" w:hAnsi="Times New Roman" w:cs="Times New Roman"/>
          <w:color w:val="222222"/>
          <w:sz w:val="20"/>
          <w:szCs w:val="22"/>
        </w:rPr>
        <w:t>Article 3</w:t>
      </w:r>
      <w:r w:rsidRPr="0031571A">
        <w:rPr>
          <w:rFonts w:ascii="Times New Roman" w:eastAsia="Times New Roman" w:hAnsi="Times New Roman" w:cs="Times New Roman"/>
          <w:color w:val="222222"/>
          <w:sz w:val="20"/>
          <w:szCs w:val="22"/>
          <w:lang w:val="en-US"/>
        </w:rPr>
        <w:t>(</w:t>
      </w:r>
      <w:r w:rsidRPr="0031571A">
        <w:rPr>
          <w:rFonts w:ascii="Times New Roman" w:eastAsia="Times New Roman" w:hAnsi="Times New Roman" w:cs="Times New Roman"/>
          <w:color w:val="222222"/>
          <w:sz w:val="20"/>
          <w:szCs w:val="22"/>
        </w:rPr>
        <w:t>d</w:t>
      </w:r>
      <w:r w:rsidRPr="0031571A">
        <w:rPr>
          <w:rFonts w:ascii="Times New Roman" w:eastAsia="Times New Roman" w:hAnsi="Times New Roman" w:cs="Times New Roman"/>
          <w:color w:val="222222"/>
          <w:sz w:val="20"/>
          <w:szCs w:val="22"/>
          <w:lang w:val="en-US"/>
        </w:rPr>
        <w:t>)</w:t>
      </w:r>
      <w:r w:rsidRPr="0031571A">
        <w:rPr>
          <w:rFonts w:ascii="Times New Roman" w:eastAsia="Times New Roman" w:hAnsi="Times New Roman" w:cs="Times New Roman"/>
          <w:color w:val="222222"/>
          <w:sz w:val="20"/>
          <w:szCs w:val="22"/>
        </w:rPr>
        <w:t xml:space="preserve"> of the Law of Georgia on Public Service</w:t>
      </w:r>
      <w:r w:rsidRPr="0031571A">
        <w:rPr>
          <w:rFonts w:ascii="Times New Roman" w:eastAsia="Times New Roman" w:hAnsi="Times New Roman" w:cs="Times New Roman"/>
          <w:color w:val="222222"/>
          <w:sz w:val="20"/>
          <w:szCs w:val="22"/>
          <w:lang w:val="en-US"/>
        </w:rPr>
        <w:t>.</w:t>
      </w:r>
      <w:r w:rsidRPr="0031571A">
        <w:rPr>
          <w:rFonts w:ascii="Times New Roman" w:eastAsia="Times New Roman" w:hAnsi="Times New Roman" w:cs="Times New Roman"/>
          <w:color w:val="222222"/>
          <w:sz w:val="20"/>
          <w:szCs w:val="22"/>
        </w:rPr>
        <w:t xml:space="preserve"> Public Servant is a professional public officer/public officer/officer, a person recruited on the basis of an agreement under public law, a person recruited on the basis of an administrative agreement, a person recruited on the basis of the labor agreement. Under Article 21(1) of the Law of Georgia on Conflict of Interest and Corruption in Public Service Public Servants are the public officers, professional public servants and the person recruited on the basis of an administrative agreement as defined under the Law of Georgia on Public Service.</w:t>
      </w:r>
      <w:r w:rsidRPr="0031571A">
        <w:rPr>
          <w:rFonts w:ascii="Times New Roman" w:eastAsia="Times New Roman" w:hAnsi="Times New Roman" w:cs="Times New Roman"/>
          <w:color w:val="222222"/>
          <w:sz w:val="20"/>
          <w:szCs w:val="22"/>
          <w:lang w:val="en-US"/>
        </w:rPr>
        <w:t xml:space="preserve"> </w:t>
      </w:r>
    </w:p>
  </w:footnote>
  <w:footnote w:id="2">
    <w:p w14:paraId="6C1FE08B" w14:textId="03E5F970" w:rsidR="00E32B4D" w:rsidRPr="0031571A" w:rsidRDefault="00E32B4D" w:rsidP="00E32B4D">
      <w:pPr>
        <w:pStyle w:val="FootnoteText"/>
        <w:jc w:val="both"/>
        <w:rPr>
          <w:rFonts w:ascii="Times New Roman" w:hAnsi="Times New Roman" w:cs="Times New Roman"/>
          <w:sz w:val="18"/>
        </w:rPr>
      </w:pPr>
      <w:r w:rsidRPr="0031571A">
        <w:rPr>
          <w:rStyle w:val="FootnoteReference"/>
          <w:rFonts w:ascii="Times New Roman" w:hAnsi="Times New Roman" w:cs="Times New Roman"/>
          <w:sz w:val="18"/>
        </w:rPr>
        <w:footnoteRef/>
      </w:r>
      <w:r w:rsidRPr="0031571A">
        <w:rPr>
          <w:rFonts w:ascii="Times New Roman" w:hAnsi="Times New Roman" w:cs="Times New Roman"/>
          <w:sz w:val="18"/>
        </w:rPr>
        <w:t xml:space="preserve"> Under A</w:t>
      </w:r>
      <w:r w:rsidRPr="0031571A">
        <w:rPr>
          <w:rFonts w:ascii="Times New Roman" w:hAnsi="Times New Roman" w:cs="Times New Roman"/>
          <w:color w:val="222222"/>
          <w:sz w:val="18"/>
        </w:rPr>
        <w:t xml:space="preserve">rticle </w:t>
      </w:r>
      <w:r w:rsidRPr="0031571A">
        <w:rPr>
          <w:rFonts w:ascii="Times New Roman" w:hAnsi="Times New Roman" w:cs="Times New Roman"/>
          <w:color w:val="222222"/>
          <w:sz w:val="18"/>
          <w:lang w:val="ka-GE"/>
        </w:rPr>
        <w:t>126</w:t>
      </w:r>
      <w:r w:rsidRPr="0031571A">
        <w:rPr>
          <w:rFonts w:ascii="Times New Roman" w:hAnsi="Times New Roman" w:cs="Times New Roman"/>
          <w:color w:val="222222"/>
          <w:sz w:val="18"/>
          <w:vertAlign w:val="superscript"/>
          <w:lang w:val="ka-GE"/>
        </w:rPr>
        <w:t>1</w:t>
      </w:r>
      <w:r w:rsidRPr="0031571A">
        <w:rPr>
          <w:rFonts w:ascii="Times New Roman" w:hAnsi="Times New Roman" w:cs="Times New Roman"/>
          <w:color w:val="222222"/>
          <w:sz w:val="18"/>
          <w:lang w:val="ka-GE"/>
        </w:rPr>
        <w:t xml:space="preserve"> </w:t>
      </w:r>
      <w:r w:rsidRPr="0031571A">
        <w:rPr>
          <w:rFonts w:ascii="Times New Roman" w:hAnsi="Times New Roman" w:cs="Times New Roman"/>
          <w:color w:val="222222"/>
          <w:sz w:val="18"/>
        </w:rPr>
        <w:t>(1) (2) of the Law of Georgia on Public Service, the period from July 1, 2017 to December 31, 2019 qualifies as a transitional period in which the Law does not extend to the LEPLs.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26A94"/>
    <w:multiLevelType w:val="multilevel"/>
    <w:tmpl w:val="1CBC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3093"/>
    <w:multiLevelType w:val="multilevel"/>
    <w:tmpl w:val="798E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6E6670"/>
    <w:multiLevelType w:val="hybridMultilevel"/>
    <w:tmpl w:val="550E8F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01E23C7"/>
    <w:multiLevelType w:val="multilevel"/>
    <w:tmpl w:val="7230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26"/>
    <w:rsid w:val="000048CB"/>
    <w:rsid w:val="00006033"/>
    <w:rsid w:val="000151C4"/>
    <w:rsid w:val="00022366"/>
    <w:rsid w:val="00026795"/>
    <w:rsid w:val="00042A3A"/>
    <w:rsid w:val="0005027D"/>
    <w:rsid w:val="00055B97"/>
    <w:rsid w:val="00075E69"/>
    <w:rsid w:val="00076632"/>
    <w:rsid w:val="000948C2"/>
    <w:rsid w:val="00096991"/>
    <w:rsid w:val="000A43C2"/>
    <w:rsid w:val="000A6953"/>
    <w:rsid w:val="000C3516"/>
    <w:rsid w:val="00100823"/>
    <w:rsid w:val="00101315"/>
    <w:rsid w:val="001400E4"/>
    <w:rsid w:val="0014526B"/>
    <w:rsid w:val="0014702A"/>
    <w:rsid w:val="00153C73"/>
    <w:rsid w:val="001A7F9B"/>
    <w:rsid w:val="001E6D4E"/>
    <w:rsid w:val="001F7121"/>
    <w:rsid w:val="001F7A6D"/>
    <w:rsid w:val="00206D27"/>
    <w:rsid w:val="00213C40"/>
    <w:rsid w:val="00217421"/>
    <w:rsid w:val="0022322F"/>
    <w:rsid w:val="0022336A"/>
    <w:rsid w:val="002249C4"/>
    <w:rsid w:val="00267B1B"/>
    <w:rsid w:val="00281EFD"/>
    <w:rsid w:val="002C4F5F"/>
    <w:rsid w:val="002E04C7"/>
    <w:rsid w:val="0031571A"/>
    <w:rsid w:val="003353A7"/>
    <w:rsid w:val="003534C3"/>
    <w:rsid w:val="00356219"/>
    <w:rsid w:val="00365AAE"/>
    <w:rsid w:val="00384A0E"/>
    <w:rsid w:val="003D20D4"/>
    <w:rsid w:val="003E3216"/>
    <w:rsid w:val="00402064"/>
    <w:rsid w:val="0040473A"/>
    <w:rsid w:val="00412D20"/>
    <w:rsid w:val="004246EF"/>
    <w:rsid w:val="00446409"/>
    <w:rsid w:val="00490687"/>
    <w:rsid w:val="004970B1"/>
    <w:rsid w:val="00497B5A"/>
    <w:rsid w:val="004B1896"/>
    <w:rsid w:val="004B6501"/>
    <w:rsid w:val="004C6583"/>
    <w:rsid w:val="004C75D7"/>
    <w:rsid w:val="004F1603"/>
    <w:rsid w:val="004F1AD3"/>
    <w:rsid w:val="005148D6"/>
    <w:rsid w:val="0053057B"/>
    <w:rsid w:val="00535617"/>
    <w:rsid w:val="00541246"/>
    <w:rsid w:val="00562BDD"/>
    <w:rsid w:val="00582508"/>
    <w:rsid w:val="005A2718"/>
    <w:rsid w:val="005D0ABC"/>
    <w:rsid w:val="005D7980"/>
    <w:rsid w:val="005E5363"/>
    <w:rsid w:val="00603520"/>
    <w:rsid w:val="00625973"/>
    <w:rsid w:val="00631C6F"/>
    <w:rsid w:val="00637036"/>
    <w:rsid w:val="006418A8"/>
    <w:rsid w:val="00643231"/>
    <w:rsid w:val="00683149"/>
    <w:rsid w:val="006943C6"/>
    <w:rsid w:val="006A4271"/>
    <w:rsid w:val="006D1952"/>
    <w:rsid w:val="006E0411"/>
    <w:rsid w:val="006E1FD4"/>
    <w:rsid w:val="006F4C79"/>
    <w:rsid w:val="006F5EC5"/>
    <w:rsid w:val="0070798D"/>
    <w:rsid w:val="007263F5"/>
    <w:rsid w:val="00733633"/>
    <w:rsid w:val="00734F10"/>
    <w:rsid w:val="00753659"/>
    <w:rsid w:val="00760760"/>
    <w:rsid w:val="007659F1"/>
    <w:rsid w:val="00772DD5"/>
    <w:rsid w:val="007878D6"/>
    <w:rsid w:val="007A4473"/>
    <w:rsid w:val="007B1394"/>
    <w:rsid w:val="007D0F9F"/>
    <w:rsid w:val="007E58CB"/>
    <w:rsid w:val="007E77FF"/>
    <w:rsid w:val="0081270A"/>
    <w:rsid w:val="00816730"/>
    <w:rsid w:val="00831F54"/>
    <w:rsid w:val="00836F50"/>
    <w:rsid w:val="00862438"/>
    <w:rsid w:val="008D1A7C"/>
    <w:rsid w:val="008D2908"/>
    <w:rsid w:val="008E5561"/>
    <w:rsid w:val="008F0515"/>
    <w:rsid w:val="008F5244"/>
    <w:rsid w:val="00902D57"/>
    <w:rsid w:val="00944BA3"/>
    <w:rsid w:val="00993EEA"/>
    <w:rsid w:val="009A3695"/>
    <w:rsid w:val="009B5752"/>
    <w:rsid w:val="009B57BA"/>
    <w:rsid w:val="009F07EB"/>
    <w:rsid w:val="009F2930"/>
    <w:rsid w:val="009F3D6F"/>
    <w:rsid w:val="00A32337"/>
    <w:rsid w:val="00A33CE8"/>
    <w:rsid w:val="00A56E30"/>
    <w:rsid w:val="00A61DD0"/>
    <w:rsid w:val="00A631D7"/>
    <w:rsid w:val="00A66BC0"/>
    <w:rsid w:val="00A835EB"/>
    <w:rsid w:val="00A91C3B"/>
    <w:rsid w:val="00A95A23"/>
    <w:rsid w:val="00AB4F22"/>
    <w:rsid w:val="00AF3963"/>
    <w:rsid w:val="00AF56C5"/>
    <w:rsid w:val="00B07ABA"/>
    <w:rsid w:val="00B1554F"/>
    <w:rsid w:val="00B339CE"/>
    <w:rsid w:val="00B45532"/>
    <w:rsid w:val="00B4666D"/>
    <w:rsid w:val="00B53DB5"/>
    <w:rsid w:val="00BE248F"/>
    <w:rsid w:val="00BE4FDC"/>
    <w:rsid w:val="00C00481"/>
    <w:rsid w:val="00C030EB"/>
    <w:rsid w:val="00C04AAF"/>
    <w:rsid w:val="00C1540F"/>
    <w:rsid w:val="00C23AAA"/>
    <w:rsid w:val="00C24BB9"/>
    <w:rsid w:val="00C26D0C"/>
    <w:rsid w:val="00C46E6B"/>
    <w:rsid w:val="00C950AF"/>
    <w:rsid w:val="00CC1F2C"/>
    <w:rsid w:val="00D01153"/>
    <w:rsid w:val="00D0640D"/>
    <w:rsid w:val="00D06E5E"/>
    <w:rsid w:val="00D20482"/>
    <w:rsid w:val="00D30B84"/>
    <w:rsid w:val="00D30C5F"/>
    <w:rsid w:val="00D5249C"/>
    <w:rsid w:val="00D724A0"/>
    <w:rsid w:val="00DA4318"/>
    <w:rsid w:val="00DB0DEF"/>
    <w:rsid w:val="00DB18A9"/>
    <w:rsid w:val="00DB2B41"/>
    <w:rsid w:val="00DC5859"/>
    <w:rsid w:val="00DC72F2"/>
    <w:rsid w:val="00DF4008"/>
    <w:rsid w:val="00E06EC8"/>
    <w:rsid w:val="00E11FB5"/>
    <w:rsid w:val="00E321AA"/>
    <w:rsid w:val="00E32B4D"/>
    <w:rsid w:val="00E35753"/>
    <w:rsid w:val="00E412E9"/>
    <w:rsid w:val="00E44C82"/>
    <w:rsid w:val="00E47686"/>
    <w:rsid w:val="00E513E6"/>
    <w:rsid w:val="00E5368A"/>
    <w:rsid w:val="00E55566"/>
    <w:rsid w:val="00E646A4"/>
    <w:rsid w:val="00E75ACD"/>
    <w:rsid w:val="00EB6994"/>
    <w:rsid w:val="00EF549E"/>
    <w:rsid w:val="00F2068A"/>
    <w:rsid w:val="00F2200E"/>
    <w:rsid w:val="00F44293"/>
    <w:rsid w:val="00F51B26"/>
    <w:rsid w:val="00F81E87"/>
    <w:rsid w:val="00F973C5"/>
    <w:rsid w:val="00FA0ADB"/>
    <w:rsid w:val="00FB7B3D"/>
    <w:rsid w:val="00FC0B3D"/>
    <w:rsid w:val="00FC705A"/>
    <w:rsid w:val="00FD2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A85B9"/>
  <w15:chartTrackingRefBased/>
  <w15:docId w15:val="{27E746E4-C086-4A85-8610-53798FC2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1C4"/>
    <w:pPr>
      <w:ind w:left="720"/>
      <w:contextualSpacing/>
    </w:pPr>
  </w:style>
  <w:style w:type="paragraph" w:customStyle="1" w:styleId="Normal0">
    <w:name w:val="[Normal]"/>
    <w:uiPriority w:val="99"/>
    <w:rsid w:val="00AB4F22"/>
    <w:pPr>
      <w:widowControl w:val="0"/>
      <w:autoSpaceDE w:val="0"/>
      <w:autoSpaceDN w:val="0"/>
      <w:adjustRightInd w:val="0"/>
      <w:spacing w:after="0" w:line="240" w:lineRule="auto"/>
    </w:pPr>
    <w:rPr>
      <w:rFonts w:ascii="Arial" w:hAnsi="Arial" w:cs="Arial"/>
      <w:sz w:val="24"/>
      <w:szCs w:val="24"/>
      <w:lang w:val="x-none"/>
    </w:rPr>
  </w:style>
  <w:style w:type="paragraph" w:styleId="NoSpacing">
    <w:name w:val="No Spacing"/>
    <w:basedOn w:val="Normal0"/>
    <w:uiPriority w:val="99"/>
    <w:qFormat/>
    <w:rsid w:val="00816730"/>
    <w:pPr>
      <w:widowControl/>
      <w:spacing w:after="200"/>
    </w:pPr>
    <w:rPr>
      <w:rFonts w:ascii="Calibri" w:hAnsi="Calibri" w:cs="Calibri"/>
      <w:sz w:val="22"/>
      <w:szCs w:val="22"/>
    </w:rPr>
  </w:style>
  <w:style w:type="paragraph" w:styleId="NormalWeb">
    <w:name w:val="Normal (Web)"/>
    <w:basedOn w:val="Normal"/>
    <w:uiPriority w:val="99"/>
    <w:semiHidden/>
    <w:unhideWhenUsed/>
    <w:rsid w:val="007336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3633"/>
    <w:rPr>
      <w:b/>
      <w:bCs/>
    </w:rPr>
  </w:style>
  <w:style w:type="character" w:styleId="Hyperlink">
    <w:name w:val="Hyperlink"/>
    <w:basedOn w:val="DefaultParagraphFont"/>
    <w:uiPriority w:val="99"/>
    <w:unhideWhenUsed/>
    <w:rsid w:val="00733633"/>
    <w:rPr>
      <w:color w:val="0000FF"/>
      <w:u w:val="single"/>
    </w:rPr>
  </w:style>
  <w:style w:type="paragraph" w:styleId="FootnoteText">
    <w:name w:val="footnote text"/>
    <w:basedOn w:val="Normal"/>
    <w:link w:val="FootnoteTextChar"/>
    <w:uiPriority w:val="99"/>
    <w:semiHidden/>
    <w:unhideWhenUsed/>
    <w:rsid w:val="004C65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6583"/>
    <w:rPr>
      <w:sz w:val="20"/>
      <w:szCs w:val="20"/>
    </w:rPr>
  </w:style>
  <w:style w:type="character" w:styleId="FootnoteReference">
    <w:name w:val="footnote reference"/>
    <w:basedOn w:val="DefaultParagraphFont"/>
    <w:uiPriority w:val="99"/>
    <w:semiHidden/>
    <w:unhideWhenUsed/>
    <w:rsid w:val="004C65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92283">
      <w:bodyDiv w:val="1"/>
      <w:marLeft w:val="0"/>
      <w:marRight w:val="0"/>
      <w:marTop w:val="0"/>
      <w:marBottom w:val="0"/>
      <w:divBdr>
        <w:top w:val="none" w:sz="0" w:space="0" w:color="auto"/>
        <w:left w:val="none" w:sz="0" w:space="0" w:color="auto"/>
        <w:bottom w:val="none" w:sz="0" w:space="0" w:color="auto"/>
        <w:right w:val="none" w:sz="0" w:space="0" w:color="auto"/>
      </w:divBdr>
      <w:divsChild>
        <w:div w:id="336158905">
          <w:marLeft w:val="0"/>
          <w:marRight w:val="0"/>
          <w:marTop w:val="0"/>
          <w:marBottom w:val="0"/>
          <w:divBdr>
            <w:top w:val="none" w:sz="0" w:space="0" w:color="auto"/>
            <w:left w:val="none" w:sz="0" w:space="0" w:color="auto"/>
            <w:bottom w:val="none" w:sz="0" w:space="0" w:color="auto"/>
            <w:right w:val="none" w:sz="0" w:space="0" w:color="auto"/>
          </w:divBdr>
        </w:div>
        <w:div w:id="1063061568">
          <w:marLeft w:val="0"/>
          <w:marRight w:val="0"/>
          <w:marTop w:val="0"/>
          <w:marBottom w:val="0"/>
          <w:divBdr>
            <w:top w:val="none" w:sz="0" w:space="0" w:color="auto"/>
            <w:left w:val="none" w:sz="0" w:space="0" w:color="auto"/>
            <w:bottom w:val="none" w:sz="0" w:space="0" w:color="auto"/>
            <w:right w:val="none" w:sz="0" w:space="0" w:color="auto"/>
          </w:divBdr>
        </w:div>
        <w:div w:id="349334680">
          <w:marLeft w:val="0"/>
          <w:marRight w:val="0"/>
          <w:marTop w:val="0"/>
          <w:marBottom w:val="0"/>
          <w:divBdr>
            <w:top w:val="none" w:sz="0" w:space="0" w:color="auto"/>
            <w:left w:val="none" w:sz="0" w:space="0" w:color="auto"/>
            <w:bottom w:val="none" w:sz="0" w:space="0" w:color="auto"/>
            <w:right w:val="none" w:sz="0" w:space="0" w:color="auto"/>
          </w:divBdr>
        </w:div>
        <w:div w:id="654604928">
          <w:marLeft w:val="0"/>
          <w:marRight w:val="0"/>
          <w:marTop w:val="0"/>
          <w:marBottom w:val="0"/>
          <w:divBdr>
            <w:top w:val="none" w:sz="0" w:space="0" w:color="auto"/>
            <w:left w:val="none" w:sz="0" w:space="0" w:color="auto"/>
            <w:bottom w:val="none" w:sz="0" w:space="0" w:color="auto"/>
            <w:right w:val="none" w:sz="0" w:space="0" w:color="auto"/>
          </w:divBdr>
        </w:div>
        <w:div w:id="877284221">
          <w:marLeft w:val="0"/>
          <w:marRight w:val="0"/>
          <w:marTop w:val="0"/>
          <w:marBottom w:val="0"/>
          <w:divBdr>
            <w:top w:val="none" w:sz="0" w:space="0" w:color="auto"/>
            <w:left w:val="none" w:sz="0" w:space="0" w:color="auto"/>
            <w:bottom w:val="none" w:sz="0" w:space="0" w:color="auto"/>
            <w:right w:val="none" w:sz="0" w:space="0" w:color="auto"/>
          </w:divBdr>
        </w:div>
        <w:div w:id="585306376">
          <w:marLeft w:val="0"/>
          <w:marRight w:val="0"/>
          <w:marTop w:val="0"/>
          <w:marBottom w:val="0"/>
          <w:divBdr>
            <w:top w:val="none" w:sz="0" w:space="0" w:color="auto"/>
            <w:left w:val="none" w:sz="0" w:space="0" w:color="auto"/>
            <w:bottom w:val="none" w:sz="0" w:space="0" w:color="auto"/>
            <w:right w:val="none" w:sz="0" w:space="0" w:color="auto"/>
          </w:divBdr>
        </w:div>
        <w:div w:id="2020345875">
          <w:marLeft w:val="0"/>
          <w:marRight w:val="0"/>
          <w:marTop w:val="0"/>
          <w:marBottom w:val="0"/>
          <w:divBdr>
            <w:top w:val="none" w:sz="0" w:space="0" w:color="auto"/>
            <w:left w:val="none" w:sz="0" w:space="0" w:color="auto"/>
            <w:bottom w:val="none" w:sz="0" w:space="0" w:color="auto"/>
            <w:right w:val="none" w:sz="0" w:space="0" w:color="auto"/>
          </w:divBdr>
        </w:div>
        <w:div w:id="1194341626">
          <w:marLeft w:val="0"/>
          <w:marRight w:val="0"/>
          <w:marTop w:val="0"/>
          <w:marBottom w:val="0"/>
          <w:divBdr>
            <w:top w:val="none" w:sz="0" w:space="0" w:color="auto"/>
            <w:left w:val="none" w:sz="0" w:space="0" w:color="auto"/>
            <w:bottom w:val="none" w:sz="0" w:space="0" w:color="auto"/>
            <w:right w:val="none" w:sz="0" w:space="0" w:color="auto"/>
          </w:divBdr>
        </w:div>
        <w:div w:id="1769810855">
          <w:marLeft w:val="0"/>
          <w:marRight w:val="0"/>
          <w:marTop w:val="0"/>
          <w:marBottom w:val="0"/>
          <w:divBdr>
            <w:top w:val="none" w:sz="0" w:space="0" w:color="auto"/>
            <w:left w:val="none" w:sz="0" w:space="0" w:color="auto"/>
            <w:bottom w:val="none" w:sz="0" w:space="0" w:color="auto"/>
            <w:right w:val="none" w:sz="0" w:space="0" w:color="auto"/>
          </w:divBdr>
        </w:div>
        <w:div w:id="828254057">
          <w:marLeft w:val="0"/>
          <w:marRight w:val="0"/>
          <w:marTop w:val="0"/>
          <w:marBottom w:val="0"/>
          <w:divBdr>
            <w:top w:val="none" w:sz="0" w:space="0" w:color="auto"/>
            <w:left w:val="none" w:sz="0" w:space="0" w:color="auto"/>
            <w:bottom w:val="none" w:sz="0" w:space="0" w:color="auto"/>
            <w:right w:val="none" w:sz="0" w:space="0" w:color="auto"/>
          </w:divBdr>
        </w:div>
        <w:div w:id="1811245599">
          <w:marLeft w:val="0"/>
          <w:marRight w:val="0"/>
          <w:marTop w:val="0"/>
          <w:marBottom w:val="0"/>
          <w:divBdr>
            <w:top w:val="none" w:sz="0" w:space="0" w:color="auto"/>
            <w:left w:val="none" w:sz="0" w:space="0" w:color="auto"/>
            <w:bottom w:val="none" w:sz="0" w:space="0" w:color="auto"/>
            <w:right w:val="none" w:sz="0" w:space="0" w:color="auto"/>
          </w:divBdr>
        </w:div>
        <w:div w:id="1361391732">
          <w:marLeft w:val="0"/>
          <w:marRight w:val="0"/>
          <w:marTop w:val="0"/>
          <w:marBottom w:val="0"/>
          <w:divBdr>
            <w:top w:val="none" w:sz="0" w:space="0" w:color="auto"/>
            <w:left w:val="none" w:sz="0" w:space="0" w:color="auto"/>
            <w:bottom w:val="none" w:sz="0" w:space="0" w:color="auto"/>
            <w:right w:val="none" w:sz="0" w:space="0" w:color="auto"/>
          </w:divBdr>
        </w:div>
        <w:div w:id="1642495558">
          <w:marLeft w:val="0"/>
          <w:marRight w:val="0"/>
          <w:marTop w:val="0"/>
          <w:marBottom w:val="0"/>
          <w:divBdr>
            <w:top w:val="none" w:sz="0" w:space="0" w:color="auto"/>
            <w:left w:val="none" w:sz="0" w:space="0" w:color="auto"/>
            <w:bottom w:val="none" w:sz="0" w:space="0" w:color="auto"/>
            <w:right w:val="none" w:sz="0" w:space="0" w:color="auto"/>
          </w:divBdr>
        </w:div>
        <w:div w:id="1659533511">
          <w:marLeft w:val="0"/>
          <w:marRight w:val="0"/>
          <w:marTop w:val="0"/>
          <w:marBottom w:val="0"/>
          <w:divBdr>
            <w:top w:val="none" w:sz="0" w:space="0" w:color="auto"/>
            <w:left w:val="none" w:sz="0" w:space="0" w:color="auto"/>
            <w:bottom w:val="none" w:sz="0" w:space="0" w:color="auto"/>
            <w:right w:val="none" w:sz="0" w:space="0" w:color="auto"/>
          </w:divBdr>
        </w:div>
        <w:div w:id="621574534">
          <w:marLeft w:val="0"/>
          <w:marRight w:val="0"/>
          <w:marTop w:val="0"/>
          <w:marBottom w:val="0"/>
          <w:divBdr>
            <w:top w:val="none" w:sz="0" w:space="0" w:color="auto"/>
            <w:left w:val="none" w:sz="0" w:space="0" w:color="auto"/>
            <w:bottom w:val="none" w:sz="0" w:space="0" w:color="auto"/>
            <w:right w:val="none" w:sz="0" w:space="0" w:color="auto"/>
          </w:divBdr>
        </w:div>
        <w:div w:id="983464873">
          <w:marLeft w:val="0"/>
          <w:marRight w:val="0"/>
          <w:marTop w:val="0"/>
          <w:marBottom w:val="0"/>
          <w:divBdr>
            <w:top w:val="none" w:sz="0" w:space="0" w:color="auto"/>
            <w:left w:val="none" w:sz="0" w:space="0" w:color="auto"/>
            <w:bottom w:val="none" w:sz="0" w:space="0" w:color="auto"/>
            <w:right w:val="none" w:sz="0" w:space="0" w:color="auto"/>
          </w:divBdr>
        </w:div>
        <w:div w:id="810908607">
          <w:marLeft w:val="0"/>
          <w:marRight w:val="0"/>
          <w:marTop w:val="0"/>
          <w:marBottom w:val="0"/>
          <w:divBdr>
            <w:top w:val="none" w:sz="0" w:space="0" w:color="auto"/>
            <w:left w:val="none" w:sz="0" w:space="0" w:color="auto"/>
            <w:bottom w:val="none" w:sz="0" w:space="0" w:color="auto"/>
            <w:right w:val="none" w:sz="0" w:space="0" w:color="auto"/>
          </w:divBdr>
        </w:div>
      </w:divsChild>
    </w:div>
    <w:div w:id="156313654">
      <w:bodyDiv w:val="1"/>
      <w:marLeft w:val="0"/>
      <w:marRight w:val="0"/>
      <w:marTop w:val="0"/>
      <w:marBottom w:val="0"/>
      <w:divBdr>
        <w:top w:val="none" w:sz="0" w:space="0" w:color="auto"/>
        <w:left w:val="none" w:sz="0" w:space="0" w:color="auto"/>
        <w:bottom w:val="none" w:sz="0" w:space="0" w:color="auto"/>
        <w:right w:val="none" w:sz="0" w:space="0" w:color="auto"/>
      </w:divBdr>
    </w:div>
    <w:div w:id="848956074">
      <w:bodyDiv w:val="1"/>
      <w:marLeft w:val="0"/>
      <w:marRight w:val="0"/>
      <w:marTop w:val="0"/>
      <w:marBottom w:val="0"/>
      <w:divBdr>
        <w:top w:val="none" w:sz="0" w:space="0" w:color="auto"/>
        <w:left w:val="none" w:sz="0" w:space="0" w:color="auto"/>
        <w:bottom w:val="none" w:sz="0" w:space="0" w:color="auto"/>
        <w:right w:val="none" w:sz="0" w:space="0" w:color="auto"/>
      </w:divBdr>
    </w:div>
    <w:div w:id="1200511912">
      <w:bodyDiv w:val="1"/>
      <w:marLeft w:val="0"/>
      <w:marRight w:val="0"/>
      <w:marTop w:val="0"/>
      <w:marBottom w:val="0"/>
      <w:divBdr>
        <w:top w:val="none" w:sz="0" w:space="0" w:color="auto"/>
        <w:left w:val="none" w:sz="0" w:space="0" w:color="auto"/>
        <w:bottom w:val="none" w:sz="0" w:space="0" w:color="auto"/>
        <w:right w:val="none" w:sz="0" w:space="0" w:color="auto"/>
      </w:divBdr>
    </w:div>
    <w:div w:id="203569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sne.gov.ge/en/document/view/33550" TargetMode="External"/><Relationship Id="rId3" Type="http://schemas.openxmlformats.org/officeDocument/2006/relationships/settings" Target="settings.xml"/><Relationship Id="rId7" Type="http://schemas.openxmlformats.org/officeDocument/2006/relationships/hyperlink" Target="https://matsne.gov.ge/en/document/view/335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mamuka gogashvili</dc:creator>
  <cp:keywords/>
  <dc:description/>
  <cp:lastModifiedBy>Marina Guledani</cp:lastModifiedBy>
  <cp:revision>4</cp:revision>
  <cp:lastPrinted>2019-10-11T14:52:00Z</cp:lastPrinted>
  <dcterms:created xsi:type="dcterms:W3CDTF">2019-10-11T14:52:00Z</dcterms:created>
  <dcterms:modified xsi:type="dcterms:W3CDTF">2019-10-11T14:57:00Z</dcterms:modified>
</cp:coreProperties>
</file>