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416"/>
        <w:gridCol w:w="2419"/>
        <w:gridCol w:w="1417"/>
        <w:gridCol w:w="1418"/>
        <w:gridCol w:w="1218"/>
        <w:gridCol w:w="7855"/>
      </w:tblGrid>
      <w:tr w:rsidR="006F7964" w:rsidRPr="00476FF1" w:rsidTr="00B756CE">
        <w:tc>
          <w:tcPr>
            <w:tcW w:w="416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476FF1">
              <w:rPr>
                <w:sz w:val="20"/>
                <w:szCs w:val="20"/>
                <w:lang w:val="ka-GE"/>
              </w:rPr>
              <w:t>N</w:t>
            </w:r>
          </w:p>
        </w:tc>
        <w:tc>
          <w:tcPr>
            <w:tcW w:w="2420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პროგრამა</w:t>
            </w:r>
          </w:p>
        </w:tc>
        <w:tc>
          <w:tcPr>
            <w:tcW w:w="1417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2019 - ჭერის ფარგლებში</w:t>
            </w:r>
          </w:p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1418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2019 - ჭერს ზემოთ</w:t>
            </w:r>
          </w:p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1205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სხვაობა</w:t>
            </w:r>
          </w:p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7867" w:type="dxa"/>
          </w:tcPr>
          <w:p w:rsidR="009C7C77" w:rsidRPr="00476FF1" w:rsidRDefault="009C7C77" w:rsidP="009C7C77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შენიშვნა</w:t>
            </w:r>
          </w:p>
        </w:tc>
      </w:tr>
      <w:tr w:rsidR="006F7964" w:rsidRPr="00476FF1" w:rsidTr="00B756CE">
        <w:tc>
          <w:tcPr>
            <w:tcW w:w="416" w:type="dxa"/>
          </w:tcPr>
          <w:p w:rsidR="009C7C77" w:rsidRPr="00476FF1" w:rsidRDefault="009C7C77" w:rsidP="002911DE">
            <w:pPr>
              <w:jc w:val="center"/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2420" w:type="dxa"/>
          </w:tcPr>
          <w:p w:rsidR="009C7C77" w:rsidRPr="00476FF1" w:rsidRDefault="009C7C77" w:rsidP="002911DE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მოსახლეობის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საყოველთაო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ჯანმრთელობის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1417" w:type="dxa"/>
          </w:tcPr>
          <w:p w:rsidR="009C7C77" w:rsidRPr="00476FF1" w:rsidRDefault="009C7C77" w:rsidP="00291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>715,000,000</w:t>
            </w:r>
          </w:p>
          <w:p w:rsidR="009C7C77" w:rsidRPr="00476FF1" w:rsidRDefault="009C7C77" w:rsidP="0029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C77" w:rsidRPr="00476FF1" w:rsidRDefault="009C7C77" w:rsidP="00291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>800,000,000</w:t>
            </w:r>
          </w:p>
          <w:p w:rsidR="009C7C77" w:rsidRPr="00476FF1" w:rsidRDefault="009C7C77" w:rsidP="0029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C7C77" w:rsidRPr="00476FF1" w:rsidRDefault="009C7C77" w:rsidP="00291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>85,000,000</w:t>
            </w:r>
          </w:p>
          <w:p w:rsidR="009C7C77" w:rsidRPr="00476FF1" w:rsidRDefault="009C7C77" w:rsidP="0029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7" w:type="dxa"/>
          </w:tcPr>
          <w:p w:rsidR="009C7C77" w:rsidRPr="00476FF1" w:rsidRDefault="009C7C77" w:rsidP="009C7C77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76FF1">
              <w:rPr>
                <w:sz w:val="20"/>
                <w:szCs w:val="20"/>
              </w:rPr>
              <w:t>ხარჯვის</w:t>
            </w:r>
            <w:proofErr w:type="spellEnd"/>
            <w:proofErr w:type="gram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დინამიკიდან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გამომდინარე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პროგრამა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ზრდადია</w:t>
            </w:r>
            <w:proofErr w:type="spellEnd"/>
            <w:r w:rsidRPr="00476FF1">
              <w:rPr>
                <w:sz w:val="20"/>
                <w:szCs w:val="20"/>
                <w:lang w:val="ka-GE"/>
              </w:rPr>
              <w:t>. პირველადი ჯანდაცვის რეფპრმირების პროცესში დაგეგმილია სოფლის ექიმის პროგრამის ინტეგრაცია საყოველთაო ჯანდაცვაში, კაპიტაციის გაზრდა 2,15 ლარამდე, შედეგზე ორიენტირებული დაფინანსების სისტემის შემოღება</w:t>
            </w:r>
          </w:p>
        </w:tc>
      </w:tr>
      <w:tr w:rsidR="006F7964" w:rsidRPr="00476FF1" w:rsidTr="00B756CE">
        <w:tc>
          <w:tcPr>
            <w:tcW w:w="416" w:type="dxa"/>
          </w:tcPr>
          <w:p w:rsidR="009C7C77" w:rsidRPr="00476FF1" w:rsidRDefault="009C7C77" w:rsidP="009C7C77">
            <w:pPr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2420" w:type="dxa"/>
          </w:tcPr>
          <w:p w:rsidR="009C7C77" w:rsidRPr="00476FF1" w:rsidRDefault="009C7C77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ეპიდზედამხედველობა</w:t>
            </w:r>
            <w:proofErr w:type="spellEnd"/>
          </w:p>
        </w:tc>
        <w:tc>
          <w:tcPr>
            <w:tcW w:w="1417" w:type="dxa"/>
          </w:tcPr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1,700,000 </w:t>
            </w:r>
          </w:p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1,900,000 </w:t>
            </w:r>
          </w:p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200,000 </w:t>
            </w:r>
          </w:p>
          <w:p w:rsidR="009C7C77" w:rsidRPr="00476FF1" w:rsidRDefault="009C7C77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9C7C77" w:rsidRPr="00476FF1" w:rsidRDefault="009C7C77" w:rsidP="009C7C77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მუნიციპალურ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დონეზე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არსებულ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სჯდ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ცენტრებს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>/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სამსახურებს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დაევალათ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თამბაქოს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მონიტორინგი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სილამაზის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სალონების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მონიტორინგი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, C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ჰეპატიტზე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სკრინინგით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დადებითი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ბენეფიციარების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მიდევნება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, 2018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წელს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გაიზარდა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მალაროგენული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რაიონების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სოლფაკით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დასამუშავებელი</w:t>
            </w:r>
            <w:proofErr w:type="spellEnd"/>
            <w:r w:rsidRPr="00476F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ფართი</w:t>
            </w:r>
            <w:proofErr w:type="spellEnd"/>
          </w:p>
          <w:p w:rsidR="009C7C77" w:rsidRPr="00476FF1" w:rsidRDefault="009C7C77" w:rsidP="009C7C77">
            <w:pPr>
              <w:rPr>
                <w:sz w:val="20"/>
                <w:szCs w:val="20"/>
              </w:rPr>
            </w:pP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2911DE" w:rsidP="009C7C77">
            <w:pPr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ნარკომანიით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დაავადებულ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მკურნალობა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9,897,000 </w:t>
            </w:r>
          </w:p>
          <w:p w:rsidR="002911DE" w:rsidRPr="00476FF1" w:rsidRDefault="002911DE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12,009,000 </w:t>
            </w:r>
          </w:p>
          <w:p w:rsidR="002911DE" w:rsidRPr="00476FF1" w:rsidRDefault="002911DE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2,112,000 </w:t>
            </w:r>
          </w:p>
          <w:p w:rsidR="002911DE" w:rsidRPr="00476FF1" w:rsidRDefault="002911DE" w:rsidP="009C7C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9C7C77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გაზრდილია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დეტოქსიკაციისა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რეაბლიტაციის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რეაბილიტაციის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გაძლიერების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2017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ივლისიდან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სახელმწიფომ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მთლიანად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თავზე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აიღო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გლობალური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ფონდის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დაფინანსება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ამასთან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სრულად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მოიხსნა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თანაგადახდა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ბენეფიციართათვის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ჩანაცვლებითი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თერაპიის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მიწოდებაზე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ჩართულ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ბენეფიციართა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რიცხვი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მნიშვნელოვნად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გაიზარდა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(2017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წელს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გადააჭარბა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6500-ს)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მიმდინარე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წელსაც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ფიქსირდება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ბენეფიციართა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ყოველთვიური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(2018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ივლისის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ბოლოს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დაფიქსირდა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7110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აღნიშნულის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იზრდება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ხარჯვაც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იზრდება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ჩანაცვლებითი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თერაპიისა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</w:t>
            </w:r>
            <w:proofErr w:type="spellEnd"/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2911DE" w:rsidP="009C7C77">
            <w:pPr>
              <w:rPr>
                <w:sz w:val="20"/>
                <w:szCs w:val="20"/>
                <w:lang w:val="ka-GE"/>
              </w:rPr>
            </w:pPr>
            <w:r w:rsidRPr="00476FF1"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ჯანმრთელობის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ხელშეწყობა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1,100,000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1,220,000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120,000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9C7C77">
            <w:pPr>
              <w:rPr>
                <w:rFonts w:cs="Sylfaen"/>
                <w:color w:val="000000"/>
                <w:sz w:val="20"/>
                <w:szCs w:val="20"/>
              </w:rPr>
            </w:pPr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მაისიდან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თამბაქოს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კანონმდებლობის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ამოქმედების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შედეგად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განსახორციელებელი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ვალდებულებების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</w:p>
        </w:tc>
      </w:tr>
      <w:tr w:rsidR="006F7964" w:rsidRPr="00476FF1" w:rsidTr="00B756CE">
        <w:tc>
          <w:tcPr>
            <w:tcW w:w="416" w:type="dxa"/>
          </w:tcPr>
          <w:p w:rsidR="006F7964" w:rsidRPr="00476FF1" w:rsidRDefault="006F7964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2420" w:type="dxa"/>
          </w:tcPr>
          <w:p w:rsidR="006F7964" w:rsidRPr="00476FF1" w:rsidRDefault="006F7964" w:rsidP="009C7C77">
            <w:pPr>
              <w:rPr>
                <w:sz w:val="20"/>
                <w:szCs w:val="20"/>
              </w:rPr>
            </w:pPr>
            <w:r w:rsidRPr="006F7964">
              <w:rPr>
                <w:sz w:val="20"/>
                <w:szCs w:val="20"/>
              </w:rPr>
              <w:t xml:space="preserve">C </w:t>
            </w:r>
            <w:proofErr w:type="spellStart"/>
            <w:r w:rsidRPr="006F7964">
              <w:rPr>
                <w:sz w:val="20"/>
                <w:szCs w:val="20"/>
              </w:rPr>
              <w:t>ჰეპატიტის</w:t>
            </w:r>
            <w:proofErr w:type="spellEnd"/>
            <w:r w:rsidRPr="006F7964">
              <w:rPr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sz w:val="20"/>
                <w:szCs w:val="20"/>
              </w:rPr>
              <w:t>მართვა</w:t>
            </w:r>
            <w:proofErr w:type="spellEnd"/>
          </w:p>
        </w:tc>
        <w:tc>
          <w:tcPr>
            <w:tcW w:w="1417" w:type="dxa"/>
          </w:tcPr>
          <w:p w:rsidR="006F7964" w:rsidRPr="006F7964" w:rsidRDefault="006F7964" w:rsidP="006F7964">
            <w:pPr>
              <w:rPr>
                <w:b/>
                <w:bCs/>
                <w:sz w:val="20"/>
                <w:szCs w:val="20"/>
              </w:rPr>
            </w:pPr>
            <w:r w:rsidRPr="006F7964">
              <w:rPr>
                <w:b/>
                <w:bCs/>
                <w:sz w:val="20"/>
                <w:szCs w:val="20"/>
              </w:rPr>
              <w:t xml:space="preserve"> 16,000,000 </w:t>
            </w:r>
          </w:p>
          <w:p w:rsidR="006F7964" w:rsidRPr="00476FF1" w:rsidRDefault="006F7964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6F7964" w:rsidRPr="006F7964" w:rsidRDefault="006F7964" w:rsidP="006F7964">
            <w:pPr>
              <w:rPr>
                <w:b/>
                <w:bCs/>
                <w:sz w:val="20"/>
                <w:szCs w:val="20"/>
              </w:rPr>
            </w:pPr>
            <w:r w:rsidRPr="006F7964">
              <w:rPr>
                <w:b/>
                <w:bCs/>
                <w:sz w:val="20"/>
                <w:szCs w:val="20"/>
              </w:rPr>
              <w:t xml:space="preserve">  23,380,000 </w:t>
            </w:r>
          </w:p>
          <w:p w:rsidR="006F7964" w:rsidRPr="00476FF1" w:rsidRDefault="006F7964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6F7964" w:rsidRPr="006F7964" w:rsidRDefault="006F7964" w:rsidP="006F7964">
            <w:pPr>
              <w:rPr>
                <w:b/>
                <w:bCs/>
                <w:sz w:val="20"/>
                <w:szCs w:val="20"/>
              </w:rPr>
            </w:pPr>
            <w:r w:rsidRPr="006F7964">
              <w:rPr>
                <w:b/>
                <w:bCs/>
                <w:sz w:val="20"/>
                <w:szCs w:val="20"/>
              </w:rPr>
              <w:t xml:space="preserve">  7,380,000 </w:t>
            </w:r>
          </w:p>
          <w:p w:rsidR="006F7964" w:rsidRPr="00476FF1" w:rsidRDefault="006F7964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6F7964" w:rsidRPr="006F7964" w:rsidRDefault="006F7964" w:rsidP="006F7964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6F7964">
              <w:rPr>
                <w:rFonts w:cs="Sylfaen"/>
                <w:color w:val="000000"/>
                <w:sz w:val="20"/>
                <w:szCs w:val="20"/>
              </w:rPr>
              <w:t>მიზანშეწონილია</w:t>
            </w:r>
            <w:proofErr w:type="spellEnd"/>
            <w:proofErr w:type="gram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დიაგნოსტიკური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კომპონენტის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ბიუჯეტის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მოსარგებლეებს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და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ემატა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ვეტერანები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70%-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იანი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დაფინანსებით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დამატებით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სრულად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უზრუნველყოფს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გენეტიკური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ტიპის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დასადგენი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კვლევის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ღირებულებით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140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ლარი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ანაზღაურებას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ყველა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მოსარგებლისათვის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დაგეგმილია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იუსტიციის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სახლებში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სკრინინგების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განვრცობა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ლუგარის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ცენტრის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მიერ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სკრინინგით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დადებით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ჰოსპიტალიზებულ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პაციენტებში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კონფირმაციული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კვლევის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ვალდებულების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მოსალოდნელია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ათასი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კვლევის</w:t>
            </w:r>
            <w:proofErr w:type="spellEnd"/>
            <w:r w:rsidRPr="006F7964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964">
              <w:rPr>
                <w:rFonts w:cs="Sylfaen"/>
                <w:color w:val="000000"/>
                <w:sz w:val="20"/>
                <w:szCs w:val="20"/>
              </w:rPr>
              <w:t>ჩატარება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, 2018 წელს გააქტიურებულია მეთვალყურეობიდან დაკარგულ პაციენტთა (ნაწილობრივ დიაგნოსტირებული) მოძიებისა და მოზიდვის ღონისძიებები, რაც პროგნოზულად გაზრდის პაციენტთა ჩართულობას </w:t>
            </w: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lastRenderedPageBreak/>
              <w:t>(ფინანსური ბარიერი ერთერთი მნიშვნელოვანი ბარიერია პაციენტების პროგრამაში ჩართვისთვის).</w:t>
            </w: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6F7964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ფსიქიკური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ჯანმრთელობა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  22,500,000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  24,860,000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 2,360,000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6F7964" w:rsidRDefault="002911DE" w:rsidP="006F7964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ფსიქიკური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ჯანმრთელობის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სტრატეგიული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დოკუმენტის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2019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წელს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კვლავ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აქტუალურია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სათემო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სერვისების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განვითარების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თემა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დაგეგმილია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სათემო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მობილური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გუნდების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(11-დან 30-მდე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ეტაპობრივად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მნიშვნელოვანია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ამბულატორიული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სერვისების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გასაძლიერებლად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ამბულატორიულ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დონეზე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უწვეტად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სრულად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უზრუნველსაყოფად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კრიზისული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ინტერვენციული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სამსახურების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გაძლიერებისა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სერვისების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სრულყოფილად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უზრუნველსაყოფად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  <w:r w:rsidR="006F7964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 ასევე, 2019 წლიდან სტაციონარებში ხანგრძლივი დაყოვნების მქონე პაციენტებისათვის ეტაპობრივად დაგეგმილია საცხოვრისების გახსნა, შესაბამისი სერვისებით</w:t>
            </w:r>
            <w:r w:rsidR="00B756CE">
              <w:rPr>
                <w:rFonts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დიაბეტის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მართვა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13,504,000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14,190,000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686,000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განპირობებულია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პროგნოზულად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რაოდენობის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(10%-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იანი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სამკურნალოდ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რაოდენობისა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476FF1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ასევე, ფასის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B756CE" w:rsidRPr="00476FF1" w:rsidTr="00B756CE">
        <w:tc>
          <w:tcPr>
            <w:tcW w:w="416" w:type="dxa"/>
          </w:tcPr>
          <w:p w:rsidR="00B756CE" w:rsidRPr="00B756CE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2420" w:type="dxa"/>
          </w:tcPr>
          <w:p w:rsidR="00B756CE" w:rsidRPr="00B756CE" w:rsidRDefault="00B756CE" w:rsidP="009C7C77">
            <w:pPr>
              <w:rPr>
                <w:sz w:val="20"/>
                <w:szCs w:val="20"/>
              </w:rPr>
            </w:pPr>
            <w:proofErr w:type="spellStart"/>
            <w:r w:rsidRPr="00B756CE">
              <w:rPr>
                <w:sz w:val="20"/>
                <w:szCs w:val="20"/>
              </w:rPr>
              <w:t>ბავშვთა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ონკოჰემატოლოგიური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417" w:type="dxa"/>
          </w:tcPr>
          <w:p w:rsidR="00B756CE" w:rsidRPr="00B756CE" w:rsidRDefault="00B756CE" w:rsidP="00B756CE">
            <w:pPr>
              <w:rPr>
                <w:b/>
                <w:bCs/>
                <w:sz w:val="20"/>
                <w:szCs w:val="20"/>
              </w:rPr>
            </w:pPr>
            <w:r w:rsidRPr="00B756CE">
              <w:rPr>
                <w:b/>
                <w:bCs/>
                <w:sz w:val="20"/>
                <w:szCs w:val="20"/>
              </w:rPr>
              <w:t xml:space="preserve">           2,000,000 </w:t>
            </w:r>
          </w:p>
          <w:p w:rsidR="00B756CE" w:rsidRPr="00B756CE" w:rsidRDefault="00B756C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756CE" w:rsidRPr="00B756CE" w:rsidRDefault="00B756CE" w:rsidP="00B756CE">
            <w:pPr>
              <w:rPr>
                <w:b/>
                <w:bCs/>
                <w:sz w:val="20"/>
                <w:szCs w:val="20"/>
              </w:rPr>
            </w:pPr>
            <w:r w:rsidRPr="00B756CE">
              <w:rPr>
                <w:b/>
                <w:bCs/>
                <w:sz w:val="20"/>
                <w:szCs w:val="20"/>
              </w:rPr>
              <w:t xml:space="preserve">            2,500,000 </w:t>
            </w:r>
          </w:p>
          <w:p w:rsidR="00B756CE" w:rsidRPr="00B756CE" w:rsidRDefault="00B756C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B756CE" w:rsidRPr="00B756CE" w:rsidRDefault="00B756CE" w:rsidP="00B756CE">
            <w:pPr>
              <w:rPr>
                <w:b/>
                <w:bCs/>
                <w:sz w:val="20"/>
                <w:szCs w:val="20"/>
              </w:rPr>
            </w:pPr>
            <w:r w:rsidRPr="00B756CE">
              <w:rPr>
                <w:b/>
                <w:bCs/>
                <w:sz w:val="20"/>
                <w:szCs w:val="20"/>
              </w:rPr>
              <w:t xml:space="preserve">            500,000 </w:t>
            </w:r>
          </w:p>
          <w:p w:rsidR="00B756CE" w:rsidRPr="00B756CE" w:rsidRDefault="00B756C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B756CE" w:rsidRPr="00B756CE" w:rsidRDefault="00B756CE" w:rsidP="00B756CE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756CE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proofErr w:type="gram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განპირობებულია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პაციენტთა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სავარაუდო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საპროგნოზო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ზრდით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B756CE" w:rsidRPr="00B756CE" w:rsidRDefault="00B756CE" w:rsidP="002911DE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დიალიზი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თირკმლის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ტრანსპლანტაცია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36,340,000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39,496,000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3,156,000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იზრდება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ჰემოდიალიზისა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სეანსების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ხარჯზე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პროგნოზულად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რიცხვის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ინკურაბელურ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პალიატიური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მზრუნველობა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2,950,000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3,686,000 </w:t>
            </w:r>
          </w:p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736,000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გათვალისწინებულია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პროგნოზული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მოცვის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გეოგრაფიული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არეალის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გაფართოვება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11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იშვიათი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დაავადებების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მქონე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მუდმივ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ჩანაცვლებით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მკურნალობას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დაქვემდებარებულ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მკურნალობა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9,560,000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9,860,000 </w:t>
            </w:r>
          </w:p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300,000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პროგრამას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ემატება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ფილტვების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იდიოპათური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ფიბროზის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სამკურნალო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წელია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ფინანსდება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რეფერალური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პროგრამიდან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მიზანშეწონილია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არსობრივად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ინტეგრირდეს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იშვიათი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დაავადებების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ქვეშ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).  (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ფიფ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ფილტვის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იშვიათი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პროგრესირებადი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შეუქცევადი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ფილტვის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იდიოპათიური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ფიბროზი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სიკვდილობის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უფრო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მაღალი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მაჩვენებლით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გამოირჩევა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ვიდრე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ავთვისებიანი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სიმსივნეების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უმრავლესობა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.) 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გამო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უმეტესობა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ვერ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ახერხებს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20%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გადახდასაც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პრეპარატის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ერთი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კოლოფის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საბაზრო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შეადგენს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6300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ლარს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პროგრამისთვის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კომპანია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როში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გვთავაზობს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სპეციალურ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ფასს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დაახლოებით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25%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ფასდაკლებით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ერთი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კოლოფისთვის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4700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ლარს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ცენტრალიზებულად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ფასი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კიდევ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უფრო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lastRenderedPageBreak/>
              <w:t>შემცირდება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გათვალისწინებულია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კომპონენტების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პაციენტების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პროგნოზული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მედიკამენტისა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12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სასწრაფო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გადაუდებელი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დახმარება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და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სამედიცინო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ტრანსპორტირება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   42,500,000 </w:t>
            </w:r>
          </w:p>
          <w:p w:rsidR="002911DE" w:rsidRPr="00476FF1" w:rsidRDefault="002911DE" w:rsidP="0029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47,600,000 </w:t>
            </w:r>
          </w:p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 5,100,000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2911DE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საგანგებოსათვის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ავეჯისა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ტექნიკის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ბრიგადის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წევრთა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უნიფორმებისათვის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დაგეგმილი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დამატებითი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ხარჯების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გაწევა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; "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საგანგებო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სიტუაციების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კოორდინაციისა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დახმარების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ახორციელებს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ბრიგადის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წევრების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კვალიფიკაციის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ამაღლების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მიზნით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სატრენინგო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ცენტრში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გადამზადებას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მიზანშეწონილად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მიიჩნევს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რომ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იმ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თანამშრომლებს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რომლებსაც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წარმატებით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ექნებათ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გავლილი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კვალიფიკაციის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ამაღლების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კურსები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, 2018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ივლისიდან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ხელფასი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მოემატათ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არსებულ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ანაზღაურებასთან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შედარებით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30%-35%-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აღნიშნულის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იზრდება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2019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რაიონული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ოფისების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სარემონტო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სამუშაოები</w:t>
            </w:r>
            <w:proofErr w:type="spellEnd"/>
          </w:p>
        </w:tc>
      </w:tr>
      <w:tr w:rsidR="006F7964" w:rsidRPr="00476FF1" w:rsidTr="00B756CE">
        <w:tc>
          <w:tcPr>
            <w:tcW w:w="416" w:type="dxa"/>
          </w:tcPr>
          <w:p w:rsidR="002911DE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13</w:t>
            </w:r>
          </w:p>
        </w:tc>
        <w:tc>
          <w:tcPr>
            <w:tcW w:w="2420" w:type="dxa"/>
          </w:tcPr>
          <w:p w:rsidR="002911DE" w:rsidRPr="00476FF1" w:rsidRDefault="002911DE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სოფლის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17" w:type="dxa"/>
          </w:tcPr>
          <w:p w:rsidR="002911DE" w:rsidRPr="00476FF1" w:rsidRDefault="002911DE" w:rsidP="00291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26,000,000 </w:t>
            </w:r>
          </w:p>
          <w:p w:rsidR="002911DE" w:rsidRPr="00476FF1" w:rsidRDefault="002911DE" w:rsidP="00291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FF1" w:rsidRPr="00476FF1" w:rsidRDefault="00476FF1" w:rsidP="00476FF1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30,720,000 </w:t>
            </w:r>
          </w:p>
          <w:p w:rsidR="002911DE" w:rsidRPr="00476FF1" w:rsidRDefault="002911DE" w:rsidP="002911D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476FF1" w:rsidRPr="00476FF1" w:rsidRDefault="00476FF1" w:rsidP="00476FF1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4,720,000 </w:t>
            </w:r>
          </w:p>
          <w:p w:rsidR="002911DE" w:rsidRPr="00476FF1" w:rsidRDefault="002911DE" w:rsidP="002911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2911DE" w:rsidRPr="00476FF1" w:rsidRDefault="00476FF1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მიმართულებით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დაგეგმილი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რეფორმის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ღონისძიებების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476FF1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(იხ. საყოველთაო)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დაიგეგმა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ბიუჯეტის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დაახლოებით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25%-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იანი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6F7964" w:rsidRPr="00476FF1" w:rsidTr="00B756CE">
        <w:tc>
          <w:tcPr>
            <w:tcW w:w="416" w:type="dxa"/>
          </w:tcPr>
          <w:p w:rsidR="00476FF1" w:rsidRPr="00476FF1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14</w:t>
            </w:r>
          </w:p>
        </w:tc>
        <w:tc>
          <w:tcPr>
            <w:tcW w:w="2420" w:type="dxa"/>
          </w:tcPr>
          <w:p w:rsidR="00476FF1" w:rsidRPr="00476FF1" w:rsidRDefault="00476FF1" w:rsidP="009C7C77">
            <w:pPr>
              <w:rPr>
                <w:sz w:val="20"/>
                <w:szCs w:val="20"/>
              </w:rPr>
            </w:pPr>
            <w:proofErr w:type="spellStart"/>
            <w:r w:rsidRPr="00476FF1">
              <w:rPr>
                <w:sz w:val="20"/>
                <w:szCs w:val="20"/>
              </w:rPr>
              <w:t>რეფერალური</w:t>
            </w:r>
            <w:proofErr w:type="spellEnd"/>
            <w:r w:rsidRPr="00476FF1">
              <w:rPr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417" w:type="dxa"/>
          </w:tcPr>
          <w:p w:rsidR="00476FF1" w:rsidRPr="00476FF1" w:rsidRDefault="00476FF1" w:rsidP="00476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22,600,000 </w:t>
            </w:r>
          </w:p>
          <w:p w:rsidR="00476FF1" w:rsidRPr="00476FF1" w:rsidRDefault="00476FF1" w:rsidP="00291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FF1" w:rsidRPr="00476FF1" w:rsidRDefault="00476FF1" w:rsidP="00476FF1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76FF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30,000,000 </w:t>
            </w:r>
          </w:p>
          <w:p w:rsidR="00476FF1" w:rsidRPr="00476FF1" w:rsidRDefault="00476FF1" w:rsidP="00476FF1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476FF1" w:rsidRPr="00476FF1" w:rsidRDefault="00476FF1" w:rsidP="00476FF1">
            <w:pPr>
              <w:rPr>
                <w:b/>
                <w:bCs/>
                <w:sz w:val="20"/>
                <w:szCs w:val="20"/>
              </w:rPr>
            </w:pPr>
            <w:r w:rsidRPr="00476FF1">
              <w:rPr>
                <w:b/>
                <w:bCs/>
                <w:sz w:val="20"/>
                <w:szCs w:val="20"/>
              </w:rPr>
              <w:t xml:space="preserve"> 7,400,000 </w:t>
            </w:r>
          </w:p>
          <w:p w:rsidR="00476FF1" w:rsidRPr="00476FF1" w:rsidRDefault="00476FF1" w:rsidP="00476F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476FF1" w:rsidRPr="00476FF1" w:rsidRDefault="00476FF1" w:rsidP="002911DE">
            <w:pPr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6FF1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proofErr w:type="gram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ვალდებულებების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შესასრულებლად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ძუძუს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კიბო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ინდივიდუალური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საკითხების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განხილვა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ყოველწლიურად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ფიქსირდება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საბიუჯეტო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დეფიციტი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რაც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მიზანშეწონილია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გასწორდეს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2019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მომდევნო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წლები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დაიგეგმოს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სურათის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FF1">
              <w:rPr>
                <w:rFonts w:cs="Sylfaen"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476FF1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B756CE" w:rsidRPr="00476FF1" w:rsidTr="00B756CE">
        <w:tc>
          <w:tcPr>
            <w:tcW w:w="416" w:type="dxa"/>
          </w:tcPr>
          <w:p w:rsidR="00B756CE" w:rsidRPr="00B756CE" w:rsidRDefault="00B756CE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</w:t>
            </w:r>
          </w:p>
        </w:tc>
        <w:tc>
          <w:tcPr>
            <w:tcW w:w="2420" w:type="dxa"/>
          </w:tcPr>
          <w:p w:rsidR="00B756CE" w:rsidRPr="00B756CE" w:rsidRDefault="00B756CE" w:rsidP="009C7C77">
            <w:pPr>
              <w:rPr>
                <w:sz w:val="20"/>
                <w:szCs w:val="20"/>
              </w:rPr>
            </w:pPr>
            <w:proofErr w:type="spellStart"/>
            <w:r w:rsidRPr="00B756CE">
              <w:rPr>
                <w:sz w:val="20"/>
                <w:szCs w:val="20"/>
              </w:rPr>
              <w:t>ქრონიკული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დაავადებების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სამკურნალო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მედიკამენტებით</w:t>
            </w:r>
            <w:proofErr w:type="spellEnd"/>
            <w:r w:rsidRPr="00B756CE">
              <w:rPr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1417" w:type="dxa"/>
          </w:tcPr>
          <w:p w:rsidR="00B756CE" w:rsidRPr="00B756CE" w:rsidRDefault="00B756CE" w:rsidP="00B756CE">
            <w:pPr>
              <w:jc w:val="center"/>
              <w:rPr>
                <w:b/>
                <w:bCs/>
                <w:sz w:val="20"/>
                <w:szCs w:val="20"/>
              </w:rPr>
            </w:pPr>
            <w:r w:rsidRPr="00B756CE">
              <w:rPr>
                <w:b/>
                <w:bCs/>
                <w:sz w:val="20"/>
                <w:szCs w:val="20"/>
              </w:rPr>
              <w:t xml:space="preserve">10,000,000 </w:t>
            </w:r>
          </w:p>
          <w:p w:rsidR="00B756CE" w:rsidRPr="00B756CE" w:rsidRDefault="00B756CE" w:rsidP="00476F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756CE" w:rsidRPr="00B756CE" w:rsidRDefault="00B756CE" w:rsidP="00B756C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756C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11,770,000 </w:t>
            </w:r>
          </w:p>
          <w:p w:rsidR="00B756CE" w:rsidRPr="00B756CE" w:rsidRDefault="00B756CE" w:rsidP="00476FF1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B756CE" w:rsidRPr="00B756CE" w:rsidRDefault="00B756CE" w:rsidP="00B756CE">
            <w:pPr>
              <w:rPr>
                <w:b/>
                <w:bCs/>
                <w:sz w:val="20"/>
                <w:szCs w:val="20"/>
              </w:rPr>
            </w:pPr>
            <w:r w:rsidRPr="00B756CE">
              <w:rPr>
                <w:b/>
                <w:bCs/>
                <w:sz w:val="20"/>
                <w:szCs w:val="20"/>
              </w:rPr>
              <w:t xml:space="preserve">  1,770,000 </w:t>
            </w:r>
          </w:p>
          <w:p w:rsidR="00B756CE" w:rsidRPr="00B756CE" w:rsidRDefault="00B756CE" w:rsidP="00476F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:rsidR="00B756CE" w:rsidRPr="00206B9F" w:rsidRDefault="00B756CE" w:rsidP="00B756CE">
            <w:pPr>
              <w:rPr>
                <w:rFonts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აღნიშნული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ღონისძიება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დაემატა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2017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26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აპრილიდან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გათვალისწინებულია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იმ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ბენეფიციარებისთვის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რომლებიც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არიან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სოციალურად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დაუცველი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ოჯახების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მონაცემთა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ერთიან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ბაზაში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მინიჭებული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აქვთ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სარეიტინგო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ქულა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რომელიც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აღემატება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100 000-</w:t>
            </w:r>
            <w:r w:rsidRPr="00B756CE">
              <w:rPr>
                <w:rFonts w:cs="Sylfaen"/>
                <w:color w:val="000000"/>
                <w:sz w:val="20"/>
                <w:szCs w:val="20"/>
              </w:rPr>
              <w:t>სს</w:t>
            </w:r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Pr="00B756CE">
              <w:rPr>
                <w:rFonts w:cs="Sylfaen"/>
                <w:color w:val="000000"/>
                <w:sz w:val="20"/>
                <w:szCs w:val="20"/>
              </w:rPr>
              <w:t>ფინანსური</w:t>
            </w:r>
            <w:proofErr w:type="spellEnd"/>
            <w:proofErr w:type="gram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გაზრდის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გზით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ქრონიკული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დაავადების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მქონე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პირები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უზრუნველყოფილი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არიან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მედიკამენტებით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756CE">
              <w:rPr>
                <w:rFonts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proofErr w:type="gram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დაგეგმილია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როგორც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მიზნობრივი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ჯგუფების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206B9F">
              <w:rPr>
                <w:rFonts w:cs="Calibri"/>
                <w:color w:val="000000"/>
                <w:sz w:val="20"/>
                <w:szCs w:val="20"/>
                <w:lang w:val="ka-GE"/>
              </w:rPr>
              <w:t xml:space="preserve">დაავადებათა მიმართულებების და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ჩამონათვალის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ზრდა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. 2018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</w:rPr>
              <w:t>სექტემბრიდან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პროგრამის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მოსარგებლეებს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="00206B9F">
              <w:rPr>
                <w:rFonts w:cs="Calibri"/>
                <w:color w:val="000000"/>
                <w:sz w:val="20"/>
                <w:szCs w:val="20"/>
                <w:u w:val="single"/>
                <w:lang w:val="ka-GE"/>
              </w:rPr>
              <w:t>და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ემატება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საპენსიო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ასაკის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პირები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ასევე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შშმ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პირები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და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შშმ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56CE">
              <w:rPr>
                <w:rFonts w:cs="Sylfaen"/>
                <w:color w:val="000000"/>
                <w:sz w:val="20"/>
                <w:szCs w:val="20"/>
                <w:u w:val="single"/>
              </w:rPr>
              <w:t>ბავშვები</w:t>
            </w:r>
            <w:proofErr w:type="spellEnd"/>
            <w:r w:rsidRPr="00B756CE">
              <w:rPr>
                <w:rFonts w:cs="Calibri"/>
                <w:color w:val="000000"/>
                <w:sz w:val="20"/>
                <w:szCs w:val="20"/>
                <w:u w:val="single"/>
              </w:rPr>
              <w:t>.</w:t>
            </w:r>
            <w:r w:rsidR="00206B9F">
              <w:rPr>
                <w:rFonts w:cs="Calibri"/>
                <w:color w:val="000000"/>
                <w:sz w:val="20"/>
                <w:szCs w:val="20"/>
                <w:u w:val="single"/>
                <w:lang w:val="ka-GE"/>
              </w:rPr>
              <w:t xml:space="preserve"> მიმდინარეობს მუშაობა და უახლოეს პერიოდში დაემატება პარკინსონითა და ეპილეფსიით დაავადებულთა მედიკამენტებით უზრუნველყოფის კომპონენტები.</w:t>
            </w:r>
          </w:p>
          <w:p w:rsidR="00B756CE" w:rsidRPr="00B756CE" w:rsidRDefault="00B756CE" w:rsidP="002911DE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6F7964" w:rsidRPr="00476FF1" w:rsidTr="00B756CE">
        <w:tc>
          <w:tcPr>
            <w:tcW w:w="416" w:type="dxa"/>
          </w:tcPr>
          <w:p w:rsidR="00476FF1" w:rsidRPr="00476FF1" w:rsidRDefault="00476FF1" w:rsidP="009C7C7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20" w:type="dxa"/>
          </w:tcPr>
          <w:p w:rsidR="00476FF1" w:rsidRPr="00476FF1" w:rsidRDefault="00476FF1" w:rsidP="009C7C7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417" w:type="dxa"/>
          </w:tcPr>
          <w:p w:rsidR="00476FF1" w:rsidRPr="00476FF1" w:rsidRDefault="00476FF1" w:rsidP="00476F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FF1" w:rsidRPr="00476FF1" w:rsidRDefault="00476FF1" w:rsidP="00476FF1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476FF1" w:rsidRPr="00476FF1" w:rsidRDefault="00B756CE" w:rsidP="00B756CE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121,540,000</w:t>
            </w:r>
          </w:p>
        </w:tc>
        <w:tc>
          <w:tcPr>
            <w:tcW w:w="7867" w:type="dxa"/>
          </w:tcPr>
          <w:p w:rsidR="00476FF1" w:rsidRPr="00476FF1" w:rsidRDefault="00476FF1" w:rsidP="002911DE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</w:tr>
    </w:tbl>
    <w:p w:rsidR="009C7C77" w:rsidRPr="009C7C77" w:rsidRDefault="009C7C77" w:rsidP="009C7C77">
      <w:pPr>
        <w:rPr>
          <w:sz w:val="20"/>
          <w:szCs w:val="20"/>
        </w:rPr>
      </w:pPr>
    </w:p>
    <w:sectPr w:rsidR="009C7C77" w:rsidRPr="009C7C77" w:rsidSect="00476FF1">
      <w:headerReference w:type="default" r:id="rId7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71" w:rsidRDefault="00667071" w:rsidP="00476FF1">
      <w:pPr>
        <w:spacing w:after="0" w:line="240" w:lineRule="auto"/>
      </w:pPr>
      <w:r>
        <w:separator/>
      </w:r>
    </w:p>
  </w:endnote>
  <w:endnote w:type="continuationSeparator" w:id="0">
    <w:p w:rsidR="00667071" w:rsidRDefault="00667071" w:rsidP="0047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71" w:rsidRDefault="00667071" w:rsidP="00476FF1">
      <w:pPr>
        <w:spacing w:after="0" w:line="240" w:lineRule="auto"/>
      </w:pPr>
      <w:r>
        <w:separator/>
      </w:r>
    </w:p>
  </w:footnote>
  <w:footnote w:type="continuationSeparator" w:id="0">
    <w:p w:rsidR="00667071" w:rsidRDefault="00667071" w:rsidP="0047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F1" w:rsidRDefault="00476FF1">
    <w:pPr>
      <w:pStyle w:val="Header"/>
      <w:rPr>
        <w:lang w:val="ka-GE"/>
      </w:rPr>
    </w:pPr>
    <w:r>
      <w:rPr>
        <w:lang w:val="ka-GE"/>
      </w:rPr>
      <w:t>2019 წლის ჯანმრთელობის დაცვის სახელმწიფო პროგრამების ბიუჯეტების განმარტებები</w:t>
    </w:r>
  </w:p>
  <w:p w:rsidR="00476FF1" w:rsidRDefault="00476FF1">
    <w:pPr>
      <w:pStyle w:val="Header"/>
    </w:pPr>
  </w:p>
  <w:p w:rsidR="00476FF1" w:rsidRDefault="00476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BFA"/>
    <w:multiLevelType w:val="hybridMultilevel"/>
    <w:tmpl w:val="F578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8F"/>
    <w:rsid w:val="00206B9F"/>
    <w:rsid w:val="002911DE"/>
    <w:rsid w:val="00476FF1"/>
    <w:rsid w:val="00477989"/>
    <w:rsid w:val="005142E7"/>
    <w:rsid w:val="00603681"/>
    <w:rsid w:val="00667071"/>
    <w:rsid w:val="006F7964"/>
    <w:rsid w:val="00895BE1"/>
    <w:rsid w:val="009C7C77"/>
    <w:rsid w:val="00B756CE"/>
    <w:rsid w:val="00D368ED"/>
    <w:rsid w:val="00F3408F"/>
    <w:rsid w:val="00F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035A7-B33E-472C-B23F-6901E49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C77"/>
    <w:pPr>
      <w:ind w:left="720"/>
      <w:contextualSpacing/>
    </w:pPr>
  </w:style>
  <w:style w:type="table" w:styleId="TableGrid">
    <w:name w:val="Table Grid"/>
    <w:basedOn w:val="TableNormal"/>
    <w:uiPriority w:val="39"/>
    <w:rsid w:val="009C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F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F1"/>
  </w:style>
  <w:style w:type="paragraph" w:styleId="Footer">
    <w:name w:val="footer"/>
    <w:basedOn w:val="Normal"/>
    <w:link w:val="FooterChar"/>
    <w:uiPriority w:val="99"/>
    <w:unhideWhenUsed/>
    <w:rsid w:val="00476F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Mariam Darakhvelidze</cp:lastModifiedBy>
  <cp:revision>2</cp:revision>
  <dcterms:created xsi:type="dcterms:W3CDTF">2018-10-03T14:13:00Z</dcterms:created>
  <dcterms:modified xsi:type="dcterms:W3CDTF">2018-10-03T14:13:00Z</dcterms:modified>
</cp:coreProperties>
</file>