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76E4C" w14:textId="718E6349" w:rsidR="00EC7663" w:rsidRPr="00701B12" w:rsidRDefault="00EC7663" w:rsidP="00EC7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bookmarkStart w:id="0" w:name="_GoBack"/>
      <w:bookmarkEnd w:id="0"/>
      <w:r w:rsidRPr="00DB5362">
        <w:rPr>
          <w:rFonts w:ascii="Sylfaen" w:hAnsi="Sylfaen"/>
          <w:b/>
          <w:lang w:val="ka-GE"/>
        </w:rPr>
        <w:t>გა</w:t>
      </w:r>
      <w:r w:rsidR="00AC6403" w:rsidRPr="00DB5362">
        <w:rPr>
          <w:rFonts w:ascii="Sylfaen" w:hAnsi="Sylfaen"/>
          <w:b/>
          <w:lang w:val="ka-GE"/>
        </w:rPr>
        <w:t>ნ</w:t>
      </w:r>
      <w:r w:rsidRPr="00DB5362">
        <w:rPr>
          <w:rFonts w:ascii="Sylfaen" w:hAnsi="Sylfaen"/>
          <w:b/>
          <w:lang w:val="ka-GE"/>
        </w:rPr>
        <w:t xml:space="preserve">მარტებითი </w:t>
      </w:r>
      <w:r w:rsidRPr="00701B12">
        <w:rPr>
          <w:rFonts w:ascii="Sylfaen" w:hAnsi="Sylfaen"/>
          <w:b/>
          <w:lang w:val="ka-GE"/>
        </w:rPr>
        <w:t>ბარათი</w:t>
      </w:r>
    </w:p>
    <w:p w14:paraId="117F54DF" w14:textId="77777777" w:rsidR="00EC7663" w:rsidRPr="00701B12" w:rsidRDefault="00EC7663" w:rsidP="00EC76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01358CE2" w14:textId="526DEA49" w:rsidR="00DA03C8" w:rsidRPr="00701B12" w:rsidRDefault="00DA03C8" w:rsidP="00DA0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lang w:val="ka-GE"/>
        </w:rPr>
      </w:pPr>
      <w:r w:rsidRPr="00701B12">
        <w:rPr>
          <w:rFonts w:ascii="Sylfaen" w:eastAsia="Sylfaen" w:hAnsi="Sylfaen"/>
          <w:b/>
          <w:lang w:val="ka-GE"/>
        </w:rPr>
        <w:t>„სოციალური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ცვლილების შეტანის თაობაზე</w:t>
      </w:r>
      <w:r>
        <w:rPr>
          <w:rFonts w:ascii="Sylfaen" w:eastAsia="Sylfaen" w:hAnsi="Sylfaen"/>
          <w:b/>
          <w:lang w:val="ka-GE"/>
        </w:rPr>
        <w:t xml:space="preserve">‘‘ </w:t>
      </w:r>
      <w:r w:rsidRPr="00701B12">
        <w:rPr>
          <w:rFonts w:ascii="Sylfaen" w:eastAsia="Sylfaen" w:hAnsi="Sylfaen"/>
          <w:b/>
          <w:lang w:val="ka-GE"/>
        </w:rPr>
        <w:t>საქართველოს მთავრობის 20</w:t>
      </w:r>
      <w:r>
        <w:rPr>
          <w:rFonts w:ascii="Sylfaen" w:eastAsia="Sylfaen" w:hAnsi="Sylfaen"/>
          <w:b/>
          <w:lang w:val="ka-GE"/>
        </w:rPr>
        <w:t>20</w:t>
      </w:r>
      <w:r w:rsidRPr="00701B12">
        <w:rPr>
          <w:rFonts w:ascii="Sylfaen" w:eastAsia="Sylfaen" w:hAnsi="Sylfaen"/>
          <w:b/>
          <w:lang w:val="ka-GE"/>
        </w:rPr>
        <w:t xml:space="preserve"> წლის 3</w:t>
      </w:r>
      <w:r>
        <w:rPr>
          <w:rFonts w:ascii="Sylfaen" w:eastAsia="Sylfaen" w:hAnsi="Sylfaen"/>
          <w:b/>
          <w:lang w:val="ka-GE"/>
        </w:rPr>
        <w:t xml:space="preserve"> აპრილ</w:t>
      </w:r>
      <w:r w:rsidRPr="00701B12">
        <w:rPr>
          <w:rFonts w:ascii="Sylfaen" w:eastAsia="Sylfaen" w:hAnsi="Sylfaen"/>
          <w:b/>
          <w:lang w:val="ka-GE"/>
        </w:rPr>
        <w:t>ის №</w:t>
      </w:r>
      <w:r>
        <w:rPr>
          <w:rFonts w:ascii="Sylfaen" w:eastAsia="Sylfaen" w:hAnsi="Sylfaen"/>
          <w:b/>
          <w:lang w:val="ka-GE"/>
        </w:rPr>
        <w:t>218</w:t>
      </w:r>
      <w:r w:rsidRPr="00701B12">
        <w:rPr>
          <w:rFonts w:ascii="Sylfaen" w:eastAsia="Sylfaen" w:hAnsi="Sylfaen"/>
          <w:b/>
          <w:lang w:val="ka-GE"/>
        </w:rPr>
        <w:t xml:space="preserve"> დადგენილებაში ცვლილების შეტანის </w:t>
      </w:r>
      <w:r>
        <w:rPr>
          <w:rFonts w:ascii="Sylfaen" w:eastAsia="Sylfaen" w:hAnsi="Sylfaen"/>
          <w:b/>
          <w:lang w:val="ka-GE"/>
        </w:rPr>
        <w:t>თაობაზე‘‘</w:t>
      </w:r>
    </w:p>
    <w:p w14:paraId="5CE79AC5" w14:textId="4000C87D" w:rsidR="00EC7663" w:rsidRPr="00701B12" w:rsidRDefault="00EC7663" w:rsidP="00EC7663">
      <w:pPr>
        <w:pStyle w:val="NoSpacing"/>
        <w:spacing w:after="160"/>
        <w:jc w:val="center"/>
        <w:rPr>
          <w:rFonts w:ascii="Sylfaen" w:hAnsi="Sylfaen"/>
          <w:b/>
          <w:lang w:val="ka-GE"/>
        </w:rPr>
      </w:pPr>
      <w:r w:rsidRPr="00DB5362">
        <w:rPr>
          <w:rFonts w:ascii="Sylfaen" w:hAnsi="Sylfaen" w:cs="Sylfaen"/>
          <w:b/>
          <w:lang w:val="ka-GE"/>
        </w:rPr>
        <w:t>საქართველოს</w:t>
      </w:r>
      <w:r w:rsidRPr="00DB5362">
        <w:rPr>
          <w:rFonts w:ascii="Sylfaen" w:hAnsi="Sylfaen"/>
          <w:b/>
          <w:lang w:val="ka-GE"/>
        </w:rPr>
        <w:t xml:space="preserve"> </w:t>
      </w:r>
      <w:r w:rsidRPr="00DB5362">
        <w:rPr>
          <w:rFonts w:ascii="Sylfaen" w:hAnsi="Sylfaen" w:cs="Sylfaen"/>
          <w:b/>
          <w:lang w:val="ka-GE"/>
        </w:rPr>
        <w:t>მთავრობის</w:t>
      </w:r>
      <w:r w:rsidRPr="00DB5362">
        <w:rPr>
          <w:rFonts w:ascii="Sylfaen" w:hAnsi="Sylfaen"/>
          <w:b/>
          <w:lang w:val="ka-GE"/>
        </w:rPr>
        <w:t xml:space="preserve"> </w:t>
      </w:r>
      <w:r w:rsidRPr="00701B12">
        <w:rPr>
          <w:rFonts w:ascii="Sylfaen" w:hAnsi="Sylfaen" w:cs="Sylfaen"/>
          <w:b/>
          <w:lang w:val="ka-GE"/>
        </w:rPr>
        <w:t>დადგენილების</w:t>
      </w:r>
      <w:r w:rsidRPr="00701B12">
        <w:rPr>
          <w:rFonts w:ascii="Sylfaen" w:hAnsi="Sylfaen"/>
          <w:b/>
          <w:lang w:val="ka-GE"/>
        </w:rPr>
        <w:t xml:space="preserve"> </w:t>
      </w:r>
      <w:r w:rsidRPr="00701B12">
        <w:rPr>
          <w:rFonts w:ascii="Sylfaen" w:hAnsi="Sylfaen" w:cs="Sylfaen"/>
          <w:b/>
          <w:lang w:val="ka-GE"/>
        </w:rPr>
        <w:t>პროექტზე:</w:t>
      </w:r>
    </w:p>
    <w:p w14:paraId="3C295467" w14:textId="77777777" w:rsidR="00EC7663" w:rsidRPr="00701B12" w:rsidRDefault="00EC7663" w:rsidP="00701B12">
      <w:pPr>
        <w:pStyle w:val="NoSpacing"/>
        <w:tabs>
          <w:tab w:val="left" w:pos="0"/>
          <w:tab w:val="left" w:pos="142"/>
        </w:tabs>
        <w:spacing w:after="160"/>
        <w:jc w:val="center"/>
        <w:rPr>
          <w:rFonts w:ascii="Sylfaen" w:hAnsi="Sylfaen"/>
          <w:b/>
          <w:lang w:val="ka-GE"/>
        </w:rPr>
      </w:pPr>
      <w:r w:rsidRPr="00701B12">
        <w:rPr>
          <w:rFonts w:ascii="Sylfaen" w:hAnsi="Sylfaen"/>
          <w:b/>
          <w:lang w:val="ka-GE"/>
        </w:rPr>
        <w:t>ინფორმაცია სამართლებრივი აქტის პროექტის შესახებ</w:t>
      </w:r>
    </w:p>
    <w:p w14:paraId="75643704" w14:textId="725C1A36" w:rsidR="00881E6D" w:rsidRPr="00701B12" w:rsidRDefault="00005B3D" w:rsidP="00EC7663">
      <w:pPr>
        <w:tabs>
          <w:tab w:val="left" w:pos="0"/>
          <w:tab w:val="left" w:pos="142"/>
        </w:tabs>
        <w:autoSpaceDE w:val="0"/>
        <w:autoSpaceDN w:val="0"/>
        <w:adjustRightInd w:val="0"/>
        <w:spacing w:line="240" w:lineRule="auto"/>
        <w:jc w:val="both"/>
        <w:rPr>
          <w:rFonts w:ascii="Sylfaen" w:hAnsi="Sylfaen" w:cs="Sylfaen"/>
          <w:lang w:val="ka-GE"/>
        </w:rPr>
      </w:pPr>
      <w:r>
        <w:rPr>
          <w:rFonts w:ascii="Sylfaen" w:hAnsi="Sylfaen"/>
          <w:lang w:val="ka-GE"/>
        </w:rPr>
        <w:tab/>
      </w:r>
      <w:r>
        <w:rPr>
          <w:rFonts w:ascii="Sylfaen" w:hAnsi="Sylfaen"/>
          <w:lang w:val="ka-GE"/>
        </w:rPr>
        <w:tab/>
      </w:r>
      <w:r w:rsidR="00EC7663" w:rsidRPr="00DB5362">
        <w:rPr>
          <w:rFonts w:ascii="Sylfaen" w:hAnsi="Sylfaen"/>
          <w:lang w:val="ka-GE"/>
        </w:rPr>
        <w:t xml:space="preserve">დადგენილების პროექტის </w:t>
      </w:r>
      <w:r w:rsidR="00EC7663" w:rsidRPr="00701B12">
        <w:rPr>
          <w:rFonts w:ascii="Sylfaen" w:hAnsi="Sylfaen"/>
          <w:lang w:val="ka-GE"/>
        </w:rPr>
        <w:t xml:space="preserve">მომზადება გამოწვეულია იმ გარემოებით, რომ </w:t>
      </w:r>
      <w:r w:rsidR="00EC7663" w:rsidRPr="00701B12">
        <w:rPr>
          <w:rFonts w:ascii="Sylfaen" w:hAnsi="Sylfaen" w:cs="Sylfaen"/>
          <w:lang w:val="ka-GE"/>
        </w:rPr>
        <w:t xml:space="preserve">„საქართველოს  მთელ  ტერიტორიაზე  საგანგებო  მდგომარეობის  გამოცხადების  შესახებ“ საქართველოს პრეზიდენტის 2020 წლის 21 აპრილის </w:t>
      </w:r>
      <w:r w:rsidR="00881E6D" w:rsidRPr="00701B12">
        <w:rPr>
          <w:rFonts w:ascii="Sylfaen" w:hAnsi="Sylfaen"/>
          <w:lang w:val="ka-GE"/>
        </w:rPr>
        <w:t>№</w:t>
      </w:r>
      <w:r w:rsidR="00EC7663" w:rsidRPr="00701B12">
        <w:rPr>
          <w:rFonts w:ascii="Sylfaen" w:hAnsi="Sylfaen" w:cs="Sylfaen"/>
          <w:lang w:val="ka-GE"/>
        </w:rPr>
        <w:t xml:space="preserve">2 ბრძანებისა და </w:t>
      </w:r>
      <w:r w:rsidR="00EC7663" w:rsidRPr="00701B12">
        <w:rPr>
          <w:rFonts w:ascii="Sylfaen" w:hAnsi="Sylfaen"/>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w:t>
      </w:r>
      <w:r w:rsidR="00881E6D" w:rsidRPr="00701B12">
        <w:rPr>
          <w:rFonts w:ascii="Sylfaen" w:hAnsi="Sylfaen"/>
          <w:lang w:val="ka-GE"/>
        </w:rPr>
        <w:t>№</w:t>
      </w:r>
      <w:r w:rsidR="00EC7663" w:rsidRPr="00701B12">
        <w:rPr>
          <w:rFonts w:ascii="Sylfaen" w:hAnsi="Sylfaen"/>
          <w:lang w:val="ka-GE"/>
        </w:rPr>
        <w:t xml:space="preserve">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ამასთან, საგანგებო მდგომარეობის 22 მაისამდე გაგრძელების გამო მიზანშეწონილია, სერვისის მიმწოდებელი ორგანიზაციებისთვისაც გაგრძელდეს </w:t>
      </w:r>
      <w:r w:rsidR="00EC7663" w:rsidRPr="00701B12">
        <w:rPr>
          <w:rFonts w:ascii="Sylfaen" w:eastAsia="Times New Roman" w:hAnsi="Sylfaen" w:cs="Sylfaen"/>
          <w:noProof/>
          <w:lang w:val="ka-GE"/>
        </w:rPr>
        <w:t xml:space="preserve">ე.წ. „იძულებითი არდადეგების“ პერიოდის თანხების ანაზღაურება და ასევე, </w:t>
      </w:r>
      <w:r w:rsidR="00881E6D" w:rsidRPr="00701B12">
        <w:rPr>
          <w:rFonts w:ascii="Sylfaen" w:eastAsia="Times New Roman" w:hAnsi="Sylfaen" w:cs="Sylfaen"/>
          <w:bCs/>
          <w:noProof/>
          <w:lang w:val="ka-GE"/>
        </w:rPr>
        <w:t xml:space="preserve">დღის ცენტრებში მომსახურებით უზრუნველყოფის ქვეპროგრამის </w:t>
      </w:r>
      <w:r w:rsidR="00EC7663" w:rsidRPr="00701B12">
        <w:rPr>
          <w:rFonts w:ascii="Sylfaen" w:eastAsia="Times New Roman" w:hAnsi="Sylfaen" w:cs="Sylfaen"/>
          <w:noProof/>
          <w:lang w:val="ka-GE"/>
        </w:rPr>
        <w:t>ბენეფიციარ</w:t>
      </w:r>
      <w:r w:rsidR="00881E6D" w:rsidRPr="00701B12">
        <w:rPr>
          <w:rFonts w:ascii="Sylfaen" w:eastAsia="Times New Roman" w:hAnsi="Sylfaen" w:cs="Sylfaen"/>
          <w:noProof/>
          <w:lang w:val="ka-GE"/>
        </w:rPr>
        <w:t>ები</w:t>
      </w:r>
      <w:r w:rsidR="00AC6403" w:rsidRPr="00701B12">
        <w:rPr>
          <w:rFonts w:ascii="Sylfaen" w:eastAsia="Times New Roman" w:hAnsi="Sylfaen" w:cs="Sylfaen"/>
          <w:noProof/>
          <w:lang w:val="ka-GE"/>
        </w:rPr>
        <w:t>ს</w:t>
      </w:r>
      <w:r w:rsidR="00EC7663" w:rsidRPr="00701B12">
        <w:rPr>
          <w:rFonts w:ascii="Sylfaen" w:eastAsia="Times New Roman" w:hAnsi="Sylfaen" w:cs="Sylfaen"/>
          <w:noProof/>
          <w:lang w:val="ka-GE"/>
        </w:rPr>
        <w:t>თვის „კვების ვაუჩერის“ გაცემა.</w:t>
      </w:r>
    </w:p>
    <w:p w14:paraId="12F7CB29" w14:textId="43D322D3" w:rsidR="00EC7663" w:rsidRPr="00701B12" w:rsidRDefault="00005B3D" w:rsidP="00EC7663">
      <w:pPr>
        <w:tabs>
          <w:tab w:val="left" w:pos="0"/>
          <w:tab w:val="left" w:pos="142"/>
        </w:tabs>
        <w:autoSpaceDE w:val="0"/>
        <w:autoSpaceDN w:val="0"/>
        <w:adjustRightInd w:val="0"/>
        <w:spacing w:line="240" w:lineRule="auto"/>
        <w:jc w:val="both"/>
        <w:rPr>
          <w:rFonts w:ascii="Sylfaen" w:hAnsi="Sylfaen" w:cs="Sylfaen"/>
          <w:lang w:val="ka-GE"/>
        </w:rPr>
      </w:pPr>
      <w:r>
        <w:rPr>
          <w:rFonts w:ascii="Sylfaen" w:hAnsi="Sylfaen"/>
          <w:lang w:val="ka-GE"/>
        </w:rPr>
        <w:tab/>
      </w:r>
      <w:r>
        <w:rPr>
          <w:rFonts w:ascii="Sylfaen" w:hAnsi="Sylfaen"/>
          <w:lang w:val="ka-GE"/>
        </w:rPr>
        <w:tab/>
      </w:r>
      <w:r w:rsidR="00EC7663" w:rsidRPr="00DB5362">
        <w:rPr>
          <w:rFonts w:ascii="Sylfaen" w:hAnsi="Sylfaen"/>
          <w:lang w:val="ka-GE"/>
        </w:rPr>
        <w:t>„სოციალური რეაბილიტაციისა</w:t>
      </w:r>
      <w:r w:rsidR="00EC7663" w:rsidRPr="00701B12">
        <w:rPr>
          <w:rFonts w:ascii="Sylfaen" w:hAnsi="Sylfaen"/>
          <w:lang w:val="ka-GE"/>
        </w:rPr>
        <w:t xml:space="preserve"> და ბავშვზე ზრუნვის 2020 წლის სახელმწიფო პროგრამის“ მოქმედი რედაქციით ბავშვთა ადრეული განვითარების ხელშეწყობის ქვეპროგრამით გათვალისწინებულია პროფესიული ზედამხედველობის კომპონენტის მიმდინარე წლის 1 ივნისიდან ამოქმედება. კორონავირუსის ინფექციის გავრცელების პრევენციის ღონისძიებებიდან გამომდინარე, სერვისები ამ ეტაპზე ვერ განახორციელებენ პროფესიული ზედამხედველობას, რადგან მომსახურებების ფუნქციონირება შეჩერებულია. შესაბამისად, სუპერვიზიის კომპონენტის ამოქმედების ვადად განისაზღვრა 2020 წლის 1  სექტემბერი. </w:t>
      </w:r>
    </w:p>
    <w:p w14:paraId="47399ABE" w14:textId="0A858D6A" w:rsidR="00EC7663" w:rsidRPr="00701B12" w:rsidRDefault="00005B3D" w:rsidP="00EC7663">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ab/>
      </w:r>
      <w:r>
        <w:rPr>
          <w:rFonts w:ascii="Sylfaen" w:hAnsi="Sylfaen"/>
          <w:lang w:val="ka-GE"/>
        </w:rPr>
        <w:tab/>
      </w:r>
      <w:r w:rsidR="00EC7663" w:rsidRPr="00DB5362">
        <w:rPr>
          <w:rFonts w:ascii="Sylfaen" w:hAnsi="Sylfaen"/>
          <w:lang w:val="ka-GE"/>
        </w:rPr>
        <w:t xml:space="preserve">ბენეფიციარების ინტერესების </w:t>
      </w:r>
      <w:r w:rsidR="00EC7663" w:rsidRPr="00701B12">
        <w:rPr>
          <w:rFonts w:ascii="Sylfaen" w:hAnsi="Sylfaen"/>
          <w:lang w:val="ka-GE"/>
        </w:rPr>
        <w:t xml:space="preserve">გათვალისწინებით, დადგენილების ცვლილების პროექტით გათვალისწინებულია 1 ივნისიდან გადაწყვეტილებების მიღების განახლება ბავშვთა ადრეული განვითარების ხელშეწყობისა და დღის ცენტრებში მომსახურებით უზრუნველყოფის ქვეპროგრამების იმ ბენეფიციარების მომსახურებებში ჩართვის მიზნით, რომლებიც ამ მომსახურებით სარგებლობდნენ გასული 12 თვის განმავლობაში. ასევე, გათვალისწინებულია გადაწყვეტილებების მიღება </w:t>
      </w:r>
      <w:r w:rsidR="00EC7663" w:rsidRPr="00701B12">
        <w:rPr>
          <w:rFonts w:ascii="Sylfaen" w:eastAsia="Times New Roman" w:hAnsi="Sylfaen" w:cs="Sylfaen"/>
          <w:bCs/>
          <w:noProof/>
          <w:lang w:val="ka-GE"/>
        </w:rPr>
        <w:t>ბავშვთა რეაბილიტაცია/აბილიტაციის ქვეპროგრამის, ომის მონაწილეთა რეაბილიტაციის ხელშეწყობის ქვეპროგრამის, დამხმარე საშუალებებით უზრუნველყოფის ქვეპროგრამის და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w:t>
      </w:r>
    </w:p>
    <w:p w14:paraId="07F2435E" w14:textId="376AF251" w:rsidR="00EC7663" w:rsidRPr="00701B12" w:rsidRDefault="00005B3D" w:rsidP="00EC7663">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ab/>
      </w:r>
      <w:r>
        <w:rPr>
          <w:rFonts w:ascii="Sylfaen" w:hAnsi="Sylfaen"/>
          <w:lang w:val="ka-GE"/>
        </w:rPr>
        <w:tab/>
      </w:r>
      <w:r w:rsidR="00EC7663" w:rsidRPr="00DB5362">
        <w:rPr>
          <w:rFonts w:ascii="Sylfaen" w:hAnsi="Sylfaen"/>
          <w:lang w:val="ka-GE"/>
        </w:rPr>
        <w:t xml:space="preserve">ასევე, დღის </w:t>
      </w:r>
      <w:r w:rsidR="00EC7663" w:rsidRPr="00701B12">
        <w:rPr>
          <w:rFonts w:ascii="Sylfaen" w:hAnsi="Sylfaen"/>
          <w:lang w:val="ka-GE"/>
        </w:rPr>
        <w:t xml:space="preserve">ცენტრების მომსახურების მიმღები ბენეფიციარებისათვის გათვალისწინებულ იქნა „კვების ვაუჩერის“ გაცემა მომსახურების მიწოდების სრულად აღდგენის ვადით.  </w:t>
      </w:r>
    </w:p>
    <w:p w14:paraId="740F268A" w14:textId="2BB1AC07" w:rsidR="00EC7663" w:rsidRPr="00701B12" w:rsidRDefault="00005B3D" w:rsidP="00EC7663">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lastRenderedPageBreak/>
        <w:tab/>
      </w:r>
      <w:r>
        <w:rPr>
          <w:rFonts w:ascii="Sylfaen" w:hAnsi="Sylfaen"/>
          <w:lang w:val="ka-GE"/>
        </w:rPr>
        <w:tab/>
      </w:r>
      <w:r w:rsidR="00EC7663" w:rsidRPr="00DB5362">
        <w:rPr>
          <w:rFonts w:ascii="Sylfaen" w:hAnsi="Sylfaen"/>
          <w:lang w:val="ka-GE"/>
        </w:rPr>
        <w:t xml:space="preserve">ამასთან, გამომდინარე </w:t>
      </w:r>
      <w:r w:rsidR="00EC7663" w:rsidRPr="00701B12">
        <w:rPr>
          <w:rFonts w:ascii="Sylfaen" w:hAnsi="Sylfaen"/>
          <w:lang w:val="ka-GE"/>
        </w:rPr>
        <w:t>იქიდან, რომ გაზრდილია მოთხოვნა 24 სერვისების ჩართვის მიზნით და ამა</w:t>
      </w:r>
      <w:r w:rsidR="00AC6403" w:rsidRPr="00701B12">
        <w:rPr>
          <w:rFonts w:ascii="Sylfaen" w:hAnsi="Sylfaen"/>
          <w:lang w:val="ka-GE"/>
        </w:rPr>
        <w:t>ვ</w:t>
      </w:r>
      <w:r w:rsidR="00EC7663" w:rsidRPr="00701B12">
        <w:rPr>
          <w:rFonts w:ascii="Sylfaen" w:hAnsi="Sylfaen"/>
          <w:lang w:val="ka-GE"/>
        </w:rPr>
        <w:t>დროულად არსებული ვითარების გამო ვერ მოხდა ამავე ქვეპროგრამის შშმ პირთა დამოუკიდებელი ცხოვრების ხელშეწყობის კომპონენტში ახალი სერვისების გახსნა (რაც დაგეგმილი იყო იანვარში, მარტში და აპრილში), „სათემო ორგანიზაციებში მომსახურებით უზრუნველყოფის ქვეპროგრამის“ ხანდაზმულთა და შშმ პირთა სათემო მომსახურებით უზრუნველყოფის კომპონენტის ლიმიტი გაიზარდა 1</w:t>
      </w:r>
      <w:r w:rsidR="00881E6D" w:rsidRPr="00701B12">
        <w:rPr>
          <w:rFonts w:ascii="Sylfaen" w:hAnsi="Sylfaen"/>
          <w:lang w:val="ka-GE"/>
        </w:rPr>
        <w:t>5</w:t>
      </w:r>
      <w:r w:rsidR="00EC7663" w:rsidRPr="00701B12">
        <w:rPr>
          <w:rFonts w:ascii="Sylfaen" w:hAnsi="Sylfaen"/>
          <w:lang w:val="ka-GE"/>
        </w:rPr>
        <w:t>-ით და  განისაზღვრა 29</w:t>
      </w:r>
      <w:r w:rsidR="00881E6D" w:rsidRPr="00701B12">
        <w:rPr>
          <w:rFonts w:ascii="Sylfaen" w:hAnsi="Sylfaen"/>
          <w:lang w:val="ka-GE"/>
        </w:rPr>
        <w:t>5</w:t>
      </w:r>
      <w:r w:rsidR="00EC7663" w:rsidRPr="00701B12">
        <w:rPr>
          <w:rFonts w:ascii="Sylfaen" w:hAnsi="Sylfaen"/>
          <w:lang w:val="ka-GE"/>
        </w:rPr>
        <w:t xml:space="preserve"> ბენეფიციარით. </w:t>
      </w:r>
    </w:p>
    <w:p w14:paraId="04468196" w14:textId="77777777" w:rsidR="00EC7663" w:rsidRPr="00701B12" w:rsidRDefault="00EC7663" w:rsidP="00EC7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rPr>
      </w:pPr>
    </w:p>
    <w:p w14:paraId="1FE5F7F0" w14:textId="77777777" w:rsidR="00EC7663" w:rsidRPr="00701B12" w:rsidRDefault="00EC7663" w:rsidP="00701B12">
      <w:pPr>
        <w:pStyle w:val="NoSpacing"/>
        <w:jc w:val="center"/>
        <w:rPr>
          <w:rFonts w:ascii="Sylfaen" w:hAnsi="Sylfaen"/>
          <w:b/>
          <w:lang w:val="ka-GE"/>
        </w:rPr>
      </w:pPr>
      <w:r w:rsidRPr="00701B12">
        <w:rPr>
          <w:rFonts w:ascii="Sylfaen" w:hAnsi="Sylfaen"/>
          <w:b/>
          <w:lang w:val="ka-GE"/>
        </w:rPr>
        <w:t>ინფორმაცია ევროკავშირის სამართლებრივი აქტის შესახებ</w:t>
      </w:r>
    </w:p>
    <w:p w14:paraId="54657E9D" w14:textId="77777777" w:rsidR="00EC7663" w:rsidRPr="00701B12" w:rsidRDefault="00EC7663" w:rsidP="00EC7663">
      <w:pPr>
        <w:pStyle w:val="NoSpacing"/>
        <w:rPr>
          <w:rFonts w:ascii="Sylfaen" w:hAnsi="Sylfaen"/>
          <w:b/>
          <w:lang w:val="ka-GE"/>
        </w:rPr>
      </w:pPr>
    </w:p>
    <w:p w14:paraId="54B7315D" w14:textId="28F416C3" w:rsidR="00EC7663" w:rsidRDefault="00EC7663" w:rsidP="00701B12">
      <w:pPr>
        <w:pStyle w:val="NoSpacing"/>
        <w:ind w:firstLine="720"/>
        <w:jc w:val="both"/>
        <w:rPr>
          <w:rFonts w:ascii="Sylfaen" w:hAnsi="Sylfaen"/>
          <w:lang w:val="ka-GE"/>
        </w:rPr>
      </w:pPr>
      <w:r w:rsidRPr="00701B12">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71A0E22" w14:textId="77777777" w:rsidR="00005B3D" w:rsidRPr="00DB5362" w:rsidRDefault="00005B3D" w:rsidP="00701B12">
      <w:pPr>
        <w:pStyle w:val="NoSpacing"/>
        <w:ind w:firstLine="720"/>
        <w:jc w:val="both"/>
        <w:rPr>
          <w:rFonts w:ascii="Sylfaen" w:hAnsi="Sylfaen"/>
          <w:lang w:val="ka-GE"/>
        </w:rPr>
      </w:pPr>
    </w:p>
    <w:p w14:paraId="12ED9EF2" w14:textId="77777777" w:rsidR="00EC7663" w:rsidRPr="00DB5362" w:rsidRDefault="00EC7663" w:rsidP="00EC7663">
      <w:pPr>
        <w:pStyle w:val="NoSpacing"/>
        <w:jc w:val="both"/>
        <w:rPr>
          <w:rFonts w:ascii="Sylfaen" w:hAnsi="Sylfaen"/>
          <w:lang w:val="ka-GE"/>
        </w:rPr>
      </w:pPr>
    </w:p>
    <w:p w14:paraId="40F75B71" w14:textId="5A214D2D" w:rsidR="00EC7663" w:rsidRPr="00701B12" w:rsidRDefault="00EC7663" w:rsidP="00701B12">
      <w:pPr>
        <w:spacing w:line="240" w:lineRule="auto"/>
        <w:jc w:val="center"/>
        <w:rPr>
          <w:rFonts w:ascii="Sylfaen" w:hAnsi="Sylfaen"/>
          <w:b/>
          <w:lang w:val="ka-GE"/>
        </w:rPr>
      </w:pPr>
      <w:r w:rsidRPr="00DB5362">
        <w:rPr>
          <w:rFonts w:ascii="Sylfaen" w:hAnsi="Sylfaen" w:cs="Sylfaen"/>
          <w:b/>
          <w:lang w:val="ka-GE"/>
        </w:rPr>
        <w:t>პროექტის</w:t>
      </w:r>
      <w:r w:rsidRPr="00701B12">
        <w:rPr>
          <w:rFonts w:ascii="Sylfaen" w:hAnsi="Sylfaen"/>
          <w:b/>
          <w:lang w:val="ka-GE"/>
        </w:rPr>
        <w:t xml:space="preserve"> </w:t>
      </w:r>
      <w:r w:rsidRPr="00701B12">
        <w:rPr>
          <w:rFonts w:ascii="Sylfaen" w:hAnsi="Sylfaen" w:cs="Sylfaen"/>
          <w:b/>
          <w:lang w:val="ka-GE"/>
        </w:rPr>
        <w:t>მიღებით</w:t>
      </w:r>
      <w:r w:rsidRPr="00701B12">
        <w:rPr>
          <w:rFonts w:ascii="Sylfaen" w:hAnsi="Sylfaen"/>
          <w:b/>
          <w:lang w:val="ka-GE"/>
        </w:rPr>
        <w:t xml:space="preserve"> </w:t>
      </w:r>
      <w:r w:rsidRPr="00701B12">
        <w:rPr>
          <w:rFonts w:ascii="Sylfaen" w:hAnsi="Sylfaen" w:cs="Sylfaen"/>
          <w:b/>
          <w:lang w:val="ka-GE"/>
        </w:rPr>
        <w:t>გამოწვეული</w:t>
      </w:r>
      <w:r w:rsidRPr="00701B12">
        <w:rPr>
          <w:rFonts w:ascii="Sylfaen" w:hAnsi="Sylfaen"/>
          <w:b/>
          <w:lang w:val="ka-GE"/>
        </w:rPr>
        <w:t xml:space="preserve"> </w:t>
      </w:r>
      <w:r w:rsidRPr="00701B12">
        <w:rPr>
          <w:rFonts w:ascii="Sylfaen" w:hAnsi="Sylfaen" w:cs="Sylfaen"/>
          <w:b/>
          <w:lang w:val="ka-GE"/>
        </w:rPr>
        <w:t>საფინანსო</w:t>
      </w:r>
      <w:r w:rsidRPr="00701B12">
        <w:rPr>
          <w:rFonts w:ascii="Sylfaen" w:hAnsi="Sylfaen"/>
          <w:b/>
          <w:lang w:val="ka-GE"/>
        </w:rPr>
        <w:t>-</w:t>
      </w:r>
      <w:r w:rsidRPr="00701B12">
        <w:rPr>
          <w:rFonts w:ascii="Sylfaen" w:hAnsi="Sylfaen" w:cs="Sylfaen"/>
          <w:b/>
          <w:lang w:val="ka-GE"/>
        </w:rPr>
        <w:t>ეკონომიკური შედეგების</w:t>
      </w:r>
      <w:r w:rsidRPr="00701B12">
        <w:rPr>
          <w:rFonts w:ascii="Sylfaen" w:hAnsi="Sylfaen"/>
          <w:b/>
          <w:lang w:val="ka-GE"/>
        </w:rPr>
        <w:t xml:space="preserve"> </w:t>
      </w:r>
      <w:r w:rsidRPr="00701B12">
        <w:rPr>
          <w:rFonts w:ascii="Sylfaen" w:hAnsi="Sylfaen" w:cs="Sylfaen"/>
          <w:b/>
          <w:lang w:val="ka-GE"/>
        </w:rPr>
        <w:t>გაანგარიშება</w:t>
      </w:r>
    </w:p>
    <w:p w14:paraId="6C7BDA5C" w14:textId="7D9CF947" w:rsidR="00EC7663" w:rsidRDefault="00EC7663" w:rsidP="00701B12">
      <w:pPr>
        <w:spacing w:line="240" w:lineRule="auto"/>
        <w:ind w:firstLine="720"/>
        <w:jc w:val="both"/>
        <w:rPr>
          <w:rFonts w:ascii="Sylfaen" w:hAnsi="Sylfaen"/>
          <w:lang w:val="ka-GE"/>
        </w:rPr>
      </w:pPr>
      <w:r w:rsidRPr="00701B12">
        <w:rPr>
          <w:rFonts w:ascii="Sylfaen" w:hAnsi="Sylfaen" w:cs="Sylfaen"/>
          <w:lang w:val="ka-GE"/>
        </w:rPr>
        <w:t>პროექტის დაფინანსება განხორციელდება „საქართველოს 20</w:t>
      </w:r>
      <w:r w:rsidRPr="00701B12">
        <w:rPr>
          <w:rFonts w:ascii="Sylfaen" w:hAnsi="Sylfaen" w:cs="Sylfaen"/>
        </w:rPr>
        <w:t>20</w:t>
      </w:r>
      <w:r w:rsidRPr="00701B12">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701B1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0A140B36" w14:textId="77777777" w:rsidR="00005B3D" w:rsidRPr="00DB5362" w:rsidRDefault="00005B3D" w:rsidP="00701B12">
      <w:pPr>
        <w:spacing w:line="240" w:lineRule="auto"/>
        <w:ind w:firstLine="720"/>
        <w:jc w:val="both"/>
        <w:rPr>
          <w:rFonts w:ascii="Sylfaen" w:hAnsi="Sylfaen"/>
          <w:lang w:val="ka-GE"/>
        </w:rPr>
      </w:pPr>
    </w:p>
    <w:p w14:paraId="6674F33B" w14:textId="77777777" w:rsidR="00EC7663" w:rsidRPr="00701B12" w:rsidRDefault="00EC7663" w:rsidP="00701B12">
      <w:pPr>
        <w:spacing w:line="240" w:lineRule="auto"/>
        <w:jc w:val="center"/>
        <w:rPr>
          <w:rFonts w:ascii="Sylfaen" w:hAnsi="Sylfaen"/>
          <w:b/>
          <w:lang w:val="ka-GE"/>
        </w:rPr>
      </w:pPr>
      <w:r w:rsidRPr="00DB5362">
        <w:rPr>
          <w:rFonts w:ascii="Sylfaen" w:hAnsi="Sylfaen"/>
          <w:b/>
          <w:lang w:val="ka-GE"/>
        </w:rPr>
        <w:t>პროექტის მოსალოდნელი</w:t>
      </w:r>
      <w:r w:rsidRPr="00701B12">
        <w:rPr>
          <w:rFonts w:ascii="Sylfaen" w:hAnsi="Sylfaen"/>
          <w:b/>
          <w:lang w:val="ka-GE"/>
        </w:rPr>
        <w:t xml:space="preserve"> შედეგი</w:t>
      </w:r>
    </w:p>
    <w:p w14:paraId="2FA4095C" w14:textId="408ECE89" w:rsidR="00EC7663" w:rsidRDefault="00005B3D" w:rsidP="00EC7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r>
        <w:rPr>
          <w:rFonts w:ascii="Sylfaen" w:hAnsi="Sylfaen"/>
          <w:lang w:val="ka-GE"/>
        </w:rPr>
        <w:tab/>
      </w:r>
      <w:r w:rsidR="00EC7663" w:rsidRPr="00DB5362">
        <w:rPr>
          <w:rFonts w:ascii="Sylfaen" w:hAnsi="Sylfaen"/>
          <w:lang w:val="ka-GE"/>
        </w:rPr>
        <w:t xml:space="preserve">წარმოდგენილი ცვლილების </w:t>
      </w:r>
      <w:r w:rsidR="00EC7663" w:rsidRPr="00701B12">
        <w:rPr>
          <w:rFonts w:ascii="Sylfaen" w:hAnsi="Sylfaen"/>
          <w:lang w:val="ka-GE"/>
        </w:rPr>
        <w:t>ძალაში შესვლის შემდეგ შესაძლებელი იქნება ზოგიერთი ქვეპროგრამით გათვალისწინებული მომსახურებების მიწოდების შეჩ</w:t>
      </w:r>
      <w:r w:rsidR="00AC6403" w:rsidRPr="00701B12">
        <w:rPr>
          <w:rFonts w:ascii="Sylfaen" w:hAnsi="Sylfaen"/>
          <w:lang w:val="ka-GE"/>
        </w:rPr>
        <w:t>ე</w:t>
      </w:r>
      <w:r w:rsidR="00EC7663" w:rsidRPr="00701B12">
        <w:rPr>
          <w:rFonts w:ascii="Sylfaen" w:hAnsi="Sylfaen"/>
          <w:lang w:val="ka-GE"/>
        </w:rPr>
        <w:t>რების</w:t>
      </w:r>
      <w:r w:rsidR="00881E6D" w:rsidRPr="00701B12">
        <w:rPr>
          <w:rFonts w:ascii="Sylfaen" w:hAnsi="Sylfaen"/>
          <w:lang w:val="ka-GE"/>
        </w:rPr>
        <w:t xml:space="preserve"> პერიოდში</w:t>
      </w:r>
      <w:r w:rsidR="00EC7663" w:rsidRPr="00701B12">
        <w:rPr>
          <w:rFonts w:ascii="Sylfaen" w:hAnsi="Sylfaen"/>
          <w:lang w:val="ka-GE"/>
        </w:rPr>
        <w:t xml:space="preserve"> სერვისების დაფინანსება და გაიზრდება „სათემო ორგანიზაციებში მომსახურებით უზრუნველყოფის ქვეპროგრამის“ ბენეფიციართა რაოდენობა.</w:t>
      </w:r>
    </w:p>
    <w:p w14:paraId="74B83413" w14:textId="77777777" w:rsidR="00005B3D" w:rsidRPr="00DB5362" w:rsidRDefault="00005B3D" w:rsidP="00EC7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lang w:val="ka-GE"/>
        </w:rPr>
      </w:pPr>
    </w:p>
    <w:p w14:paraId="4307C99E" w14:textId="77777777" w:rsidR="00EC7663" w:rsidRPr="00701B12" w:rsidRDefault="00EC7663" w:rsidP="00701B12">
      <w:pPr>
        <w:spacing w:line="240" w:lineRule="auto"/>
        <w:jc w:val="center"/>
        <w:rPr>
          <w:rFonts w:ascii="Sylfaen" w:hAnsi="Sylfaen"/>
          <w:b/>
          <w:lang w:val="ka-GE"/>
        </w:rPr>
      </w:pPr>
      <w:r w:rsidRPr="00DB5362">
        <w:rPr>
          <w:rFonts w:ascii="Sylfaen" w:hAnsi="Sylfaen"/>
          <w:b/>
          <w:lang w:val="ka-GE"/>
        </w:rPr>
        <w:t>პროექტის განხორციელების</w:t>
      </w:r>
      <w:r w:rsidRPr="00701B12">
        <w:rPr>
          <w:rFonts w:ascii="Sylfaen" w:hAnsi="Sylfaen"/>
          <w:b/>
          <w:lang w:val="ka-GE"/>
        </w:rPr>
        <w:t xml:space="preserve"> ვადები</w:t>
      </w:r>
    </w:p>
    <w:p w14:paraId="1CCE78E9" w14:textId="59B2B529" w:rsidR="00EC7663" w:rsidRDefault="00EC7663" w:rsidP="00701B12">
      <w:pPr>
        <w:spacing w:line="240" w:lineRule="auto"/>
        <w:ind w:firstLine="720"/>
        <w:jc w:val="both"/>
        <w:rPr>
          <w:rFonts w:ascii="Sylfaen" w:hAnsi="Sylfaen"/>
          <w:lang w:val="ka-GE"/>
        </w:rPr>
      </w:pPr>
      <w:r w:rsidRPr="00701B12">
        <w:rPr>
          <w:rFonts w:ascii="Sylfaen" w:hAnsi="Sylfaen"/>
          <w:lang w:val="ka-GE"/>
        </w:rPr>
        <w:t xml:space="preserve"> პროექტი ამოქმედდება გამოქვეყნებისთანავე. </w:t>
      </w:r>
    </w:p>
    <w:p w14:paraId="37DCD444" w14:textId="77777777" w:rsidR="00005B3D" w:rsidRPr="00DB5362" w:rsidRDefault="00005B3D" w:rsidP="00701B12">
      <w:pPr>
        <w:spacing w:line="240" w:lineRule="auto"/>
        <w:ind w:firstLine="720"/>
        <w:jc w:val="both"/>
        <w:rPr>
          <w:rFonts w:ascii="Sylfaen" w:hAnsi="Sylfaen"/>
          <w:b/>
          <w:lang w:val="ka-GE"/>
        </w:rPr>
      </w:pPr>
    </w:p>
    <w:p w14:paraId="38013333" w14:textId="77777777" w:rsidR="00EC7663" w:rsidRPr="00701B12" w:rsidRDefault="00EC7663" w:rsidP="00701B12">
      <w:pPr>
        <w:spacing w:line="240" w:lineRule="auto"/>
        <w:jc w:val="center"/>
        <w:rPr>
          <w:rFonts w:ascii="Sylfaen" w:hAnsi="Sylfaen"/>
          <w:b/>
          <w:lang w:val="ka-GE"/>
        </w:rPr>
      </w:pPr>
      <w:r w:rsidRPr="00DB5362">
        <w:rPr>
          <w:rFonts w:ascii="Sylfaen" w:hAnsi="Sylfaen"/>
          <w:b/>
          <w:lang w:val="ka-GE"/>
        </w:rPr>
        <w:t>პროექტის ავტორი</w:t>
      </w:r>
      <w:r w:rsidRPr="00701B12">
        <w:rPr>
          <w:rFonts w:ascii="Sylfaen" w:hAnsi="Sylfaen"/>
          <w:b/>
          <w:lang w:val="ka-GE"/>
        </w:rPr>
        <w:t xml:space="preserve"> და წარმდგენი</w:t>
      </w:r>
    </w:p>
    <w:p w14:paraId="2115F9FB" w14:textId="77777777" w:rsidR="00EC7663" w:rsidRPr="00701B12" w:rsidRDefault="00EC7663" w:rsidP="00701B12">
      <w:pPr>
        <w:spacing w:line="240" w:lineRule="auto"/>
        <w:ind w:firstLine="720"/>
        <w:jc w:val="both"/>
        <w:rPr>
          <w:rFonts w:ascii="Sylfaen" w:hAnsi="Sylfaen"/>
          <w:lang w:val="ka-GE"/>
        </w:rPr>
      </w:pPr>
      <w:r w:rsidRPr="00701B1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6323CC7A" w14:textId="77777777" w:rsidR="00EC7663" w:rsidRPr="00701B12" w:rsidRDefault="00EC7663" w:rsidP="00EC7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p>
    <w:p w14:paraId="6F684A4C" w14:textId="77777777" w:rsidR="00EC7663" w:rsidRPr="00701B12" w:rsidRDefault="00EC7663" w:rsidP="00EC7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0EF7279E" w14:textId="77777777" w:rsidR="00EC7663" w:rsidRPr="00701B12" w:rsidRDefault="00EC7663" w:rsidP="00EC7663">
      <w:pPr>
        <w:spacing w:line="240" w:lineRule="auto"/>
        <w:rPr>
          <w:rFonts w:ascii="Sylfaen" w:hAnsi="Sylfaen"/>
        </w:rPr>
      </w:pPr>
    </w:p>
    <w:p w14:paraId="57488192" w14:textId="0096454F" w:rsidR="00084DD2" w:rsidRPr="00DB5362" w:rsidRDefault="00084DD2" w:rsidP="00701B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lang w:val="ka-GE"/>
        </w:rPr>
      </w:pPr>
    </w:p>
    <w:sectPr w:rsidR="00084DD2" w:rsidRPr="00DB5362" w:rsidSect="00ED648B">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69D01" w14:textId="77777777" w:rsidR="00E2757F" w:rsidRDefault="00E2757F" w:rsidP="008A0613">
      <w:pPr>
        <w:spacing w:after="0" w:line="240" w:lineRule="auto"/>
      </w:pPr>
      <w:r>
        <w:separator/>
      </w:r>
    </w:p>
  </w:endnote>
  <w:endnote w:type="continuationSeparator" w:id="0">
    <w:p w14:paraId="1DB705AA" w14:textId="77777777" w:rsidR="00E2757F" w:rsidRDefault="00E2757F"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03F1A" w14:textId="77777777" w:rsidR="00E2757F" w:rsidRDefault="00E2757F" w:rsidP="008A0613">
      <w:pPr>
        <w:spacing w:after="0" w:line="240" w:lineRule="auto"/>
      </w:pPr>
      <w:r>
        <w:separator/>
      </w:r>
    </w:p>
  </w:footnote>
  <w:footnote w:type="continuationSeparator" w:id="0">
    <w:p w14:paraId="11AAFEB5" w14:textId="77777777" w:rsidR="00E2757F" w:rsidRDefault="00E2757F" w:rsidP="008A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90F"/>
    <w:multiLevelType w:val="hybridMultilevel"/>
    <w:tmpl w:val="04B4C00C"/>
    <w:lvl w:ilvl="0" w:tplc="2FD086CE">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81670B2"/>
    <w:multiLevelType w:val="hybridMultilevel"/>
    <w:tmpl w:val="ED741A32"/>
    <w:lvl w:ilvl="0" w:tplc="B838E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4D09C8"/>
    <w:multiLevelType w:val="hybridMultilevel"/>
    <w:tmpl w:val="C4A4699A"/>
    <w:lvl w:ilvl="0" w:tplc="ACF84F6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5">
    <w:nsid w:val="24965841"/>
    <w:multiLevelType w:val="hybridMultilevel"/>
    <w:tmpl w:val="DDEA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81F06"/>
    <w:multiLevelType w:val="hybridMultilevel"/>
    <w:tmpl w:val="6218B89A"/>
    <w:lvl w:ilvl="0" w:tplc="9878B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10BCA"/>
    <w:multiLevelType w:val="hybridMultilevel"/>
    <w:tmpl w:val="212AA28C"/>
    <w:lvl w:ilvl="0" w:tplc="D31C926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41E87"/>
    <w:multiLevelType w:val="hybridMultilevel"/>
    <w:tmpl w:val="30129010"/>
    <w:lvl w:ilvl="0" w:tplc="E17E515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DD27D2"/>
    <w:multiLevelType w:val="hybridMultilevel"/>
    <w:tmpl w:val="36943762"/>
    <w:lvl w:ilvl="0" w:tplc="255EF292">
      <w:start w:val="2"/>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FE7B52"/>
    <w:multiLevelType w:val="hybridMultilevel"/>
    <w:tmpl w:val="FCBE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C62E6"/>
    <w:multiLevelType w:val="hybridMultilevel"/>
    <w:tmpl w:val="433A71E2"/>
    <w:lvl w:ilvl="0" w:tplc="8E26DD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7"/>
  </w:num>
  <w:num w:numId="3">
    <w:abstractNumId w:val="4"/>
  </w:num>
  <w:num w:numId="4">
    <w:abstractNumId w:val="15"/>
  </w:num>
  <w:num w:numId="5">
    <w:abstractNumId w:val="18"/>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2"/>
  </w:num>
  <w:num w:numId="11">
    <w:abstractNumId w:val="20"/>
  </w:num>
  <w:num w:numId="12">
    <w:abstractNumId w:val="8"/>
  </w:num>
  <w:num w:numId="13">
    <w:abstractNumId w:val="11"/>
  </w:num>
  <w:num w:numId="14">
    <w:abstractNumId w:val="21"/>
  </w:num>
  <w:num w:numId="15">
    <w:abstractNumId w:val="3"/>
  </w:num>
  <w:num w:numId="16">
    <w:abstractNumId w:val="22"/>
  </w:num>
  <w:num w:numId="17">
    <w:abstractNumId w:val="14"/>
  </w:num>
  <w:num w:numId="18">
    <w:abstractNumId w:val="2"/>
  </w:num>
  <w:num w:numId="19">
    <w:abstractNumId w:val="0"/>
  </w:num>
  <w:num w:numId="20">
    <w:abstractNumId w:val="5"/>
  </w:num>
  <w:num w:numId="21">
    <w:abstractNumId w:val="16"/>
  </w:num>
  <w:num w:numId="22">
    <w:abstractNumId w:val="10"/>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D2"/>
    <w:rsid w:val="00002C84"/>
    <w:rsid w:val="0000444D"/>
    <w:rsid w:val="00005B3D"/>
    <w:rsid w:val="00005E32"/>
    <w:rsid w:val="00006C75"/>
    <w:rsid w:val="000075F6"/>
    <w:rsid w:val="00017D27"/>
    <w:rsid w:val="00025A0D"/>
    <w:rsid w:val="00026D5D"/>
    <w:rsid w:val="00033BCE"/>
    <w:rsid w:val="00055604"/>
    <w:rsid w:val="0005729D"/>
    <w:rsid w:val="00064532"/>
    <w:rsid w:val="00082A81"/>
    <w:rsid w:val="00083421"/>
    <w:rsid w:val="00084DD2"/>
    <w:rsid w:val="00084EBA"/>
    <w:rsid w:val="000853B1"/>
    <w:rsid w:val="00086DB3"/>
    <w:rsid w:val="000927C5"/>
    <w:rsid w:val="0009741A"/>
    <w:rsid w:val="000A04F1"/>
    <w:rsid w:val="000A6648"/>
    <w:rsid w:val="000D1D13"/>
    <w:rsid w:val="000D2903"/>
    <w:rsid w:val="000D2AEE"/>
    <w:rsid w:val="000E299C"/>
    <w:rsid w:val="000F4D29"/>
    <w:rsid w:val="00107BCE"/>
    <w:rsid w:val="001154AA"/>
    <w:rsid w:val="001167E2"/>
    <w:rsid w:val="001209AB"/>
    <w:rsid w:val="001213A8"/>
    <w:rsid w:val="00137358"/>
    <w:rsid w:val="00137DF7"/>
    <w:rsid w:val="001502DD"/>
    <w:rsid w:val="001508CD"/>
    <w:rsid w:val="00154B4D"/>
    <w:rsid w:val="00157067"/>
    <w:rsid w:val="001637EA"/>
    <w:rsid w:val="00167753"/>
    <w:rsid w:val="0017663A"/>
    <w:rsid w:val="00181867"/>
    <w:rsid w:val="00190E52"/>
    <w:rsid w:val="001929D5"/>
    <w:rsid w:val="001937E1"/>
    <w:rsid w:val="00197240"/>
    <w:rsid w:val="001A4A9B"/>
    <w:rsid w:val="001B02A5"/>
    <w:rsid w:val="001B05AA"/>
    <w:rsid w:val="001B6777"/>
    <w:rsid w:val="001C63E5"/>
    <w:rsid w:val="001C67DE"/>
    <w:rsid w:val="001D22A2"/>
    <w:rsid w:val="001D38AF"/>
    <w:rsid w:val="001E1824"/>
    <w:rsid w:val="001F00DD"/>
    <w:rsid w:val="001F54BA"/>
    <w:rsid w:val="001F73FC"/>
    <w:rsid w:val="001F7D5A"/>
    <w:rsid w:val="00205C62"/>
    <w:rsid w:val="002109B5"/>
    <w:rsid w:val="002173CB"/>
    <w:rsid w:val="00226F43"/>
    <w:rsid w:val="0023233E"/>
    <w:rsid w:val="002439E8"/>
    <w:rsid w:val="002445B9"/>
    <w:rsid w:val="00246939"/>
    <w:rsid w:val="002476D8"/>
    <w:rsid w:val="0026508B"/>
    <w:rsid w:val="00280D3B"/>
    <w:rsid w:val="00280EFB"/>
    <w:rsid w:val="00284E31"/>
    <w:rsid w:val="00285165"/>
    <w:rsid w:val="002971C1"/>
    <w:rsid w:val="00297373"/>
    <w:rsid w:val="002A0EF5"/>
    <w:rsid w:val="002D1F03"/>
    <w:rsid w:val="002D5CCA"/>
    <w:rsid w:val="002E29CF"/>
    <w:rsid w:val="002F2EDA"/>
    <w:rsid w:val="003049FC"/>
    <w:rsid w:val="00305EBA"/>
    <w:rsid w:val="00311FFF"/>
    <w:rsid w:val="00320A8D"/>
    <w:rsid w:val="0032678A"/>
    <w:rsid w:val="003330FA"/>
    <w:rsid w:val="00347AA6"/>
    <w:rsid w:val="00367628"/>
    <w:rsid w:val="00371F9F"/>
    <w:rsid w:val="00372604"/>
    <w:rsid w:val="00385E74"/>
    <w:rsid w:val="00386302"/>
    <w:rsid w:val="003A473E"/>
    <w:rsid w:val="003B46BE"/>
    <w:rsid w:val="003B4AA6"/>
    <w:rsid w:val="003B5544"/>
    <w:rsid w:val="003B77E9"/>
    <w:rsid w:val="003C2EC2"/>
    <w:rsid w:val="003C3D64"/>
    <w:rsid w:val="003C406D"/>
    <w:rsid w:val="003E2077"/>
    <w:rsid w:val="003E2253"/>
    <w:rsid w:val="003E28F6"/>
    <w:rsid w:val="003E6C96"/>
    <w:rsid w:val="003F5122"/>
    <w:rsid w:val="00402651"/>
    <w:rsid w:val="00411E8D"/>
    <w:rsid w:val="00413E6C"/>
    <w:rsid w:val="004141FE"/>
    <w:rsid w:val="00433F44"/>
    <w:rsid w:val="0043736C"/>
    <w:rsid w:val="00437D77"/>
    <w:rsid w:val="004479FA"/>
    <w:rsid w:val="004565D3"/>
    <w:rsid w:val="00467F47"/>
    <w:rsid w:val="00493D50"/>
    <w:rsid w:val="00495044"/>
    <w:rsid w:val="004A4644"/>
    <w:rsid w:val="004A6059"/>
    <w:rsid w:val="004B292B"/>
    <w:rsid w:val="004B57F8"/>
    <w:rsid w:val="004C4CEA"/>
    <w:rsid w:val="004D1DCA"/>
    <w:rsid w:val="004D5A0B"/>
    <w:rsid w:val="004E4CA1"/>
    <w:rsid w:val="00504C49"/>
    <w:rsid w:val="005146E8"/>
    <w:rsid w:val="0051685A"/>
    <w:rsid w:val="00520B37"/>
    <w:rsid w:val="00523064"/>
    <w:rsid w:val="00533D39"/>
    <w:rsid w:val="00587F27"/>
    <w:rsid w:val="005960D0"/>
    <w:rsid w:val="005A0B8C"/>
    <w:rsid w:val="005A12FC"/>
    <w:rsid w:val="005B5501"/>
    <w:rsid w:val="005B6C0B"/>
    <w:rsid w:val="005C071C"/>
    <w:rsid w:val="005C60A3"/>
    <w:rsid w:val="005C6716"/>
    <w:rsid w:val="005E6B06"/>
    <w:rsid w:val="005F152E"/>
    <w:rsid w:val="005F51E3"/>
    <w:rsid w:val="005F65B2"/>
    <w:rsid w:val="00613E6D"/>
    <w:rsid w:val="006150E3"/>
    <w:rsid w:val="00626A93"/>
    <w:rsid w:val="00635EE1"/>
    <w:rsid w:val="00645BE5"/>
    <w:rsid w:val="00655FF2"/>
    <w:rsid w:val="006577B9"/>
    <w:rsid w:val="0066175F"/>
    <w:rsid w:val="00663369"/>
    <w:rsid w:val="006645DA"/>
    <w:rsid w:val="00672466"/>
    <w:rsid w:val="0067290E"/>
    <w:rsid w:val="00675593"/>
    <w:rsid w:val="006901ED"/>
    <w:rsid w:val="006962A8"/>
    <w:rsid w:val="006A1424"/>
    <w:rsid w:val="006C2745"/>
    <w:rsid w:val="006C7A5B"/>
    <w:rsid w:val="006D48B0"/>
    <w:rsid w:val="006E5171"/>
    <w:rsid w:val="006E5718"/>
    <w:rsid w:val="006E5C1B"/>
    <w:rsid w:val="006E72B3"/>
    <w:rsid w:val="006F0610"/>
    <w:rsid w:val="006F1999"/>
    <w:rsid w:val="006F77DB"/>
    <w:rsid w:val="00701B12"/>
    <w:rsid w:val="00722B33"/>
    <w:rsid w:val="00735E47"/>
    <w:rsid w:val="007373BB"/>
    <w:rsid w:val="0073779D"/>
    <w:rsid w:val="007435B9"/>
    <w:rsid w:val="00743A25"/>
    <w:rsid w:val="007461F8"/>
    <w:rsid w:val="00753D89"/>
    <w:rsid w:val="00761F05"/>
    <w:rsid w:val="00772866"/>
    <w:rsid w:val="0079004A"/>
    <w:rsid w:val="00795A95"/>
    <w:rsid w:val="007A25FB"/>
    <w:rsid w:val="007A2EE7"/>
    <w:rsid w:val="007B17B2"/>
    <w:rsid w:val="007B6011"/>
    <w:rsid w:val="007B70DF"/>
    <w:rsid w:val="007D7851"/>
    <w:rsid w:val="007F2CC1"/>
    <w:rsid w:val="008051B9"/>
    <w:rsid w:val="00812262"/>
    <w:rsid w:val="008173DD"/>
    <w:rsid w:val="00824163"/>
    <w:rsid w:val="00824172"/>
    <w:rsid w:val="008248C1"/>
    <w:rsid w:val="008334DE"/>
    <w:rsid w:val="008414D8"/>
    <w:rsid w:val="00842569"/>
    <w:rsid w:val="00842D9C"/>
    <w:rsid w:val="00852D58"/>
    <w:rsid w:val="0086033E"/>
    <w:rsid w:val="008655E0"/>
    <w:rsid w:val="00865ACE"/>
    <w:rsid w:val="00873D27"/>
    <w:rsid w:val="00881E6D"/>
    <w:rsid w:val="00897513"/>
    <w:rsid w:val="008A0613"/>
    <w:rsid w:val="008A0796"/>
    <w:rsid w:val="008C263B"/>
    <w:rsid w:val="008D1516"/>
    <w:rsid w:val="008D4213"/>
    <w:rsid w:val="008F23D8"/>
    <w:rsid w:val="008F7DE0"/>
    <w:rsid w:val="00900C92"/>
    <w:rsid w:val="009134DE"/>
    <w:rsid w:val="009255EF"/>
    <w:rsid w:val="00930946"/>
    <w:rsid w:val="00946166"/>
    <w:rsid w:val="00967AB6"/>
    <w:rsid w:val="00970D43"/>
    <w:rsid w:val="0097659F"/>
    <w:rsid w:val="009869FE"/>
    <w:rsid w:val="009A555F"/>
    <w:rsid w:val="009B3E47"/>
    <w:rsid w:val="009C0D6E"/>
    <w:rsid w:val="009C1D19"/>
    <w:rsid w:val="009C66A8"/>
    <w:rsid w:val="009D0DF5"/>
    <w:rsid w:val="00A01A95"/>
    <w:rsid w:val="00A11377"/>
    <w:rsid w:val="00A25A01"/>
    <w:rsid w:val="00A25D6C"/>
    <w:rsid w:val="00A25FB2"/>
    <w:rsid w:val="00A3644D"/>
    <w:rsid w:val="00A414E8"/>
    <w:rsid w:val="00A43358"/>
    <w:rsid w:val="00A4381F"/>
    <w:rsid w:val="00A45817"/>
    <w:rsid w:val="00A61FFD"/>
    <w:rsid w:val="00A62232"/>
    <w:rsid w:val="00A85769"/>
    <w:rsid w:val="00A94A0D"/>
    <w:rsid w:val="00AA3843"/>
    <w:rsid w:val="00AC6403"/>
    <w:rsid w:val="00AC73B2"/>
    <w:rsid w:val="00AD3344"/>
    <w:rsid w:val="00AD3D16"/>
    <w:rsid w:val="00AD7708"/>
    <w:rsid w:val="00AE38BE"/>
    <w:rsid w:val="00AE532B"/>
    <w:rsid w:val="00AF231B"/>
    <w:rsid w:val="00B00428"/>
    <w:rsid w:val="00B03BE8"/>
    <w:rsid w:val="00B24338"/>
    <w:rsid w:val="00B3177A"/>
    <w:rsid w:val="00B34E53"/>
    <w:rsid w:val="00B45836"/>
    <w:rsid w:val="00B5401D"/>
    <w:rsid w:val="00B60324"/>
    <w:rsid w:val="00B621DD"/>
    <w:rsid w:val="00B70226"/>
    <w:rsid w:val="00B72FFB"/>
    <w:rsid w:val="00B7708A"/>
    <w:rsid w:val="00B8123B"/>
    <w:rsid w:val="00B84640"/>
    <w:rsid w:val="00B8492F"/>
    <w:rsid w:val="00B84CEA"/>
    <w:rsid w:val="00B87E4D"/>
    <w:rsid w:val="00B967D9"/>
    <w:rsid w:val="00B97B51"/>
    <w:rsid w:val="00BA08AE"/>
    <w:rsid w:val="00BA1C81"/>
    <w:rsid w:val="00BA5331"/>
    <w:rsid w:val="00BB0070"/>
    <w:rsid w:val="00BB1B99"/>
    <w:rsid w:val="00BB2923"/>
    <w:rsid w:val="00BB4FAC"/>
    <w:rsid w:val="00BB5B22"/>
    <w:rsid w:val="00BC22F4"/>
    <w:rsid w:val="00BC40B8"/>
    <w:rsid w:val="00BC62C5"/>
    <w:rsid w:val="00BD56F8"/>
    <w:rsid w:val="00BD5DBD"/>
    <w:rsid w:val="00BE393F"/>
    <w:rsid w:val="00C0513B"/>
    <w:rsid w:val="00C120CE"/>
    <w:rsid w:val="00C1221B"/>
    <w:rsid w:val="00C126FE"/>
    <w:rsid w:val="00C14C78"/>
    <w:rsid w:val="00C1745C"/>
    <w:rsid w:val="00C202FA"/>
    <w:rsid w:val="00C21362"/>
    <w:rsid w:val="00C23DC4"/>
    <w:rsid w:val="00C32C5F"/>
    <w:rsid w:val="00C3482B"/>
    <w:rsid w:val="00C41D20"/>
    <w:rsid w:val="00C523AE"/>
    <w:rsid w:val="00C54972"/>
    <w:rsid w:val="00C5569D"/>
    <w:rsid w:val="00C6288F"/>
    <w:rsid w:val="00C653EC"/>
    <w:rsid w:val="00C67BA6"/>
    <w:rsid w:val="00C7170E"/>
    <w:rsid w:val="00C8307D"/>
    <w:rsid w:val="00C92567"/>
    <w:rsid w:val="00C938C2"/>
    <w:rsid w:val="00CA4C0A"/>
    <w:rsid w:val="00CA5DED"/>
    <w:rsid w:val="00CA663C"/>
    <w:rsid w:val="00CB5354"/>
    <w:rsid w:val="00CC034C"/>
    <w:rsid w:val="00CC1DC7"/>
    <w:rsid w:val="00CD25CA"/>
    <w:rsid w:val="00CD7598"/>
    <w:rsid w:val="00CF6F31"/>
    <w:rsid w:val="00D0556F"/>
    <w:rsid w:val="00D113A2"/>
    <w:rsid w:val="00D11E5C"/>
    <w:rsid w:val="00D3112F"/>
    <w:rsid w:val="00D320C4"/>
    <w:rsid w:val="00D4661B"/>
    <w:rsid w:val="00D61887"/>
    <w:rsid w:val="00D65340"/>
    <w:rsid w:val="00D6551D"/>
    <w:rsid w:val="00D769BB"/>
    <w:rsid w:val="00D77B2F"/>
    <w:rsid w:val="00D80635"/>
    <w:rsid w:val="00D94892"/>
    <w:rsid w:val="00DA038C"/>
    <w:rsid w:val="00DA03C8"/>
    <w:rsid w:val="00DA6951"/>
    <w:rsid w:val="00DB5362"/>
    <w:rsid w:val="00DB5B12"/>
    <w:rsid w:val="00DB7C8D"/>
    <w:rsid w:val="00DC2C25"/>
    <w:rsid w:val="00DC2D6F"/>
    <w:rsid w:val="00DC50EB"/>
    <w:rsid w:val="00DD122D"/>
    <w:rsid w:val="00DE2023"/>
    <w:rsid w:val="00DF1E87"/>
    <w:rsid w:val="00E100CE"/>
    <w:rsid w:val="00E161F9"/>
    <w:rsid w:val="00E2066C"/>
    <w:rsid w:val="00E24577"/>
    <w:rsid w:val="00E24B93"/>
    <w:rsid w:val="00E2757F"/>
    <w:rsid w:val="00E33F5E"/>
    <w:rsid w:val="00E42422"/>
    <w:rsid w:val="00E426D0"/>
    <w:rsid w:val="00E508D3"/>
    <w:rsid w:val="00E50EB9"/>
    <w:rsid w:val="00E626C3"/>
    <w:rsid w:val="00E657D9"/>
    <w:rsid w:val="00E71024"/>
    <w:rsid w:val="00E71D49"/>
    <w:rsid w:val="00E71DC1"/>
    <w:rsid w:val="00E97C90"/>
    <w:rsid w:val="00EC0726"/>
    <w:rsid w:val="00EC166F"/>
    <w:rsid w:val="00EC2918"/>
    <w:rsid w:val="00EC7663"/>
    <w:rsid w:val="00ED160D"/>
    <w:rsid w:val="00ED5B56"/>
    <w:rsid w:val="00ED648B"/>
    <w:rsid w:val="00ED6C24"/>
    <w:rsid w:val="00EE7E30"/>
    <w:rsid w:val="00EF5D1B"/>
    <w:rsid w:val="00F01FD9"/>
    <w:rsid w:val="00F02680"/>
    <w:rsid w:val="00F04825"/>
    <w:rsid w:val="00F16AA4"/>
    <w:rsid w:val="00F2455E"/>
    <w:rsid w:val="00F306C2"/>
    <w:rsid w:val="00F307A0"/>
    <w:rsid w:val="00F316CB"/>
    <w:rsid w:val="00F33E48"/>
    <w:rsid w:val="00F3455F"/>
    <w:rsid w:val="00F35E91"/>
    <w:rsid w:val="00F42009"/>
    <w:rsid w:val="00F42489"/>
    <w:rsid w:val="00F42B32"/>
    <w:rsid w:val="00F540FD"/>
    <w:rsid w:val="00F65307"/>
    <w:rsid w:val="00F77304"/>
    <w:rsid w:val="00F968EE"/>
    <w:rsid w:val="00F970A4"/>
    <w:rsid w:val="00FC09EC"/>
    <w:rsid w:val="00FC2819"/>
    <w:rsid w:val="00FC44A1"/>
    <w:rsid w:val="00FD6DF4"/>
    <w:rsid w:val="00FD750F"/>
    <w:rsid w:val="00FE6ECC"/>
    <w:rsid w:val="00FF41BE"/>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 w:type="paragraph" w:customStyle="1" w:styleId="Normal0">
    <w:name w:val="[Normal]"/>
    <w:uiPriority w:val="99"/>
    <w:rsid w:val="00385E74"/>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2838">
      <w:bodyDiv w:val="1"/>
      <w:marLeft w:val="0"/>
      <w:marRight w:val="0"/>
      <w:marTop w:val="0"/>
      <w:marBottom w:val="0"/>
      <w:divBdr>
        <w:top w:val="none" w:sz="0" w:space="0" w:color="auto"/>
        <w:left w:val="none" w:sz="0" w:space="0" w:color="auto"/>
        <w:bottom w:val="none" w:sz="0" w:space="0" w:color="auto"/>
        <w:right w:val="none" w:sz="0" w:space="0" w:color="auto"/>
      </w:divBdr>
    </w:div>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21535461">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34365439">
      <w:bodyDiv w:val="1"/>
      <w:marLeft w:val="0"/>
      <w:marRight w:val="0"/>
      <w:marTop w:val="0"/>
      <w:marBottom w:val="0"/>
      <w:divBdr>
        <w:top w:val="none" w:sz="0" w:space="0" w:color="auto"/>
        <w:left w:val="none" w:sz="0" w:space="0" w:color="auto"/>
        <w:bottom w:val="none" w:sz="0" w:space="0" w:color="auto"/>
        <w:right w:val="none" w:sz="0" w:space="0" w:color="auto"/>
      </w:divBdr>
    </w:div>
    <w:div w:id="262425216">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315842938">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480316619">
      <w:bodyDiv w:val="1"/>
      <w:marLeft w:val="0"/>
      <w:marRight w:val="0"/>
      <w:marTop w:val="0"/>
      <w:marBottom w:val="0"/>
      <w:divBdr>
        <w:top w:val="none" w:sz="0" w:space="0" w:color="auto"/>
        <w:left w:val="none" w:sz="0" w:space="0" w:color="auto"/>
        <w:bottom w:val="none" w:sz="0" w:space="0" w:color="auto"/>
        <w:right w:val="none" w:sz="0" w:space="0" w:color="auto"/>
      </w:divBdr>
    </w:div>
    <w:div w:id="559024532">
      <w:bodyDiv w:val="1"/>
      <w:marLeft w:val="0"/>
      <w:marRight w:val="0"/>
      <w:marTop w:val="0"/>
      <w:marBottom w:val="0"/>
      <w:divBdr>
        <w:top w:val="none" w:sz="0" w:space="0" w:color="auto"/>
        <w:left w:val="none" w:sz="0" w:space="0" w:color="auto"/>
        <w:bottom w:val="none" w:sz="0" w:space="0" w:color="auto"/>
        <w:right w:val="none" w:sz="0" w:space="0" w:color="auto"/>
      </w:divBdr>
    </w:div>
    <w:div w:id="582616130">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884869415">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881697964">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 w:id="20561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9E31-721C-4630-9296-3A9F157C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Natia Khmaladze</cp:lastModifiedBy>
  <cp:revision>2</cp:revision>
  <cp:lastPrinted>2020-05-18T07:58:00Z</cp:lastPrinted>
  <dcterms:created xsi:type="dcterms:W3CDTF">2020-05-20T12:38:00Z</dcterms:created>
  <dcterms:modified xsi:type="dcterms:W3CDTF">2020-05-20T12:38:00Z</dcterms:modified>
</cp:coreProperties>
</file>