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E99B" w14:textId="77777777" w:rsidR="00DD7BD6" w:rsidRPr="00DD7BD6" w:rsidRDefault="00DD7BD6" w:rsidP="00DD7BD6">
      <w:pPr>
        <w:spacing w:after="0"/>
        <w:jc w:val="center"/>
        <w:rPr>
          <w:rFonts w:ascii="Sylfaen" w:eastAsia="Times New Roman" w:hAnsi="Sylfaen" w:cs="Sylfaen"/>
          <w:lang w:val="ka-GE"/>
        </w:rPr>
      </w:pPr>
      <w:r w:rsidRPr="00DD7BD6">
        <w:rPr>
          <w:rFonts w:ascii="Sylfaen" w:eastAsia="Times New Roma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ოქმი N3</w:t>
      </w:r>
    </w:p>
    <w:p w14:paraId="4704E1C2" w14:textId="77777777" w:rsidR="00DD7BD6" w:rsidRPr="00DD7BD6" w:rsidRDefault="00DD7BD6" w:rsidP="00DD7BD6">
      <w:pPr>
        <w:spacing w:after="0"/>
        <w:jc w:val="both"/>
        <w:rPr>
          <w:rFonts w:ascii="Sylfaen" w:eastAsia="Times New Roman" w:hAnsi="Sylfaen" w:cs="Sylfaen"/>
          <w:lang w:val="ka-GE"/>
        </w:rPr>
      </w:pPr>
    </w:p>
    <w:p w14:paraId="2155B276" w14:textId="77777777" w:rsidR="00D37950" w:rsidRPr="00DD7BD6" w:rsidRDefault="00A05443" w:rsidP="00A05443">
      <w:pPr>
        <w:spacing w:after="0"/>
        <w:jc w:val="both"/>
        <w:rPr>
          <w:rFonts w:ascii="Sylfaen" w:hAnsi="Sylfaen"/>
        </w:rPr>
      </w:pPr>
      <w:r w:rsidRPr="00773448">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773448">
        <w:rPr>
          <w:rFonts w:ascii="Sylfaen" w:hAnsi="Sylfaen" w:cs="Sylfaen"/>
          <w:lang w:val="ka-GE"/>
        </w:rPr>
        <w:t>,</w:t>
      </w:r>
      <w:r w:rsidRPr="00773448">
        <w:rPr>
          <w:rFonts w:ascii="Sylfaen" w:eastAsia="Times New Roman" w:hAnsi="Sylfaen" w:cs="Sylfaen"/>
          <w:lang w:val="ka-GE"/>
        </w:rPr>
        <w:t xml:space="preserve"> სამინისტროში მინისტრის ხელმძღვანელობით გრძელდება მუშაობა, რომელშიც მონაწილეობენ მინისტრის პირველი მოადგილე ზაზა ბოხუა, მინისტრის მოადგილეები მაია ლაგვილავა და გიორგი წოწკოლაური,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773448">
        <w:rPr>
          <w:rFonts w:ascii="Sylfaen" w:hAnsi="Sylfaen" w:cs="Sylfaen"/>
          <w:lang w:val="ka-GE"/>
        </w:rPr>
        <w:t>სამედიცინო</w:t>
      </w:r>
      <w:r w:rsidRPr="00773448">
        <w:rPr>
          <w:rFonts w:ascii="Sylfaen" w:hAnsi="Sylfaen"/>
          <w:lang w:val="ka-GE"/>
        </w:rPr>
        <w:t xml:space="preserve"> </w:t>
      </w:r>
      <w:r w:rsidRPr="00773448">
        <w:rPr>
          <w:rFonts w:ascii="Sylfaen" w:hAnsi="Sylfaen" w:cs="Sylfaen"/>
          <w:lang w:val="ka-GE"/>
        </w:rPr>
        <w:t>საქმიანობის</w:t>
      </w:r>
      <w:r w:rsidRPr="00773448">
        <w:rPr>
          <w:rFonts w:ascii="Sylfaen" w:hAnsi="Sylfaen"/>
          <w:lang w:val="ka-GE"/>
        </w:rPr>
        <w:t xml:space="preserve"> </w:t>
      </w:r>
      <w:r w:rsidRPr="00773448">
        <w:rPr>
          <w:rFonts w:ascii="Sylfaen" w:hAnsi="Sylfaen" w:cs="Sylfaen"/>
          <w:lang w:val="ka-GE"/>
        </w:rPr>
        <w:t>სახელმწიფო</w:t>
      </w:r>
      <w:r w:rsidRPr="00773448">
        <w:rPr>
          <w:rFonts w:ascii="Sylfaen" w:hAnsi="Sylfaen"/>
          <w:lang w:val="ka-GE"/>
        </w:rPr>
        <w:t xml:space="preserve"> </w:t>
      </w:r>
      <w:r w:rsidRPr="00773448">
        <w:rPr>
          <w:rFonts w:ascii="Sylfaen" w:hAnsi="Sylfaen" w:cs="Sylfaen"/>
          <w:lang w:val="ka-GE"/>
        </w:rPr>
        <w:t>რეგულირების</w:t>
      </w:r>
      <w:r w:rsidRPr="00773448">
        <w:rPr>
          <w:rFonts w:ascii="Sylfaen" w:hAnsi="Sylfaen"/>
          <w:lang w:val="ka-GE"/>
        </w:rPr>
        <w:t xml:space="preserve"> </w:t>
      </w:r>
      <w:r w:rsidRPr="00773448">
        <w:rPr>
          <w:rFonts w:ascii="Sylfaen" w:hAnsi="Sylfaen" w:cs="Sylfaen"/>
          <w:lang w:val="ka-GE"/>
        </w:rPr>
        <w:t>სააგენტოს (ნაილი შენგელიძე</w:t>
      </w:r>
      <w:r>
        <w:rPr>
          <w:rFonts w:ascii="Sylfaen" w:hAnsi="Sylfaen" w:cs="Sylfaen"/>
          <w:lang w:val="ka-GE"/>
        </w:rPr>
        <w:t>, თეა ჯიქია</w:t>
      </w:r>
      <w:r w:rsidRPr="00773448">
        <w:rPr>
          <w:rFonts w:ascii="Sylfaen" w:hAnsi="Sylfaen" w:cs="Sylfaen"/>
          <w:lang w:val="ka-GE"/>
        </w:rPr>
        <w:t>),</w:t>
      </w:r>
      <w:r w:rsidRPr="00773448">
        <w:rPr>
          <w:rFonts w:ascii="Sylfaen" w:eastAsia="Times New Roman" w:hAnsi="Sylfaen" w:cs="Sylfaen"/>
          <w:lang w:val="ka-GE"/>
        </w:rPr>
        <w:t xml:space="preserve">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773448">
        <w:rPr>
          <w:rFonts w:ascii="Sylfaen" w:hAnsi="Sylfaen" w:cs="Sylfaen"/>
          <w:lang w:val="ka-GE"/>
        </w:rPr>
        <w:t>ა(ა)იპ</w:t>
      </w:r>
      <w:r w:rsidRPr="00773448">
        <w:rPr>
          <w:rFonts w:ascii="Sylfaen" w:eastAsia="Times New Roman" w:hAnsi="Sylfaen" w:cs="Sylfaen"/>
          <w:lang w:val="ka-GE"/>
        </w:rPr>
        <w:t xml:space="preserve"> ,,პარტნიორობა ხელმისაწვდომი ჯანდაცვისთვის’’ </w:t>
      </w:r>
      <w:r w:rsidRPr="00773448">
        <w:rPr>
          <w:rFonts w:ascii="Sylfaen" w:hAnsi="Sylfaen"/>
          <w:lang w:val="ka-GE"/>
        </w:rPr>
        <w:t>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მამუკა ბრეგვაძე),</w:t>
      </w:r>
      <w:r w:rsidRPr="00773448">
        <w:rPr>
          <w:rFonts w:ascii="Sylfaen" w:eastAsia="Times New Roman" w:hAnsi="Sylfaen" w:cs="Sylfaen"/>
          <w:lang w:val="ka-GE"/>
        </w:rPr>
        <w:t xml:space="preserve"> </w:t>
      </w:r>
      <w:r w:rsidRPr="00773448">
        <w:rPr>
          <w:rFonts w:ascii="Sylfaen" w:hAnsi="Sylfaen" w:cs="Sylfaen"/>
          <w:lang w:val="ka-GE"/>
        </w:rPr>
        <w:t xml:space="preserve">პროფესიული </w:t>
      </w:r>
      <w:r w:rsidRPr="00773448">
        <w:rPr>
          <w:rFonts w:ascii="Sylfaen" w:eastAsia="Times New Roman" w:hAnsi="Sylfaen" w:cs="Sylfaen"/>
          <w:lang w:val="ka-GE"/>
        </w:rPr>
        <w:t xml:space="preserve">ასოციაციების </w:t>
      </w:r>
      <w:r w:rsidRPr="00773448">
        <w:rPr>
          <w:rFonts w:ascii="Sylfaen" w:hAnsi="Sylfaen" w:cs="Sylfaen"/>
          <w:lang w:val="ka-GE"/>
        </w:rPr>
        <w:t xml:space="preserve">(საოჯახო მედიცინა, კარდიოლოგთა ასოციაცია) </w:t>
      </w:r>
      <w:r w:rsidRPr="00773448">
        <w:rPr>
          <w:rFonts w:ascii="Sylfaen" w:eastAsia="Times New Roman" w:hAnsi="Sylfaen" w:cs="Sylfaen"/>
          <w:lang w:val="ka-GE"/>
        </w:rPr>
        <w:t>წარმომადგენლები (ირინა ქაროსანიძე, მარინა შიხაშვილი, ვახტანგ ტრაპაიძე, ბეჟან წინამძღვრიშვილი), კლინიკა ,,კურაციოს’’ წარმომადგენელი</w:t>
      </w:r>
      <w:r w:rsidRPr="00773448">
        <w:rPr>
          <w:rFonts w:ascii="Sylfaen" w:hAnsi="Sylfaen" w:cs="Sylfaen"/>
          <w:lang w:val="ka-GE"/>
        </w:rPr>
        <w:t xml:space="preserve"> ნინო კიკნაძე, მოწვეული ექსპერტები ირინა ხატიაშვილი, სოფიო კასრაძე, მარინა ჯანელიძე (მეილით), თენგიზ წულაძე (მეილით</w:t>
      </w:r>
      <w:r>
        <w:rPr>
          <w:rFonts w:ascii="Sylfaen" w:hAnsi="Sylfaen" w:cs="Sylfaen"/>
          <w:lang w:val="ka-GE"/>
        </w:rPr>
        <w:t>), ივანე ჩხაიძე, ნატო შენგელია, კახა ვაჭარაძე, ნანა ქირია.</w:t>
      </w:r>
    </w:p>
    <w:p w14:paraId="6FAC0A51" w14:textId="77777777" w:rsidR="00DD7BD6" w:rsidRPr="00DD7BD6" w:rsidRDefault="00DD7BD6" w:rsidP="00DD7BD6">
      <w:pPr>
        <w:rPr>
          <w:rFonts w:ascii="Sylfaen" w:hAnsi="Sylfaen"/>
          <w:lang w:val="ka-GE"/>
        </w:rPr>
      </w:pPr>
    </w:p>
    <w:p w14:paraId="3614C122" w14:textId="77777777" w:rsidR="00DD7BD6" w:rsidRPr="00DD7BD6" w:rsidRDefault="00DD7BD6" w:rsidP="00DD7BD6">
      <w:pPr>
        <w:jc w:val="both"/>
        <w:rPr>
          <w:rFonts w:ascii="Sylfaen" w:hAnsi="Sylfaen"/>
          <w:lang w:val="ka-GE"/>
        </w:rPr>
      </w:pPr>
      <w:r w:rsidRPr="00DD7BD6">
        <w:rPr>
          <w:rFonts w:ascii="Sylfaen" w:hAnsi="Sylfaen"/>
          <w:lang w:val="ka-GE"/>
        </w:rPr>
        <w:t>ექსპერტ ალერგოლოგთა და პულმონოლოგთა მონაწილეობით მიმდინარეობდა მუშაობა ქრონიკული დაავადებების სამკურნალო მედიკამენტების სახელმწიფო პროგრამის ფარგლებში შესყიდული/შესასყიდი ფილტვის დაავადებების სამკურნალო მედიკამენტების შესახებ.</w:t>
      </w:r>
    </w:p>
    <w:p w14:paraId="55420AFE" w14:textId="77777777" w:rsidR="00DD7BD6" w:rsidRPr="00DD7BD6" w:rsidRDefault="00DD7BD6" w:rsidP="00DD7BD6">
      <w:pPr>
        <w:rPr>
          <w:rFonts w:ascii="Sylfaen" w:hAnsi="Sylfaen"/>
          <w:lang w:val="ka-GE"/>
        </w:rPr>
      </w:pPr>
      <w:r w:rsidRPr="00DD7BD6">
        <w:rPr>
          <w:rFonts w:ascii="Sylfaen" w:hAnsi="Sylfaen"/>
          <w:lang w:val="ka-GE"/>
        </w:rPr>
        <w:t>პროგრამის ფარგლებში ამ ეტაპზე შესყიდულია შემდეგი მედიკამენტები:</w:t>
      </w:r>
    </w:p>
    <w:tbl>
      <w:tblPr>
        <w:tblW w:w="0" w:type="auto"/>
        <w:tblCellMar>
          <w:left w:w="0" w:type="dxa"/>
          <w:right w:w="0" w:type="dxa"/>
        </w:tblCellMar>
        <w:tblLook w:val="04A0" w:firstRow="1" w:lastRow="0" w:firstColumn="1" w:lastColumn="0" w:noHBand="0" w:noVBand="1"/>
      </w:tblPr>
      <w:tblGrid>
        <w:gridCol w:w="442"/>
        <w:gridCol w:w="2639"/>
        <w:gridCol w:w="3906"/>
        <w:gridCol w:w="1936"/>
      </w:tblGrid>
      <w:tr w:rsidR="00DD7BD6" w:rsidRPr="00DD7BD6" w14:paraId="3C9B5E9C" w14:textId="77777777" w:rsidTr="005652D6">
        <w:tc>
          <w:tcPr>
            <w:tcW w:w="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ACA3B7" w14:textId="77777777" w:rsidR="00DD7BD6" w:rsidRPr="00DD7BD6" w:rsidRDefault="00DD7BD6" w:rsidP="005652D6">
            <w:pPr>
              <w:rPr>
                <w:rFonts w:ascii="Sylfaen" w:hAnsi="Sylfaen"/>
                <w:lang w:val="ka-GE"/>
              </w:rPr>
            </w:pPr>
            <w:r w:rsidRPr="00DD7BD6">
              <w:rPr>
                <w:rFonts w:ascii="Sylfaen" w:hAnsi="Sylfaen"/>
                <w:lang w:val="ka-GE"/>
              </w:rPr>
              <w:t>1</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17D78" w14:textId="77777777" w:rsidR="00DD7BD6" w:rsidRPr="00DD7BD6" w:rsidRDefault="00DD7BD6" w:rsidP="005652D6">
            <w:pPr>
              <w:rPr>
                <w:rFonts w:ascii="Sylfaen" w:hAnsi="Sylfaen"/>
              </w:rPr>
            </w:pPr>
            <w:r w:rsidRPr="00DD7BD6">
              <w:rPr>
                <w:rFonts w:ascii="Sylfaen" w:hAnsi="Sylfaen"/>
              </w:rPr>
              <w:t>ბუდესონიდი</w:t>
            </w:r>
          </w:p>
        </w:tc>
        <w:tc>
          <w:tcPr>
            <w:tcW w:w="3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74434" w14:textId="77777777" w:rsidR="00DD7BD6" w:rsidRPr="00DD7BD6" w:rsidRDefault="00DD7BD6" w:rsidP="005652D6">
            <w:pPr>
              <w:rPr>
                <w:rFonts w:ascii="Sylfaen" w:hAnsi="Sylfaen"/>
              </w:rPr>
            </w:pPr>
            <w:r w:rsidRPr="00DD7BD6">
              <w:rPr>
                <w:rFonts w:ascii="Sylfaen" w:hAnsi="Sylfaen"/>
              </w:rPr>
              <w:t>დოზირებული სანებულიზაციო ხსნარი ერთჯერად კონტეინერში</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05009" w14:textId="77777777" w:rsidR="00DD7BD6" w:rsidRPr="00DD7BD6" w:rsidRDefault="00DD7BD6" w:rsidP="005652D6">
            <w:pPr>
              <w:rPr>
                <w:rFonts w:ascii="Sylfaen" w:hAnsi="Sylfaen"/>
              </w:rPr>
            </w:pPr>
            <w:r w:rsidRPr="00DD7BD6">
              <w:rPr>
                <w:rFonts w:ascii="Sylfaen" w:hAnsi="Sylfaen"/>
              </w:rPr>
              <w:t>0,5 მგ/ მლ 2 მლ</w:t>
            </w:r>
          </w:p>
        </w:tc>
      </w:tr>
      <w:tr w:rsidR="00DD7BD6" w:rsidRPr="00DD7BD6" w14:paraId="0F453F55"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94B88" w14:textId="77777777" w:rsidR="00DD7BD6" w:rsidRPr="00DD7BD6" w:rsidRDefault="00DD7BD6" w:rsidP="005652D6">
            <w:pPr>
              <w:rPr>
                <w:rFonts w:ascii="Sylfaen" w:hAnsi="Sylfaen"/>
                <w:lang w:val="ka-GE"/>
              </w:rPr>
            </w:pPr>
            <w:r w:rsidRPr="00DD7BD6">
              <w:rPr>
                <w:rFonts w:ascii="Sylfaen" w:hAnsi="Sylfaen"/>
                <w:lang w:val="ka-GE"/>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1237779" w14:textId="77777777" w:rsidR="00DD7BD6" w:rsidRPr="00DD7BD6" w:rsidRDefault="00DD7BD6" w:rsidP="005652D6">
            <w:pPr>
              <w:rPr>
                <w:rFonts w:ascii="Sylfaen" w:hAnsi="Sylfaen"/>
              </w:rPr>
            </w:pPr>
            <w:r w:rsidRPr="00DD7BD6">
              <w:rPr>
                <w:rFonts w:ascii="Sylfaen" w:hAnsi="Sylfaen"/>
              </w:rPr>
              <w:t>ალბუტეროლი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08AB3959" w14:textId="77777777" w:rsidR="00DD7BD6" w:rsidRPr="00DD7BD6" w:rsidRDefault="00DD7BD6" w:rsidP="005652D6">
            <w:pPr>
              <w:rPr>
                <w:rFonts w:ascii="Sylfaen" w:hAnsi="Sylfaen"/>
              </w:rPr>
            </w:pPr>
            <w:r w:rsidRPr="00DD7BD6">
              <w:rPr>
                <w:rFonts w:ascii="Sylfaen" w:hAnsi="Sylfaen"/>
              </w:rPr>
              <w:t>დოზირებული სანებულიზაციო ხსნარი ერთჯერად კონტეინერში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BC3BD63" w14:textId="77777777" w:rsidR="00DD7BD6" w:rsidRPr="00DD7BD6" w:rsidRDefault="00DD7BD6" w:rsidP="005652D6">
            <w:pPr>
              <w:rPr>
                <w:rFonts w:ascii="Sylfaen" w:hAnsi="Sylfaen"/>
              </w:rPr>
            </w:pPr>
            <w:r w:rsidRPr="00DD7BD6">
              <w:rPr>
                <w:rFonts w:ascii="Sylfaen" w:hAnsi="Sylfaen"/>
              </w:rPr>
              <w:t>2,5 მგ/0,5 მლ 0,5მლ</w:t>
            </w:r>
          </w:p>
        </w:tc>
      </w:tr>
      <w:tr w:rsidR="00DD7BD6" w:rsidRPr="00DD7BD6" w14:paraId="5E40016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B547A" w14:textId="77777777" w:rsidR="00DD7BD6" w:rsidRPr="00DD7BD6" w:rsidRDefault="00DD7BD6" w:rsidP="005652D6">
            <w:pPr>
              <w:rPr>
                <w:rFonts w:ascii="Sylfaen" w:hAnsi="Sylfaen"/>
                <w:lang w:val="ka-GE"/>
              </w:rPr>
            </w:pPr>
            <w:r w:rsidRPr="00DD7BD6">
              <w:rPr>
                <w:rFonts w:ascii="Sylfaen" w:hAnsi="Sylfaen"/>
                <w:lang w:val="ka-GE"/>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04B9CA" w14:textId="77777777" w:rsidR="00DD7BD6" w:rsidRPr="00DD7BD6" w:rsidRDefault="00DD7BD6" w:rsidP="005652D6">
            <w:pPr>
              <w:rPr>
                <w:rFonts w:ascii="Sylfaen" w:hAnsi="Sylfaen"/>
              </w:rPr>
            </w:pPr>
            <w:r w:rsidRPr="00DD7BD6">
              <w:rPr>
                <w:rFonts w:ascii="Sylfaen" w:hAnsi="Sylfaen"/>
              </w:rPr>
              <w:t>სალმეტეროლი/ ფლუტიკაზონი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485862C2" w14:textId="77777777" w:rsidR="00DD7BD6" w:rsidRPr="00DD7BD6" w:rsidRDefault="00DD7BD6" w:rsidP="005652D6">
            <w:pPr>
              <w:rPr>
                <w:rFonts w:ascii="Sylfaen" w:hAnsi="Sylfaen"/>
              </w:rPr>
            </w:pPr>
            <w:r w:rsidRPr="00DD7BD6">
              <w:rPr>
                <w:rFonts w:ascii="Sylfaen" w:hAnsi="Sylfaen"/>
              </w:rPr>
              <w:t>საინჰალაციო ფხვნილი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01D1874B" w14:textId="77777777" w:rsidR="00DD7BD6" w:rsidRPr="00DD7BD6" w:rsidRDefault="00DD7BD6" w:rsidP="005652D6">
            <w:pPr>
              <w:rPr>
                <w:rFonts w:ascii="Sylfaen" w:hAnsi="Sylfaen"/>
              </w:rPr>
            </w:pPr>
            <w:r w:rsidRPr="00DD7BD6">
              <w:rPr>
                <w:rFonts w:ascii="Sylfaen" w:hAnsi="Sylfaen"/>
              </w:rPr>
              <w:t>50 მკგ/250 მკგ</w:t>
            </w:r>
          </w:p>
        </w:tc>
      </w:tr>
      <w:tr w:rsidR="00DD7BD6" w:rsidRPr="00DD7BD6" w14:paraId="1F11E66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3300D" w14:textId="77777777" w:rsidR="00DD7BD6" w:rsidRPr="00DD7BD6" w:rsidRDefault="00DD7BD6" w:rsidP="005652D6">
            <w:pPr>
              <w:rPr>
                <w:rFonts w:ascii="Sylfaen" w:hAnsi="Sylfaen"/>
                <w:lang w:val="ka-GE"/>
              </w:rPr>
            </w:pPr>
            <w:r w:rsidRPr="00DD7BD6">
              <w:rPr>
                <w:rFonts w:ascii="Sylfaen" w:hAnsi="Sylfaen"/>
                <w:lang w:val="ka-GE"/>
              </w:rPr>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BD74CD2" w14:textId="77777777" w:rsidR="00DD7BD6" w:rsidRPr="00DD7BD6" w:rsidRDefault="00DD7BD6" w:rsidP="005652D6">
            <w:pPr>
              <w:rPr>
                <w:rFonts w:ascii="Sylfaen" w:hAnsi="Sylfaen"/>
              </w:rPr>
            </w:pPr>
            <w:r w:rsidRPr="00DD7BD6">
              <w:rPr>
                <w:rFonts w:ascii="Sylfaen" w:hAnsi="Sylfaen"/>
              </w:rPr>
              <w:t>სალბუტამოლი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4DAAF5EC" w14:textId="77777777" w:rsidR="00DD7BD6" w:rsidRPr="00DD7BD6" w:rsidRDefault="00DD7BD6" w:rsidP="005652D6">
            <w:pPr>
              <w:rPr>
                <w:rFonts w:ascii="Sylfaen" w:hAnsi="Sylfaen"/>
              </w:rPr>
            </w:pPr>
            <w:r w:rsidRPr="00DD7BD6">
              <w:rPr>
                <w:rFonts w:ascii="Sylfaen" w:hAnsi="Sylfaen"/>
              </w:rPr>
              <w:t>საინჰალაციო აეროზოლი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32A92C36" w14:textId="77777777" w:rsidR="00DD7BD6" w:rsidRPr="00DD7BD6" w:rsidRDefault="00DD7BD6" w:rsidP="005652D6">
            <w:pPr>
              <w:rPr>
                <w:rFonts w:ascii="Sylfaen" w:hAnsi="Sylfaen"/>
              </w:rPr>
            </w:pPr>
            <w:r w:rsidRPr="00DD7BD6">
              <w:rPr>
                <w:rFonts w:ascii="Sylfaen" w:hAnsi="Sylfaen"/>
              </w:rPr>
              <w:t>100 მკგ/ დოზა</w:t>
            </w:r>
          </w:p>
        </w:tc>
      </w:tr>
      <w:tr w:rsidR="00DD7BD6" w:rsidRPr="00DD7BD6" w14:paraId="5055E4EE"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3F56" w14:textId="77777777" w:rsidR="00DD7BD6" w:rsidRPr="00DD7BD6" w:rsidRDefault="00DD7BD6" w:rsidP="005652D6">
            <w:pPr>
              <w:rPr>
                <w:rFonts w:ascii="Sylfaen" w:hAnsi="Sylfaen"/>
                <w:lang w:val="ka-GE"/>
              </w:rPr>
            </w:pPr>
            <w:r w:rsidRPr="00DD7BD6">
              <w:rPr>
                <w:rFonts w:ascii="Sylfaen" w:hAnsi="Sylfaen"/>
                <w:lang w:val="ka-GE"/>
              </w:rPr>
              <w:lastRenderedPageBreak/>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CA77D03" w14:textId="77777777" w:rsidR="00DD7BD6" w:rsidRPr="00DD7BD6" w:rsidRDefault="00DD7BD6" w:rsidP="005652D6">
            <w:pPr>
              <w:rPr>
                <w:rFonts w:ascii="Sylfaen" w:hAnsi="Sylfaen"/>
              </w:rPr>
            </w:pPr>
            <w:r w:rsidRPr="00DD7BD6">
              <w:rPr>
                <w:rFonts w:ascii="Sylfaen" w:hAnsi="Sylfaen"/>
              </w:rPr>
              <w:t>აკლიდინიუმის ბრომიდი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7073D3D3" w14:textId="77777777" w:rsidR="00DD7BD6" w:rsidRPr="00DD7BD6" w:rsidRDefault="00DD7BD6" w:rsidP="005652D6">
            <w:pPr>
              <w:rPr>
                <w:rFonts w:ascii="Sylfaen" w:hAnsi="Sylfaen"/>
              </w:rPr>
            </w:pPr>
            <w:r w:rsidRPr="00DD7BD6">
              <w:rPr>
                <w:rFonts w:ascii="Sylfaen" w:hAnsi="Sylfaen"/>
              </w:rPr>
              <w:t>საინჰალაციო ფხვნილი (კაფსულა) ინჰალატორთან ერთად</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269229AF" w14:textId="77777777" w:rsidR="00DD7BD6" w:rsidRPr="00DD7BD6" w:rsidRDefault="00DD7BD6" w:rsidP="005652D6">
            <w:pPr>
              <w:rPr>
                <w:rFonts w:ascii="Sylfaen" w:hAnsi="Sylfaen"/>
              </w:rPr>
            </w:pPr>
            <w:r w:rsidRPr="00DD7BD6">
              <w:rPr>
                <w:rFonts w:ascii="Sylfaen" w:hAnsi="Sylfaen"/>
              </w:rPr>
              <w:t>322 მკგ/ დოზა</w:t>
            </w:r>
          </w:p>
        </w:tc>
      </w:tr>
      <w:tr w:rsidR="00DD7BD6" w:rsidRPr="00DD7BD6" w14:paraId="1990D38A" w14:textId="77777777" w:rsidTr="005652D6">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C6DCF" w14:textId="77777777" w:rsidR="00DD7BD6" w:rsidRPr="00DD7BD6" w:rsidRDefault="00DD7BD6" w:rsidP="005652D6">
            <w:pPr>
              <w:rPr>
                <w:rFonts w:ascii="Sylfaen" w:hAnsi="Sylfaen"/>
                <w:lang w:val="ka-GE"/>
              </w:rPr>
            </w:pPr>
            <w:r w:rsidRPr="00DD7BD6">
              <w:rPr>
                <w:rFonts w:ascii="Sylfaen" w:hAnsi="Sylfaen"/>
                <w:lang w:val="ka-GE"/>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4D4E87" w14:textId="77777777" w:rsidR="00DD7BD6" w:rsidRPr="00DD7BD6" w:rsidRDefault="00DD7BD6" w:rsidP="005652D6">
            <w:pPr>
              <w:rPr>
                <w:rFonts w:ascii="Sylfaen" w:hAnsi="Sylfaen"/>
              </w:rPr>
            </w:pPr>
            <w:r w:rsidRPr="00DD7BD6">
              <w:rPr>
                <w:rFonts w:ascii="Sylfaen" w:hAnsi="Sylfaen"/>
              </w:rPr>
              <w:t>მეთილპრედნიზოლონი</w:t>
            </w:r>
          </w:p>
        </w:tc>
        <w:tc>
          <w:tcPr>
            <w:tcW w:w="3906" w:type="dxa"/>
            <w:tcBorders>
              <w:top w:val="nil"/>
              <w:left w:val="nil"/>
              <w:bottom w:val="single" w:sz="8" w:space="0" w:color="auto"/>
              <w:right w:val="single" w:sz="8" w:space="0" w:color="auto"/>
            </w:tcBorders>
            <w:tcMar>
              <w:top w:w="0" w:type="dxa"/>
              <w:left w:w="108" w:type="dxa"/>
              <w:bottom w:w="0" w:type="dxa"/>
              <w:right w:w="108" w:type="dxa"/>
            </w:tcMar>
            <w:hideMark/>
          </w:tcPr>
          <w:p w14:paraId="6FCA70F3" w14:textId="77777777" w:rsidR="00DD7BD6" w:rsidRPr="00DD7BD6" w:rsidRDefault="00DD7BD6" w:rsidP="005652D6">
            <w:pPr>
              <w:rPr>
                <w:rFonts w:ascii="Sylfaen" w:hAnsi="Sylfaen"/>
              </w:rPr>
            </w:pPr>
            <w:r w:rsidRPr="00DD7BD6">
              <w:rPr>
                <w:rFonts w:ascii="Sylfaen" w:hAnsi="Sylfaen"/>
              </w:rPr>
              <w:t>ტაბლეტი</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14:paraId="445C074C" w14:textId="77777777" w:rsidR="00DD7BD6" w:rsidRPr="00DD7BD6" w:rsidRDefault="00DD7BD6" w:rsidP="005652D6">
            <w:pPr>
              <w:rPr>
                <w:rFonts w:ascii="Sylfaen" w:hAnsi="Sylfaen"/>
              </w:rPr>
            </w:pPr>
            <w:r w:rsidRPr="00DD7BD6">
              <w:rPr>
                <w:rFonts w:ascii="Sylfaen" w:hAnsi="Sylfaen"/>
              </w:rPr>
              <w:t>16    მგ</w:t>
            </w:r>
          </w:p>
        </w:tc>
      </w:tr>
    </w:tbl>
    <w:p w14:paraId="6410224F" w14:textId="77777777" w:rsidR="00DD7BD6" w:rsidRPr="00DD7BD6" w:rsidRDefault="00DD7BD6" w:rsidP="00DD7BD6">
      <w:pPr>
        <w:rPr>
          <w:rFonts w:ascii="Sylfaen" w:hAnsi="Sylfaen"/>
          <w:lang w:val="ka-GE"/>
        </w:rPr>
      </w:pPr>
    </w:p>
    <w:p w14:paraId="5A010DFC" w14:textId="77777777" w:rsidR="00DD7BD6" w:rsidRPr="00DD7BD6" w:rsidRDefault="00DD7BD6" w:rsidP="00DD7BD6">
      <w:pPr>
        <w:rPr>
          <w:rFonts w:ascii="Sylfaen" w:hAnsi="Sylfaen"/>
          <w:lang w:val="ka-GE"/>
        </w:rPr>
      </w:pPr>
      <w:r w:rsidRPr="00DD7BD6">
        <w:rPr>
          <w:rFonts w:ascii="Sylfaen" w:hAnsi="Sylfaen"/>
          <w:lang w:val="ka-GE"/>
        </w:rPr>
        <w:t>შეხვედრებზე განხილულ იქნა შემდეგი საკითხები:</w:t>
      </w:r>
    </w:p>
    <w:p w14:paraId="75825BDA" w14:textId="77777777" w:rsidR="00DD7BD6" w:rsidRPr="00DD7BD6" w:rsidRDefault="00DD7BD6" w:rsidP="00DD7BD6">
      <w:pPr>
        <w:pStyle w:val="ListParagraph"/>
        <w:numPr>
          <w:ilvl w:val="0"/>
          <w:numId w:val="1"/>
        </w:numPr>
        <w:rPr>
          <w:color w:val="FF0000"/>
          <w:lang w:val="ka-GE"/>
        </w:rPr>
      </w:pPr>
      <w:r w:rsidRPr="00DD7BD6">
        <w:rPr>
          <w:color w:val="FF0000"/>
          <w:lang w:val="ka-GE"/>
        </w:rPr>
        <w:t>ბუდესონიდისა და ალბუტეროლის მარაგი</w:t>
      </w:r>
    </w:p>
    <w:p w14:paraId="250ABC33" w14:textId="77777777" w:rsidR="00DD7BD6" w:rsidRDefault="00DD7BD6" w:rsidP="00DD7BD6">
      <w:pPr>
        <w:jc w:val="both"/>
        <w:rPr>
          <w:rFonts w:ascii="Sylfaen" w:hAnsi="Sylfaen"/>
          <w:lang w:val="ka-GE"/>
        </w:rPr>
      </w:pPr>
      <w:r w:rsidRPr="00DD7BD6">
        <w:rPr>
          <w:rFonts w:ascii="Sylfaen" w:hAnsi="Sylfaen"/>
          <w:lang w:val="ka-GE"/>
        </w:rPr>
        <w:t xml:space="preserve">აღნიშნული მედიკამენტების საჭიროება განსაზღვრულ იქნა დაავადების გამწვავების ფაზისთვის, თუმცა ხარჯვის მაჩვენებლები ძალიან მცირეა, </w:t>
      </w:r>
      <w:r>
        <w:rPr>
          <w:rFonts w:ascii="Sylfaen" w:hAnsi="Sylfaen"/>
          <w:lang w:val="ka-GE"/>
        </w:rPr>
        <w:t>ბუდესონიდის</w:t>
      </w:r>
      <w:r w:rsidRPr="00DD7BD6">
        <w:rPr>
          <w:rFonts w:ascii="Sylfaen" w:hAnsi="Sylfaen"/>
          <w:lang w:val="ka-GE"/>
        </w:rPr>
        <w:t xml:space="preserve"> საშუალო თვიური ხარჯვა 1000 შეადგენს, ხოლო ალბუტეროლის ხარჯვა არ სცილდება 90-ს.</w:t>
      </w:r>
    </w:p>
    <w:p w14:paraId="27E2A9B3" w14:textId="77777777" w:rsidR="00DD7BD6" w:rsidRPr="00DD7BD6" w:rsidRDefault="00DD7BD6" w:rsidP="00DD7BD6">
      <w:pPr>
        <w:jc w:val="both"/>
        <w:rPr>
          <w:rFonts w:ascii="Sylfaen" w:hAnsi="Sylfaen"/>
          <w:lang w:val="ka-GE"/>
        </w:rPr>
      </w:pPr>
      <w:r w:rsidRPr="00DD7BD6">
        <w:rPr>
          <w:rFonts w:ascii="Sylfaen" w:hAnsi="Sylfaen"/>
          <w:lang w:val="ka-GE"/>
        </w:rPr>
        <w:t>სააგენტოს ინფორმაციით, აფთიაქების დონეზე, მთელი საქართველოს მასშტაბით, ნაშთის სახით, სააგენტოს ბალანსზე ირიცხება 19 789 ფლაკონი ალბუტეროლი (ჯამური ღირებულებით 43 733.69 ლარი), მოქმედების  ვადით 31.01.2019 წ. და 7491 ფლაკონი ბუდესონიდი (ჯამური ღირებულებით 24 495,57 ლარი), მოქმედების ვადით 3079 ფლაკონი 31.12.2018წ; 4412 ფლაკონი 31.01.2019წ. საშუალო თვიური ხარჯვა (ბოლო სამი თვის მონაცემებზე დაყრდნობით) ალბუტეროლის შემთხვევაში შეადგენს 90 ერთეულს, ხოლო ბუდესონიდის შემთხვევაში 1067 ერთეულს, აქვე უნდა აღვნიშნოთ, რომ ერთი თვის ჭრილში, სექტემბრის თვეში ხარჯვის მაჩვენებელი საკმაოდ შემცირებულია და ვერ უტოლდება საშუალო ხარჯვის მაჩვენებელს (ალბუტეროლი 40 ერთეული, ბუდესონიდი 513 ერთეული), მიუხედავად პროგრამაში განხორციელებული ცვლილებებისა (ალბუტეროლი მიიღო ერთმა საპენსიო ასაკის პირმა, ბუდესონიდი მიიღო ექვსმა საპენსიო ასაკის და ერთმა შშმ სტატუსის მქონე პირმა).</w:t>
      </w:r>
    </w:p>
    <w:p w14:paraId="3D950235" w14:textId="77777777" w:rsidR="00DD7BD6" w:rsidRPr="00DD7BD6" w:rsidRDefault="00DD7BD6" w:rsidP="00DD7BD6">
      <w:pPr>
        <w:jc w:val="both"/>
        <w:rPr>
          <w:rFonts w:ascii="Sylfaen" w:hAnsi="Sylfaen"/>
          <w:lang w:val="ka-GE"/>
        </w:rPr>
      </w:pPr>
      <w:r w:rsidRPr="00DD7BD6">
        <w:rPr>
          <w:rFonts w:ascii="Sylfaen" w:hAnsi="Sylfaen"/>
          <w:lang w:val="ka-GE"/>
        </w:rPr>
        <w:t xml:space="preserve">ყოველივე ზემოაღნიშნულიდან გამომდინარე, ორივე მედიკამენტის  (ალბუტეროლი ± 19 534 ერთეული, ბუდესონიდი ± 4469 ერთეული) რეალიზაციის საკითხი მოქმედების ვადის გასვლამდე   დგას  საფრთხის წინაშე (მიუხედავდ ზამთრის სეზონის მოახლოებისა, რამაც შესაძლებელია გაზარდოს ხარჯვის მაჩვენებელი). </w:t>
      </w:r>
    </w:p>
    <w:p w14:paraId="18827E5A" w14:textId="77777777" w:rsidR="00DD7BD6" w:rsidRPr="00DD7BD6" w:rsidRDefault="00DD7BD6" w:rsidP="00DD7BD6">
      <w:pPr>
        <w:jc w:val="both"/>
        <w:rPr>
          <w:rFonts w:ascii="Sylfaen" w:hAnsi="Sylfaen"/>
          <w:lang w:val="ka-GE"/>
        </w:rPr>
      </w:pPr>
      <w:r w:rsidRPr="00DD7BD6">
        <w:rPr>
          <w:rFonts w:ascii="Sylfaen" w:hAnsi="Sylfaen"/>
          <w:lang w:val="ka-GE"/>
        </w:rPr>
        <w:t>შედეგად, სახეზე გვაქვს ორი გადასაწყვეტი პრობლემა:</w:t>
      </w:r>
    </w:p>
    <w:p w14:paraId="61360707" w14:textId="77777777" w:rsidR="00DD7BD6" w:rsidRPr="00DD7BD6" w:rsidRDefault="00DD7BD6" w:rsidP="00DD7BD6">
      <w:pPr>
        <w:jc w:val="both"/>
        <w:rPr>
          <w:rFonts w:ascii="Sylfaen" w:hAnsi="Sylfaen"/>
          <w:lang w:val="ka-GE"/>
        </w:rPr>
      </w:pPr>
      <w:r w:rsidRPr="00DD7BD6">
        <w:rPr>
          <w:rFonts w:ascii="Sylfaen" w:hAnsi="Sylfaen"/>
          <w:lang w:val="ka-GE"/>
        </w:rPr>
        <w:t>ა. მედიკამენტების ჭარბი რაოდენობა, რომელსაც მოქმედების ვადა ეწურება 2019 წლის იანვრისთვის.</w:t>
      </w:r>
    </w:p>
    <w:p w14:paraId="70B88A8E" w14:textId="77777777" w:rsidR="00DD7BD6" w:rsidRPr="00DD7BD6" w:rsidRDefault="00DD7BD6" w:rsidP="00DD7BD6">
      <w:pPr>
        <w:jc w:val="both"/>
        <w:rPr>
          <w:rFonts w:ascii="Sylfaen" w:hAnsi="Sylfaen"/>
          <w:lang w:val="ka-GE"/>
        </w:rPr>
      </w:pPr>
      <w:r w:rsidRPr="00DD7BD6">
        <w:rPr>
          <w:rFonts w:ascii="Sylfaen" w:hAnsi="Sylfaen"/>
          <w:lang w:val="ka-GE"/>
        </w:rPr>
        <w:t>ბ. ახალი შესყიდვის საჭიროება იმ პაციენტებისათვის მაინც, რომლებიც უკვე მკურნალობენ აღნიშნული მედიკამენტებით.</w:t>
      </w:r>
    </w:p>
    <w:p w14:paraId="72A862D1" w14:textId="77777777" w:rsidR="00DD7BD6" w:rsidRPr="00DD7BD6" w:rsidRDefault="00DD7BD6" w:rsidP="00DD7BD6">
      <w:pPr>
        <w:jc w:val="both"/>
        <w:rPr>
          <w:rFonts w:ascii="Sylfaen" w:hAnsi="Sylfaen"/>
          <w:lang w:val="ka-GE"/>
        </w:rPr>
      </w:pPr>
    </w:p>
    <w:p w14:paraId="40E3E83B" w14:textId="77777777" w:rsidR="00DD7BD6" w:rsidRPr="00DD7BD6" w:rsidRDefault="00DD7BD6" w:rsidP="00DD7BD6">
      <w:pPr>
        <w:jc w:val="both"/>
        <w:rPr>
          <w:rFonts w:ascii="Sylfaen" w:hAnsi="Sylfaen"/>
          <w:lang w:val="ka-GE"/>
        </w:rPr>
      </w:pPr>
      <w:r w:rsidRPr="00DD7BD6">
        <w:rPr>
          <w:rFonts w:ascii="Sylfaen" w:hAnsi="Sylfaen"/>
          <w:b/>
          <w:lang w:val="ka-GE"/>
        </w:rPr>
        <w:t>შეხვედრაზე გამოთქმულ იქნა მოსაზრება ვადის გასვლის საშიშროების მქონე ორივე მედიკამენტის გარკვეული რაოდენობა</w:t>
      </w:r>
      <w:r w:rsidRPr="00DD7BD6">
        <w:rPr>
          <w:rFonts w:ascii="Sylfaen" w:hAnsi="Sylfaen"/>
          <w:lang w:val="ka-GE"/>
        </w:rPr>
        <w:t xml:space="preserve"> (ანუ პროფიციტული რაოდენობა, რაც ვერ დაიხარჯება სააგენტოს მიერ) გადაეცეს პედიატრიული პროფილის კლინიკებს, რომლებიც აქტიურად </w:t>
      </w:r>
      <w:r w:rsidRPr="00DD7BD6">
        <w:rPr>
          <w:rFonts w:ascii="Sylfaen" w:hAnsi="Sylfaen"/>
          <w:lang w:val="ka-GE"/>
        </w:rPr>
        <w:lastRenderedPageBreak/>
        <w:t xml:space="preserve">გამოიყენებენ </w:t>
      </w:r>
      <w:r>
        <w:rPr>
          <w:rFonts w:ascii="Sylfaen" w:hAnsi="Sylfaen"/>
          <w:lang w:val="ka-GE"/>
        </w:rPr>
        <w:t>ბუდესონიდსა</w:t>
      </w:r>
      <w:r w:rsidRPr="00DD7BD6">
        <w:rPr>
          <w:rFonts w:ascii="Sylfaen" w:hAnsi="Sylfaen"/>
          <w:lang w:val="ka-GE"/>
        </w:rPr>
        <w:t xml:space="preserve"> და ალბუტეროლს, ზამთრის სეზონზე სავარაუდოდ მომატებული გამწვავებული შემთხვევების სამკურნალოდ.</w:t>
      </w:r>
    </w:p>
    <w:p w14:paraId="02510677" w14:textId="77777777" w:rsidR="00DD7BD6" w:rsidRPr="00DD7BD6" w:rsidRDefault="00DD7BD6" w:rsidP="00DD7BD6">
      <w:pPr>
        <w:jc w:val="both"/>
        <w:rPr>
          <w:rFonts w:ascii="Sylfaen" w:hAnsi="Sylfaen"/>
          <w:lang w:val="ka-GE"/>
        </w:rPr>
      </w:pPr>
      <w:r w:rsidRPr="00DD7BD6">
        <w:rPr>
          <w:rFonts w:ascii="Sylfaen" w:hAnsi="Sylfaen"/>
          <w:lang w:val="ka-GE"/>
        </w:rPr>
        <w:t xml:space="preserve">ექსპერტების მიერ დაფიქსირებული იქნა მოსაზრება რომ </w:t>
      </w:r>
      <w:r>
        <w:rPr>
          <w:rFonts w:ascii="Sylfaen" w:hAnsi="Sylfaen"/>
          <w:lang w:val="ka-GE"/>
        </w:rPr>
        <w:t>ბუდესონიდის</w:t>
      </w:r>
      <w:r w:rsidRPr="00DD7BD6">
        <w:rPr>
          <w:rFonts w:ascii="Sylfaen" w:hAnsi="Sylfaen"/>
          <w:lang w:val="ka-GE"/>
        </w:rPr>
        <w:t xml:space="preserve">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w:t>
      </w:r>
      <w:r>
        <w:rPr>
          <w:rFonts w:ascii="Sylfaen" w:hAnsi="Sylfaen"/>
          <w:lang w:val="ka-GE"/>
        </w:rPr>
        <w:t>,</w:t>
      </w:r>
      <w:r w:rsidRPr="00DD7BD6">
        <w:rPr>
          <w:rFonts w:ascii="Sylfaen" w:hAnsi="Sylfaen"/>
          <w:lang w:val="ka-GE"/>
        </w:rPr>
        <w:t xml:space="preserve">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14:paraId="7971AD56" w14:textId="77777777" w:rsidR="00DD7BD6" w:rsidRPr="00DD7BD6" w:rsidRDefault="00DD7BD6" w:rsidP="00DD7BD6">
      <w:pPr>
        <w:jc w:val="both"/>
        <w:rPr>
          <w:rFonts w:ascii="Sylfaen" w:hAnsi="Sylfaen"/>
          <w:lang w:val="ka-GE"/>
        </w:rPr>
      </w:pPr>
      <w:r w:rsidRPr="00DD7BD6">
        <w:rPr>
          <w:rFonts w:ascii="Sylfaen" w:hAnsi="Sylfaen"/>
          <w:b/>
          <w:lang w:val="ka-GE"/>
        </w:rPr>
        <w:t>რაც შეეხება, ახალ შესყიდვებს, მიზანშეწონილად ჩაითვალა,</w:t>
      </w:r>
      <w:r w:rsidRPr="00DD7BD6">
        <w:rPr>
          <w:rFonts w:ascii="Sylfaen" w:hAnsi="Sylfaen"/>
          <w:lang w:val="ka-GE"/>
        </w:rPr>
        <w:t xml:space="preserve"> ალბუტეროლის თვალსაჩინოდ მცირე ხარჯვის მაჩვენებლის გამო, აღარ განვახორციელოთ მისი დამატებით შესყიდვა, ხოლო პაციენტებს შევთავაზოთ მისი ჩანაცვლება სალბუტამოლით.</w:t>
      </w:r>
    </w:p>
    <w:p w14:paraId="1913BF99" w14:textId="77777777" w:rsidR="00DD7BD6" w:rsidRPr="00DD7BD6" w:rsidRDefault="00DD7BD6" w:rsidP="00DD7BD6">
      <w:pPr>
        <w:jc w:val="both"/>
        <w:rPr>
          <w:rFonts w:ascii="Sylfaen" w:hAnsi="Sylfaen"/>
          <w:lang w:val="ka-GE"/>
        </w:rPr>
      </w:pPr>
      <w:r w:rsidRPr="00DD7BD6">
        <w:rPr>
          <w:rFonts w:ascii="Sylfaen" w:hAnsi="Sylfaen"/>
          <w:lang w:val="ka-GE"/>
        </w:rPr>
        <w:t>ექსპერტების ინფორმაციით, ასთმის მართვის თანამედროვე გაიდლაინების რეკომენდაციით ასთმის გამწვავების სამკურნალო პირველი რიგის მედიკამენტებად მოიაზრება საინჰალაციო β-მიმეტიკები (რომელსაც მიეკუთვნება როგორც ალბუტეროლი, ისე სალბუტამოლი, უბრალოდ ეს ერთი და იგივე მოქმედი ნივთიერებაა სხვადასხვა ფორმით), ამასთანავე მათი ეფექტურობა სხვადასხვა კვლევებით პრაქტიკულად არ განსხვავდება გამოყენების ფორმის მიუხედავად (იქნება ეს აეროზოლი თუ ნებულაიზერი).</w:t>
      </w:r>
    </w:p>
    <w:p w14:paraId="25AA04A9" w14:textId="77777777" w:rsidR="00DD7BD6" w:rsidRPr="00DD7BD6" w:rsidRDefault="00DD7BD6" w:rsidP="00DD7BD6">
      <w:pPr>
        <w:jc w:val="both"/>
        <w:rPr>
          <w:rFonts w:ascii="Sylfaen" w:hAnsi="Sylfaen"/>
          <w:lang w:val="ka-GE"/>
        </w:rPr>
      </w:pPr>
      <w:r>
        <w:rPr>
          <w:rFonts w:ascii="Sylfaen" w:hAnsi="Sylfaen"/>
          <w:lang w:val="ka-GE"/>
        </w:rPr>
        <w:t xml:space="preserve">ბუდესონისი </w:t>
      </w:r>
      <w:r w:rsidRPr="00DD7BD6">
        <w:rPr>
          <w:rFonts w:ascii="Sylfaen" w:hAnsi="Sylfaen"/>
          <w:lang w:val="ka-GE"/>
        </w:rPr>
        <w:t xml:space="preserve">ამ შემთხვევაში შეუცვლელი მედიკამენტია, შესაბამისად, მიზანშეწონილია შესყიდვა განვახორციელოთ მხოლოდ არსებული ხარჯვის მაჩვენებლებზე დაყრდნობით, ასევე, საცალო აფთიაქებში დეფიციტების თავიდან აცილების მიზნით, მხოლოდ </w:t>
      </w:r>
      <w:r w:rsidR="0036571E">
        <w:rPr>
          <w:rFonts w:ascii="Sylfaen" w:hAnsi="Sylfaen"/>
          <w:lang w:val="ka-GE"/>
        </w:rPr>
        <w:t>ბუდესონიდის</w:t>
      </w:r>
      <w:r w:rsidRPr="00DD7BD6">
        <w:rPr>
          <w:rFonts w:ascii="Sylfaen" w:hAnsi="Sylfaen"/>
          <w:lang w:val="ka-GE"/>
        </w:rPr>
        <w:t xml:space="preserve"> შემთხვევაში, შეიცვალოს მედიკამენტის გაცემის არსებული წესი და სამი თვის მარაგის ნაცვლად გაიცეს მხოლოდ თითო თვის სამყოფი ოდენობით. </w:t>
      </w:r>
    </w:p>
    <w:p w14:paraId="06818417" w14:textId="77777777" w:rsidR="00DD7BD6" w:rsidRPr="00DD7BD6" w:rsidRDefault="00DD7BD6" w:rsidP="00DD7BD6">
      <w:pPr>
        <w:jc w:val="both"/>
        <w:rPr>
          <w:rFonts w:ascii="Sylfaen" w:hAnsi="Sylfaen"/>
          <w:lang w:val="ka-GE"/>
        </w:rPr>
      </w:pPr>
    </w:p>
    <w:p w14:paraId="31B51EC7" w14:textId="77777777" w:rsidR="00DD7BD6" w:rsidRPr="00DD7BD6" w:rsidRDefault="00DD7BD6" w:rsidP="00DD7BD6">
      <w:pPr>
        <w:pStyle w:val="ListParagraph"/>
        <w:numPr>
          <w:ilvl w:val="0"/>
          <w:numId w:val="1"/>
        </w:numPr>
        <w:jc w:val="both"/>
        <w:rPr>
          <w:lang w:val="ka-GE"/>
        </w:rPr>
      </w:pPr>
      <w:r w:rsidRPr="00DD7BD6">
        <w:rPr>
          <w:color w:val="FF0000"/>
          <w:lang w:val="ka-GE"/>
        </w:rPr>
        <w:t xml:space="preserve">მეორე საკითხი შეეხო მედიკამენტ </w:t>
      </w:r>
      <w:r w:rsidR="00365672" w:rsidRPr="00DD7BD6">
        <w:t>სალმეტეროლ/ ფლუტიკაზონ</w:t>
      </w:r>
      <w:r w:rsidR="00365672">
        <w:rPr>
          <w:lang w:val="ka-GE"/>
        </w:rPr>
        <w:t>ს</w:t>
      </w:r>
      <w:r w:rsidRPr="00DD7BD6">
        <w:rPr>
          <w:color w:val="FF0000"/>
          <w:lang w:val="ka-GE"/>
        </w:rPr>
        <w:t xml:space="preserve">, </w:t>
      </w:r>
      <w:r w:rsidRPr="00DD7BD6">
        <w:rPr>
          <w:lang w:val="ka-GE"/>
        </w:rPr>
        <w:t xml:space="preserve">რომელიც შესყიდული გვაქვს 50/250 დოზით, ხოლო მოთხოვნა ფიქსირდება 500მგ-იან დოზებზე. </w:t>
      </w:r>
    </w:p>
    <w:p w14:paraId="0C6A8985" w14:textId="77777777" w:rsidR="00DD7BD6" w:rsidRPr="00DD7BD6" w:rsidRDefault="00DD7BD6" w:rsidP="00DD7BD6">
      <w:pPr>
        <w:jc w:val="both"/>
        <w:rPr>
          <w:rFonts w:ascii="Sylfaen" w:hAnsi="Sylfaen"/>
          <w:lang w:val="ka-GE"/>
        </w:rPr>
      </w:pPr>
      <w:r w:rsidRPr="00DD7BD6">
        <w:rPr>
          <w:rFonts w:ascii="Sylfaen" w:hAnsi="Sylfaen"/>
          <w:lang w:val="ka-GE"/>
        </w:rPr>
        <w:t xml:space="preserve">შეხვედრაზე განხილულ იქნა შესაძლებლობა, ვიყიდოთ მედიკამენტი ამ ფორმითაც. </w:t>
      </w:r>
    </w:p>
    <w:p w14:paraId="6E2A62E5" w14:textId="77777777" w:rsidR="00DD7BD6" w:rsidRPr="00DD7BD6" w:rsidRDefault="00DD7BD6" w:rsidP="00DD7BD6">
      <w:pPr>
        <w:jc w:val="both"/>
        <w:rPr>
          <w:rFonts w:ascii="Sylfaen" w:hAnsi="Sylfaen"/>
          <w:lang w:val="ka-GE"/>
        </w:rPr>
      </w:pPr>
      <w:r w:rsidRPr="00DD7BD6">
        <w:rPr>
          <w:rFonts w:ascii="Sylfaen" w:hAnsi="Sylfaen"/>
          <w:lang w:val="ka-GE"/>
        </w:rPr>
        <w:t>რაც შეეხება პრეპარატის საშუალო დღიურ დოზას, ექსპერტების ინფორმაციით, 12 წლამდე ასაკის ბავშვებში ის შეადგენს 250მკგ ფლუტიკაზონს და მაქსიმუმ 100მკგ სალმეტეროლს, ხოლო 12 წლის ზემოთ მოზარდებსა და მოზრდილებში - 500-1000მკგ ფლუტიკაზონს და 100მკგ სალმეტეროლს. იმის მიუხედავად, რომ საქართველოში ბავშვთა ასაკის ასთმის გავრცელების სარწმუნო მონაცემები არ გვაქვს, საერთაშორისო სტატისტიკაზე დაყრდნობით ევროპაში ბავშვთა ასთმის გავრცელება 2008 წლის მონაცმებით შეადგენდა დაახლოებით 17,6%-ს (</w:t>
      </w:r>
      <w:hyperlink r:id="rId5" w:history="1">
        <w:r w:rsidRPr="00DD7BD6">
          <w:rPr>
            <w:rStyle w:val="Hyperlink"/>
            <w:rFonts w:ascii="Sylfaen" w:hAnsi="Sylfaen"/>
            <w:lang w:val="ka-GE"/>
          </w:rPr>
          <w:t>https://www.erswhitebook.org/chapters/childhood-asthma/</w:t>
        </w:r>
      </w:hyperlink>
      <w:r w:rsidRPr="00DD7BD6">
        <w:rPr>
          <w:rFonts w:ascii="Sylfaen" w:hAnsi="Sylfaen"/>
          <w:lang w:val="ka-GE"/>
        </w:rPr>
        <w:t xml:space="preserve">). შესაბამისად, შესაძლებელია, </w:t>
      </w:r>
      <w:r w:rsidR="00365672" w:rsidRPr="00365672">
        <w:rPr>
          <w:rFonts w:ascii="Sylfaen" w:hAnsi="Sylfaen"/>
          <w:lang w:val="ka-GE"/>
        </w:rPr>
        <w:t>სალმეტეროლ/ ფლუტიკაზონ</w:t>
      </w:r>
      <w:r w:rsidR="00365672">
        <w:rPr>
          <w:lang w:val="ka-GE"/>
        </w:rPr>
        <w:t xml:space="preserve">ის </w:t>
      </w:r>
      <w:r w:rsidRPr="00DD7BD6">
        <w:rPr>
          <w:rFonts w:ascii="Sylfaen" w:hAnsi="Sylfaen"/>
          <w:lang w:val="ka-GE"/>
        </w:rPr>
        <w:t>მთლიანი შესასყიდი რაოდენობის დაახლოებით 20% იყოს 50/250 ფორმა, ხოლო 80%  - 50/500მკგ ფორმა.</w:t>
      </w:r>
    </w:p>
    <w:p w14:paraId="6B20D224" w14:textId="77777777" w:rsidR="00DD7BD6" w:rsidRPr="00DD7BD6" w:rsidRDefault="00DD7BD6" w:rsidP="00DD7BD6">
      <w:pPr>
        <w:jc w:val="both"/>
        <w:rPr>
          <w:rFonts w:ascii="Sylfaen" w:hAnsi="Sylfaen"/>
          <w:lang w:val="ka-GE"/>
        </w:rPr>
      </w:pPr>
      <w:r w:rsidRPr="00DD7BD6">
        <w:rPr>
          <w:rFonts w:ascii="Sylfaen" w:hAnsi="Sylfaen"/>
          <w:lang w:val="ka-GE"/>
        </w:rPr>
        <w:lastRenderedPageBreak/>
        <w:t xml:space="preserve">ასევე, </w:t>
      </w:r>
      <w:r w:rsidR="00365672" w:rsidRPr="00DD7BD6">
        <w:rPr>
          <w:rFonts w:ascii="Sylfaen" w:hAnsi="Sylfaen"/>
        </w:rPr>
        <w:t>სალმეტეროლ/ ფლუტიკაზონ</w:t>
      </w:r>
      <w:r w:rsidR="00365672" w:rsidRPr="00365672">
        <w:rPr>
          <w:rFonts w:ascii="Sylfaen" w:hAnsi="Sylfaen"/>
        </w:rPr>
        <w:t xml:space="preserve">თან </w:t>
      </w:r>
      <w:r w:rsidRPr="00365672">
        <w:rPr>
          <w:rFonts w:ascii="Sylfaen" w:hAnsi="Sylfaen"/>
        </w:rPr>
        <w:t>დ</w:t>
      </w:r>
      <w:r w:rsidRPr="00DD7BD6">
        <w:rPr>
          <w:rFonts w:ascii="Sylfaen" w:hAnsi="Sylfaen"/>
          <w:lang w:val="ka-GE"/>
        </w:rPr>
        <w:t>აკავშირებით:</w:t>
      </w:r>
    </w:p>
    <w:p w14:paraId="652A9F18" w14:textId="77777777" w:rsidR="00DD7BD6" w:rsidRPr="00DD7BD6" w:rsidRDefault="00DD7BD6" w:rsidP="00DD7BD6">
      <w:pPr>
        <w:jc w:val="both"/>
        <w:rPr>
          <w:rFonts w:ascii="Sylfaen" w:hAnsi="Sylfaen"/>
          <w:lang w:val="ka-GE"/>
        </w:rPr>
      </w:pPr>
      <w:r w:rsidRPr="00DD7BD6">
        <w:rPr>
          <w:rFonts w:ascii="Sylfaen" w:hAnsi="Sylfaen"/>
          <w:lang w:val="ka-GE"/>
        </w:rPr>
        <w:t xml:space="preserve"> სააგენტოს ინფორმაციით, ერთი გამოცხადებული ტენდერი არ შედგა. ამასთან, საბაზრო კვლევით დაფიქსირდა წინა სატენდერო ფასთან შედარებით სამჯერ ძვირი ფასი, რაც დამატებით საშიშროებას ქმნის, რომ ვერ ვიყიდოთ მედიკამენტი. </w:t>
      </w:r>
    </w:p>
    <w:p w14:paraId="2F264AD7" w14:textId="77777777" w:rsidR="00DD7BD6" w:rsidRPr="00DD7BD6" w:rsidRDefault="00DD7BD6" w:rsidP="00DD7BD6">
      <w:pPr>
        <w:jc w:val="both"/>
        <w:rPr>
          <w:rFonts w:ascii="Sylfaen" w:hAnsi="Sylfaen"/>
          <w:lang w:val="ka-GE"/>
        </w:rPr>
      </w:pPr>
      <w:r w:rsidRPr="00DD7BD6">
        <w:rPr>
          <w:rFonts w:ascii="Sylfaen" w:hAnsi="Sylfaen"/>
          <w:lang w:val="ka-GE"/>
        </w:rPr>
        <w:t xml:space="preserve">ამ შემთხვევაში, ექსპერტების მიერ გამოითქვა მოსაზრება </w:t>
      </w:r>
      <w:r w:rsidR="00365672" w:rsidRPr="00365672">
        <w:rPr>
          <w:rFonts w:ascii="Sylfaen" w:hAnsi="Sylfaen"/>
          <w:lang w:val="ka-GE"/>
        </w:rPr>
        <w:t>სალმეტეროლ/ფლუტიკაზონ</w:t>
      </w:r>
      <w:r w:rsidR="00365672">
        <w:rPr>
          <w:lang w:val="ka-GE"/>
        </w:rPr>
        <w:t xml:space="preserve">ის </w:t>
      </w:r>
      <w:r w:rsidRPr="00DD7BD6">
        <w:rPr>
          <w:rFonts w:ascii="Sylfaen" w:hAnsi="Sylfaen"/>
          <w:lang w:val="ka-GE"/>
        </w:rPr>
        <w:t xml:space="preserve">ჩანაცვლებასთან დაკავშირებით. კერძოდ, იმ შემთხვევაში თუ სააგენტო ვერ იყიდის </w:t>
      </w:r>
      <w:r w:rsidR="00365672" w:rsidRPr="00365672">
        <w:rPr>
          <w:rFonts w:ascii="Sylfaen" w:hAnsi="Sylfaen"/>
          <w:lang w:val="ka-GE"/>
        </w:rPr>
        <w:t>სალმეტეროლ/ფლუტიკაზონ</w:t>
      </w:r>
      <w:r w:rsidR="00365672">
        <w:rPr>
          <w:lang w:val="ka-GE"/>
        </w:rPr>
        <w:t>ს</w:t>
      </w:r>
      <w:r w:rsidR="00365672">
        <w:rPr>
          <w:rFonts w:ascii="Sylfaen" w:hAnsi="Sylfaen"/>
          <w:lang w:val="ka-GE"/>
        </w:rPr>
        <w:t>,</w:t>
      </w:r>
      <w:r w:rsidR="00365672">
        <w:rPr>
          <w:lang w:val="ka-GE"/>
        </w:rPr>
        <w:t xml:space="preserve"> </w:t>
      </w:r>
      <w:r w:rsidRPr="00DD7BD6">
        <w:rPr>
          <w:rFonts w:ascii="Sylfaen" w:hAnsi="Sylfaen"/>
          <w:lang w:val="ka-GE"/>
        </w:rPr>
        <w:t>შესაძლებელია მისი ჩანაცვლება ბუდესონიდ/ფორმოტეროლით 160მკგ/4,5მკგ/დოზა 60 დოზა დოზირებული საინჰალაციო ფხვნილი ინჰალატორით. გამოიყენება 6 წლის ასაკიდან. ეს პრეპარატი გამორჩეულია იმითაც, რომ მასში შემავალი β-მიმეტიკი ფორმოტეროლი გამოიყენება როგორც ხანგრძლივი მკურნალობის, ისე ასთმის შეტევის მოხსნის მიზნითაც. ბავშვებისთვის საშუალო დღიური დოზა შეადგენს 160მკგ/4,5მკგ-ს, ხოლო მოზრდილებისთვის 320მკგ/9 მკგ-ს. ასაკობრივი ჩაშლისას ასევე შესაძლებელია საერთაშორისო სტატისტიკის გათვალისწინება, კერძოდ შესასყიდი რაოდენობის 20%-ბავშვთა ასაკზე და 80% - მოზრდილებზე.</w:t>
      </w:r>
    </w:p>
    <w:p w14:paraId="6B11DBE4" w14:textId="77777777" w:rsidR="00DD7BD6" w:rsidRPr="00DD7BD6" w:rsidRDefault="00365672" w:rsidP="00DD7BD6">
      <w:pPr>
        <w:jc w:val="both"/>
        <w:rPr>
          <w:rFonts w:ascii="Sylfaen" w:hAnsi="Sylfaen"/>
          <w:lang w:val="ka-GE"/>
        </w:rPr>
      </w:pPr>
      <w:r w:rsidRPr="00DD7BD6">
        <w:rPr>
          <w:rFonts w:ascii="Sylfaen" w:hAnsi="Sylfaen"/>
          <w:lang w:val="ka-GE"/>
        </w:rPr>
        <w:t>ბუდესონიდ/</w:t>
      </w:r>
      <w:r>
        <w:rPr>
          <w:rFonts w:ascii="Sylfaen" w:hAnsi="Sylfaen"/>
          <w:lang w:val="ka-GE"/>
        </w:rPr>
        <w:t xml:space="preserve">ფორმოტეროლს </w:t>
      </w:r>
      <w:r w:rsidR="00DD7BD6" w:rsidRPr="00DD7BD6">
        <w:rPr>
          <w:rFonts w:ascii="Sylfaen" w:hAnsi="Sylfaen"/>
          <w:lang w:val="ka-GE"/>
        </w:rPr>
        <w:t xml:space="preserve">ახასიათებს მაღალი ეფექტურობა და ოპტიმალური უსაფრთხოების პროფილი, რაც დადასტურებულია მრავალი კლინიკური კვლევით და კვლევების მეტა-ანალიზით. მისი საშუალებით შესაძლებელია ბრონქული ასთმის მართვა 1 ინჰალატორით, რადგანაც პრეპარატი  მოქმედებას იწყებს ისევე სწრაფად (1-3 წთ), როგორც სალბუტამოლი, ხოლო მოქმედების მინიმალური ხანგრძლივობა 12 სთ-ს შეადგენს. ამგვარად, მისი გამოყენება შეიძლება როგორც ბრონქული ასთმის ბაზისური თერაპიის სახით, ასევე შეტევების კუპირებისთვის; აქედან გამომდინარე, პაციენტს აღარ ესაჭიროება ხანმოკლე მოქმედების ბეტა2-აგონისტი. </w:t>
      </w:r>
      <w:r w:rsidRPr="00DD7BD6">
        <w:rPr>
          <w:rFonts w:ascii="Sylfaen" w:hAnsi="Sylfaen"/>
          <w:lang w:val="ka-GE"/>
        </w:rPr>
        <w:t>ბუდესონიდ/</w:t>
      </w:r>
      <w:r>
        <w:rPr>
          <w:rFonts w:ascii="Sylfaen" w:hAnsi="Sylfaen"/>
          <w:lang w:val="ka-GE"/>
        </w:rPr>
        <w:t xml:space="preserve">ფორმოტეროლის </w:t>
      </w:r>
      <w:r w:rsidR="00DD7BD6" w:rsidRPr="00DD7BD6">
        <w:rPr>
          <w:rFonts w:ascii="Sylfaen" w:hAnsi="Sylfaen"/>
          <w:lang w:val="ka-GE"/>
        </w:rPr>
        <w:t>გამოყენება ბრონქული ასთმის სამკურნალოდ 1 ინჰალატორის სახით ამცირებს სტეროიდულ დატვირთვას, გამწვავებებისა და ჰოსპიტალიზაციის რიცხვს, შესაბამისად ამცირებს ფინანსურ ხარჯებს და აუმჯობესებს პაციენტთა დამყოლობას მკურნალობაზე.</w:t>
      </w:r>
    </w:p>
    <w:p w14:paraId="272DA61A" w14:textId="77777777" w:rsidR="002463D6" w:rsidRPr="00300C18" w:rsidRDefault="002463D6" w:rsidP="002463D6">
      <w:pPr>
        <w:jc w:val="both"/>
        <w:rPr>
          <w:rFonts w:ascii="Sylfaen" w:hAnsi="Sylfaen"/>
          <w:lang w:val="ka-GE"/>
        </w:rPr>
      </w:pPr>
      <w:r>
        <w:rPr>
          <w:rFonts w:ascii="Sylfaen" w:hAnsi="Sylfaen"/>
          <w:lang w:val="ka-GE"/>
        </w:rPr>
        <w:t>აღნიშნულ (ახალ) მედიკამენტთან -</w:t>
      </w:r>
      <w:r w:rsidRPr="00DD7BD6">
        <w:rPr>
          <w:rFonts w:ascii="Sylfaen" w:hAnsi="Sylfaen"/>
          <w:lang w:val="ka-GE"/>
        </w:rPr>
        <w:t>ბუდესონიდ/</w:t>
      </w:r>
      <w:r>
        <w:rPr>
          <w:rFonts w:ascii="Sylfaen" w:hAnsi="Sylfaen"/>
          <w:lang w:val="ka-GE"/>
        </w:rPr>
        <w:t xml:space="preserve">ფორმოტეროლთან დაკავშირებით ააიპ მიერ მოწოდებული იქნა </w:t>
      </w:r>
      <w:r w:rsidR="00300C18" w:rsidRPr="00705721">
        <w:rPr>
          <w:rFonts w:ascii="Sylfaen" w:hAnsi="Sylfaen"/>
          <w:lang w:val="ka-GE"/>
        </w:rPr>
        <w:t xml:space="preserve">პრეპარატი ბუდესონიდ/ფორმოტეროლის (სიმბიკორტის) მწარმოებელი კომპანია ასტრა ზენეკას წარმომადგენლობის </w:t>
      </w:r>
      <w:r w:rsidRPr="00705721">
        <w:rPr>
          <w:rFonts w:ascii="Sylfaen" w:hAnsi="Sylfaen"/>
          <w:lang w:val="ka-GE"/>
        </w:rPr>
        <w:t xml:space="preserve">ინფორმაცია წლიური მოხმარების (რეალური </w:t>
      </w:r>
      <w:r w:rsidRPr="00300C18">
        <w:rPr>
          <w:rFonts w:ascii="Sylfaen" w:hAnsi="Sylfaen"/>
          <w:lang w:val="ka-GE"/>
        </w:rPr>
        <w:t>რეალიზაცია ) და ფასების შესახებ, კერძოდ, (1) აფთიაქებში ამჟამად არსებული სარეალიზაციო ფასი ლარში ფასდაკლების დღეების დროს (ცხრილი 1); (2) სავარაუდო სარეალიზაციო ფასი ტენდერით შესყიდვის შემთხვევაში ,ასევე ლარში (ცხრილი 1), ასევე (3) მედიკამენტის დანიშვნის ჩვენებების, დოზირების და დაავადების პრევალენტობის შესახებ საქართველოს მოსახლეობაში</w:t>
      </w:r>
      <w:r w:rsidR="00705721">
        <w:rPr>
          <w:rFonts w:ascii="Sylfaen" w:hAnsi="Sylfaen"/>
          <w:lang w:val="ka-GE"/>
        </w:rPr>
        <w:t xml:space="preserve"> (ცხრილი 2,3)</w:t>
      </w:r>
      <w:r w:rsidRPr="00300C18">
        <w:rPr>
          <w:rFonts w:ascii="Sylfaen" w:hAnsi="Sylfaen"/>
          <w:lang w:val="ka-GE"/>
        </w:rPr>
        <w:t>.</w:t>
      </w:r>
    </w:p>
    <w:p w14:paraId="1D49F90E" w14:textId="77777777" w:rsidR="002463D6" w:rsidRPr="00300C18" w:rsidRDefault="002463D6" w:rsidP="002463D6">
      <w:pPr>
        <w:jc w:val="both"/>
        <w:rPr>
          <w:rFonts w:ascii="Sylfaen" w:hAnsi="Sylfaen"/>
          <w:lang w:val="ka-GE"/>
        </w:rPr>
      </w:pPr>
      <w:r w:rsidRPr="00300C18">
        <w:rPr>
          <w:rFonts w:ascii="Sylfaen" w:hAnsi="Sylfaen"/>
          <w:lang w:val="ka-GE"/>
        </w:rPr>
        <w:t>ცხრილი 1</w:t>
      </w:r>
    </w:p>
    <w:tbl>
      <w:tblPr>
        <w:tblW w:w="10100" w:type="dxa"/>
        <w:tblLook w:val="04A0" w:firstRow="1" w:lastRow="0" w:firstColumn="1" w:lastColumn="0" w:noHBand="0" w:noVBand="1"/>
      </w:tblPr>
      <w:tblGrid>
        <w:gridCol w:w="420"/>
        <w:gridCol w:w="3260"/>
        <w:gridCol w:w="1460"/>
        <w:gridCol w:w="1640"/>
        <w:gridCol w:w="2280"/>
        <w:gridCol w:w="1040"/>
      </w:tblGrid>
      <w:tr w:rsidR="002463D6" w:rsidRPr="002463D6" w14:paraId="46146A28" w14:textId="77777777" w:rsidTr="002463D6">
        <w:trPr>
          <w:trHeight w:val="116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5E1C"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Calibri" w:eastAsia="Times New Roman" w:hAnsi="Calibri" w:cs="Calibri"/>
                <w:color w:val="000000"/>
                <w:sz w:val="20"/>
                <w:szCs w:val="20"/>
              </w:rPr>
              <w:lastRenderedPageBreak/>
              <w: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8FB31B7"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პროდუქტი</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7AEEF48"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წლიური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რეალიზაცია</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D1E60AA"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საცალო</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ფასი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ლარში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ფასდაკლების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დღეს</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116F4CDA"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სავარაუდო</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ფასი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ლარში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მითითებული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კურსით</w:t>
            </w:r>
            <w:r w:rsidRPr="002463D6">
              <w:rPr>
                <w:rFonts w:ascii="Calibri" w:eastAsia="Times New Roman" w:hAnsi="Calibri" w:cs="Calibri"/>
                <w:color w:val="000000"/>
                <w:sz w:val="20"/>
                <w:szCs w:val="20"/>
              </w:rPr>
              <w:t xml:space="preserve">    1€ = 3,0</w:t>
            </w:r>
            <w:r w:rsidRPr="002463D6">
              <w:rPr>
                <w:rFonts w:ascii="Sylfaen" w:eastAsia="Times New Roman" w:hAnsi="Sylfaen" w:cs="Sylfaen"/>
                <w:color w:val="000000"/>
                <w:sz w:val="20"/>
                <w:szCs w:val="20"/>
              </w:rPr>
              <w:t>ლ</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შემთხვევაში</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E3FAAB" w14:textId="77777777" w:rsidR="002463D6" w:rsidRPr="002463D6" w:rsidRDefault="002463D6" w:rsidP="002463D6">
            <w:pPr>
              <w:spacing w:after="0" w:line="240" w:lineRule="auto"/>
              <w:jc w:val="center"/>
              <w:rPr>
                <w:rFonts w:ascii="Calibri" w:eastAsia="Times New Roman" w:hAnsi="Calibri" w:cs="Calibri"/>
                <w:color w:val="000000"/>
                <w:sz w:val="20"/>
                <w:szCs w:val="20"/>
              </w:rPr>
            </w:pPr>
            <w:r w:rsidRPr="002463D6">
              <w:rPr>
                <w:rFonts w:ascii="Sylfaen" w:eastAsia="Times New Roman" w:hAnsi="Sylfaen" w:cs="Sylfaen"/>
                <w:color w:val="000000"/>
                <w:sz w:val="20"/>
                <w:szCs w:val="20"/>
              </w:rPr>
              <w:t>სხვაობა</w:t>
            </w:r>
          </w:p>
        </w:tc>
      </w:tr>
      <w:tr w:rsidR="002463D6" w:rsidRPr="002463D6" w14:paraId="612E6692" w14:textId="77777777" w:rsidTr="002463D6">
        <w:trPr>
          <w:trHeight w:val="67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8395A13"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1</w:t>
            </w:r>
          </w:p>
        </w:tc>
        <w:tc>
          <w:tcPr>
            <w:tcW w:w="3260" w:type="dxa"/>
            <w:tcBorders>
              <w:top w:val="nil"/>
              <w:left w:val="nil"/>
              <w:bottom w:val="single" w:sz="4" w:space="0" w:color="auto"/>
              <w:right w:val="single" w:sz="4" w:space="0" w:color="auto"/>
            </w:tcBorders>
            <w:shd w:val="clear" w:color="auto" w:fill="auto"/>
            <w:vAlign w:val="bottom"/>
            <w:hideMark/>
          </w:tcPr>
          <w:p w14:paraId="6B4140B3"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SYMBICORT TBH powder for inhal. 160ug/4,5g/d,60ds</w:t>
            </w:r>
          </w:p>
        </w:tc>
        <w:tc>
          <w:tcPr>
            <w:tcW w:w="1460" w:type="dxa"/>
            <w:tcBorders>
              <w:top w:val="nil"/>
              <w:left w:val="nil"/>
              <w:bottom w:val="single" w:sz="4" w:space="0" w:color="auto"/>
              <w:right w:val="single" w:sz="4" w:space="0" w:color="auto"/>
            </w:tcBorders>
            <w:shd w:val="clear" w:color="auto" w:fill="auto"/>
            <w:noWrap/>
            <w:vAlign w:val="bottom"/>
            <w:hideMark/>
          </w:tcPr>
          <w:p w14:paraId="415BFCE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9852</w:t>
            </w:r>
          </w:p>
        </w:tc>
        <w:tc>
          <w:tcPr>
            <w:tcW w:w="1640" w:type="dxa"/>
            <w:tcBorders>
              <w:top w:val="nil"/>
              <w:left w:val="nil"/>
              <w:bottom w:val="single" w:sz="4" w:space="0" w:color="auto"/>
              <w:right w:val="single" w:sz="4" w:space="0" w:color="auto"/>
            </w:tcBorders>
            <w:shd w:val="clear" w:color="auto" w:fill="auto"/>
            <w:noWrap/>
            <w:vAlign w:val="bottom"/>
            <w:hideMark/>
          </w:tcPr>
          <w:p w14:paraId="0101F6B9"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71.98</w:t>
            </w:r>
          </w:p>
        </w:tc>
        <w:tc>
          <w:tcPr>
            <w:tcW w:w="2280" w:type="dxa"/>
            <w:tcBorders>
              <w:top w:val="nil"/>
              <w:left w:val="nil"/>
              <w:bottom w:val="single" w:sz="4" w:space="0" w:color="auto"/>
              <w:right w:val="single" w:sz="4" w:space="0" w:color="auto"/>
            </w:tcBorders>
            <w:shd w:val="clear" w:color="auto" w:fill="auto"/>
            <w:noWrap/>
            <w:vAlign w:val="bottom"/>
            <w:hideMark/>
          </w:tcPr>
          <w:p w14:paraId="4362D1A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45.738</w:t>
            </w:r>
          </w:p>
        </w:tc>
        <w:tc>
          <w:tcPr>
            <w:tcW w:w="1040" w:type="dxa"/>
            <w:tcBorders>
              <w:top w:val="nil"/>
              <w:left w:val="nil"/>
              <w:bottom w:val="single" w:sz="4" w:space="0" w:color="auto"/>
              <w:right w:val="single" w:sz="4" w:space="0" w:color="auto"/>
            </w:tcBorders>
            <w:shd w:val="clear" w:color="auto" w:fill="auto"/>
            <w:noWrap/>
            <w:vAlign w:val="bottom"/>
            <w:hideMark/>
          </w:tcPr>
          <w:p w14:paraId="4111C138"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w:t>
            </w:r>
          </w:p>
        </w:tc>
      </w:tr>
      <w:tr w:rsidR="002463D6" w:rsidRPr="002463D6" w14:paraId="50B59550" w14:textId="77777777" w:rsidTr="002463D6">
        <w:trPr>
          <w:trHeight w:val="70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C21D81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2</w:t>
            </w:r>
          </w:p>
        </w:tc>
        <w:tc>
          <w:tcPr>
            <w:tcW w:w="3260" w:type="dxa"/>
            <w:tcBorders>
              <w:top w:val="nil"/>
              <w:left w:val="nil"/>
              <w:bottom w:val="single" w:sz="4" w:space="0" w:color="auto"/>
              <w:right w:val="single" w:sz="4" w:space="0" w:color="auto"/>
            </w:tcBorders>
            <w:shd w:val="clear" w:color="auto" w:fill="auto"/>
            <w:vAlign w:val="bottom"/>
            <w:hideMark/>
          </w:tcPr>
          <w:p w14:paraId="496BB728"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SYMBICORT TBH powder for inhal. 320ug/9g/d,60ds</w:t>
            </w:r>
          </w:p>
        </w:tc>
        <w:tc>
          <w:tcPr>
            <w:tcW w:w="1460" w:type="dxa"/>
            <w:tcBorders>
              <w:top w:val="nil"/>
              <w:left w:val="nil"/>
              <w:bottom w:val="single" w:sz="4" w:space="0" w:color="auto"/>
              <w:right w:val="single" w:sz="4" w:space="0" w:color="auto"/>
            </w:tcBorders>
            <w:shd w:val="clear" w:color="auto" w:fill="auto"/>
            <w:noWrap/>
            <w:vAlign w:val="bottom"/>
            <w:hideMark/>
          </w:tcPr>
          <w:p w14:paraId="445E5A5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4296</w:t>
            </w:r>
          </w:p>
        </w:tc>
        <w:tc>
          <w:tcPr>
            <w:tcW w:w="1640" w:type="dxa"/>
            <w:tcBorders>
              <w:top w:val="nil"/>
              <w:left w:val="nil"/>
              <w:bottom w:val="single" w:sz="4" w:space="0" w:color="auto"/>
              <w:right w:val="single" w:sz="4" w:space="0" w:color="auto"/>
            </w:tcBorders>
            <w:shd w:val="clear" w:color="auto" w:fill="auto"/>
            <w:noWrap/>
            <w:vAlign w:val="bottom"/>
            <w:hideMark/>
          </w:tcPr>
          <w:p w14:paraId="72BC892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132.4</w:t>
            </w:r>
          </w:p>
        </w:tc>
        <w:tc>
          <w:tcPr>
            <w:tcW w:w="2280" w:type="dxa"/>
            <w:tcBorders>
              <w:top w:val="nil"/>
              <w:left w:val="nil"/>
              <w:bottom w:val="single" w:sz="4" w:space="0" w:color="auto"/>
              <w:right w:val="single" w:sz="4" w:space="0" w:color="auto"/>
            </w:tcBorders>
            <w:shd w:val="clear" w:color="auto" w:fill="auto"/>
            <w:noWrap/>
            <w:vAlign w:val="bottom"/>
            <w:hideMark/>
          </w:tcPr>
          <w:p w14:paraId="45E69D4C"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91.476</w:t>
            </w:r>
          </w:p>
        </w:tc>
        <w:tc>
          <w:tcPr>
            <w:tcW w:w="1040" w:type="dxa"/>
            <w:tcBorders>
              <w:top w:val="nil"/>
              <w:left w:val="nil"/>
              <w:bottom w:val="single" w:sz="4" w:space="0" w:color="auto"/>
              <w:right w:val="single" w:sz="4" w:space="0" w:color="auto"/>
            </w:tcBorders>
            <w:shd w:val="clear" w:color="auto" w:fill="auto"/>
            <w:noWrap/>
            <w:vAlign w:val="bottom"/>
            <w:hideMark/>
          </w:tcPr>
          <w:p w14:paraId="3B2D3777"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-31%</w:t>
            </w:r>
          </w:p>
        </w:tc>
      </w:tr>
      <w:tr w:rsidR="002463D6" w:rsidRPr="002463D6" w14:paraId="3B5F730E" w14:textId="77777777" w:rsidTr="002463D6">
        <w:trPr>
          <w:trHeight w:val="70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12E0A08"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w:t>
            </w:r>
          </w:p>
        </w:tc>
        <w:tc>
          <w:tcPr>
            <w:tcW w:w="3260" w:type="dxa"/>
            <w:tcBorders>
              <w:top w:val="nil"/>
              <w:left w:val="nil"/>
              <w:bottom w:val="single" w:sz="4" w:space="0" w:color="auto"/>
              <w:right w:val="single" w:sz="4" w:space="0" w:color="auto"/>
            </w:tcBorders>
            <w:shd w:val="clear" w:color="auto" w:fill="auto"/>
            <w:vAlign w:val="bottom"/>
            <w:hideMark/>
          </w:tcPr>
          <w:p w14:paraId="3E43CB4B" w14:textId="77777777" w:rsidR="002463D6" w:rsidRPr="002463D6" w:rsidRDefault="002463D6" w:rsidP="002463D6">
            <w:pPr>
              <w:spacing w:after="0" w:line="240" w:lineRule="auto"/>
              <w:rPr>
                <w:rFonts w:ascii="Calibri" w:eastAsia="Times New Roman" w:hAnsi="Calibri" w:cs="Calibri"/>
                <w:color w:val="000000"/>
              </w:rPr>
            </w:pPr>
            <w:r w:rsidRPr="002463D6">
              <w:rPr>
                <w:rFonts w:ascii="Calibri" w:eastAsia="Times New Roman" w:hAnsi="Calibri" w:cs="Calibri"/>
                <w:color w:val="000000"/>
              </w:rPr>
              <w:t>SYMBICORT TBH powder for inhal. 80ug/4,5g/d,60ds</w:t>
            </w:r>
          </w:p>
        </w:tc>
        <w:tc>
          <w:tcPr>
            <w:tcW w:w="1460" w:type="dxa"/>
            <w:tcBorders>
              <w:top w:val="nil"/>
              <w:left w:val="nil"/>
              <w:bottom w:val="single" w:sz="4" w:space="0" w:color="auto"/>
              <w:right w:val="single" w:sz="4" w:space="0" w:color="auto"/>
            </w:tcBorders>
            <w:shd w:val="clear" w:color="auto" w:fill="auto"/>
            <w:noWrap/>
            <w:vAlign w:val="bottom"/>
            <w:hideMark/>
          </w:tcPr>
          <w:p w14:paraId="49DAD5C9"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3600</w:t>
            </w:r>
          </w:p>
        </w:tc>
        <w:tc>
          <w:tcPr>
            <w:tcW w:w="1640" w:type="dxa"/>
            <w:tcBorders>
              <w:top w:val="nil"/>
              <w:left w:val="nil"/>
              <w:bottom w:val="single" w:sz="4" w:space="0" w:color="auto"/>
              <w:right w:val="single" w:sz="4" w:space="0" w:color="auto"/>
            </w:tcBorders>
            <w:shd w:val="clear" w:color="auto" w:fill="auto"/>
            <w:noWrap/>
            <w:vAlign w:val="bottom"/>
            <w:hideMark/>
          </w:tcPr>
          <w:p w14:paraId="6B485C2E"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54.13</w:t>
            </w:r>
          </w:p>
        </w:tc>
        <w:tc>
          <w:tcPr>
            <w:tcW w:w="2280" w:type="dxa"/>
            <w:tcBorders>
              <w:top w:val="nil"/>
              <w:left w:val="nil"/>
              <w:bottom w:val="single" w:sz="4" w:space="0" w:color="auto"/>
              <w:right w:val="single" w:sz="4" w:space="0" w:color="auto"/>
            </w:tcBorders>
            <w:shd w:val="clear" w:color="auto" w:fill="auto"/>
            <w:noWrap/>
            <w:vAlign w:val="bottom"/>
            <w:hideMark/>
          </w:tcPr>
          <w:p w14:paraId="52053A95"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34.848</w:t>
            </w:r>
          </w:p>
        </w:tc>
        <w:tc>
          <w:tcPr>
            <w:tcW w:w="1040" w:type="dxa"/>
            <w:tcBorders>
              <w:top w:val="nil"/>
              <w:left w:val="nil"/>
              <w:bottom w:val="single" w:sz="4" w:space="0" w:color="auto"/>
              <w:right w:val="single" w:sz="4" w:space="0" w:color="auto"/>
            </w:tcBorders>
            <w:shd w:val="clear" w:color="auto" w:fill="auto"/>
            <w:noWrap/>
            <w:vAlign w:val="bottom"/>
            <w:hideMark/>
          </w:tcPr>
          <w:p w14:paraId="2DA5594C" w14:textId="77777777" w:rsidR="002463D6" w:rsidRPr="002463D6" w:rsidRDefault="002463D6" w:rsidP="002463D6">
            <w:pPr>
              <w:spacing w:after="0" w:line="240" w:lineRule="auto"/>
              <w:jc w:val="right"/>
              <w:rPr>
                <w:rFonts w:ascii="Calibri" w:eastAsia="Times New Roman" w:hAnsi="Calibri" w:cs="Calibri"/>
                <w:color w:val="000000"/>
              </w:rPr>
            </w:pPr>
            <w:r w:rsidRPr="002463D6">
              <w:rPr>
                <w:rFonts w:ascii="Calibri" w:eastAsia="Times New Roman" w:hAnsi="Calibri" w:cs="Calibri"/>
                <w:color w:val="000000"/>
              </w:rPr>
              <w:t>-36%</w:t>
            </w:r>
          </w:p>
        </w:tc>
      </w:tr>
    </w:tbl>
    <w:p w14:paraId="57CDADA3" w14:textId="77777777" w:rsidR="002463D6" w:rsidRDefault="002463D6" w:rsidP="002463D6">
      <w:pPr>
        <w:rPr>
          <w:rFonts w:ascii="Sylfaen" w:hAnsi="Sylfaen"/>
          <w:color w:val="1F497D"/>
          <w:lang w:val="ka-GE"/>
        </w:rPr>
      </w:pPr>
    </w:p>
    <w:p w14:paraId="088B1FFC" w14:textId="77777777" w:rsidR="00DD7BD6" w:rsidRDefault="002463D6" w:rsidP="00DD7BD6">
      <w:pPr>
        <w:jc w:val="both"/>
        <w:rPr>
          <w:rFonts w:ascii="Sylfaen" w:hAnsi="Sylfaen"/>
          <w:lang w:val="ka-GE"/>
        </w:rPr>
      </w:pPr>
      <w:r>
        <w:rPr>
          <w:rFonts w:ascii="Sylfaen" w:hAnsi="Sylfaen"/>
          <w:lang w:val="ka-GE"/>
        </w:rPr>
        <w:t xml:space="preserve"> ცხრილი 2</w:t>
      </w:r>
    </w:p>
    <w:tbl>
      <w:tblPr>
        <w:tblW w:w="10196" w:type="dxa"/>
        <w:tblLook w:val="04A0" w:firstRow="1" w:lastRow="0" w:firstColumn="1" w:lastColumn="0" w:noHBand="0" w:noVBand="1"/>
      </w:tblPr>
      <w:tblGrid>
        <w:gridCol w:w="1629"/>
        <w:gridCol w:w="1762"/>
        <w:gridCol w:w="1561"/>
        <w:gridCol w:w="2126"/>
        <w:gridCol w:w="1701"/>
        <w:gridCol w:w="1417"/>
      </w:tblGrid>
      <w:tr w:rsidR="002463D6" w:rsidRPr="002463D6" w14:paraId="762E73A1" w14:textId="77777777" w:rsidTr="002463D6">
        <w:trPr>
          <w:trHeight w:val="315"/>
        </w:trPr>
        <w:tc>
          <w:tcPr>
            <w:tcW w:w="1629"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C56AAE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პროდუქტი</w:t>
            </w:r>
          </w:p>
        </w:tc>
        <w:tc>
          <w:tcPr>
            <w:tcW w:w="1762" w:type="dxa"/>
            <w:tcBorders>
              <w:top w:val="single" w:sz="8" w:space="0" w:color="auto"/>
              <w:left w:val="nil"/>
              <w:bottom w:val="single" w:sz="8" w:space="0" w:color="auto"/>
              <w:right w:val="single" w:sz="4" w:space="0" w:color="auto"/>
            </w:tcBorders>
            <w:shd w:val="clear" w:color="auto" w:fill="auto"/>
            <w:noWrap/>
            <w:vAlign w:val="bottom"/>
            <w:hideMark/>
          </w:tcPr>
          <w:p w14:paraId="03E6A3F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დოზები</w:t>
            </w:r>
          </w:p>
        </w:tc>
        <w:tc>
          <w:tcPr>
            <w:tcW w:w="1561" w:type="dxa"/>
            <w:tcBorders>
              <w:top w:val="single" w:sz="8" w:space="0" w:color="auto"/>
              <w:left w:val="nil"/>
              <w:bottom w:val="single" w:sz="8" w:space="0" w:color="auto"/>
              <w:right w:val="single" w:sz="4" w:space="0" w:color="auto"/>
            </w:tcBorders>
            <w:shd w:val="clear" w:color="auto" w:fill="auto"/>
            <w:noWrap/>
            <w:vAlign w:val="bottom"/>
            <w:hideMark/>
          </w:tcPr>
          <w:p w14:paraId="422D7BA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ასაკი</w:t>
            </w:r>
          </w:p>
        </w:tc>
        <w:tc>
          <w:tcPr>
            <w:tcW w:w="2126" w:type="dxa"/>
            <w:tcBorders>
              <w:top w:val="single" w:sz="8" w:space="0" w:color="auto"/>
              <w:left w:val="nil"/>
              <w:bottom w:val="single" w:sz="8" w:space="0" w:color="auto"/>
              <w:right w:val="single" w:sz="4" w:space="0" w:color="auto"/>
            </w:tcBorders>
            <w:shd w:val="clear" w:color="auto" w:fill="auto"/>
            <w:vAlign w:val="bottom"/>
            <w:hideMark/>
          </w:tcPr>
          <w:p w14:paraId="65EE44C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ჩვენება</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00D0A71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დოზირება</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5FA5C97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ჯერადობა</w:t>
            </w:r>
          </w:p>
        </w:tc>
      </w:tr>
      <w:tr w:rsidR="002463D6" w:rsidRPr="002463D6" w14:paraId="161B88EC" w14:textId="77777777" w:rsidTr="002463D6">
        <w:trPr>
          <w:trHeight w:val="75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6F16E2E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inhal. </w:t>
            </w:r>
          </w:p>
        </w:tc>
        <w:tc>
          <w:tcPr>
            <w:tcW w:w="1762" w:type="dxa"/>
            <w:tcBorders>
              <w:top w:val="nil"/>
              <w:left w:val="nil"/>
              <w:bottom w:val="single" w:sz="4" w:space="0" w:color="auto"/>
              <w:right w:val="single" w:sz="4" w:space="0" w:color="auto"/>
            </w:tcBorders>
            <w:shd w:val="clear" w:color="auto" w:fill="auto"/>
            <w:noWrap/>
            <w:vAlign w:val="bottom"/>
            <w:hideMark/>
          </w:tcPr>
          <w:p w14:paraId="5C0B4B5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80ug/4,5g/d,60ds</w:t>
            </w:r>
          </w:p>
        </w:tc>
        <w:tc>
          <w:tcPr>
            <w:tcW w:w="1561" w:type="dxa"/>
            <w:tcBorders>
              <w:top w:val="nil"/>
              <w:left w:val="nil"/>
              <w:bottom w:val="single" w:sz="4" w:space="0" w:color="auto"/>
              <w:right w:val="single" w:sz="4" w:space="0" w:color="auto"/>
            </w:tcBorders>
            <w:shd w:val="clear" w:color="auto" w:fill="auto"/>
            <w:noWrap/>
            <w:vAlign w:val="bottom"/>
            <w:hideMark/>
          </w:tcPr>
          <w:p w14:paraId="38558AC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6-12 </w:t>
            </w:r>
            <w:r w:rsidRPr="002463D6">
              <w:rPr>
                <w:rFonts w:ascii="Sylfaen" w:eastAsia="Times New Roman" w:hAnsi="Sylfaen" w:cs="Sylfaen"/>
                <w:color w:val="000000"/>
                <w:sz w:val="20"/>
                <w:szCs w:val="20"/>
              </w:rPr>
              <w:t>წ</w:t>
            </w:r>
          </w:p>
        </w:tc>
        <w:tc>
          <w:tcPr>
            <w:tcW w:w="2126" w:type="dxa"/>
            <w:tcBorders>
              <w:top w:val="nil"/>
              <w:left w:val="nil"/>
              <w:bottom w:val="single" w:sz="4" w:space="0" w:color="auto"/>
              <w:right w:val="single" w:sz="4" w:space="0" w:color="auto"/>
            </w:tcBorders>
            <w:shd w:val="clear" w:color="auto" w:fill="auto"/>
            <w:vAlign w:val="bottom"/>
            <w:hideMark/>
          </w:tcPr>
          <w:p w14:paraId="44BA46D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შემანარჩუნებელი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4" w:space="0" w:color="auto"/>
              <w:right w:val="single" w:sz="4" w:space="0" w:color="auto"/>
            </w:tcBorders>
            <w:shd w:val="clear" w:color="auto" w:fill="auto"/>
            <w:noWrap/>
            <w:vAlign w:val="bottom"/>
            <w:hideMark/>
          </w:tcPr>
          <w:p w14:paraId="393C8FA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ინჰ</w:t>
            </w:r>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6360DD6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4DD439AD" w14:textId="77777777" w:rsidTr="002463D6">
        <w:trPr>
          <w:trHeight w:val="78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396095E9"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4963CCC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14B3026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წლისზემოთ</w:t>
            </w:r>
          </w:p>
        </w:tc>
        <w:tc>
          <w:tcPr>
            <w:tcW w:w="2126" w:type="dxa"/>
            <w:tcBorders>
              <w:top w:val="nil"/>
              <w:left w:val="nil"/>
              <w:bottom w:val="single" w:sz="4" w:space="0" w:color="auto"/>
              <w:right w:val="single" w:sz="4" w:space="0" w:color="auto"/>
            </w:tcBorders>
            <w:shd w:val="clear" w:color="auto" w:fill="auto"/>
            <w:vAlign w:val="bottom"/>
            <w:hideMark/>
          </w:tcPr>
          <w:p w14:paraId="326FC75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შემანარჩუნებელი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4" w:space="0" w:color="auto"/>
              <w:right w:val="single" w:sz="4" w:space="0" w:color="auto"/>
            </w:tcBorders>
            <w:shd w:val="clear" w:color="auto" w:fill="auto"/>
            <w:noWrap/>
            <w:vAlign w:val="bottom"/>
            <w:hideMark/>
          </w:tcPr>
          <w:p w14:paraId="053E341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ინჰ</w:t>
            </w:r>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3E61ED2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7C6621FD" w14:textId="77777777" w:rsidTr="002463D6">
        <w:trPr>
          <w:trHeight w:val="82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61B57E6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0ABE5BF5"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43DA7E2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2126" w:type="dxa"/>
            <w:tcBorders>
              <w:top w:val="nil"/>
              <w:left w:val="nil"/>
              <w:bottom w:val="single" w:sz="8" w:space="0" w:color="auto"/>
              <w:right w:val="single" w:sz="4" w:space="0" w:color="auto"/>
            </w:tcBorders>
            <w:shd w:val="clear" w:color="auto" w:fill="auto"/>
            <w:vAlign w:val="bottom"/>
            <w:hideMark/>
          </w:tcPr>
          <w:p w14:paraId="30256D5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შეტევების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კუპირებისათვის</w:t>
            </w:r>
          </w:p>
        </w:tc>
        <w:tc>
          <w:tcPr>
            <w:tcW w:w="1701" w:type="dxa"/>
            <w:tcBorders>
              <w:top w:val="nil"/>
              <w:left w:val="nil"/>
              <w:bottom w:val="single" w:sz="8" w:space="0" w:color="auto"/>
              <w:right w:val="single" w:sz="4" w:space="0" w:color="auto"/>
            </w:tcBorders>
            <w:shd w:val="clear" w:color="auto" w:fill="auto"/>
            <w:noWrap/>
            <w:vAlign w:val="bottom"/>
            <w:hideMark/>
          </w:tcPr>
          <w:p w14:paraId="26E062A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&lt;=6 </w:t>
            </w:r>
            <w:r w:rsidRPr="002463D6">
              <w:rPr>
                <w:rFonts w:ascii="Sylfaen" w:eastAsia="Times New Roman" w:hAnsi="Sylfaen" w:cs="Sylfaen"/>
                <w:color w:val="000000"/>
                <w:sz w:val="20"/>
                <w:szCs w:val="20"/>
              </w:rPr>
              <w:t>ინჰ</w:t>
            </w:r>
          </w:p>
        </w:tc>
        <w:tc>
          <w:tcPr>
            <w:tcW w:w="1417" w:type="dxa"/>
            <w:tcBorders>
              <w:top w:val="nil"/>
              <w:left w:val="nil"/>
              <w:bottom w:val="single" w:sz="8" w:space="0" w:color="auto"/>
              <w:right w:val="single" w:sz="4" w:space="0" w:color="auto"/>
            </w:tcBorders>
            <w:shd w:val="clear" w:color="auto" w:fill="auto"/>
            <w:noWrap/>
            <w:vAlign w:val="bottom"/>
            <w:hideMark/>
          </w:tcPr>
          <w:p w14:paraId="09361F9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&lt;=12-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37DA8FD2" w14:textId="77777777" w:rsidTr="002463D6">
        <w:trPr>
          <w:trHeight w:val="87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7532F41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inhal. </w:t>
            </w:r>
          </w:p>
        </w:tc>
        <w:tc>
          <w:tcPr>
            <w:tcW w:w="1762" w:type="dxa"/>
            <w:tcBorders>
              <w:top w:val="nil"/>
              <w:left w:val="nil"/>
              <w:bottom w:val="single" w:sz="4" w:space="0" w:color="auto"/>
              <w:right w:val="single" w:sz="4" w:space="0" w:color="auto"/>
            </w:tcBorders>
            <w:shd w:val="clear" w:color="auto" w:fill="auto"/>
            <w:noWrap/>
            <w:vAlign w:val="bottom"/>
            <w:hideMark/>
          </w:tcPr>
          <w:p w14:paraId="3ECA5ED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 160ug/4,5g/d,60ds</w:t>
            </w:r>
          </w:p>
        </w:tc>
        <w:tc>
          <w:tcPr>
            <w:tcW w:w="1561" w:type="dxa"/>
            <w:tcBorders>
              <w:top w:val="nil"/>
              <w:left w:val="nil"/>
              <w:bottom w:val="single" w:sz="4" w:space="0" w:color="auto"/>
              <w:right w:val="single" w:sz="4" w:space="0" w:color="auto"/>
            </w:tcBorders>
            <w:shd w:val="clear" w:color="auto" w:fill="auto"/>
            <w:noWrap/>
            <w:vAlign w:val="bottom"/>
            <w:hideMark/>
          </w:tcPr>
          <w:p w14:paraId="74A4FAC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წლისზემოთ</w:t>
            </w:r>
          </w:p>
        </w:tc>
        <w:tc>
          <w:tcPr>
            <w:tcW w:w="2126" w:type="dxa"/>
            <w:tcBorders>
              <w:top w:val="nil"/>
              <w:left w:val="nil"/>
              <w:bottom w:val="single" w:sz="4" w:space="0" w:color="auto"/>
              <w:right w:val="single" w:sz="4" w:space="0" w:color="auto"/>
            </w:tcBorders>
            <w:shd w:val="clear" w:color="auto" w:fill="auto"/>
            <w:vAlign w:val="bottom"/>
            <w:hideMark/>
          </w:tcPr>
          <w:p w14:paraId="78367A1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შემანარჩუნებელი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4" w:space="0" w:color="auto"/>
              <w:right w:val="single" w:sz="4" w:space="0" w:color="auto"/>
            </w:tcBorders>
            <w:shd w:val="clear" w:color="auto" w:fill="auto"/>
            <w:noWrap/>
            <w:vAlign w:val="bottom"/>
            <w:hideMark/>
          </w:tcPr>
          <w:p w14:paraId="5CF79D4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ინჰ</w:t>
            </w:r>
            <w:r w:rsidRPr="002463D6">
              <w:rPr>
                <w:rFonts w:ascii="Calibri" w:eastAsia="Times New Roman" w:hAnsi="Calibri" w:cs="Calibri"/>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2587DB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6CAFC547" w14:textId="77777777" w:rsidTr="002463D6">
        <w:trPr>
          <w:trHeight w:val="75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56CC3EAF"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748D9FC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78379E2F"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2126" w:type="dxa"/>
            <w:tcBorders>
              <w:top w:val="nil"/>
              <w:left w:val="nil"/>
              <w:bottom w:val="single" w:sz="4" w:space="0" w:color="auto"/>
              <w:right w:val="single" w:sz="4" w:space="0" w:color="auto"/>
            </w:tcBorders>
            <w:shd w:val="clear" w:color="auto" w:fill="auto"/>
            <w:vAlign w:val="bottom"/>
            <w:hideMark/>
          </w:tcPr>
          <w:p w14:paraId="08BC6BE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შეტევების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კუპირებისათვის</w:t>
            </w:r>
          </w:p>
        </w:tc>
        <w:tc>
          <w:tcPr>
            <w:tcW w:w="1701" w:type="dxa"/>
            <w:tcBorders>
              <w:top w:val="nil"/>
              <w:left w:val="nil"/>
              <w:bottom w:val="single" w:sz="4" w:space="0" w:color="auto"/>
              <w:right w:val="single" w:sz="4" w:space="0" w:color="auto"/>
            </w:tcBorders>
            <w:shd w:val="clear" w:color="auto" w:fill="auto"/>
            <w:noWrap/>
            <w:vAlign w:val="bottom"/>
            <w:hideMark/>
          </w:tcPr>
          <w:p w14:paraId="3F838BDA"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&lt;= 6 </w:t>
            </w:r>
            <w:r w:rsidRPr="002463D6">
              <w:rPr>
                <w:rFonts w:ascii="Sylfaen" w:eastAsia="Times New Roman" w:hAnsi="Sylfaen" w:cs="Sylfaen"/>
                <w:color w:val="000000"/>
                <w:sz w:val="20"/>
                <w:szCs w:val="20"/>
              </w:rPr>
              <w:t>ინჰ</w:t>
            </w:r>
          </w:p>
        </w:tc>
        <w:tc>
          <w:tcPr>
            <w:tcW w:w="1417" w:type="dxa"/>
            <w:tcBorders>
              <w:top w:val="nil"/>
              <w:left w:val="nil"/>
              <w:bottom w:val="single" w:sz="4" w:space="0" w:color="auto"/>
              <w:right w:val="single" w:sz="4" w:space="0" w:color="auto"/>
            </w:tcBorders>
            <w:shd w:val="clear" w:color="auto" w:fill="auto"/>
            <w:noWrap/>
            <w:vAlign w:val="bottom"/>
            <w:hideMark/>
          </w:tcPr>
          <w:p w14:paraId="3499005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&lt;=12-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7206E9FD" w14:textId="77777777" w:rsidTr="002463D6">
        <w:trPr>
          <w:trHeight w:val="73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2E30184D"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0620FDD8"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3AB6FFF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მოზრდილები</w:t>
            </w:r>
          </w:p>
        </w:tc>
        <w:tc>
          <w:tcPr>
            <w:tcW w:w="2126" w:type="dxa"/>
            <w:tcBorders>
              <w:top w:val="nil"/>
              <w:left w:val="nil"/>
              <w:bottom w:val="single" w:sz="8" w:space="0" w:color="auto"/>
              <w:right w:val="single" w:sz="4" w:space="0" w:color="auto"/>
            </w:tcBorders>
            <w:shd w:val="clear" w:color="auto" w:fill="auto"/>
            <w:vAlign w:val="bottom"/>
            <w:hideMark/>
          </w:tcPr>
          <w:p w14:paraId="19867EE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ფქოდ</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სიმპტომური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თერაპიის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სახით</w:t>
            </w:r>
          </w:p>
        </w:tc>
        <w:tc>
          <w:tcPr>
            <w:tcW w:w="1701" w:type="dxa"/>
            <w:tcBorders>
              <w:top w:val="nil"/>
              <w:left w:val="nil"/>
              <w:bottom w:val="single" w:sz="8" w:space="0" w:color="auto"/>
              <w:right w:val="single" w:sz="4" w:space="0" w:color="auto"/>
            </w:tcBorders>
            <w:shd w:val="clear" w:color="auto" w:fill="auto"/>
            <w:noWrap/>
            <w:vAlign w:val="bottom"/>
            <w:hideMark/>
          </w:tcPr>
          <w:p w14:paraId="57BFF58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2 </w:t>
            </w:r>
            <w:r w:rsidRPr="002463D6">
              <w:rPr>
                <w:rFonts w:ascii="Sylfaen" w:eastAsia="Times New Roman" w:hAnsi="Sylfaen" w:cs="Sylfaen"/>
                <w:color w:val="000000"/>
                <w:sz w:val="20"/>
                <w:szCs w:val="20"/>
              </w:rPr>
              <w:t>ინჰ</w:t>
            </w:r>
          </w:p>
        </w:tc>
        <w:tc>
          <w:tcPr>
            <w:tcW w:w="1417" w:type="dxa"/>
            <w:tcBorders>
              <w:top w:val="nil"/>
              <w:left w:val="nil"/>
              <w:bottom w:val="single" w:sz="8" w:space="0" w:color="auto"/>
              <w:right w:val="single" w:sz="4" w:space="0" w:color="auto"/>
            </w:tcBorders>
            <w:shd w:val="clear" w:color="auto" w:fill="auto"/>
            <w:noWrap/>
            <w:vAlign w:val="bottom"/>
            <w:hideMark/>
          </w:tcPr>
          <w:p w14:paraId="7A3C2FE9"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541FB63B" w14:textId="77777777" w:rsidTr="002463D6">
        <w:trPr>
          <w:trHeight w:val="525"/>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0E4B81EE"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SYMBICORT TBH powder for inhal. </w:t>
            </w:r>
          </w:p>
        </w:tc>
        <w:tc>
          <w:tcPr>
            <w:tcW w:w="1762" w:type="dxa"/>
            <w:tcBorders>
              <w:top w:val="nil"/>
              <w:left w:val="nil"/>
              <w:bottom w:val="single" w:sz="4" w:space="0" w:color="auto"/>
              <w:right w:val="single" w:sz="4" w:space="0" w:color="auto"/>
            </w:tcBorders>
            <w:shd w:val="clear" w:color="auto" w:fill="auto"/>
            <w:noWrap/>
            <w:vAlign w:val="bottom"/>
            <w:hideMark/>
          </w:tcPr>
          <w:p w14:paraId="01C4340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320ug/9g/d,60ds</w:t>
            </w:r>
          </w:p>
        </w:tc>
        <w:tc>
          <w:tcPr>
            <w:tcW w:w="1561" w:type="dxa"/>
            <w:tcBorders>
              <w:top w:val="nil"/>
              <w:left w:val="nil"/>
              <w:bottom w:val="single" w:sz="4" w:space="0" w:color="auto"/>
              <w:right w:val="single" w:sz="4" w:space="0" w:color="auto"/>
            </w:tcBorders>
            <w:shd w:val="clear" w:color="auto" w:fill="auto"/>
            <w:noWrap/>
            <w:vAlign w:val="bottom"/>
            <w:hideMark/>
          </w:tcPr>
          <w:p w14:paraId="5F0D66C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12-17 </w:t>
            </w:r>
            <w:r w:rsidRPr="002463D6">
              <w:rPr>
                <w:rFonts w:ascii="Sylfaen" w:eastAsia="Times New Roman" w:hAnsi="Sylfaen" w:cs="Sylfaen"/>
                <w:color w:val="000000"/>
                <w:sz w:val="20"/>
                <w:szCs w:val="20"/>
              </w:rPr>
              <w:t>წ</w:t>
            </w:r>
          </w:p>
        </w:tc>
        <w:tc>
          <w:tcPr>
            <w:tcW w:w="2126" w:type="dxa"/>
            <w:tcBorders>
              <w:top w:val="nil"/>
              <w:left w:val="nil"/>
              <w:bottom w:val="single" w:sz="4" w:space="0" w:color="auto"/>
              <w:right w:val="single" w:sz="4" w:space="0" w:color="auto"/>
            </w:tcBorders>
            <w:shd w:val="clear" w:color="auto" w:fill="auto"/>
            <w:vAlign w:val="bottom"/>
            <w:hideMark/>
          </w:tcPr>
          <w:p w14:paraId="202BF560"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p>
        </w:tc>
        <w:tc>
          <w:tcPr>
            <w:tcW w:w="1701" w:type="dxa"/>
            <w:tcBorders>
              <w:top w:val="nil"/>
              <w:left w:val="nil"/>
              <w:bottom w:val="single" w:sz="4" w:space="0" w:color="auto"/>
              <w:right w:val="single" w:sz="4" w:space="0" w:color="auto"/>
            </w:tcBorders>
            <w:shd w:val="clear" w:color="auto" w:fill="auto"/>
            <w:noWrap/>
            <w:vAlign w:val="bottom"/>
            <w:hideMark/>
          </w:tcPr>
          <w:p w14:paraId="517126A3"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ინჰ</w:t>
            </w:r>
          </w:p>
        </w:tc>
        <w:tc>
          <w:tcPr>
            <w:tcW w:w="1417" w:type="dxa"/>
            <w:tcBorders>
              <w:top w:val="nil"/>
              <w:left w:val="nil"/>
              <w:bottom w:val="single" w:sz="4" w:space="0" w:color="auto"/>
              <w:right w:val="single" w:sz="4" w:space="0" w:color="auto"/>
            </w:tcBorders>
            <w:shd w:val="clear" w:color="auto" w:fill="auto"/>
            <w:noWrap/>
            <w:vAlign w:val="bottom"/>
            <w:hideMark/>
          </w:tcPr>
          <w:p w14:paraId="7CE40EF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381FECB4" w14:textId="77777777" w:rsidTr="002463D6">
        <w:trPr>
          <w:trHeight w:val="300"/>
        </w:trPr>
        <w:tc>
          <w:tcPr>
            <w:tcW w:w="1629" w:type="dxa"/>
            <w:tcBorders>
              <w:top w:val="nil"/>
              <w:left w:val="single" w:sz="8" w:space="0" w:color="auto"/>
              <w:bottom w:val="single" w:sz="4" w:space="0" w:color="auto"/>
              <w:right w:val="single" w:sz="4" w:space="0" w:color="auto"/>
            </w:tcBorders>
            <w:shd w:val="clear" w:color="auto" w:fill="auto"/>
            <w:vAlign w:val="bottom"/>
            <w:hideMark/>
          </w:tcPr>
          <w:p w14:paraId="5F9EE9CC"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4" w:space="0" w:color="auto"/>
              <w:right w:val="single" w:sz="4" w:space="0" w:color="auto"/>
            </w:tcBorders>
            <w:shd w:val="clear" w:color="auto" w:fill="auto"/>
            <w:noWrap/>
            <w:vAlign w:val="bottom"/>
            <w:hideMark/>
          </w:tcPr>
          <w:p w14:paraId="6E7C1451"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14:paraId="2924662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18 </w:t>
            </w:r>
            <w:r w:rsidRPr="002463D6">
              <w:rPr>
                <w:rFonts w:ascii="Sylfaen" w:eastAsia="Times New Roman" w:hAnsi="Sylfaen" w:cs="Sylfaen"/>
                <w:color w:val="000000"/>
                <w:sz w:val="20"/>
                <w:szCs w:val="20"/>
              </w:rPr>
              <w:t>წლის</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ზემოთ</w:t>
            </w:r>
          </w:p>
        </w:tc>
        <w:tc>
          <w:tcPr>
            <w:tcW w:w="2126" w:type="dxa"/>
            <w:tcBorders>
              <w:top w:val="nil"/>
              <w:left w:val="nil"/>
              <w:bottom w:val="single" w:sz="4" w:space="0" w:color="auto"/>
              <w:right w:val="single" w:sz="4" w:space="0" w:color="auto"/>
            </w:tcBorders>
            <w:shd w:val="clear" w:color="auto" w:fill="auto"/>
            <w:vAlign w:val="bottom"/>
            <w:hideMark/>
          </w:tcPr>
          <w:p w14:paraId="746EDFD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p>
        </w:tc>
        <w:tc>
          <w:tcPr>
            <w:tcW w:w="1701" w:type="dxa"/>
            <w:tcBorders>
              <w:top w:val="nil"/>
              <w:left w:val="nil"/>
              <w:bottom w:val="single" w:sz="4" w:space="0" w:color="auto"/>
              <w:right w:val="single" w:sz="4" w:space="0" w:color="auto"/>
            </w:tcBorders>
            <w:shd w:val="clear" w:color="auto" w:fill="auto"/>
            <w:noWrap/>
            <w:vAlign w:val="bottom"/>
            <w:hideMark/>
          </w:tcPr>
          <w:p w14:paraId="5C8D6157"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ინჰ</w:t>
            </w:r>
          </w:p>
        </w:tc>
        <w:tc>
          <w:tcPr>
            <w:tcW w:w="1417" w:type="dxa"/>
            <w:tcBorders>
              <w:top w:val="nil"/>
              <w:left w:val="nil"/>
              <w:bottom w:val="single" w:sz="4" w:space="0" w:color="auto"/>
              <w:right w:val="single" w:sz="4" w:space="0" w:color="auto"/>
            </w:tcBorders>
            <w:shd w:val="clear" w:color="auto" w:fill="auto"/>
            <w:noWrap/>
            <w:vAlign w:val="bottom"/>
            <w:hideMark/>
          </w:tcPr>
          <w:p w14:paraId="36DC2FB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1-2 </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r w:rsidR="002463D6" w:rsidRPr="002463D6" w14:paraId="29875AC0" w14:textId="77777777" w:rsidTr="002463D6">
        <w:trPr>
          <w:trHeight w:val="315"/>
        </w:trPr>
        <w:tc>
          <w:tcPr>
            <w:tcW w:w="1629" w:type="dxa"/>
            <w:tcBorders>
              <w:top w:val="nil"/>
              <w:left w:val="single" w:sz="8" w:space="0" w:color="auto"/>
              <w:bottom w:val="single" w:sz="8" w:space="0" w:color="auto"/>
              <w:right w:val="single" w:sz="4" w:space="0" w:color="auto"/>
            </w:tcBorders>
            <w:shd w:val="clear" w:color="auto" w:fill="auto"/>
            <w:vAlign w:val="bottom"/>
            <w:hideMark/>
          </w:tcPr>
          <w:p w14:paraId="3BC8921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762" w:type="dxa"/>
            <w:tcBorders>
              <w:top w:val="nil"/>
              <w:left w:val="nil"/>
              <w:bottom w:val="single" w:sz="8" w:space="0" w:color="auto"/>
              <w:right w:val="single" w:sz="4" w:space="0" w:color="auto"/>
            </w:tcBorders>
            <w:shd w:val="clear" w:color="auto" w:fill="auto"/>
            <w:noWrap/>
            <w:vAlign w:val="bottom"/>
            <w:hideMark/>
          </w:tcPr>
          <w:p w14:paraId="1898D732"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w:t>
            </w:r>
          </w:p>
        </w:tc>
        <w:tc>
          <w:tcPr>
            <w:tcW w:w="1561" w:type="dxa"/>
            <w:tcBorders>
              <w:top w:val="nil"/>
              <w:left w:val="nil"/>
              <w:bottom w:val="single" w:sz="8" w:space="0" w:color="auto"/>
              <w:right w:val="single" w:sz="4" w:space="0" w:color="auto"/>
            </w:tcBorders>
            <w:shd w:val="clear" w:color="auto" w:fill="auto"/>
            <w:noWrap/>
            <w:vAlign w:val="bottom"/>
            <w:hideMark/>
          </w:tcPr>
          <w:p w14:paraId="3A84490B"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მოზრდილები</w:t>
            </w:r>
          </w:p>
        </w:tc>
        <w:tc>
          <w:tcPr>
            <w:tcW w:w="2126" w:type="dxa"/>
            <w:tcBorders>
              <w:top w:val="nil"/>
              <w:left w:val="nil"/>
              <w:bottom w:val="single" w:sz="8" w:space="0" w:color="auto"/>
              <w:right w:val="single" w:sz="4" w:space="0" w:color="auto"/>
            </w:tcBorders>
            <w:shd w:val="clear" w:color="auto" w:fill="auto"/>
            <w:vAlign w:val="bottom"/>
            <w:hideMark/>
          </w:tcPr>
          <w:p w14:paraId="7FF3077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Sylfaen" w:eastAsia="Times New Roman" w:hAnsi="Sylfaen" w:cs="Sylfaen"/>
                <w:color w:val="000000"/>
                <w:sz w:val="20"/>
                <w:szCs w:val="20"/>
              </w:rPr>
              <w:t>ფქოდ</w:t>
            </w:r>
          </w:p>
        </w:tc>
        <w:tc>
          <w:tcPr>
            <w:tcW w:w="1701" w:type="dxa"/>
            <w:tcBorders>
              <w:top w:val="nil"/>
              <w:left w:val="nil"/>
              <w:bottom w:val="single" w:sz="8" w:space="0" w:color="auto"/>
              <w:right w:val="single" w:sz="4" w:space="0" w:color="auto"/>
            </w:tcBorders>
            <w:shd w:val="clear" w:color="auto" w:fill="auto"/>
            <w:noWrap/>
            <w:vAlign w:val="bottom"/>
            <w:hideMark/>
          </w:tcPr>
          <w:p w14:paraId="2971F2E4"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 xml:space="preserve">1 </w:t>
            </w:r>
            <w:r w:rsidRPr="002463D6">
              <w:rPr>
                <w:rFonts w:ascii="Sylfaen" w:eastAsia="Times New Roman" w:hAnsi="Sylfaen" w:cs="Sylfaen"/>
                <w:color w:val="000000"/>
                <w:sz w:val="20"/>
                <w:szCs w:val="20"/>
              </w:rPr>
              <w:t>ინჰ</w:t>
            </w:r>
          </w:p>
        </w:tc>
        <w:tc>
          <w:tcPr>
            <w:tcW w:w="1417" w:type="dxa"/>
            <w:tcBorders>
              <w:top w:val="nil"/>
              <w:left w:val="nil"/>
              <w:bottom w:val="single" w:sz="8" w:space="0" w:color="auto"/>
              <w:right w:val="single" w:sz="4" w:space="0" w:color="auto"/>
            </w:tcBorders>
            <w:shd w:val="clear" w:color="auto" w:fill="auto"/>
            <w:noWrap/>
            <w:vAlign w:val="bottom"/>
            <w:hideMark/>
          </w:tcPr>
          <w:p w14:paraId="137FD126" w14:textId="77777777" w:rsidR="002463D6" w:rsidRPr="002463D6" w:rsidRDefault="002463D6" w:rsidP="002463D6">
            <w:pPr>
              <w:spacing w:after="0" w:line="240" w:lineRule="auto"/>
              <w:rPr>
                <w:rFonts w:ascii="Calibri" w:eastAsia="Times New Roman" w:hAnsi="Calibri" w:cs="Calibri"/>
                <w:color w:val="000000"/>
                <w:sz w:val="20"/>
                <w:szCs w:val="20"/>
              </w:rPr>
            </w:pPr>
            <w:r w:rsidRPr="002463D6">
              <w:rPr>
                <w:rFonts w:ascii="Calibri" w:eastAsia="Times New Roman" w:hAnsi="Calibri" w:cs="Calibri"/>
                <w:color w:val="000000"/>
                <w:sz w:val="20"/>
                <w:szCs w:val="20"/>
              </w:rPr>
              <w:t>2-</w:t>
            </w:r>
            <w:r w:rsidRPr="002463D6">
              <w:rPr>
                <w:rFonts w:ascii="Sylfaen" w:eastAsia="Times New Roman" w:hAnsi="Sylfaen" w:cs="Sylfaen"/>
                <w:color w:val="000000"/>
                <w:sz w:val="20"/>
                <w:szCs w:val="20"/>
              </w:rPr>
              <w:t>ჯერ</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დღეში</w:t>
            </w:r>
          </w:p>
        </w:tc>
      </w:tr>
    </w:tbl>
    <w:p w14:paraId="48B13737" w14:textId="77777777" w:rsidR="002463D6" w:rsidRDefault="002463D6" w:rsidP="00DD7BD6">
      <w:pPr>
        <w:jc w:val="both"/>
        <w:rPr>
          <w:rFonts w:ascii="Sylfaen" w:hAnsi="Sylfaen"/>
          <w:lang w:val="ka-GE"/>
        </w:rPr>
      </w:pPr>
    </w:p>
    <w:p w14:paraId="51A00D0D" w14:textId="77777777" w:rsidR="002463D6" w:rsidRDefault="002463D6" w:rsidP="00DD7BD6">
      <w:pPr>
        <w:jc w:val="both"/>
        <w:rPr>
          <w:rFonts w:ascii="Sylfaen" w:hAnsi="Sylfaen"/>
          <w:lang w:val="ka-GE"/>
        </w:rPr>
      </w:pPr>
      <w:r>
        <w:rPr>
          <w:rFonts w:ascii="Sylfaen" w:hAnsi="Sylfaen"/>
          <w:lang w:val="ka-GE"/>
        </w:rPr>
        <w:t>ცხრილი 3</w:t>
      </w:r>
    </w:p>
    <w:tbl>
      <w:tblPr>
        <w:tblW w:w="9900" w:type="dxa"/>
        <w:tblLook w:val="04A0" w:firstRow="1" w:lastRow="0" w:firstColumn="1" w:lastColumn="0" w:noHBand="0" w:noVBand="1"/>
      </w:tblPr>
      <w:tblGrid>
        <w:gridCol w:w="1800"/>
        <w:gridCol w:w="1167"/>
        <w:gridCol w:w="239"/>
        <w:gridCol w:w="2120"/>
        <w:gridCol w:w="2177"/>
        <w:gridCol w:w="2397"/>
      </w:tblGrid>
      <w:tr w:rsidR="002463D6" w:rsidRPr="002463D6" w14:paraId="5259799F" w14:textId="77777777" w:rsidTr="00300C18">
        <w:trPr>
          <w:trHeight w:val="315"/>
        </w:trPr>
        <w:tc>
          <w:tcPr>
            <w:tcW w:w="1800" w:type="dxa"/>
            <w:vMerge w:val="restart"/>
            <w:tcBorders>
              <w:top w:val="single" w:sz="8" w:space="0" w:color="FFFFFF"/>
              <w:left w:val="single" w:sz="8" w:space="0" w:color="FFFFFF"/>
              <w:bottom w:val="single" w:sz="8" w:space="0" w:color="FFFFFF"/>
              <w:right w:val="single" w:sz="8" w:space="0" w:color="FFFFFF"/>
            </w:tcBorders>
            <w:shd w:val="clear" w:color="000000" w:fill="33A4FF"/>
            <w:vAlign w:val="center"/>
            <w:hideMark/>
          </w:tcPr>
          <w:p w14:paraId="04217DEC" w14:textId="77777777" w:rsidR="002463D6" w:rsidRPr="002463D6" w:rsidRDefault="002463D6" w:rsidP="002463D6">
            <w:pPr>
              <w:spacing w:after="0" w:line="240" w:lineRule="auto"/>
              <w:jc w:val="center"/>
              <w:rPr>
                <w:rFonts w:ascii="Arial" w:eastAsia="Times New Roman" w:hAnsi="Arial" w:cs="Arial"/>
                <w:sz w:val="36"/>
                <w:szCs w:val="36"/>
              </w:rPr>
            </w:pPr>
            <w:r w:rsidRPr="002463D6">
              <w:rPr>
                <w:rFonts w:ascii="Arial" w:eastAsia="Times New Roman" w:hAnsi="Arial" w:cs="Arial"/>
                <w:sz w:val="36"/>
                <w:szCs w:val="36"/>
              </w:rPr>
              <w:t> </w:t>
            </w:r>
          </w:p>
        </w:tc>
        <w:tc>
          <w:tcPr>
            <w:tcW w:w="3526" w:type="dxa"/>
            <w:gridSpan w:val="3"/>
            <w:tcBorders>
              <w:top w:val="single" w:sz="8" w:space="0" w:color="FFFFFF"/>
              <w:left w:val="nil"/>
              <w:bottom w:val="single" w:sz="8" w:space="0" w:color="FFFFFF"/>
              <w:right w:val="single" w:sz="8" w:space="0" w:color="FFFFFF"/>
            </w:tcBorders>
            <w:shd w:val="clear" w:color="000000" w:fill="33A4FF"/>
            <w:vAlign w:val="center"/>
            <w:hideMark/>
          </w:tcPr>
          <w:p w14:paraId="13E8842E" w14:textId="77777777" w:rsidR="002463D6" w:rsidRPr="002463D6" w:rsidRDefault="002463D6" w:rsidP="002463D6">
            <w:pPr>
              <w:spacing w:after="0" w:line="240" w:lineRule="auto"/>
              <w:jc w:val="center"/>
              <w:rPr>
                <w:rFonts w:ascii="Sylfaen" w:eastAsia="Times New Roman" w:hAnsi="Sylfaen" w:cs="Arial"/>
                <w:b/>
                <w:bCs/>
                <w:color w:val="FFFFFF"/>
                <w:sz w:val="20"/>
                <w:szCs w:val="20"/>
                <w:lang w:val="ka-GE"/>
              </w:rPr>
            </w:pPr>
            <w:r>
              <w:rPr>
                <w:rFonts w:ascii="Sylfaen" w:eastAsia="Times New Roman" w:hAnsi="Sylfaen" w:cs="Arial"/>
                <w:b/>
                <w:bCs/>
                <w:color w:val="FFFFFF"/>
                <w:sz w:val="20"/>
                <w:szCs w:val="20"/>
                <w:lang w:val="ka-GE"/>
              </w:rPr>
              <w:t>პრევალენტობა</w:t>
            </w:r>
          </w:p>
        </w:tc>
        <w:tc>
          <w:tcPr>
            <w:tcW w:w="2177" w:type="dxa"/>
            <w:vMerge w:val="restart"/>
            <w:tcBorders>
              <w:top w:val="single" w:sz="8" w:space="0" w:color="FFFFFF"/>
              <w:left w:val="single" w:sz="8" w:space="0" w:color="FFFFFF"/>
              <w:bottom w:val="single" w:sz="8" w:space="0" w:color="FFFFFF"/>
              <w:right w:val="single" w:sz="8" w:space="0" w:color="FFFFFF"/>
            </w:tcBorders>
            <w:shd w:val="clear" w:color="000000" w:fill="33A4FF"/>
            <w:vAlign w:val="center"/>
            <w:hideMark/>
          </w:tcPr>
          <w:p w14:paraId="5A238A16" w14:textId="77777777" w:rsidR="002463D6" w:rsidRPr="002463D6" w:rsidRDefault="00300C18" w:rsidP="00300C18">
            <w:pPr>
              <w:spacing w:after="0" w:line="240" w:lineRule="auto"/>
              <w:jc w:val="center"/>
              <w:rPr>
                <w:rFonts w:ascii="Sylfaen" w:eastAsia="Times New Roman" w:hAnsi="Sylfaen" w:cs="Arial"/>
                <w:b/>
                <w:bCs/>
                <w:color w:val="FFFFFF"/>
                <w:sz w:val="20"/>
                <w:szCs w:val="20"/>
                <w:lang w:val="ka-GE"/>
              </w:rPr>
            </w:pPr>
            <w:r>
              <w:rPr>
                <w:rFonts w:ascii="Sylfaen" w:eastAsia="Times New Roman" w:hAnsi="Sylfaen" w:cs="Arial"/>
                <w:b/>
                <w:bCs/>
                <w:color w:val="FFFFFF"/>
                <w:sz w:val="20"/>
                <w:szCs w:val="20"/>
                <w:lang w:val="ka-GE"/>
              </w:rPr>
              <w:t>პაციენტთა რაოდენობა საქართველო</w:t>
            </w:r>
            <w:r w:rsidRPr="00300C18">
              <w:rPr>
                <w:rFonts w:ascii="Sylfaen" w:eastAsia="Times New Roman" w:hAnsi="Sylfaen" w:cs="Arial"/>
                <w:b/>
                <w:bCs/>
                <w:color w:val="FFFFFF"/>
                <w:sz w:val="20"/>
                <w:szCs w:val="20"/>
                <w:vertAlign w:val="superscript"/>
                <w:lang w:val="ka-GE"/>
              </w:rPr>
              <w:t>2</w:t>
            </w:r>
          </w:p>
        </w:tc>
        <w:tc>
          <w:tcPr>
            <w:tcW w:w="2397" w:type="dxa"/>
            <w:tcBorders>
              <w:top w:val="nil"/>
              <w:left w:val="nil"/>
              <w:bottom w:val="nil"/>
              <w:right w:val="nil"/>
            </w:tcBorders>
            <w:shd w:val="clear" w:color="auto" w:fill="auto"/>
            <w:noWrap/>
            <w:vAlign w:val="center"/>
            <w:hideMark/>
          </w:tcPr>
          <w:p w14:paraId="207562BC" w14:textId="77777777" w:rsidR="002463D6" w:rsidRPr="002463D6" w:rsidRDefault="002463D6" w:rsidP="002463D6">
            <w:pPr>
              <w:spacing w:after="0" w:line="240" w:lineRule="auto"/>
              <w:ind w:firstLineChars="100" w:firstLine="160"/>
              <w:rPr>
                <w:rFonts w:ascii="Arial" w:eastAsia="Times New Roman" w:hAnsi="Arial" w:cs="Arial"/>
                <w:color w:val="830051"/>
                <w:sz w:val="16"/>
                <w:szCs w:val="16"/>
              </w:rPr>
            </w:pPr>
            <w:r w:rsidRPr="002463D6">
              <w:rPr>
                <w:rFonts w:ascii="Arial" w:eastAsia="Times New Roman" w:hAnsi="Arial" w:cs="Arial"/>
                <w:color w:val="830051"/>
                <w:sz w:val="16"/>
                <w:szCs w:val="16"/>
              </w:rPr>
              <w:t>•</w:t>
            </w:r>
            <w:r w:rsidRPr="002463D6">
              <w:rPr>
                <w:rFonts w:ascii="Arial" w:eastAsia="Times New Roman" w:hAnsi="Arial" w:cs="Arial"/>
                <w:color w:val="000000"/>
                <w:sz w:val="16"/>
                <w:szCs w:val="16"/>
              </w:rPr>
              <w:t>*Prevalence of BA;</w:t>
            </w:r>
          </w:p>
        </w:tc>
      </w:tr>
      <w:tr w:rsidR="002463D6" w:rsidRPr="002463D6" w14:paraId="7F382C37" w14:textId="77777777" w:rsidTr="00300C18">
        <w:trPr>
          <w:trHeight w:val="315"/>
        </w:trPr>
        <w:tc>
          <w:tcPr>
            <w:tcW w:w="1800" w:type="dxa"/>
            <w:vMerge/>
            <w:tcBorders>
              <w:top w:val="single" w:sz="8" w:space="0" w:color="FFFFFF"/>
              <w:left w:val="single" w:sz="8" w:space="0" w:color="FFFFFF"/>
              <w:bottom w:val="single" w:sz="8" w:space="0" w:color="FFFFFF"/>
              <w:right w:val="single" w:sz="8" w:space="0" w:color="FFFFFF"/>
            </w:tcBorders>
            <w:vAlign w:val="center"/>
            <w:hideMark/>
          </w:tcPr>
          <w:p w14:paraId="4D9BB2DC" w14:textId="77777777" w:rsidR="002463D6" w:rsidRPr="002463D6" w:rsidRDefault="002463D6" w:rsidP="002463D6">
            <w:pPr>
              <w:spacing w:after="0" w:line="240" w:lineRule="auto"/>
              <w:rPr>
                <w:rFonts w:ascii="Arial" w:eastAsia="Times New Roman" w:hAnsi="Arial" w:cs="Arial"/>
                <w:sz w:val="36"/>
                <w:szCs w:val="36"/>
              </w:rPr>
            </w:pPr>
          </w:p>
        </w:tc>
        <w:tc>
          <w:tcPr>
            <w:tcW w:w="1406" w:type="dxa"/>
            <w:gridSpan w:val="2"/>
            <w:tcBorders>
              <w:top w:val="nil"/>
              <w:left w:val="nil"/>
              <w:bottom w:val="single" w:sz="8" w:space="0" w:color="FFFFFF"/>
              <w:right w:val="single" w:sz="8" w:space="0" w:color="FFFFFF"/>
            </w:tcBorders>
            <w:shd w:val="clear" w:color="000000" w:fill="33A4FF"/>
            <w:vAlign w:val="center"/>
            <w:hideMark/>
          </w:tcPr>
          <w:p w14:paraId="6929838D" w14:textId="77777777" w:rsidR="002463D6" w:rsidRPr="002463D6" w:rsidRDefault="002463D6" w:rsidP="002463D6">
            <w:pPr>
              <w:spacing w:after="0" w:line="240" w:lineRule="auto"/>
              <w:jc w:val="center"/>
              <w:rPr>
                <w:rFonts w:ascii="Arial" w:eastAsia="Times New Roman" w:hAnsi="Arial" w:cs="Arial"/>
                <w:b/>
                <w:bCs/>
                <w:color w:val="FFFFFF"/>
                <w:sz w:val="20"/>
                <w:szCs w:val="20"/>
              </w:rPr>
            </w:pPr>
            <w:r>
              <w:rPr>
                <w:rFonts w:ascii="Sylfaen" w:eastAsia="Times New Roman" w:hAnsi="Sylfaen" w:cs="Arial"/>
                <w:b/>
                <w:bCs/>
                <w:color w:val="FFFFFF"/>
                <w:sz w:val="20"/>
                <w:szCs w:val="20"/>
                <w:lang w:val="ka-GE"/>
              </w:rPr>
              <w:t>საქართველო</w:t>
            </w:r>
            <w:r w:rsidRPr="002463D6">
              <w:rPr>
                <w:rFonts w:ascii="Arial" w:eastAsia="Times New Roman" w:hAnsi="Arial" w:cs="Arial"/>
                <w:b/>
                <w:bCs/>
                <w:color w:val="FFFFFF"/>
                <w:sz w:val="20"/>
                <w:szCs w:val="20"/>
              </w:rPr>
              <w:t xml:space="preserve"> (2016)</w:t>
            </w:r>
            <w:r w:rsidRPr="002463D6">
              <w:rPr>
                <w:rFonts w:ascii="Arial" w:eastAsia="Times New Roman" w:hAnsi="Arial" w:cs="Arial"/>
                <w:b/>
                <w:bCs/>
                <w:color w:val="FFFFFF"/>
                <w:sz w:val="20"/>
                <w:szCs w:val="20"/>
                <w:vertAlign w:val="superscript"/>
              </w:rPr>
              <w:t>2</w:t>
            </w:r>
          </w:p>
        </w:tc>
        <w:tc>
          <w:tcPr>
            <w:tcW w:w="2120" w:type="dxa"/>
            <w:tcBorders>
              <w:top w:val="nil"/>
              <w:left w:val="nil"/>
              <w:bottom w:val="single" w:sz="8" w:space="0" w:color="FFFFFF"/>
              <w:right w:val="single" w:sz="8" w:space="0" w:color="FFFFFF"/>
            </w:tcBorders>
            <w:shd w:val="clear" w:color="000000" w:fill="33A4FF"/>
            <w:vAlign w:val="center"/>
            <w:hideMark/>
          </w:tcPr>
          <w:p w14:paraId="78A8AC0F" w14:textId="77777777" w:rsidR="002463D6" w:rsidRPr="002463D6" w:rsidRDefault="002463D6" w:rsidP="002463D6">
            <w:pPr>
              <w:spacing w:after="0" w:line="240" w:lineRule="auto"/>
              <w:jc w:val="center"/>
              <w:rPr>
                <w:rFonts w:ascii="Arial" w:eastAsia="Times New Roman" w:hAnsi="Arial" w:cs="Arial"/>
                <w:b/>
                <w:bCs/>
                <w:color w:val="FFFFFF"/>
                <w:sz w:val="20"/>
                <w:szCs w:val="20"/>
              </w:rPr>
            </w:pPr>
            <w:r w:rsidRPr="002463D6">
              <w:rPr>
                <w:rFonts w:ascii="Arial" w:eastAsia="Times New Roman" w:hAnsi="Arial" w:cs="Arial"/>
                <w:b/>
                <w:bCs/>
                <w:color w:val="FFFFFF"/>
                <w:sz w:val="20"/>
                <w:szCs w:val="20"/>
              </w:rPr>
              <w:t>USA (2015)</w:t>
            </w:r>
            <w:r w:rsidRPr="002463D6">
              <w:rPr>
                <w:rFonts w:ascii="Arial" w:eastAsia="Times New Roman" w:hAnsi="Arial" w:cs="Arial"/>
                <w:b/>
                <w:bCs/>
                <w:color w:val="FFFFFF"/>
                <w:sz w:val="20"/>
                <w:szCs w:val="20"/>
                <w:vertAlign w:val="superscript"/>
              </w:rPr>
              <w:t>3</w:t>
            </w:r>
          </w:p>
        </w:tc>
        <w:tc>
          <w:tcPr>
            <w:tcW w:w="2177" w:type="dxa"/>
            <w:vMerge/>
            <w:tcBorders>
              <w:top w:val="single" w:sz="8" w:space="0" w:color="FFFFFF"/>
              <w:left w:val="single" w:sz="8" w:space="0" w:color="FFFFFF"/>
              <w:bottom w:val="single" w:sz="8" w:space="0" w:color="FFFFFF"/>
              <w:right w:val="single" w:sz="8" w:space="0" w:color="FFFFFF"/>
            </w:tcBorders>
            <w:vAlign w:val="center"/>
            <w:hideMark/>
          </w:tcPr>
          <w:p w14:paraId="79DDB49B" w14:textId="77777777" w:rsidR="002463D6" w:rsidRPr="002463D6" w:rsidRDefault="002463D6" w:rsidP="002463D6">
            <w:pPr>
              <w:spacing w:after="0" w:line="240" w:lineRule="auto"/>
              <w:rPr>
                <w:rFonts w:ascii="Arial" w:eastAsia="Times New Roman" w:hAnsi="Arial" w:cs="Arial"/>
                <w:b/>
                <w:bCs/>
                <w:color w:val="FFFFFF"/>
                <w:sz w:val="20"/>
                <w:szCs w:val="20"/>
              </w:rPr>
            </w:pPr>
          </w:p>
        </w:tc>
        <w:tc>
          <w:tcPr>
            <w:tcW w:w="2397" w:type="dxa"/>
            <w:tcBorders>
              <w:top w:val="nil"/>
              <w:left w:val="nil"/>
              <w:bottom w:val="nil"/>
              <w:right w:val="nil"/>
            </w:tcBorders>
            <w:shd w:val="clear" w:color="auto" w:fill="auto"/>
            <w:noWrap/>
            <w:vAlign w:val="center"/>
            <w:hideMark/>
          </w:tcPr>
          <w:p w14:paraId="49669392" w14:textId="77777777" w:rsidR="002463D6" w:rsidRPr="002463D6" w:rsidRDefault="002463D6" w:rsidP="002463D6">
            <w:pPr>
              <w:spacing w:after="0" w:line="240" w:lineRule="auto"/>
              <w:ind w:firstLineChars="100" w:firstLine="160"/>
              <w:rPr>
                <w:rFonts w:ascii="Arial" w:eastAsia="Times New Roman" w:hAnsi="Arial" w:cs="Arial"/>
                <w:color w:val="830051"/>
                <w:sz w:val="16"/>
                <w:szCs w:val="16"/>
              </w:rPr>
            </w:pPr>
            <w:r w:rsidRPr="002463D6">
              <w:rPr>
                <w:rFonts w:ascii="Arial" w:eastAsia="Times New Roman" w:hAnsi="Arial" w:cs="Arial"/>
                <w:color w:val="830051"/>
                <w:sz w:val="16"/>
                <w:szCs w:val="16"/>
              </w:rPr>
              <w:t>•</w:t>
            </w:r>
            <w:r w:rsidRPr="002463D6">
              <w:rPr>
                <w:rFonts w:ascii="Arial" w:eastAsia="Times New Roman" w:hAnsi="Arial" w:cs="Arial"/>
                <w:color w:val="000000"/>
                <w:sz w:val="16"/>
                <w:szCs w:val="16"/>
              </w:rPr>
              <w:t>** No information about prevalence of COPD in Georgia</w:t>
            </w:r>
          </w:p>
        </w:tc>
      </w:tr>
      <w:tr w:rsidR="002463D6" w:rsidRPr="002463D6" w14:paraId="72EC9C67" w14:textId="77777777" w:rsidTr="00300C18">
        <w:trPr>
          <w:trHeight w:val="300"/>
        </w:trPr>
        <w:tc>
          <w:tcPr>
            <w:tcW w:w="1800" w:type="dxa"/>
            <w:vMerge w:val="restart"/>
            <w:tcBorders>
              <w:top w:val="nil"/>
              <w:left w:val="single" w:sz="8" w:space="0" w:color="FFFFFF"/>
              <w:bottom w:val="single" w:sz="8" w:space="0" w:color="FFFFFF"/>
              <w:right w:val="single" w:sz="8" w:space="0" w:color="FFFFFF"/>
            </w:tcBorders>
            <w:shd w:val="clear" w:color="000000" w:fill="E1F6F9"/>
            <w:vAlign w:val="center"/>
            <w:hideMark/>
          </w:tcPr>
          <w:p w14:paraId="29053491" w14:textId="77777777" w:rsidR="002463D6" w:rsidRPr="002463D6" w:rsidRDefault="002463D6" w:rsidP="002463D6">
            <w:pPr>
              <w:spacing w:after="0" w:line="240" w:lineRule="auto"/>
              <w:rPr>
                <w:rFonts w:ascii="Arial" w:eastAsia="Times New Roman" w:hAnsi="Arial" w:cs="Arial"/>
                <w:color w:val="000000"/>
                <w:lang w:val="ka-GE"/>
              </w:rPr>
            </w:pPr>
            <w:r w:rsidRPr="002463D6">
              <w:rPr>
                <w:rFonts w:ascii="Sylfaen" w:eastAsia="Times New Roman" w:hAnsi="Sylfaen" w:cs="Sylfaen"/>
                <w:color w:val="000000"/>
                <w:sz w:val="20"/>
                <w:szCs w:val="20"/>
              </w:rPr>
              <w:t>ბრონქული</w:t>
            </w:r>
            <w:r w:rsidRPr="002463D6">
              <w:rPr>
                <w:rFonts w:ascii="Calibri" w:eastAsia="Times New Roman" w:hAnsi="Calibri" w:cs="Calibri"/>
                <w:color w:val="000000"/>
                <w:sz w:val="20"/>
                <w:szCs w:val="20"/>
              </w:rPr>
              <w:t xml:space="preserve"> </w:t>
            </w:r>
            <w:r w:rsidRPr="002463D6">
              <w:rPr>
                <w:rFonts w:ascii="Sylfaen" w:eastAsia="Times New Roman" w:hAnsi="Sylfaen" w:cs="Sylfaen"/>
                <w:color w:val="000000"/>
                <w:sz w:val="20"/>
                <w:szCs w:val="20"/>
              </w:rPr>
              <w:t>ასთმა</w:t>
            </w:r>
            <w:r>
              <w:rPr>
                <w:rFonts w:ascii="Sylfaen" w:eastAsia="Times New Roman" w:hAnsi="Sylfaen" w:cs="Sylfaen"/>
                <w:color w:val="000000"/>
                <w:sz w:val="20"/>
                <w:szCs w:val="20"/>
                <w:lang w:val="ka-GE"/>
              </w:rPr>
              <w:t>, ასთმური სტატუსი</w:t>
            </w:r>
          </w:p>
        </w:tc>
        <w:tc>
          <w:tcPr>
            <w:tcW w:w="1406" w:type="dxa"/>
            <w:gridSpan w:val="2"/>
            <w:vMerge w:val="restart"/>
            <w:tcBorders>
              <w:top w:val="nil"/>
              <w:left w:val="single" w:sz="8" w:space="0" w:color="FFFFFF"/>
              <w:bottom w:val="single" w:sz="8" w:space="0" w:color="FFFFFF"/>
              <w:right w:val="single" w:sz="8" w:space="0" w:color="FFFFFF"/>
            </w:tcBorders>
            <w:shd w:val="clear" w:color="000000" w:fill="E1F6F9"/>
            <w:vAlign w:val="center"/>
            <w:hideMark/>
          </w:tcPr>
          <w:p w14:paraId="47BE5872"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0.32%</w:t>
            </w:r>
          </w:p>
        </w:tc>
        <w:tc>
          <w:tcPr>
            <w:tcW w:w="2120" w:type="dxa"/>
            <w:tcBorders>
              <w:top w:val="nil"/>
              <w:left w:val="nil"/>
              <w:bottom w:val="nil"/>
              <w:right w:val="single" w:sz="8" w:space="0" w:color="FFFFFF"/>
            </w:tcBorders>
            <w:shd w:val="clear" w:color="000000" w:fill="E1F6F9"/>
            <w:vAlign w:val="center"/>
            <w:hideMark/>
          </w:tcPr>
          <w:p w14:paraId="6C53E8F9"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 18 y – 7,6%*</w:t>
            </w:r>
          </w:p>
        </w:tc>
        <w:tc>
          <w:tcPr>
            <w:tcW w:w="2177" w:type="dxa"/>
            <w:vMerge w:val="restart"/>
            <w:tcBorders>
              <w:top w:val="nil"/>
              <w:left w:val="single" w:sz="8" w:space="0" w:color="FFFFFF"/>
              <w:bottom w:val="single" w:sz="8" w:space="0" w:color="FFFFFF"/>
              <w:right w:val="single" w:sz="8" w:space="0" w:color="FFFFFF"/>
            </w:tcBorders>
            <w:shd w:val="clear" w:color="000000" w:fill="E1F6F9"/>
            <w:vAlign w:val="center"/>
            <w:hideMark/>
          </w:tcPr>
          <w:p w14:paraId="6A1D974F"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 xml:space="preserve">11 938 </w:t>
            </w:r>
          </w:p>
        </w:tc>
        <w:tc>
          <w:tcPr>
            <w:tcW w:w="2397" w:type="dxa"/>
            <w:tcBorders>
              <w:top w:val="nil"/>
              <w:left w:val="nil"/>
              <w:bottom w:val="nil"/>
              <w:right w:val="nil"/>
            </w:tcBorders>
            <w:shd w:val="clear" w:color="auto" w:fill="auto"/>
            <w:noWrap/>
            <w:vAlign w:val="bottom"/>
            <w:hideMark/>
          </w:tcPr>
          <w:p w14:paraId="0C429F79" w14:textId="77777777" w:rsidR="002463D6" w:rsidRPr="002463D6" w:rsidRDefault="002463D6" w:rsidP="002463D6">
            <w:pPr>
              <w:spacing w:after="0" w:line="240" w:lineRule="auto"/>
              <w:jc w:val="center"/>
              <w:rPr>
                <w:rFonts w:ascii="Arial" w:eastAsia="Times New Roman" w:hAnsi="Arial" w:cs="Arial"/>
                <w:color w:val="000000"/>
                <w:sz w:val="20"/>
                <w:szCs w:val="20"/>
              </w:rPr>
            </w:pPr>
          </w:p>
        </w:tc>
      </w:tr>
      <w:tr w:rsidR="002463D6" w:rsidRPr="002463D6" w14:paraId="39F5549B" w14:textId="77777777" w:rsidTr="00300C18">
        <w:trPr>
          <w:trHeight w:val="649"/>
        </w:trPr>
        <w:tc>
          <w:tcPr>
            <w:tcW w:w="1800" w:type="dxa"/>
            <w:vMerge/>
            <w:tcBorders>
              <w:top w:val="nil"/>
              <w:left w:val="single" w:sz="8" w:space="0" w:color="FFFFFF"/>
              <w:bottom w:val="single" w:sz="8" w:space="0" w:color="FFFFFF"/>
              <w:right w:val="single" w:sz="8" w:space="0" w:color="FFFFFF"/>
            </w:tcBorders>
            <w:vAlign w:val="center"/>
            <w:hideMark/>
          </w:tcPr>
          <w:p w14:paraId="7A390523" w14:textId="77777777" w:rsidR="002463D6" w:rsidRPr="002463D6" w:rsidRDefault="002463D6" w:rsidP="002463D6">
            <w:pPr>
              <w:spacing w:after="0" w:line="240" w:lineRule="auto"/>
              <w:rPr>
                <w:rFonts w:ascii="Arial" w:eastAsia="Times New Roman" w:hAnsi="Arial" w:cs="Arial"/>
                <w:color w:val="000000"/>
              </w:rPr>
            </w:pPr>
          </w:p>
        </w:tc>
        <w:tc>
          <w:tcPr>
            <w:tcW w:w="1406" w:type="dxa"/>
            <w:gridSpan w:val="2"/>
            <w:vMerge/>
            <w:tcBorders>
              <w:top w:val="nil"/>
              <w:left w:val="single" w:sz="8" w:space="0" w:color="FFFFFF"/>
              <w:bottom w:val="single" w:sz="8" w:space="0" w:color="FFFFFF"/>
              <w:right w:val="single" w:sz="8" w:space="0" w:color="FFFFFF"/>
            </w:tcBorders>
            <w:vAlign w:val="center"/>
            <w:hideMark/>
          </w:tcPr>
          <w:p w14:paraId="78871B4E" w14:textId="77777777" w:rsidR="002463D6" w:rsidRPr="002463D6" w:rsidRDefault="002463D6" w:rsidP="002463D6">
            <w:pPr>
              <w:spacing w:after="0" w:line="240" w:lineRule="auto"/>
              <w:rPr>
                <w:rFonts w:ascii="Arial" w:eastAsia="Times New Roman" w:hAnsi="Arial" w:cs="Arial"/>
                <w:color w:val="000000"/>
                <w:sz w:val="20"/>
                <w:szCs w:val="20"/>
              </w:rPr>
            </w:pPr>
          </w:p>
        </w:tc>
        <w:tc>
          <w:tcPr>
            <w:tcW w:w="2120" w:type="dxa"/>
            <w:tcBorders>
              <w:top w:val="nil"/>
              <w:left w:val="nil"/>
              <w:bottom w:val="single" w:sz="8" w:space="0" w:color="FFFFFF"/>
              <w:right w:val="single" w:sz="8" w:space="0" w:color="FFFFFF"/>
            </w:tcBorders>
            <w:shd w:val="clear" w:color="000000" w:fill="E1F6F9"/>
            <w:vAlign w:val="center"/>
            <w:hideMark/>
          </w:tcPr>
          <w:p w14:paraId="722F6875"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&lt; 18 y – 8,4%*</w:t>
            </w:r>
          </w:p>
        </w:tc>
        <w:tc>
          <w:tcPr>
            <w:tcW w:w="2177" w:type="dxa"/>
            <w:vMerge/>
            <w:tcBorders>
              <w:top w:val="nil"/>
              <w:left w:val="single" w:sz="8" w:space="0" w:color="FFFFFF"/>
              <w:bottom w:val="single" w:sz="8" w:space="0" w:color="FFFFFF"/>
              <w:right w:val="single" w:sz="8" w:space="0" w:color="FFFFFF"/>
            </w:tcBorders>
            <w:vAlign w:val="center"/>
            <w:hideMark/>
          </w:tcPr>
          <w:p w14:paraId="1FC74AB7" w14:textId="77777777" w:rsidR="002463D6" w:rsidRPr="002463D6" w:rsidRDefault="002463D6" w:rsidP="002463D6">
            <w:pPr>
              <w:spacing w:after="0" w:line="240" w:lineRule="auto"/>
              <w:rPr>
                <w:rFonts w:ascii="Arial" w:eastAsia="Times New Roman" w:hAnsi="Arial" w:cs="Arial"/>
                <w:color w:val="000000"/>
                <w:sz w:val="20"/>
                <w:szCs w:val="20"/>
              </w:rPr>
            </w:pPr>
          </w:p>
        </w:tc>
        <w:tc>
          <w:tcPr>
            <w:tcW w:w="2397" w:type="dxa"/>
            <w:tcBorders>
              <w:top w:val="nil"/>
              <w:left w:val="nil"/>
              <w:bottom w:val="nil"/>
              <w:right w:val="nil"/>
            </w:tcBorders>
            <w:shd w:val="clear" w:color="auto" w:fill="auto"/>
            <w:noWrap/>
            <w:vAlign w:val="bottom"/>
            <w:hideMark/>
          </w:tcPr>
          <w:p w14:paraId="3B8A0BD9" w14:textId="77777777" w:rsidR="002463D6" w:rsidRPr="002463D6" w:rsidRDefault="002463D6" w:rsidP="002463D6">
            <w:pPr>
              <w:spacing w:after="0" w:line="240" w:lineRule="auto"/>
              <w:jc w:val="center"/>
              <w:rPr>
                <w:rFonts w:ascii="Arial" w:eastAsia="Times New Roman" w:hAnsi="Arial" w:cs="Arial"/>
                <w:color w:val="000000"/>
                <w:sz w:val="20"/>
                <w:szCs w:val="20"/>
              </w:rPr>
            </w:pPr>
          </w:p>
        </w:tc>
      </w:tr>
      <w:tr w:rsidR="002463D6" w:rsidRPr="002463D6" w14:paraId="3E721B5B" w14:textId="77777777" w:rsidTr="00300C18">
        <w:trPr>
          <w:trHeight w:val="480"/>
        </w:trPr>
        <w:tc>
          <w:tcPr>
            <w:tcW w:w="1800" w:type="dxa"/>
            <w:tcBorders>
              <w:top w:val="nil"/>
              <w:left w:val="single" w:sz="8" w:space="0" w:color="FFFFFF"/>
              <w:bottom w:val="single" w:sz="8" w:space="0" w:color="FFFFFF"/>
              <w:right w:val="single" w:sz="8" w:space="0" w:color="FFFFFF"/>
            </w:tcBorders>
            <w:shd w:val="clear" w:color="000000" w:fill="D8DBDB"/>
            <w:vAlign w:val="center"/>
            <w:hideMark/>
          </w:tcPr>
          <w:p w14:paraId="13BB90CF" w14:textId="77777777" w:rsidR="002463D6" w:rsidRPr="002463D6" w:rsidRDefault="002463D6" w:rsidP="002463D6">
            <w:pPr>
              <w:spacing w:after="0" w:line="240" w:lineRule="auto"/>
              <w:rPr>
                <w:rFonts w:ascii="Arial" w:eastAsia="Times New Roman" w:hAnsi="Arial" w:cs="Arial"/>
                <w:color w:val="000000"/>
              </w:rPr>
            </w:pPr>
            <w:r>
              <w:rPr>
                <w:rFonts w:ascii="Sylfaen" w:eastAsia="Times New Roman" w:hAnsi="Sylfaen" w:cs="Arial"/>
                <w:color w:val="000000"/>
                <w:lang w:val="ka-GE"/>
              </w:rPr>
              <w:t>ფქოდი</w:t>
            </w:r>
            <w:r w:rsidRPr="002463D6">
              <w:rPr>
                <w:rFonts w:ascii="Arial" w:eastAsia="Times New Roman" w:hAnsi="Arial" w:cs="Arial"/>
                <w:color w:val="000000"/>
              </w:rPr>
              <w:t>**</w:t>
            </w:r>
          </w:p>
        </w:tc>
        <w:tc>
          <w:tcPr>
            <w:tcW w:w="1406" w:type="dxa"/>
            <w:gridSpan w:val="2"/>
            <w:tcBorders>
              <w:top w:val="nil"/>
              <w:left w:val="nil"/>
              <w:bottom w:val="single" w:sz="8" w:space="0" w:color="FFFFFF"/>
              <w:right w:val="single" w:sz="8" w:space="0" w:color="FFFFFF"/>
            </w:tcBorders>
            <w:shd w:val="clear" w:color="000000" w:fill="D8DBDB"/>
            <w:vAlign w:val="center"/>
            <w:hideMark/>
          </w:tcPr>
          <w:p w14:paraId="1DAF0827"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N/A</w:t>
            </w:r>
          </w:p>
        </w:tc>
        <w:tc>
          <w:tcPr>
            <w:tcW w:w="2120" w:type="dxa"/>
            <w:tcBorders>
              <w:top w:val="nil"/>
              <w:left w:val="nil"/>
              <w:bottom w:val="single" w:sz="8" w:space="0" w:color="FFFFFF"/>
              <w:right w:val="single" w:sz="8" w:space="0" w:color="FFFFFF"/>
            </w:tcBorders>
            <w:shd w:val="clear" w:color="000000" w:fill="D8DBDB"/>
            <w:vAlign w:val="center"/>
            <w:hideMark/>
          </w:tcPr>
          <w:p w14:paraId="5ED8876C" w14:textId="77777777" w:rsidR="002463D6" w:rsidRPr="002463D6" w:rsidRDefault="002463D6" w:rsidP="002463D6">
            <w:pPr>
              <w:spacing w:after="0" w:line="240" w:lineRule="auto"/>
              <w:jc w:val="center"/>
              <w:rPr>
                <w:rFonts w:ascii="Arial" w:eastAsia="Times New Roman" w:hAnsi="Arial" w:cs="Arial"/>
                <w:color w:val="000000"/>
                <w:sz w:val="20"/>
                <w:szCs w:val="20"/>
              </w:rPr>
            </w:pPr>
            <w:r w:rsidRPr="002463D6">
              <w:rPr>
                <w:rFonts w:ascii="Arial" w:eastAsia="Times New Roman" w:hAnsi="Arial" w:cs="Arial"/>
                <w:color w:val="000000"/>
                <w:sz w:val="20"/>
                <w:szCs w:val="20"/>
              </w:rPr>
              <w:t>6.40%</w:t>
            </w:r>
          </w:p>
        </w:tc>
        <w:tc>
          <w:tcPr>
            <w:tcW w:w="2177" w:type="dxa"/>
            <w:tcBorders>
              <w:top w:val="nil"/>
              <w:left w:val="nil"/>
              <w:bottom w:val="single" w:sz="8" w:space="0" w:color="FFFFFF"/>
              <w:right w:val="single" w:sz="8" w:space="0" w:color="FFFFFF"/>
            </w:tcBorders>
            <w:shd w:val="clear" w:color="000000" w:fill="D8DBDB"/>
            <w:vAlign w:val="center"/>
            <w:hideMark/>
          </w:tcPr>
          <w:p w14:paraId="33D03079" w14:textId="77777777" w:rsidR="002463D6" w:rsidRPr="002463D6" w:rsidRDefault="002463D6" w:rsidP="002463D6">
            <w:pPr>
              <w:spacing w:after="0" w:line="240" w:lineRule="auto"/>
              <w:rPr>
                <w:rFonts w:ascii="Arial" w:eastAsia="Times New Roman" w:hAnsi="Arial" w:cs="Arial"/>
                <w:sz w:val="36"/>
                <w:szCs w:val="36"/>
              </w:rPr>
            </w:pPr>
            <w:r w:rsidRPr="002463D6">
              <w:rPr>
                <w:rFonts w:ascii="Arial" w:eastAsia="Times New Roman" w:hAnsi="Arial" w:cs="Arial"/>
                <w:sz w:val="36"/>
                <w:szCs w:val="36"/>
              </w:rPr>
              <w:t> </w:t>
            </w:r>
          </w:p>
        </w:tc>
        <w:tc>
          <w:tcPr>
            <w:tcW w:w="2397" w:type="dxa"/>
            <w:tcBorders>
              <w:top w:val="nil"/>
              <w:left w:val="nil"/>
              <w:bottom w:val="nil"/>
              <w:right w:val="nil"/>
            </w:tcBorders>
            <w:shd w:val="clear" w:color="auto" w:fill="auto"/>
            <w:noWrap/>
            <w:vAlign w:val="bottom"/>
            <w:hideMark/>
          </w:tcPr>
          <w:p w14:paraId="54E05D8F" w14:textId="77777777" w:rsidR="002463D6" w:rsidRPr="002463D6" w:rsidRDefault="002463D6" w:rsidP="002463D6">
            <w:pPr>
              <w:spacing w:after="0" w:line="240" w:lineRule="auto"/>
              <w:rPr>
                <w:rFonts w:ascii="Arial" w:eastAsia="Times New Roman" w:hAnsi="Arial" w:cs="Arial"/>
                <w:sz w:val="36"/>
                <w:szCs w:val="36"/>
              </w:rPr>
            </w:pPr>
          </w:p>
        </w:tc>
      </w:tr>
      <w:tr w:rsidR="002463D6" w:rsidRPr="002463D6" w14:paraId="6DFAA1C0" w14:textId="77777777" w:rsidTr="00300C18">
        <w:trPr>
          <w:trHeight w:val="300"/>
        </w:trPr>
        <w:tc>
          <w:tcPr>
            <w:tcW w:w="1800" w:type="dxa"/>
            <w:tcBorders>
              <w:top w:val="nil"/>
              <w:left w:val="nil"/>
              <w:bottom w:val="nil"/>
              <w:right w:val="nil"/>
            </w:tcBorders>
            <w:shd w:val="clear" w:color="auto" w:fill="auto"/>
            <w:vAlign w:val="bottom"/>
            <w:hideMark/>
          </w:tcPr>
          <w:p w14:paraId="3A9034D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1406" w:type="dxa"/>
            <w:gridSpan w:val="2"/>
            <w:tcBorders>
              <w:top w:val="nil"/>
              <w:left w:val="nil"/>
              <w:bottom w:val="nil"/>
              <w:right w:val="nil"/>
            </w:tcBorders>
            <w:shd w:val="clear" w:color="auto" w:fill="auto"/>
            <w:noWrap/>
            <w:vAlign w:val="bottom"/>
            <w:hideMark/>
          </w:tcPr>
          <w:p w14:paraId="4947300F"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B0B8C23"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150BE8A5"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04E8B1D3"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r w:rsidR="002463D6" w:rsidRPr="002463D6" w14:paraId="5D365F1D" w14:textId="77777777" w:rsidTr="00300C18">
        <w:trPr>
          <w:trHeight w:val="300"/>
        </w:trPr>
        <w:tc>
          <w:tcPr>
            <w:tcW w:w="1800" w:type="dxa"/>
            <w:tcBorders>
              <w:top w:val="nil"/>
              <w:left w:val="nil"/>
              <w:bottom w:val="nil"/>
              <w:right w:val="nil"/>
            </w:tcBorders>
            <w:shd w:val="clear" w:color="auto" w:fill="auto"/>
            <w:vAlign w:val="bottom"/>
            <w:hideMark/>
          </w:tcPr>
          <w:p w14:paraId="431C222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1406" w:type="dxa"/>
            <w:gridSpan w:val="2"/>
            <w:tcBorders>
              <w:top w:val="nil"/>
              <w:left w:val="nil"/>
              <w:bottom w:val="nil"/>
              <w:right w:val="nil"/>
            </w:tcBorders>
            <w:shd w:val="clear" w:color="auto" w:fill="auto"/>
            <w:noWrap/>
            <w:vAlign w:val="bottom"/>
            <w:hideMark/>
          </w:tcPr>
          <w:p w14:paraId="29565509"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008F636"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22DA5B7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2DF2F88F"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r w:rsidR="002463D6" w:rsidRPr="002463D6" w14:paraId="5CA3BE6E" w14:textId="77777777" w:rsidTr="00300C18">
        <w:trPr>
          <w:trHeight w:val="1590"/>
        </w:trPr>
        <w:tc>
          <w:tcPr>
            <w:tcW w:w="2967" w:type="dxa"/>
            <w:gridSpan w:val="2"/>
            <w:tcBorders>
              <w:top w:val="nil"/>
              <w:left w:val="nil"/>
              <w:bottom w:val="nil"/>
              <w:right w:val="nil"/>
            </w:tcBorders>
            <w:shd w:val="clear" w:color="auto" w:fill="auto"/>
            <w:vAlign w:val="bottom"/>
            <w:hideMark/>
          </w:tcPr>
          <w:p w14:paraId="09EBBB39" w14:textId="77777777" w:rsidR="00300C18" w:rsidRDefault="00300C18" w:rsidP="002463D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1.National Statistics </w:t>
            </w:r>
            <w:r w:rsidR="002463D6" w:rsidRPr="002463D6">
              <w:rPr>
                <w:rFonts w:ascii="Arial" w:eastAsia="Times New Roman" w:hAnsi="Arial" w:cs="Arial"/>
                <w:color w:val="000000"/>
                <w:sz w:val="16"/>
                <w:szCs w:val="16"/>
              </w:rPr>
              <w:t xml:space="preserve">Office of Georgia; http://www.geostat.ge/  </w:t>
            </w:r>
          </w:p>
          <w:p w14:paraId="337A2B76" w14:textId="77777777" w:rsidR="00300C18" w:rsidRDefault="002463D6" w:rsidP="002463D6">
            <w:pPr>
              <w:spacing w:after="0" w:line="240" w:lineRule="auto"/>
              <w:rPr>
                <w:rFonts w:ascii="Arial" w:eastAsia="Times New Roman" w:hAnsi="Arial" w:cs="Arial"/>
                <w:color w:val="000000"/>
                <w:sz w:val="16"/>
                <w:szCs w:val="16"/>
              </w:rPr>
            </w:pPr>
            <w:r w:rsidRPr="002463D6">
              <w:rPr>
                <w:rFonts w:ascii="Arial" w:eastAsia="Times New Roman" w:hAnsi="Arial" w:cs="Arial"/>
                <w:color w:val="000000"/>
                <w:sz w:val="16"/>
                <w:szCs w:val="16"/>
              </w:rPr>
              <w:t xml:space="preserve">2. National Center for Disease Control and Public Health of Georgia; </w:t>
            </w:r>
            <w:hyperlink r:id="rId6" w:history="1">
              <w:r w:rsidR="00300C18" w:rsidRPr="007465BF">
                <w:rPr>
                  <w:rStyle w:val="Hyperlink"/>
                  <w:rFonts w:ascii="Arial" w:eastAsia="Times New Roman" w:hAnsi="Arial" w:cs="Arial"/>
                  <w:sz w:val="16"/>
                  <w:szCs w:val="16"/>
                </w:rPr>
                <w:t>http://www.ncdc.ge/</w:t>
              </w:r>
            </w:hyperlink>
            <w:r w:rsidRPr="002463D6">
              <w:rPr>
                <w:rFonts w:ascii="Arial" w:eastAsia="Times New Roman" w:hAnsi="Arial" w:cs="Arial"/>
                <w:color w:val="000000"/>
                <w:sz w:val="16"/>
                <w:szCs w:val="16"/>
              </w:rPr>
              <w:t xml:space="preserve"> </w:t>
            </w:r>
          </w:p>
          <w:p w14:paraId="70E218B8" w14:textId="77777777" w:rsidR="002463D6" w:rsidRPr="002463D6" w:rsidRDefault="002463D6" w:rsidP="002463D6">
            <w:pPr>
              <w:spacing w:after="0" w:line="240" w:lineRule="auto"/>
              <w:rPr>
                <w:rFonts w:ascii="Arial" w:eastAsia="Times New Roman" w:hAnsi="Arial" w:cs="Arial"/>
                <w:color w:val="000000"/>
                <w:sz w:val="16"/>
                <w:szCs w:val="16"/>
              </w:rPr>
            </w:pPr>
            <w:r w:rsidRPr="002463D6">
              <w:rPr>
                <w:rFonts w:ascii="Arial" w:eastAsia="Times New Roman" w:hAnsi="Arial" w:cs="Arial"/>
                <w:color w:val="000000"/>
                <w:sz w:val="16"/>
                <w:szCs w:val="16"/>
              </w:rPr>
              <w:t xml:space="preserve">3. Centers for Disease Control and Prevention; https://www.cdc.gov </w:t>
            </w:r>
          </w:p>
        </w:tc>
        <w:tc>
          <w:tcPr>
            <w:tcW w:w="239" w:type="dxa"/>
            <w:tcBorders>
              <w:top w:val="nil"/>
              <w:left w:val="nil"/>
              <w:bottom w:val="nil"/>
              <w:right w:val="nil"/>
            </w:tcBorders>
            <w:shd w:val="clear" w:color="auto" w:fill="auto"/>
            <w:noWrap/>
            <w:vAlign w:val="bottom"/>
            <w:hideMark/>
          </w:tcPr>
          <w:p w14:paraId="2CDB364B" w14:textId="77777777" w:rsidR="002463D6" w:rsidRPr="002463D6" w:rsidRDefault="002463D6" w:rsidP="002463D6">
            <w:pPr>
              <w:spacing w:after="0" w:line="240" w:lineRule="auto"/>
              <w:rPr>
                <w:rFonts w:ascii="Arial" w:eastAsia="Times New Roman" w:hAnsi="Arial" w:cs="Arial"/>
                <w:color w:val="000000"/>
                <w:sz w:val="16"/>
                <w:szCs w:val="16"/>
              </w:rPr>
            </w:pPr>
          </w:p>
        </w:tc>
        <w:tc>
          <w:tcPr>
            <w:tcW w:w="2120" w:type="dxa"/>
            <w:tcBorders>
              <w:top w:val="nil"/>
              <w:left w:val="nil"/>
              <w:bottom w:val="nil"/>
              <w:right w:val="nil"/>
            </w:tcBorders>
            <w:shd w:val="clear" w:color="auto" w:fill="auto"/>
            <w:noWrap/>
            <w:vAlign w:val="bottom"/>
            <w:hideMark/>
          </w:tcPr>
          <w:p w14:paraId="70BEA100"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177" w:type="dxa"/>
            <w:tcBorders>
              <w:top w:val="nil"/>
              <w:left w:val="nil"/>
              <w:bottom w:val="nil"/>
              <w:right w:val="nil"/>
            </w:tcBorders>
            <w:shd w:val="clear" w:color="auto" w:fill="auto"/>
            <w:vAlign w:val="bottom"/>
            <w:hideMark/>
          </w:tcPr>
          <w:p w14:paraId="5C338152" w14:textId="77777777" w:rsidR="002463D6" w:rsidRPr="002463D6" w:rsidRDefault="002463D6" w:rsidP="002463D6">
            <w:pPr>
              <w:spacing w:after="0" w:line="240" w:lineRule="auto"/>
              <w:rPr>
                <w:rFonts w:ascii="Times New Roman" w:eastAsia="Times New Roman" w:hAnsi="Times New Roman" w:cs="Times New Roman"/>
                <w:sz w:val="20"/>
                <w:szCs w:val="20"/>
              </w:rPr>
            </w:pPr>
          </w:p>
        </w:tc>
        <w:tc>
          <w:tcPr>
            <w:tcW w:w="2397" w:type="dxa"/>
            <w:tcBorders>
              <w:top w:val="nil"/>
              <w:left w:val="nil"/>
              <w:bottom w:val="nil"/>
              <w:right w:val="nil"/>
            </w:tcBorders>
            <w:shd w:val="clear" w:color="auto" w:fill="auto"/>
            <w:noWrap/>
            <w:vAlign w:val="bottom"/>
            <w:hideMark/>
          </w:tcPr>
          <w:p w14:paraId="3EF51E9A" w14:textId="77777777" w:rsidR="002463D6" w:rsidRPr="002463D6" w:rsidRDefault="002463D6" w:rsidP="002463D6">
            <w:pPr>
              <w:spacing w:after="0" w:line="240" w:lineRule="auto"/>
              <w:rPr>
                <w:rFonts w:ascii="Times New Roman" w:eastAsia="Times New Roman" w:hAnsi="Times New Roman" w:cs="Times New Roman"/>
                <w:sz w:val="20"/>
                <w:szCs w:val="20"/>
              </w:rPr>
            </w:pPr>
          </w:p>
        </w:tc>
      </w:tr>
    </w:tbl>
    <w:p w14:paraId="10CD5C8D" w14:textId="77777777" w:rsidR="002463D6" w:rsidRDefault="002463D6" w:rsidP="00DD7BD6">
      <w:pPr>
        <w:jc w:val="both"/>
        <w:rPr>
          <w:rFonts w:ascii="Sylfaen" w:hAnsi="Sylfaen"/>
        </w:rPr>
      </w:pPr>
    </w:p>
    <w:p w14:paraId="316457DA" w14:textId="77777777" w:rsidR="00300C18" w:rsidRPr="00C326AD" w:rsidRDefault="00300C18" w:rsidP="00300C18">
      <w:pPr>
        <w:jc w:val="both"/>
        <w:rPr>
          <w:rFonts w:ascii="Sylfaen" w:hAnsi="Sylfaen"/>
          <w:lang w:val="ka-GE"/>
        </w:rPr>
      </w:pPr>
      <w:commentRangeStart w:id="0"/>
      <w:r w:rsidRPr="00C326AD">
        <w:rPr>
          <w:rFonts w:ascii="Sylfaen" w:hAnsi="Sylfaen"/>
          <w:lang w:val="ka-GE"/>
        </w:rPr>
        <w:t xml:space="preserve">ააიპმა ასევე გააზიარა ასტრა ზენეკადან მოწოდებული კომენტარი, იმის თაობაზე, რომ. ფლუტიკაზონ/სალმეტეროლისგან განსხვავებით ამ კომბინაციის - ბუდესონიდ/ფორმოტეროლის გამოყენებისას არ არის საჭირო ხანმოკლე მოქმედების ბეტ2 აგონისტის დამატება (მაგ. სალბუტამოლი) </w:t>
      </w:r>
      <w:commentRangeEnd w:id="0"/>
      <w:r w:rsidRPr="00C326AD">
        <w:rPr>
          <w:rStyle w:val="CommentReference"/>
        </w:rPr>
        <w:commentReference w:id="0"/>
      </w:r>
    </w:p>
    <w:p w14:paraId="718B1CBC" w14:textId="77777777" w:rsidR="00300C18" w:rsidRPr="00705721" w:rsidRDefault="0036571E" w:rsidP="00705721">
      <w:pPr>
        <w:jc w:val="both"/>
        <w:rPr>
          <w:rFonts w:ascii="Sylfaen" w:hAnsi="Sylfaen"/>
          <w:lang w:val="ka-GE"/>
        </w:rPr>
      </w:pPr>
      <w:r>
        <w:rPr>
          <w:rFonts w:ascii="Sylfaen" w:hAnsi="Sylfaen"/>
          <w:lang w:val="ka-GE"/>
        </w:rPr>
        <w:t xml:space="preserve">სამუშაო ჯგუფის ფარგლებში განხილულ იქნა ასევე, </w:t>
      </w:r>
      <w:r w:rsidR="001A6B32">
        <w:rPr>
          <w:rFonts w:ascii="Sylfaen" w:hAnsi="Sylfaen"/>
          <w:lang w:val="ka-GE"/>
        </w:rPr>
        <w:t>მე-2 ოქმის ფარგლებში სააგენტოს მიერ გამოცხადებული ბაზრის კვლევის პროცესში დაფიქსირებული ფაქტი მედიკამენტ ბენსერაზიდ/ლევოდოპასთან</w:t>
      </w:r>
      <w:r w:rsidR="00300C18">
        <w:rPr>
          <w:rFonts w:ascii="Sylfaen" w:hAnsi="Sylfaen"/>
          <w:lang w:val="ka-GE"/>
        </w:rPr>
        <w:t xml:space="preserve"> დაკავშირებით. კერძოდ, </w:t>
      </w:r>
      <w:r w:rsidR="00300C18" w:rsidRPr="00300C18">
        <w:rPr>
          <w:rFonts w:ascii="Sylfaen" w:hAnsi="Sylfaen"/>
          <w:lang w:val="ka-GE"/>
        </w:rPr>
        <w:t>კომპანია როშეს მიერ მოწოდებული წერილით საქართველოში რეგისტრირებულია</w:t>
      </w:r>
      <w:r w:rsidR="00300C18" w:rsidRPr="00300C18">
        <w:rPr>
          <w:rFonts w:ascii="Sylfaen" w:hAnsi="Sylfaen"/>
        </w:rPr>
        <w:t xml:space="preserve">: </w:t>
      </w:r>
      <w:r w:rsidR="00300C18">
        <w:rPr>
          <w:rFonts w:ascii="Sylfaen" w:hAnsi="Sylfaen"/>
          <w:lang w:val="ka-GE"/>
        </w:rPr>
        <w:t xml:space="preserve">,,2.5. </w:t>
      </w:r>
      <w:r w:rsidR="00300C18" w:rsidRPr="00705721">
        <w:rPr>
          <w:rFonts w:ascii="Sylfaen" w:hAnsi="Sylfaen"/>
          <w:bCs/>
          <w:lang w:val="ka-GE"/>
        </w:rPr>
        <w:t>Madopar®, 125მგ (100მგ + 25მგ)</w:t>
      </w:r>
      <w:r w:rsidR="00300C18" w:rsidRPr="00705721">
        <w:rPr>
          <w:rFonts w:ascii="Sylfaen" w:hAnsi="Sylfaen"/>
          <w:lang w:val="ka-GE"/>
        </w:rPr>
        <w:t xml:space="preserve"> კაფსულა №100 მინის ფლაკონში ინსტრუქციის კორექცია მწარმოებელი - Roche S.p.A. (იტალია) სავაჭრო ლიცენზიის მფლობელი - F. Hoffmann-La Roche Ltd. (შვეიცარია) რეგისტრაციის უფლების მქონე სუბიექტი - F. Hoffmann-La Roche Ltd. (შვეიცარია) ფარმაცევტული პროდუქტის საქართველოში რეგისტრაციით დაინტერესებული ფიზიკურიან იურიდიული პირი - შპს „როშჯორჯია“ ფარმაცევტული პროდუქტის ჯგუფი - II, გაიცემა ფორმა №3 რეცეპტით დანართი №4“</w:t>
      </w:r>
    </w:p>
    <w:p w14:paraId="00DA50A3" w14:textId="77777777" w:rsidR="00300C18" w:rsidRPr="00705721" w:rsidRDefault="00300C18" w:rsidP="00705721">
      <w:pPr>
        <w:jc w:val="both"/>
        <w:rPr>
          <w:rFonts w:ascii="Sylfaen" w:hAnsi="Sylfaen"/>
          <w:bCs/>
          <w:lang w:val="ka-GE"/>
        </w:rPr>
      </w:pPr>
      <w:r w:rsidRPr="00705721">
        <w:rPr>
          <w:rFonts w:ascii="Sylfaen" w:hAnsi="Sylfaen"/>
          <w:lang w:val="ka-GE"/>
        </w:rPr>
        <w:t xml:space="preserve">ამასთან, ოქმში დაფიქსირებულია </w:t>
      </w:r>
      <w:hyperlink r:id="rId9" w:tgtFrame="_blank" w:history="1">
        <w:r w:rsidRPr="00705721">
          <w:rPr>
            <w:rStyle w:val="Hyperlink"/>
            <w:rFonts w:ascii="Sylfaen" w:hAnsi="Sylfaen"/>
            <w:bCs/>
            <w:color w:val="auto"/>
          </w:rPr>
          <w:t>Benserazide+Levodopa</w:t>
        </w:r>
      </w:hyperlink>
      <w:r w:rsidRPr="00705721">
        <w:rPr>
          <w:rFonts w:ascii="Sylfaen" w:hAnsi="Sylfaen"/>
          <w:bCs/>
          <w:lang w:val="ka-GE"/>
        </w:rPr>
        <w:t xml:space="preserve"> 125მგ/25 მგ.</w:t>
      </w:r>
    </w:p>
    <w:p w14:paraId="525425E6" w14:textId="77777777" w:rsidR="00C85CA6" w:rsidRPr="00705721" w:rsidRDefault="00C85CA6" w:rsidP="00705721">
      <w:pPr>
        <w:jc w:val="both"/>
        <w:rPr>
          <w:rFonts w:ascii="Sylfaen" w:hAnsi="Sylfaen"/>
          <w:bCs/>
          <w:lang w:val="ka-GE"/>
        </w:rPr>
      </w:pPr>
      <w:r w:rsidRPr="00705721">
        <w:rPr>
          <w:rFonts w:ascii="Sylfaen" w:hAnsi="Sylfaen"/>
          <w:bCs/>
          <w:lang w:val="ka-GE"/>
        </w:rPr>
        <w:t>ასევე, ექსპერტ კასრაძის წინადადებით, მედიკამენტ კარბიდოპა-ლევოდოპას შემთხვევაშიც ჩანაწერი უნდა იყოს ლევოდოპა-კარბიდოპა 250მგ/25მგ</w:t>
      </w:r>
    </w:p>
    <w:p w14:paraId="013EDA9A" w14:textId="77777777" w:rsidR="00300C18" w:rsidRPr="00705721" w:rsidRDefault="00300C18" w:rsidP="00705721">
      <w:pPr>
        <w:jc w:val="both"/>
        <w:rPr>
          <w:rFonts w:ascii="Sylfaen" w:hAnsi="Sylfaen"/>
          <w:bCs/>
          <w:lang w:val="ka-GE"/>
        </w:rPr>
      </w:pPr>
      <w:r w:rsidRPr="00705721">
        <w:rPr>
          <w:rFonts w:ascii="Sylfaen" w:hAnsi="Sylfaen"/>
          <w:bCs/>
          <w:lang w:val="ka-GE"/>
        </w:rPr>
        <w:t xml:space="preserve">ექსპერტებთან და </w:t>
      </w:r>
      <w:r w:rsidR="00C85CA6" w:rsidRPr="00705721">
        <w:rPr>
          <w:rFonts w:ascii="Sylfaen" w:hAnsi="Sylfaen"/>
          <w:bCs/>
          <w:lang w:val="ka-GE"/>
        </w:rPr>
        <w:t>სსიპ სამედიცინო საქმიანობის სახელმწიფო რეგულირების სააგენტოს ფარმაცევტული საქმიანობის დეპარტამენტთან დამატებითი კონსულტაციებით შეთანხმდა, რომ პარკინსონის სამკურნალო მედიკამენტების ჩანაწერი ჩამოყალიბდეს შემდეგი სახით:</w:t>
      </w:r>
    </w:p>
    <w:tbl>
      <w:tblPr>
        <w:tblW w:w="10196" w:type="dxa"/>
        <w:tblCellMar>
          <w:left w:w="0" w:type="dxa"/>
          <w:right w:w="0" w:type="dxa"/>
        </w:tblCellMar>
        <w:tblLook w:val="04A0" w:firstRow="1" w:lastRow="0" w:firstColumn="1" w:lastColumn="0" w:noHBand="0" w:noVBand="1"/>
      </w:tblPr>
      <w:tblGrid>
        <w:gridCol w:w="2270"/>
        <w:gridCol w:w="2871"/>
        <w:gridCol w:w="1596"/>
        <w:gridCol w:w="1758"/>
        <w:gridCol w:w="1701"/>
      </w:tblGrid>
      <w:tr w:rsidR="00C85CA6" w14:paraId="4C4771B5" w14:textId="77777777" w:rsidTr="00C85CA6">
        <w:trPr>
          <w:trHeight w:val="825"/>
        </w:trPr>
        <w:tc>
          <w:tcPr>
            <w:tcW w:w="227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6354F00E" w14:textId="77777777" w:rsidR="00C85CA6" w:rsidRDefault="00C85CA6">
            <w:pPr>
              <w:spacing w:before="100" w:beforeAutospacing="1" w:after="100" w:afterAutospacing="1"/>
              <w:jc w:val="center"/>
              <w:rPr>
                <w:rFonts w:ascii="Times New Roman" w:hAnsi="Times New Roman"/>
              </w:rPr>
            </w:pPr>
            <w:r>
              <w:rPr>
                <w:rFonts w:ascii="Sylfaen" w:hAnsi="Sylfaen"/>
                <w:color w:val="606366"/>
              </w:rPr>
              <w:t>კლასი</w:t>
            </w:r>
          </w:p>
        </w:tc>
        <w:tc>
          <w:tcPr>
            <w:tcW w:w="28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8A2613" w14:textId="77777777" w:rsidR="00C85CA6" w:rsidRDefault="00C85CA6">
            <w:pPr>
              <w:spacing w:before="100" w:beforeAutospacing="1" w:after="100" w:afterAutospacing="1"/>
              <w:jc w:val="center"/>
            </w:pPr>
            <w:r>
              <w:rPr>
                <w:rFonts w:ascii="Sylfaen" w:hAnsi="Sylfaen"/>
                <w:color w:val="34383D"/>
              </w:rPr>
              <w:t>საერთაშორისო არაპატენტირებული დასახელება</w:t>
            </w:r>
          </w:p>
        </w:tc>
        <w:tc>
          <w:tcPr>
            <w:tcW w:w="15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E375CD" w14:textId="77777777" w:rsidR="00C85CA6" w:rsidRDefault="00C85CA6">
            <w:pPr>
              <w:spacing w:before="100" w:beforeAutospacing="1" w:after="100" w:afterAutospacing="1"/>
              <w:jc w:val="center"/>
            </w:pPr>
            <w:r>
              <w:rPr>
                <w:rFonts w:ascii="Sylfaen" w:hAnsi="Sylfaen"/>
                <w:color w:val="34383D"/>
              </w:rPr>
              <w:t>დოზა</w:t>
            </w:r>
          </w:p>
        </w:tc>
        <w:tc>
          <w:tcPr>
            <w:tcW w:w="175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32B1D94" w14:textId="77777777" w:rsidR="00C85CA6" w:rsidRDefault="00C85CA6">
            <w:pPr>
              <w:spacing w:before="100" w:beforeAutospacing="1" w:after="100" w:afterAutospacing="1"/>
              <w:jc w:val="center"/>
            </w:pPr>
            <w:r>
              <w:rPr>
                <w:rFonts w:ascii="Sylfaen" w:hAnsi="Sylfaen"/>
              </w:rPr>
              <w:t xml:space="preserve">განზომილების ერთეული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1A8405" w14:textId="77777777" w:rsidR="00C85CA6" w:rsidRDefault="00C85CA6">
            <w:pPr>
              <w:spacing w:before="100" w:beforeAutospacing="1" w:after="100" w:afterAutospacing="1"/>
              <w:jc w:val="center"/>
            </w:pPr>
            <w:r>
              <w:rPr>
                <w:rFonts w:ascii="Sylfaen" w:hAnsi="Sylfaen"/>
              </w:rPr>
              <w:t xml:space="preserve">საშუალო წლიური </w:t>
            </w:r>
            <w:r>
              <w:rPr>
                <w:rFonts w:ascii="Sylfaen" w:hAnsi="Sylfaen"/>
                <w:lang w:val="ka-GE"/>
              </w:rPr>
              <w:t xml:space="preserve">საჭიროება </w:t>
            </w:r>
            <w:r>
              <w:rPr>
                <w:rFonts w:ascii="Sylfaen" w:hAnsi="Sylfaen"/>
              </w:rPr>
              <w:t>(ტაბლეტი)</w:t>
            </w:r>
          </w:p>
        </w:tc>
      </w:tr>
      <w:tr w:rsidR="00C85CA6" w14:paraId="5E9DC87D" w14:textId="77777777" w:rsidTr="00C85CA6">
        <w:trPr>
          <w:trHeight w:val="825"/>
        </w:trPr>
        <w:tc>
          <w:tcPr>
            <w:tcW w:w="227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E207F0" w14:textId="77777777" w:rsidR="00C85CA6" w:rsidRDefault="00C85CA6">
            <w:pPr>
              <w:spacing w:before="100" w:beforeAutospacing="1" w:after="100" w:afterAutospacing="1"/>
              <w:jc w:val="center"/>
            </w:pPr>
            <w:r>
              <w:rPr>
                <w:rFonts w:ascii="Sylfaen" w:hAnsi="Sylfaen"/>
                <w:color w:val="606366"/>
              </w:rPr>
              <w:lastRenderedPageBreak/>
              <w:t>პარკინსონის საწინააღმდეგო საშუალებები</w:t>
            </w:r>
          </w:p>
        </w:tc>
        <w:tc>
          <w:tcPr>
            <w:tcW w:w="28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578490" w14:textId="5F433A7A" w:rsidR="00C85CA6" w:rsidRDefault="00C85CA6" w:rsidP="00860A9E">
            <w:pPr>
              <w:spacing w:before="100" w:beforeAutospacing="1" w:after="100" w:afterAutospacing="1"/>
              <w:jc w:val="center"/>
            </w:pPr>
            <w:r>
              <w:rPr>
                <w:rFonts w:ascii="Sylfaen" w:hAnsi="Sylfaen"/>
                <w:color w:val="000000"/>
                <w:shd w:val="clear" w:color="auto" w:fill="FFFFFF"/>
              </w:rPr>
              <w:t> </w:t>
            </w:r>
            <w:hyperlink r:id="rId10" w:tgtFrame="_blank" w:history="1">
              <w:r>
                <w:rPr>
                  <w:rStyle w:val="Hyperlink"/>
                  <w:rFonts w:ascii="Sylfaen" w:hAnsi="Sylfaen"/>
                  <w:color w:val="000000"/>
                  <w:shd w:val="clear" w:color="auto" w:fill="FFFFFF"/>
                </w:rPr>
                <w:t>levodopa</w:t>
              </w:r>
            </w:hyperlink>
            <w:r w:rsidR="00860A9E">
              <w:rPr>
                <w:rStyle w:val="Hyperlink"/>
                <w:rFonts w:ascii="Sylfaen" w:hAnsi="Sylfaen"/>
                <w:color w:val="000000"/>
                <w:shd w:val="clear" w:color="auto" w:fill="FFFFFF"/>
                <w:lang w:val="ka-GE"/>
              </w:rPr>
              <w:t>+</w:t>
            </w:r>
            <w:hyperlink r:id="rId11" w:tgtFrame="_blank" w:history="1">
              <w:r>
                <w:rPr>
                  <w:rStyle w:val="Hyperlink"/>
                  <w:rFonts w:ascii="Sylfaen" w:hAnsi="Sylfaen"/>
                  <w:color w:val="000000"/>
                  <w:shd w:val="clear" w:color="auto" w:fill="FFFFFF"/>
                </w:rPr>
                <w:t>carbidopa</w:t>
              </w:r>
            </w:hyperlink>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856441" w14:textId="77777777" w:rsidR="00C85CA6" w:rsidRDefault="00C85CA6">
            <w:pPr>
              <w:spacing w:before="100" w:beforeAutospacing="1" w:after="100" w:afterAutospacing="1"/>
              <w:jc w:val="center"/>
            </w:pPr>
            <w:r>
              <w:rPr>
                <w:rFonts w:ascii="Sylfaen" w:hAnsi="Sylfaen"/>
                <w:color w:val="34383D"/>
              </w:rPr>
              <w:t>250mg/25mg</w:t>
            </w:r>
          </w:p>
        </w:tc>
        <w:tc>
          <w:tcPr>
            <w:tcW w:w="17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63C038" w14:textId="77777777" w:rsidR="00C85CA6" w:rsidRDefault="00C85CA6">
            <w:pPr>
              <w:spacing w:before="100" w:beforeAutospacing="1" w:after="100" w:afterAutospacing="1"/>
              <w:jc w:val="center"/>
            </w:pPr>
            <w:r>
              <w:rPr>
                <w:rFonts w:ascii="Sylfaen" w:hAnsi="Sylfaen"/>
              </w:rPr>
              <w:t>ტაბლეტი</w:t>
            </w:r>
          </w:p>
          <w:p w14:paraId="7AD1FD6E" w14:textId="77777777" w:rsidR="00C85CA6" w:rsidRDefault="00C85CA6">
            <w:pPr>
              <w:spacing w:before="100" w:beforeAutospacing="1" w:after="100" w:afterAutospacing="1"/>
              <w:jc w:val="center"/>
            </w:pPr>
            <w:r>
              <w:rPr>
                <w:rFonts w:ascii="Sylfaen" w:hAnsi="Sylfae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F4640A" w14:textId="77777777" w:rsidR="00C85CA6" w:rsidRDefault="00C85CA6">
            <w:pPr>
              <w:spacing w:before="100" w:beforeAutospacing="1" w:after="100" w:afterAutospacing="1"/>
              <w:jc w:val="center"/>
            </w:pPr>
            <w:r>
              <w:rPr>
                <w:rFonts w:ascii="Sylfaen" w:hAnsi="Sylfaen"/>
              </w:rPr>
              <w:t> </w:t>
            </w:r>
          </w:p>
          <w:p w14:paraId="0EAEAFDF" w14:textId="77777777" w:rsidR="00C85CA6" w:rsidRDefault="00C85CA6">
            <w:pPr>
              <w:spacing w:before="100" w:beforeAutospacing="1" w:after="100" w:afterAutospacing="1"/>
            </w:pPr>
            <w:r>
              <w:rPr>
                <w:rFonts w:ascii="Sylfaen" w:hAnsi="Sylfaen"/>
                <w:lang w:val="ka-GE"/>
              </w:rPr>
              <w:t>      1 168 000</w:t>
            </w:r>
          </w:p>
        </w:tc>
      </w:tr>
      <w:tr w:rsidR="00C85CA6" w14:paraId="6A7E82FB" w14:textId="77777777" w:rsidTr="00C85CA6">
        <w:trPr>
          <w:trHeight w:val="8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215260" w14:textId="77777777" w:rsidR="00C85CA6" w:rsidRDefault="00C85CA6">
            <w:pPr>
              <w:rPr>
                <w:rFonts w:ascii="Times New Roman" w:hAnsi="Times New Roman" w:cs="Times New Roman"/>
                <w:sz w:val="24"/>
                <w:szCs w:val="24"/>
              </w:rPr>
            </w:pPr>
          </w:p>
        </w:tc>
        <w:tc>
          <w:tcPr>
            <w:tcW w:w="28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22D74" w14:textId="4CF3E1EC" w:rsidR="00C85CA6" w:rsidRPr="00705721" w:rsidRDefault="00C326AD" w:rsidP="00860A9E">
            <w:pPr>
              <w:spacing w:before="100" w:beforeAutospacing="1" w:after="100" w:afterAutospacing="1"/>
              <w:jc w:val="center"/>
            </w:pPr>
            <w:hyperlink r:id="rId12" w:tgtFrame="_blank" w:history="1">
              <w:r w:rsidR="00C85CA6" w:rsidRPr="00705721">
                <w:rPr>
                  <w:rStyle w:val="Hyperlink"/>
                  <w:rFonts w:ascii="Sylfaen" w:hAnsi="Sylfaen"/>
                  <w:bCs/>
                  <w:color w:val="auto"/>
                </w:rPr>
                <w:t>Levodopa</w:t>
              </w:r>
            </w:hyperlink>
            <w:r w:rsidR="00860A9E">
              <w:rPr>
                <w:rStyle w:val="Hyperlink"/>
                <w:rFonts w:ascii="Sylfaen" w:hAnsi="Sylfaen"/>
                <w:bCs/>
                <w:color w:val="auto"/>
                <w:lang w:val="ka-GE"/>
              </w:rPr>
              <w:t>+</w:t>
            </w:r>
            <w:r w:rsidR="00C85CA6" w:rsidRPr="00705721">
              <w:rPr>
                <w:bCs/>
              </w:rPr>
              <w:t>Benserazide</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6894A" w14:textId="13BD2574" w:rsidR="00C85CA6" w:rsidRPr="00860A9E" w:rsidRDefault="00C85CA6" w:rsidP="00860A9E">
            <w:pPr>
              <w:spacing w:before="100" w:beforeAutospacing="1" w:after="100" w:afterAutospacing="1"/>
              <w:jc w:val="center"/>
            </w:pPr>
            <w:r w:rsidRPr="00705721">
              <w:rPr>
                <w:rFonts w:ascii="Sylfaen" w:hAnsi="Sylfaen"/>
                <w:bCs/>
                <w:lang w:val="ka-GE"/>
              </w:rPr>
              <w:t>1</w:t>
            </w:r>
            <w:r w:rsidR="00860A9E">
              <w:rPr>
                <w:rFonts w:ascii="Sylfaen" w:hAnsi="Sylfaen"/>
                <w:bCs/>
                <w:lang w:val="ka-GE"/>
              </w:rPr>
              <w:t>00</w:t>
            </w:r>
            <w:r w:rsidRPr="00705721">
              <w:rPr>
                <w:rFonts w:ascii="Sylfaen" w:hAnsi="Sylfaen"/>
                <w:bCs/>
              </w:rPr>
              <w:t>mg</w:t>
            </w:r>
            <w:r w:rsidR="00860A9E">
              <w:rPr>
                <w:rFonts w:ascii="Sylfaen" w:hAnsi="Sylfaen"/>
                <w:bCs/>
                <w:lang w:val="ka-GE"/>
              </w:rPr>
              <w:t>/25</w:t>
            </w:r>
            <w:r w:rsidR="00860A9E">
              <w:rPr>
                <w:rFonts w:ascii="Sylfaen" w:hAnsi="Sylfaen"/>
                <w:bCs/>
              </w:rPr>
              <w:t>mg</w:t>
            </w:r>
          </w:p>
        </w:tc>
        <w:tc>
          <w:tcPr>
            <w:tcW w:w="1758" w:type="dxa"/>
            <w:vMerge/>
            <w:tcBorders>
              <w:top w:val="single" w:sz="8" w:space="0" w:color="auto"/>
              <w:left w:val="nil"/>
              <w:bottom w:val="single" w:sz="8" w:space="0" w:color="auto"/>
              <w:right w:val="single" w:sz="8" w:space="0" w:color="auto"/>
            </w:tcBorders>
            <w:vAlign w:val="center"/>
            <w:hideMark/>
          </w:tcPr>
          <w:p w14:paraId="6A7DC707" w14:textId="77777777" w:rsidR="00C85CA6" w:rsidRDefault="00C85CA6">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6494E27" w14:textId="77777777" w:rsidR="00C85CA6" w:rsidRDefault="00C85CA6">
            <w:pPr>
              <w:spacing w:before="100" w:beforeAutospacing="1" w:after="100" w:afterAutospacing="1"/>
              <w:jc w:val="center"/>
            </w:pPr>
            <w:r>
              <w:rPr>
                <w:rFonts w:ascii="Sylfaen" w:hAnsi="Sylfaen"/>
                <w:lang w:val="ka-GE"/>
              </w:rPr>
              <w:t> </w:t>
            </w:r>
          </w:p>
          <w:p w14:paraId="75481C9C" w14:textId="77777777" w:rsidR="00C85CA6" w:rsidRDefault="00C85CA6">
            <w:pPr>
              <w:spacing w:before="100" w:beforeAutospacing="1" w:after="100" w:afterAutospacing="1"/>
              <w:jc w:val="center"/>
            </w:pPr>
            <w:r>
              <w:rPr>
                <w:rFonts w:ascii="Sylfaen" w:hAnsi="Sylfaen"/>
                <w:lang w:val="ka-GE"/>
              </w:rPr>
              <w:t>584 000</w:t>
            </w:r>
          </w:p>
        </w:tc>
      </w:tr>
    </w:tbl>
    <w:p w14:paraId="1273D032" w14:textId="77777777" w:rsidR="00C85CA6" w:rsidRPr="00C85CA6" w:rsidRDefault="00C85CA6" w:rsidP="00300C18">
      <w:pPr>
        <w:rPr>
          <w:rFonts w:ascii="Sylfaen" w:hAnsi="Sylfaen"/>
        </w:rPr>
      </w:pPr>
    </w:p>
    <w:p w14:paraId="0006CF0E" w14:textId="25DF816D" w:rsidR="0036571E" w:rsidRDefault="00705721" w:rsidP="001A6B32">
      <w:pPr>
        <w:jc w:val="both"/>
        <w:rPr>
          <w:rFonts w:ascii="Sylfaen" w:hAnsi="Sylfaen"/>
          <w:lang w:val="ka-GE"/>
        </w:rPr>
      </w:pPr>
      <w:r>
        <w:rPr>
          <w:rFonts w:ascii="Sylfaen" w:hAnsi="Sylfaen"/>
          <w:lang w:val="ka-GE"/>
        </w:rPr>
        <w:t>ზემოაღნიშნულ</w:t>
      </w:r>
      <w:r w:rsidR="00C326AD">
        <w:rPr>
          <w:rFonts w:ascii="Sylfaen" w:hAnsi="Sylfaen"/>
          <w:lang w:val="ka-GE"/>
        </w:rPr>
        <w:t>ი</w:t>
      </w:r>
      <w:r>
        <w:rPr>
          <w:rFonts w:ascii="Sylfaen" w:hAnsi="Sylfaen"/>
          <w:lang w:val="ka-GE"/>
        </w:rPr>
        <w:t xml:space="preserve"> განხილვების შედეგად, სამუშაო ჯგუფი შეჯერდა შემდეგ საკითხებზე:</w:t>
      </w:r>
    </w:p>
    <w:p w14:paraId="20420B1A" w14:textId="77777777" w:rsidR="00705721" w:rsidRDefault="00705721" w:rsidP="00705721">
      <w:pPr>
        <w:pStyle w:val="ListParagraph"/>
        <w:numPr>
          <w:ilvl w:val="0"/>
          <w:numId w:val="2"/>
        </w:numPr>
        <w:jc w:val="both"/>
        <w:rPr>
          <w:lang w:val="ka-GE"/>
        </w:rPr>
      </w:pPr>
      <w:r w:rsidRPr="00DD7BD6">
        <w:rPr>
          <w:b/>
          <w:lang w:val="ka-GE"/>
        </w:rPr>
        <w:t xml:space="preserve">ვადის გასვლის საშიშროების მქონე </w:t>
      </w:r>
      <w:r>
        <w:rPr>
          <w:lang w:val="ka-GE"/>
        </w:rPr>
        <w:t xml:space="preserve">ალბუტეროლისა და ბუდესონიდის </w:t>
      </w:r>
      <w:r w:rsidRPr="00DD7BD6">
        <w:rPr>
          <w:b/>
          <w:lang w:val="ka-GE"/>
        </w:rPr>
        <w:t>გარკვეული რაოდენობა</w:t>
      </w:r>
      <w:r w:rsidRPr="00DD7BD6">
        <w:rPr>
          <w:lang w:val="ka-GE"/>
        </w:rPr>
        <w:t xml:space="preserve"> (ანუ პროფიციტული რაოდენობა, რაც ვერ დაიხარჯება სააგენტოს მიერ) გადაეცეს პედიატრიული პროფილის კლინიკებს, </w:t>
      </w:r>
      <w:r>
        <w:rPr>
          <w:lang w:val="ka-GE"/>
        </w:rPr>
        <w:t>მარაგების ეფექტური ხარჯვის მიზნით. ბუდესონიდის</w:t>
      </w:r>
      <w:r w:rsidRPr="00DD7BD6">
        <w:rPr>
          <w:lang w:val="ka-GE"/>
        </w:rPr>
        <w:t xml:space="preserve">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w:t>
      </w:r>
      <w:r>
        <w:rPr>
          <w:lang w:val="ka-GE"/>
        </w:rPr>
        <w:t>,</w:t>
      </w:r>
      <w:r w:rsidRPr="00DD7BD6">
        <w:rPr>
          <w:lang w:val="ka-GE"/>
        </w:rPr>
        <w:t xml:space="preserve">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14:paraId="20B0B512" w14:textId="77777777" w:rsidR="00705721" w:rsidRDefault="00705721" w:rsidP="00705721">
      <w:pPr>
        <w:pStyle w:val="ListParagraph"/>
        <w:numPr>
          <w:ilvl w:val="0"/>
          <w:numId w:val="2"/>
        </w:numPr>
        <w:jc w:val="both"/>
        <w:rPr>
          <w:lang w:val="ka-GE"/>
        </w:rPr>
      </w:pPr>
      <w:r>
        <w:rPr>
          <w:lang w:val="ka-GE"/>
        </w:rPr>
        <w:t>ამოღებულ იქნას მედიკამენტი ალბუტეროლი მედიკამენტების ჩამონათვალიდან</w:t>
      </w:r>
    </w:p>
    <w:p w14:paraId="361F45BD" w14:textId="77777777" w:rsidR="00705721" w:rsidRDefault="00705721" w:rsidP="00705721">
      <w:pPr>
        <w:pStyle w:val="ListParagraph"/>
        <w:numPr>
          <w:ilvl w:val="0"/>
          <w:numId w:val="2"/>
        </w:numPr>
        <w:jc w:val="both"/>
        <w:rPr>
          <w:lang w:val="ka-GE"/>
        </w:rPr>
      </w:pPr>
      <w:r>
        <w:rPr>
          <w:lang w:val="ka-GE"/>
        </w:rPr>
        <w:t xml:space="preserve">მედიკამენტი ბუდესონიდი შესყიდულ  იქნას დამატებით ხარჯვის მაჩვენებელების </w:t>
      </w:r>
      <w:commentRangeStart w:id="1"/>
      <w:r>
        <w:rPr>
          <w:lang w:val="ka-GE"/>
        </w:rPr>
        <w:t>გათვალისწინებით</w:t>
      </w:r>
      <w:commentRangeEnd w:id="1"/>
      <w:r>
        <w:rPr>
          <w:rStyle w:val="CommentReference"/>
          <w:rFonts w:asciiTheme="minorHAnsi" w:hAnsiTheme="minorHAnsi"/>
        </w:rPr>
        <w:commentReference w:id="1"/>
      </w:r>
      <w:r>
        <w:rPr>
          <w:lang w:val="ka-GE"/>
        </w:rPr>
        <w:t xml:space="preserve"> .........ოდენობით;</w:t>
      </w:r>
    </w:p>
    <w:p w14:paraId="68C32119" w14:textId="77777777" w:rsidR="00705721" w:rsidRDefault="00705721" w:rsidP="00705721">
      <w:pPr>
        <w:pStyle w:val="ListParagraph"/>
        <w:numPr>
          <w:ilvl w:val="0"/>
          <w:numId w:val="2"/>
        </w:numPr>
        <w:jc w:val="both"/>
        <w:rPr>
          <w:lang w:val="ka-GE"/>
        </w:rPr>
      </w:pPr>
      <w:r>
        <w:rPr>
          <w:lang w:val="ka-GE"/>
        </w:rPr>
        <w:t>ჩატარდეს ბაზრის კვლევა ბუდესონიდ/ფორმეტეროლის შესაძლო სატენდერო ფასების დადგენის მიზნით და ამის შემდეგ დამატებით შეფასდეს სალმეტეროლ/ფლუტიკაზონის ბუდესონიდ/ფორმეტეოლით ჩანაცვლების საკითხი</w:t>
      </w:r>
    </w:p>
    <w:p w14:paraId="20D9BA30" w14:textId="77777777" w:rsidR="00A05443" w:rsidRDefault="00A05443" w:rsidP="00705721">
      <w:pPr>
        <w:pStyle w:val="ListParagraph"/>
        <w:numPr>
          <w:ilvl w:val="0"/>
          <w:numId w:val="2"/>
        </w:numPr>
        <w:jc w:val="both"/>
        <w:rPr>
          <w:lang w:val="ka-GE"/>
        </w:rPr>
      </w:pPr>
      <w:r>
        <w:rPr>
          <w:lang w:val="ka-GE"/>
        </w:rPr>
        <w:t>შევიდეს ცვლილება მინისტრის შესაბამის ბრძანებაში და პარკინსონის სამკურნალო მედიკამენტები ჩაიწეროს თანდართული სახით:</w:t>
      </w:r>
    </w:p>
    <w:p w14:paraId="5BC891D0" w14:textId="77777777" w:rsidR="00A05443" w:rsidRPr="00705721" w:rsidRDefault="00A05443" w:rsidP="00A05443">
      <w:pPr>
        <w:pStyle w:val="ListParagraph"/>
        <w:jc w:val="both"/>
        <w:rPr>
          <w:lang w:val="ka-GE"/>
        </w:rPr>
      </w:pPr>
    </w:p>
    <w:tbl>
      <w:tblPr>
        <w:tblW w:w="9913" w:type="dxa"/>
        <w:tblCellMar>
          <w:left w:w="0" w:type="dxa"/>
          <w:right w:w="0" w:type="dxa"/>
        </w:tblCellMar>
        <w:tblLook w:val="04A0" w:firstRow="1" w:lastRow="0" w:firstColumn="1" w:lastColumn="0" w:noHBand="0" w:noVBand="1"/>
      </w:tblPr>
      <w:tblGrid>
        <w:gridCol w:w="2270"/>
        <w:gridCol w:w="3107"/>
        <w:gridCol w:w="2268"/>
        <w:gridCol w:w="2268"/>
      </w:tblGrid>
      <w:tr w:rsidR="00A05443" w14:paraId="51B9B70D" w14:textId="77777777" w:rsidTr="00A05443">
        <w:trPr>
          <w:trHeight w:val="825"/>
        </w:trPr>
        <w:tc>
          <w:tcPr>
            <w:tcW w:w="227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388EB241" w14:textId="77777777" w:rsidR="00A05443" w:rsidRDefault="00A05443" w:rsidP="005652D6">
            <w:pPr>
              <w:spacing w:before="100" w:beforeAutospacing="1" w:after="100" w:afterAutospacing="1"/>
              <w:jc w:val="center"/>
              <w:rPr>
                <w:rFonts w:ascii="Times New Roman" w:hAnsi="Times New Roman"/>
              </w:rPr>
            </w:pPr>
            <w:r>
              <w:rPr>
                <w:rFonts w:ascii="Sylfaen" w:hAnsi="Sylfaen"/>
                <w:color w:val="606366"/>
              </w:rPr>
              <w:t>კლასი</w:t>
            </w:r>
          </w:p>
        </w:tc>
        <w:tc>
          <w:tcPr>
            <w:tcW w:w="31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592B59" w14:textId="77777777" w:rsidR="00A05443" w:rsidRDefault="00A05443" w:rsidP="005652D6">
            <w:pPr>
              <w:spacing w:before="100" w:beforeAutospacing="1" w:after="100" w:afterAutospacing="1"/>
              <w:jc w:val="center"/>
            </w:pPr>
            <w:r>
              <w:rPr>
                <w:rFonts w:ascii="Sylfaen" w:hAnsi="Sylfaen"/>
                <w:color w:val="34383D"/>
              </w:rPr>
              <w:t>საერთაშორისო არაპატენტირებული დასახელება</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E0D6F6" w14:textId="77777777" w:rsidR="00A05443" w:rsidRDefault="00A05443" w:rsidP="005652D6">
            <w:pPr>
              <w:spacing w:before="100" w:beforeAutospacing="1" w:after="100" w:afterAutospacing="1"/>
              <w:jc w:val="center"/>
            </w:pPr>
            <w:r>
              <w:rPr>
                <w:rFonts w:ascii="Sylfaen" w:hAnsi="Sylfaen"/>
                <w:color w:val="34383D"/>
              </w:rPr>
              <w:t>დოზა</w:t>
            </w:r>
          </w:p>
        </w:tc>
        <w:tc>
          <w:tcPr>
            <w:tcW w:w="226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4A38F35" w14:textId="77777777" w:rsidR="00A05443" w:rsidRDefault="00A05443" w:rsidP="005652D6">
            <w:pPr>
              <w:spacing w:before="100" w:beforeAutospacing="1" w:after="100" w:afterAutospacing="1"/>
              <w:jc w:val="center"/>
            </w:pPr>
            <w:r>
              <w:rPr>
                <w:rFonts w:ascii="Sylfaen" w:hAnsi="Sylfaen"/>
              </w:rPr>
              <w:t xml:space="preserve">განზომილების ერთეული </w:t>
            </w:r>
          </w:p>
        </w:tc>
      </w:tr>
      <w:tr w:rsidR="00A05443" w14:paraId="1ED05DDB" w14:textId="77777777" w:rsidTr="00A05443">
        <w:trPr>
          <w:trHeight w:val="825"/>
        </w:trPr>
        <w:tc>
          <w:tcPr>
            <w:tcW w:w="227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B03C8C" w14:textId="77777777" w:rsidR="00A05443" w:rsidRDefault="00A05443" w:rsidP="005652D6">
            <w:pPr>
              <w:spacing w:before="100" w:beforeAutospacing="1" w:after="100" w:afterAutospacing="1"/>
              <w:jc w:val="center"/>
            </w:pPr>
            <w:r>
              <w:rPr>
                <w:rFonts w:ascii="Sylfaen" w:hAnsi="Sylfaen"/>
                <w:color w:val="606366"/>
              </w:rPr>
              <w:t>პარკინსონის საწინააღმდეგო საშუალებები</w:t>
            </w:r>
          </w:p>
        </w:tc>
        <w:tc>
          <w:tcPr>
            <w:tcW w:w="3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0FA3FE" w14:textId="2F197DFF" w:rsidR="00A05443" w:rsidRDefault="00A05443" w:rsidP="00860A9E">
            <w:pPr>
              <w:spacing w:before="100" w:beforeAutospacing="1" w:after="100" w:afterAutospacing="1"/>
              <w:jc w:val="center"/>
            </w:pPr>
            <w:r>
              <w:rPr>
                <w:rFonts w:ascii="Sylfaen" w:hAnsi="Sylfaen"/>
                <w:color w:val="000000"/>
                <w:shd w:val="clear" w:color="auto" w:fill="FFFFFF"/>
              </w:rPr>
              <w:t> </w:t>
            </w:r>
            <w:hyperlink r:id="rId13" w:tgtFrame="_blank" w:history="1">
              <w:r>
                <w:rPr>
                  <w:rStyle w:val="Hyperlink"/>
                  <w:rFonts w:ascii="Sylfaen" w:hAnsi="Sylfaen"/>
                  <w:color w:val="000000"/>
                  <w:shd w:val="clear" w:color="auto" w:fill="FFFFFF"/>
                </w:rPr>
                <w:t>levodopa</w:t>
              </w:r>
            </w:hyperlink>
            <w:r w:rsidR="00860A9E">
              <w:rPr>
                <w:rStyle w:val="Hyperlink"/>
                <w:rFonts w:ascii="Sylfaen" w:hAnsi="Sylfaen"/>
                <w:color w:val="000000"/>
                <w:shd w:val="clear" w:color="auto" w:fill="FFFFFF"/>
              </w:rPr>
              <w:t>+</w:t>
            </w:r>
            <w:hyperlink r:id="rId14" w:tgtFrame="_blank" w:history="1">
              <w:r>
                <w:rPr>
                  <w:rStyle w:val="Hyperlink"/>
                  <w:rFonts w:ascii="Sylfaen" w:hAnsi="Sylfaen"/>
                  <w:color w:val="000000"/>
                  <w:shd w:val="clear" w:color="auto" w:fill="FFFFFF"/>
                </w:rPr>
                <w:t>carbidopa</w:t>
              </w:r>
            </w:hyperlink>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33F03" w14:textId="77777777" w:rsidR="00A05443" w:rsidRDefault="00A05443" w:rsidP="005652D6">
            <w:pPr>
              <w:spacing w:before="100" w:beforeAutospacing="1" w:after="100" w:afterAutospacing="1"/>
              <w:jc w:val="center"/>
            </w:pPr>
            <w:r>
              <w:rPr>
                <w:rFonts w:ascii="Sylfaen" w:hAnsi="Sylfaen"/>
                <w:color w:val="34383D"/>
              </w:rPr>
              <w:t>250mg/25mg</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513C2" w14:textId="77777777" w:rsidR="00A05443" w:rsidRDefault="00A05443" w:rsidP="005652D6">
            <w:pPr>
              <w:spacing w:before="100" w:beforeAutospacing="1" w:after="100" w:afterAutospacing="1"/>
              <w:jc w:val="center"/>
            </w:pPr>
            <w:r>
              <w:rPr>
                <w:rFonts w:ascii="Sylfaen" w:hAnsi="Sylfaen"/>
              </w:rPr>
              <w:t>ტაბლეტი</w:t>
            </w:r>
          </w:p>
          <w:p w14:paraId="24B3BFC3" w14:textId="77777777" w:rsidR="00A05443" w:rsidRDefault="00A05443" w:rsidP="005652D6">
            <w:pPr>
              <w:spacing w:before="100" w:beforeAutospacing="1" w:after="100" w:afterAutospacing="1"/>
              <w:jc w:val="center"/>
            </w:pPr>
            <w:r>
              <w:rPr>
                <w:rFonts w:ascii="Sylfaen" w:hAnsi="Sylfaen"/>
              </w:rPr>
              <w:t> </w:t>
            </w:r>
          </w:p>
        </w:tc>
      </w:tr>
      <w:tr w:rsidR="00A05443" w14:paraId="360192D8" w14:textId="77777777" w:rsidTr="00A05443">
        <w:trPr>
          <w:trHeight w:val="8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AD4F02" w14:textId="77777777" w:rsidR="00A05443" w:rsidRDefault="00A05443" w:rsidP="005652D6">
            <w:pPr>
              <w:rPr>
                <w:rFonts w:ascii="Times New Roman" w:hAnsi="Times New Roman" w:cs="Times New Roman"/>
                <w:sz w:val="24"/>
                <w:szCs w:val="24"/>
              </w:rPr>
            </w:pPr>
          </w:p>
        </w:tc>
        <w:tc>
          <w:tcPr>
            <w:tcW w:w="3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BCDF43" w14:textId="1FB1567F" w:rsidR="00A05443" w:rsidRPr="00705721" w:rsidRDefault="00C326AD" w:rsidP="00860A9E">
            <w:pPr>
              <w:spacing w:before="100" w:beforeAutospacing="1" w:after="100" w:afterAutospacing="1"/>
              <w:jc w:val="center"/>
            </w:pPr>
            <w:hyperlink r:id="rId15" w:tgtFrame="_blank" w:history="1">
              <w:r w:rsidR="00A05443" w:rsidRPr="00705721">
                <w:rPr>
                  <w:rStyle w:val="Hyperlink"/>
                  <w:rFonts w:ascii="Sylfaen" w:hAnsi="Sylfaen"/>
                  <w:bCs/>
                  <w:color w:val="auto"/>
                </w:rPr>
                <w:t>Levodopa</w:t>
              </w:r>
            </w:hyperlink>
            <w:r w:rsidR="00860A9E">
              <w:rPr>
                <w:rStyle w:val="Hyperlink"/>
                <w:rFonts w:ascii="Sylfaen" w:hAnsi="Sylfaen"/>
                <w:bCs/>
                <w:color w:val="auto"/>
              </w:rPr>
              <w:t>+</w:t>
            </w:r>
            <w:r w:rsidR="00A05443" w:rsidRPr="00705721">
              <w:rPr>
                <w:bCs/>
              </w:rPr>
              <w:t>Benserazide</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DD785" w14:textId="30980211" w:rsidR="00A05443" w:rsidRPr="00705721" w:rsidRDefault="00A05443" w:rsidP="00860A9E">
            <w:pPr>
              <w:spacing w:before="100" w:beforeAutospacing="1" w:after="100" w:afterAutospacing="1"/>
              <w:jc w:val="center"/>
            </w:pPr>
            <w:r w:rsidRPr="00705721">
              <w:rPr>
                <w:rFonts w:ascii="Sylfaen" w:hAnsi="Sylfaen"/>
                <w:bCs/>
                <w:lang w:val="ka-GE"/>
              </w:rPr>
              <w:t>1</w:t>
            </w:r>
            <w:r w:rsidR="00860A9E">
              <w:rPr>
                <w:rFonts w:ascii="Sylfaen" w:hAnsi="Sylfaen"/>
                <w:bCs/>
              </w:rPr>
              <w:t>00</w:t>
            </w:r>
            <w:r w:rsidRPr="00705721">
              <w:rPr>
                <w:rFonts w:ascii="Sylfaen" w:hAnsi="Sylfaen"/>
                <w:bCs/>
              </w:rPr>
              <w:t>mg</w:t>
            </w:r>
            <w:r w:rsidR="00860A9E">
              <w:rPr>
                <w:rFonts w:ascii="Sylfaen" w:hAnsi="Sylfaen"/>
                <w:bCs/>
              </w:rPr>
              <w:t>/25mg</w:t>
            </w:r>
          </w:p>
        </w:tc>
        <w:tc>
          <w:tcPr>
            <w:tcW w:w="2268" w:type="dxa"/>
            <w:vMerge/>
            <w:tcBorders>
              <w:top w:val="single" w:sz="8" w:space="0" w:color="auto"/>
              <w:left w:val="nil"/>
              <w:bottom w:val="single" w:sz="8" w:space="0" w:color="auto"/>
              <w:right w:val="single" w:sz="8" w:space="0" w:color="auto"/>
            </w:tcBorders>
            <w:vAlign w:val="center"/>
            <w:hideMark/>
          </w:tcPr>
          <w:p w14:paraId="48D1DC69" w14:textId="77777777" w:rsidR="00A05443" w:rsidRDefault="00A05443" w:rsidP="005652D6">
            <w:pPr>
              <w:rPr>
                <w:rFonts w:ascii="Times New Roman" w:hAnsi="Times New Roman" w:cs="Times New Roman"/>
                <w:sz w:val="24"/>
                <w:szCs w:val="24"/>
              </w:rPr>
            </w:pPr>
          </w:p>
        </w:tc>
      </w:tr>
    </w:tbl>
    <w:p w14:paraId="756B351E" w14:textId="77777777" w:rsidR="00DD7BD6" w:rsidRPr="00DD7BD6" w:rsidRDefault="00DD7BD6" w:rsidP="00DD7BD6">
      <w:pPr>
        <w:jc w:val="both"/>
        <w:rPr>
          <w:rFonts w:ascii="Sylfaen" w:hAnsi="Sylfaen"/>
          <w:lang w:val="ka-GE"/>
        </w:rPr>
      </w:pPr>
    </w:p>
    <w:p w14:paraId="2CE1B922" w14:textId="77777777" w:rsidR="00DD7BD6" w:rsidRPr="00DD7BD6" w:rsidRDefault="00DD7BD6" w:rsidP="00DD7BD6">
      <w:pPr>
        <w:rPr>
          <w:rFonts w:ascii="Sylfaen" w:hAnsi="Sylfaen"/>
          <w:lang w:val="ka-GE"/>
        </w:rPr>
      </w:pPr>
      <w:bookmarkStart w:id="2" w:name="_GoBack"/>
      <w:bookmarkEnd w:id="2"/>
    </w:p>
    <w:sectPr w:rsidR="00DD7BD6" w:rsidRPr="00DD7BD6">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8-10-12T15:38:00Z" w:initials="EA">
    <w:p w14:paraId="1B43D05F" w14:textId="77777777" w:rsidR="00300C18" w:rsidRPr="00300C18" w:rsidRDefault="00300C18">
      <w:pPr>
        <w:pStyle w:val="CommentText"/>
        <w:rPr>
          <w:rFonts w:ascii="Sylfaen" w:hAnsi="Sylfaen"/>
          <w:lang w:val="ka-GE"/>
        </w:rPr>
      </w:pPr>
      <w:r>
        <w:rPr>
          <w:rStyle w:val="CommentReference"/>
        </w:rPr>
        <w:annotationRef/>
      </w:r>
      <w:r>
        <w:rPr>
          <w:rFonts w:ascii="Sylfaen" w:hAnsi="Sylfaen"/>
          <w:lang w:val="ka-GE"/>
        </w:rPr>
        <w:t>ექსპერტებს ვთხოვთ დამატებითი კომენტარის გაკეთებას აღნიშნულთან დაკავშირებით</w:t>
      </w:r>
    </w:p>
  </w:comment>
  <w:comment w:id="1" w:author="Ekaterine Adamia" w:date="2018-10-12T15:58:00Z" w:initials="EA">
    <w:p w14:paraId="139D901A" w14:textId="77777777" w:rsidR="00705721" w:rsidRPr="00705721" w:rsidRDefault="00705721">
      <w:pPr>
        <w:pStyle w:val="CommentText"/>
        <w:rPr>
          <w:rFonts w:ascii="Sylfaen" w:hAnsi="Sylfaen"/>
          <w:lang w:val="ka-GE"/>
        </w:rPr>
      </w:pPr>
      <w:r>
        <w:rPr>
          <w:rStyle w:val="CommentReference"/>
        </w:rPr>
        <w:annotationRef/>
      </w:r>
      <w:r>
        <w:rPr>
          <w:rFonts w:ascii="Sylfaen" w:hAnsi="Sylfaen"/>
          <w:lang w:val="ka-GE"/>
        </w:rPr>
        <w:t>სააგენტოს (ირინა გობეჯიშვილი) ვთხოვთ შესასყიდი რაოდენობის დაკონკრეტებას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3D05F" w15:done="0"/>
  <w15:commentEx w15:paraId="139D90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F88"/>
    <w:multiLevelType w:val="hybridMultilevel"/>
    <w:tmpl w:val="A9CE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204FF"/>
    <w:multiLevelType w:val="hybridMultilevel"/>
    <w:tmpl w:val="1796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25"/>
    <w:rsid w:val="001602CE"/>
    <w:rsid w:val="001A6B32"/>
    <w:rsid w:val="002463D6"/>
    <w:rsid w:val="00300C18"/>
    <w:rsid w:val="00365672"/>
    <w:rsid w:val="0036571E"/>
    <w:rsid w:val="00705721"/>
    <w:rsid w:val="00860A9E"/>
    <w:rsid w:val="00A05443"/>
    <w:rsid w:val="00AF6F25"/>
    <w:rsid w:val="00C326AD"/>
    <w:rsid w:val="00C85CA6"/>
    <w:rsid w:val="00D37950"/>
    <w:rsid w:val="00DD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BF22"/>
  <w15:chartTrackingRefBased/>
  <w15:docId w15:val="{608B05DD-0D12-4C01-A95B-EEEA943B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D6"/>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6"/>
    <w:pPr>
      <w:spacing w:after="160" w:line="259" w:lineRule="auto"/>
      <w:ind w:left="720"/>
      <w:contextualSpacing/>
    </w:pPr>
    <w:rPr>
      <w:rFonts w:ascii="Sylfaen" w:hAnsi="Sylfaen"/>
    </w:rPr>
  </w:style>
  <w:style w:type="character" w:styleId="Hyperlink">
    <w:name w:val="Hyperlink"/>
    <w:basedOn w:val="DefaultParagraphFont"/>
    <w:uiPriority w:val="99"/>
    <w:unhideWhenUsed/>
    <w:rsid w:val="00DD7BD6"/>
    <w:rPr>
      <w:color w:val="0563C1" w:themeColor="hyperlink"/>
      <w:u w:val="single"/>
    </w:rPr>
  </w:style>
  <w:style w:type="character" w:styleId="CommentReference">
    <w:name w:val="annotation reference"/>
    <w:basedOn w:val="DefaultParagraphFont"/>
    <w:uiPriority w:val="99"/>
    <w:semiHidden/>
    <w:unhideWhenUsed/>
    <w:rsid w:val="00300C18"/>
    <w:rPr>
      <w:sz w:val="16"/>
      <w:szCs w:val="16"/>
    </w:rPr>
  </w:style>
  <w:style w:type="paragraph" w:styleId="CommentText">
    <w:name w:val="annotation text"/>
    <w:basedOn w:val="Normal"/>
    <w:link w:val="CommentTextChar"/>
    <w:uiPriority w:val="99"/>
    <w:semiHidden/>
    <w:unhideWhenUsed/>
    <w:rsid w:val="00300C18"/>
    <w:pPr>
      <w:spacing w:line="240" w:lineRule="auto"/>
    </w:pPr>
    <w:rPr>
      <w:sz w:val="20"/>
      <w:szCs w:val="20"/>
    </w:rPr>
  </w:style>
  <w:style w:type="character" w:customStyle="1" w:styleId="CommentTextChar">
    <w:name w:val="Comment Text Char"/>
    <w:basedOn w:val="DefaultParagraphFont"/>
    <w:link w:val="CommentText"/>
    <w:uiPriority w:val="99"/>
    <w:semiHidden/>
    <w:rsid w:val="00300C1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00C18"/>
    <w:rPr>
      <w:b/>
      <w:bCs/>
    </w:rPr>
  </w:style>
  <w:style w:type="character" w:customStyle="1" w:styleId="CommentSubjectChar">
    <w:name w:val="Comment Subject Char"/>
    <w:basedOn w:val="CommentTextChar"/>
    <w:link w:val="CommentSubject"/>
    <w:uiPriority w:val="99"/>
    <w:semiHidden/>
    <w:rsid w:val="00300C18"/>
    <w:rPr>
      <w:rFonts w:asciiTheme="minorHAnsi" w:hAnsiTheme="minorHAnsi"/>
      <w:b/>
      <w:bCs/>
      <w:sz w:val="20"/>
      <w:szCs w:val="20"/>
    </w:rPr>
  </w:style>
  <w:style w:type="paragraph" w:styleId="BalloonText">
    <w:name w:val="Balloon Text"/>
    <w:basedOn w:val="Normal"/>
    <w:link w:val="BalloonTextChar"/>
    <w:uiPriority w:val="99"/>
    <w:semiHidden/>
    <w:unhideWhenUsed/>
    <w:rsid w:val="00300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215">
      <w:bodyDiv w:val="1"/>
      <w:marLeft w:val="0"/>
      <w:marRight w:val="0"/>
      <w:marTop w:val="0"/>
      <w:marBottom w:val="0"/>
      <w:divBdr>
        <w:top w:val="none" w:sz="0" w:space="0" w:color="auto"/>
        <w:left w:val="none" w:sz="0" w:space="0" w:color="auto"/>
        <w:bottom w:val="none" w:sz="0" w:space="0" w:color="auto"/>
        <w:right w:val="none" w:sz="0" w:space="0" w:color="auto"/>
      </w:divBdr>
    </w:div>
    <w:div w:id="126241089">
      <w:bodyDiv w:val="1"/>
      <w:marLeft w:val="0"/>
      <w:marRight w:val="0"/>
      <w:marTop w:val="0"/>
      <w:marBottom w:val="0"/>
      <w:divBdr>
        <w:top w:val="none" w:sz="0" w:space="0" w:color="auto"/>
        <w:left w:val="none" w:sz="0" w:space="0" w:color="auto"/>
        <w:bottom w:val="none" w:sz="0" w:space="0" w:color="auto"/>
        <w:right w:val="none" w:sz="0" w:space="0" w:color="auto"/>
      </w:divBdr>
    </w:div>
    <w:div w:id="298190477">
      <w:bodyDiv w:val="1"/>
      <w:marLeft w:val="0"/>
      <w:marRight w:val="0"/>
      <w:marTop w:val="0"/>
      <w:marBottom w:val="0"/>
      <w:divBdr>
        <w:top w:val="none" w:sz="0" w:space="0" w:color="auto"/>
        <w:left w:val="none" w:sz="0" w:space="0" w:color="auto"/>
        <w:bottom w:val="none" w:sz="0" w:space="0" w:color="auto"/>
        <w:right w:val="none" w:sz="0" w:space="0" w:color="auto"/>
      </w:divBdr>
    </w:div>
    <w:div w:id="338236888">
      <w:bodyDiv w:val="1"/>
      <w:marLeft w:val="0"/>
      <w:marRight w:val="0"/>
      <w:marTop w:val="0"/>
      <w:marBottom w:val="0"/>
      <w:divBdr>
        <w:top w:val="none" w:sz="0" w:space="0" w:color="auto"/>
        <w:left w:val="none" w:sz="0" w:space="0" w:color="auto"/>
        <w:bottom w:val="none" w:sz="0" w:space="0" w:color="auto"/>
        <w:right w:val="none" w:sz="0" w:space="0" w:color="auto"/>
      </w:divBdr>
    </w:div>
    <w:div w:id="604046114">
      <w:bodyDiv w:val="1"/>
      <w:marLeft w:val="0"/>
      <w:marRight w:val="0"/>
      <w:marTop w:val="0"/>
      <w:marBottom w:val="0"/>
      <w:divBdr>
        <w:top w:val="none" w:sz="0" w:space="0" w:color="auto"/>
        <w:left w:val="none" w:sz="0" w:space="0" w:color="auto"/>
        <w:bottom w:val="none" w:sz="0" w:space="0" w:color="auto"/>
        <w:right w:val="none" w:sz="0" w:space="0" w:color="auto"/>
      </w:divBdr>
    </w:div>
    <w:div w:id="684282464">
      <w:bodyDiv w:val="1"/>
      <w:marLeft w:val="0"/>
      <w:marRight w:val="0"/>
      <w:marTop w:val="0"/>
      <w:marBottom w:val="0"/>
      <w:divBdr>
        <w:top w:val="none" w:sz="0" w:space="0" w:color="auto"/>
        <w:left w:val="none" w:sz="0" w:space="0" w:color="auto"/>
        <w:bottom w:val="none" w:sz="0" w:space="0" w:color="auto"/>
        <w:right w:val="none" w:sz="0" w:space="0" w:color="auto"/>
      </w:divBdr>
    </w:div>
    <w:div w:id="1261720195">
      <w:bodyDiv w:val="1"/>
      <w:marLeft w:val="0"/>
      <w:marRight w:val="0"/>
      <w:marTop w:val="0"/>
      <w:marBottom w:val="0"/>
      <w:divBdr>
        <w:top w:val="none" w:sz="0" w:space="0" w:color="auto"/>
        <w:left w:val="none" w:sz="0" w:space="0" w:color="auto"/>
        <w:bottom w:val="none" w:sz="0" w:space="0" w:color="auto"/>
        <w:right w:val="none" w:sz="0" w:space="0" w:color="auto"/>
      </w:divBdr>
    </w:div>
    <w:div w:id="1824543844">
      <w:bodyDiv w:val="1"/>
      <w:marLeft w:val="0"/>
      <w:marRight w:val="0"/>
      <w:marTop w:val="0"/>
      <w:marBottom w:val="0"/>
      <w:divBdr>
        <w:top w:val="none" w:sz="0" w:space="0" w:color="auto"/>
        <w:left w:val="none" w:sz="0" w:space="0" w:color="auto"/>
        <w:bottom w:val="none" w:sz="0" w:space="0" w:color="auto"/>
        <w:right w:val="none" w:sz="0" w:space="0" w:color="auto"/>
      </w:divBdr>
    </w:div>
    <w:div w:id="21406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vidal.ge/drugs/active-ingredients/levodop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aversi.ge/ka/aversi/act/genDet/?GenID=114"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cdc.ge/" TargetMode="External"/><Relationship Id="rId11" Type="http://schemas.openxmlformats.org/officeDocument/2006/relationships/hyperlink" Target="http://www.vidal.ge/drugs/active-ingredients/carbidopa" TargetMode="External"/><Relationship Id="rId5" Type="http://schemas.openxmlformats.org/officeDocument/2006/relationships/hyperlink" Target="https://www.erswhitebook.org/chapters/childhood-asthma/" TargetMode="External"/><Relationship Id="rId15" Type="http://schemas.openxmlformats.org/officeDocument/2006/relationships/hyperlink" Target="https://www.aversi.ge/ka/aversi/act/genDet/?GenID=114" TargetMode="External"/><Relationship Id="rId10" Type="http://schemas.openxmlformats.org/officeDocument/2006/relationships/hyperlink" Target="http://www.vidal.ge/drugs/active-ingredients/levodopa" TargetMode="External"/><Relationship Id="rId4" Type="http://schemas.openxmlformats.org/officeDocument/2006/relationships/webSettings" Target="webSettings.xml"/><Relationship Id="rId9" Type="http://schemas.openxmlformats.org/officeDocument/2006/relationships/hyperlink" Target="https://www.aversi.ge/ka/aversi/act/genDet/?GenID=114" TargetMode="External"/><Relationship Id="rId14" Type="http://schemas.openxmlformats.org/officeDocument/2006/relationships/hyperlink" Target="http://www.vidal.ge/drugs/active-ingredients/carbid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5</cp:revision>
  <dcterms:created xsi:type="dcterms:W3CDTF">2018-10-12T07:03:00Z</dcterms:created>
  <dcterms:modified xsi:type="dcterms:W3CDTF">2018-10-12T12:22:00Z</dcterms:modified>
</cp:coreProperties>
</file>