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61A74" w14:textId="4AFE1549" w:rsidR="00893D2B" w:rsidRDefault="00893D2B" w:rsidP="00893D2B">
      <w:pPr>
        <w:spacing w:after="0"/>
        <w:jc w:val="center"/>
        <w:rPr>
          <w:rFonts w:ascii="Sylfaen" w:eastAsia="Times New Roman" w:hAnsi="Sylfaen" w:cs="Sylfaen"/>
          <w:lang w:val="ka-GE"/>
        </w:rPr>
      </w:pPr>
      <w:r w:rsidRPr="00DD7BD6">
        <w:rPr>
          <w:rFonts w:ascii="Sylfaen" w:eastAsia="Times New Roman" w:hAnsi="Sylfaen" w:cs="Sylfaen"/>
          <w:lang w:val="ka-GE"/>
        </w:rPr>
        <w:t xml:space="preserve">ქრონიკული დაავადებების სამკურნალო მედიკამენტებით უზრუნველყოფის სახელმწიფო პროგრამის მოცულობის გაფართოვების მიზნით სამუშაო ჯგუფის შეხვედრის </w:t>
      </w:r>
      <w:r w:rsidR="004C1720">
        <w:rPr>
          <w:rFonts w:ascii="Sylfaen" w:eastAsia="Times New Roman" w:hAnsi="Sylfaen" w:cs="Sylfaen"/>
          <w:b/>
          <w:lang w:val="ka-GE"/>
        </w:rPr>
        <w:t>ოქმი N4</w:t>
      </w:r>
    </w:p>
    <w:p w14:paraId="1B11A6F0" w14:textId="77777777" w:rsidR="00893D2B" w:rsidRDefault="00893D2B" w:rsidP="00893D2B">
      <w:pPr>
        <w:spacing w:after="0"/>
        <w:jc w:val="center"/>
        <w:rPr>
          <w:rFonts w:ascii="Sylfaen" w:eastAsia="Times New Roman" w:hAnsi="Sylfaen" w:cs="Sylfaen"/>
          <w:lang w:val="ka-GE"/>
        </w:rPr>
      </w:pPr>
    </w:p>
    <w:p w14:paraId="0F3E1404" w14:textId="3AF0C548" w:rsidR="00893D2B" w:rsidRPr="00DD7BD6" w:rsidRDefault="00A61F63" w:rsidP="00893D2B">
      <w:pPr>
        <w:spacing w:after="0"/>
        <w:jc w:val="center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24</w:t>
      </w:r>
      <w:r w:rsidR="004C1720">
        <w:rPr>
          <w:rFonts w:ascii="Sylfaen" w:eastAsia="Times New Roman" w:hAnsi="Sylfaen" w:cs="Sylfaen"/>
        </w:rPr>
        <w:t>.</w:t>
      </w:r>
      <w:r w:rsidR="00893D2B">
        <w:rPr>
          <w:rFonts w:ascii="Sylfaen" w:eastAsia="Times New Roman" w:hAnsi="Sylfaen" w:cs="Sylfaen"/>
          <w:lang w:val="ka-GE"/>
        </w:rPr>
        <w:t>10.2018წ</w:t>
      </w:r>
    </w:p>
    <w:p w14:paraId="5B929439" w14:textId="77777777" w:rsidR="00893D2B" w:rsidRPr="00DD7BD6" w:rsidRDefault="00893D2B" w:rsidP="00893D2B">
      <w:pPr>
        <w:spacing w:after="0"/>
        <w:jc w:val="both"/>
        <w:rPr>
          <w:rFonts w:ascii="Sylfaen" w:eastAsia="Times New Roman" w:hAnsi="Sylfaen" w:cs="Sylfaen"/>
          <w:lang w:val="ka-GE"/>
        </w:rPr>
      </w:pPr>
    </w:p>
    <w:p w14:paraId="1907D4A1" w14:textId="77777777" w:rsidR="00A61F63" w:rsidRDefault="00893D2B" w:rsidP="004C1720">
      <w:pPr>
        <w:spacing w:after="0"/>
        <w:jc w:val="both"/>
        <w:rPr>
          <w:rFonts w:ascii="Sylfaen" w:eastAsia="Times New Roman" w:hAnsi="Sylfaen" w:cs="Sylfaen"/>
          <w:lang w:val="ka-GE"/>
        </w:rPr>
      </w:pPr>
      <w:r w:rsidRPr="00773448">
        <w:rPr>
          <w:rFonts w:ascii="Sylfaen" w:eastAsia="Times New Roman" w:hAnsi="Sylfaen" w:cs="Sylfaen"/>
          <w:lang w:val="ka-GE"/>
        </w:rPr>
        <w:t xml:space="preserve">ქრონიკული დავადებების სამკურნალო მედიკამენტებით უზრუნველყოფის სახელმწიფო პროგრამის </w:t>
      </w:r>
      <w:r w:rsidR="00A61F63">
        <w:rPr>
          <w:rFonts w:ascii="Sylfaen" w:eastAsia="Times New Roman" w:hAnsi="Sylfaen" w:cs="Sylfaen"/>
          <w:lang w:val="ka-GE"/>
        </w:rPr>
        <w:t>გაუმჯობესების</w:t>
      </w:r>
      <w:r w:rsidRPr="00773448">
        <w:rPr>
          <w:rFonts w:ascii="Sylfaen" w:eastAsia="Times New Roman" w:hAnsi="Sylfaen" w:cs="Sylfaen"/>
          <w:lang w:val="ka-GE"/>
        </w:rPr>
        <w:t xml:space="preserve"> მიზნით</w:t>
      </w:r>
      <w:r w:rsidRPr="00773448">
        <w:rPr>
          <w:rFonts w:ascii="Sylfaen" w:hAnsi="Sylfaen" w:cs="Sylfaen"/>
          <w:lang w:val="ka-GE"/>
        </w:rPr>
        <w:t>,</w:t>
      </w:r>
      <w:r w:rsidRPr="00773448">
        <w:rPr>
          <w:rFonts w:ascii="Sylfaen" w:eastAsia="Times New Roman" w:hAnsi="Sylfaen" w:cs="Sylfaen"/>
          <w:lang w:val="ka-GE"/>
        </w:rPr>
        <w:t xml:space="preserve"> მინისტრის ხელმძღვანელობით </w:t>
      </w:r>
      <w:r w:rsidR="00A61F63">
        <w:rPr>
          <w:rFonts w:ascii="Sylfaen" w:eastAsia="Times New Roman" w:hAnsi="Sylfaen" w:cs="Sylfaen"/>
          <w:lang w:val="ka-GE"/>
        </w:rPr>
        <w:t>გაიმართა შეხვედრა სამუშაო ჯგუფის ფორმატში</w:t>
      </w:r>
      <w:r w:rsidRPr="00773448">
        <w:rPr>
          <w:rFonts w:ascii="Sylfaen" w:eastAsia="Times New Roman" w:hAnsi="Sylfaen" w:cs="Sylfaen"/>
          <w:lang w:val="ka-GE"/>
        </w:rPr>
        <w:t>, რომელშიც მონაწილეობ</w:t>
      </w:r>
      <w:r w:rsidR="00A61F63">
        <w:rPr>
          <w:rFonts w:ascii="Sylfaen" w:eastAsia="Times New Roman" w:hAnsi="Sylfaen" w:cs="Sylfaen"/>
          <w:lang w:val="ka-GE"/>
        </w:rPr>
        <w:t>დნ</w:t>
      </w:r>
      <w:r w:rsidRPr="00773448">
        <w:rPr>
          <w:rFonts w:ascii="Sylfaen" w:eastAsia="Times New Roman" w:hAnsi="Sylfaen" w:cs="Sylfaen"/>
          <w:lang w:val="ka-GE"/>
        </w:rPr>
        <w:t>ენ მინისტრის მოადგილე მაია ლაგვილავა</w:t>
      </w:r>
      <w:r w:rsidR="00A61F63">
        <w:rPr>
          <w:rFonts w:ascii="Sylfaen" w:eastAsia="Times New Roman" w:hAnsi="Sylfaen" w:cs="Sylfaen"/>
          <w:lang w:val="ka-GE"/>
        </w:rPr>
        <w:t>,</w:t>
      </w:r>
      <w:r w:rsidRPr="00773448">
        <w:rPr>
          <w:rFonts w:ascii="Sylfaen" w:eastAsia="Times New Roman" w:hAnsi="Sylfaen" w:cs="Sylfaen"/>
          <w:lang w:val="ka-GE"/>
        </w:rPr>
        <w:t xml:space="preserve"> მინისტრის მრჩევლები (მამუკა სონღულაშვილი, ლაშა ნიკოლაძე), სა</w:t>
      </w:r>
      <w:r w:rsidR="00A61F63">
        <w:rPr>
          <w:rFonts w:ascii="Sylfaen" w:eastAsia="Times New Roman" w:hAnsi="Sylfaen" w:cs="Sylfaen"/>
          <w:lang w:val="ka-GE"/>
        </w:rPr>
        <w:t>მინისტროს ჯანმრთელობის დაცვის (</w:t>
      </w:r>
      <w:r w:rsidRPr="00773448">
        <w:rPr>
          <w:rFonts w:ascii="Sylfaen" w:eastAsia="Times New Roman" w:hAnsi="Sylfaen" w:cs="Sylfaen"/>
          <w:lang w:val="ka-GE"/>
        </w:rPr>
        <w:t>ეკატერინე ადამია), შიდა აუდიტის (კახაბერ ძიმისტარიშვილი, ეკა შარაძე) და ეკონომიკური დეპარტამენტების (ნოე ქინქლაძე),  სსიპ სოციალური მომსახურების სააგენტოს (თამაზ მოდებაძე, თენგიზ აბაზაძე, ბესიკ დათუკიშვილი, ირ</w:t>
      </w:r>
      <w:r w:rsidR="00A61F63">
        <w:rPr>
          <w:rFonts w:ascii="Sylfaen" w:eastAsia="Times New Roman" w:hAnsi="Sylfaen" w:cs="Sylfaen"/>
          <w:lang w:val="ka-GE"/>
        </w:rPr>
        <w:t>ინა გობეჯიშვილი) თანამშრომლები.</w:t>
      </w:r>
    </w:p>
    <w:p w14:paraId="08D8D88E" w14:textId="77777777" w:rsidR="00A61F63" w:rsidRDefault="00A61F63" w:rsidP="004C1720">
      <w:pPr>
        <w:spacing w:after="0"/>
        <w:jc w:val="both"/>
        <w:rPr>
          <w:rFonts w:ascii="Sylfaen" w:eastAsia="Times New Roman" w:hAnsi="Sylfaen" w:cs="Sylfaen"/>
          <w:lang w:val="ka-GE"/>
        </w:rPr>
      </w:pPr>
    </w:p>
    <w:p w14:paraId="214D4672" w14:textId="0539D337" w:rsidR="00893D2B" w:rsidRPr="004C1720" w:rsidRDefault="00A61F63" w:rsidP="004C1720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შეხვედრაზე განხილულ იქნა პროგრამის ფარგლებში</w:t>
      </w:r>
      <w:r w:rsidR="004D4EF3">
        <w:rPr>
          <w:rFonts w:ascii="Sylfaen" w:eastAsia="Times New Roman" w:hAnsi="Sylfaen" w:cs="Sylfaen"/>
          <w:lang w:val="ka-GE"/>
        </w:rPr>
        <w:t xml:space="preserve"> მიმდინარე სიახლეები, ბაზრის კვლევების შედეგები, მიმდინარე ტენდერების შესახებ ინფორმაცია. </w:t>
      </w:r>
      <w:r>
        <w:rPr>
          <w:rFonts w:ascii="Sylfaen" w:eastAsia="Times New Roman" w:hAnsi="Sylfaen" w:cs="Sylfaen"/>
          <w:lang w:val="ka-GE"/>
        </w:rPr>
        <w:t xml:space="preserve"> </w:t>
      </w:r>
      <w:r w:rsidR="00893D2B" w:rsidRPr="00773448">
        <w:rPr>
          <w:rFonts w:ascii="Sylfaen" w:eastAsia="Times New Roman" w:hAnsi="Sylfaen" w:cs="Sylfaen"/>
          <w:lang w:val="ka-GE"/>
        </w:rPr>
        <w:t xml:space="preserve"> </w:t>
      </w:r>
      <w:r w:rsidR="0036176A">
        <w:rPr>
          <w:rFonts w:ascii="Sylfaen" w:eastAsia="Times New Roman" w:hAnsi="Sylfaen" w:cs="Sylfaen"/>
          <w:lang w:val="ka-GE"/>
        </w:rPr>
        <w:t>დღევანდელი მდგომარეობით, პროგრამით გათვალისწინებული მედიკამენტებთან მიმართებით გვაქვს შემდეგი სურათი:</w:t>
      </w:r>
    </w:p>
    <w:p w14:paraId="2C9440EF" w14:textId="77777777" w:rsidR="00893D2B" w:rsidRDefault="00893D2B" w:rsidP="00893D2B">
      <w:pPr>
        <w:spacing w:line="240" w:lineRule="auto"/>
        <w:jc w:val="both"/>
        <w:rPr>
          <w:rFonts w:ascii="Sylfaen" w:hAnsi="Sylfaen" w:cs="Sylfaen"/>
        </w:rPr>
      </w:pPr>
    </w:p>
    <w:tbl>
      <w:tblPr>
        <w:tblW w:w="14540" w:type="dxa"/>
        <w:tblInd w:w="-10" w:type="dxa"/>
        <w:tblLook w:val="04A0" w:firstRow="1" w:lastRow="0" w:firstColumn="1" w:lastColumn="0" w:noHBand="0" w:noVBand="1"/>
      </w:tblPr>
      <w:tblGrid>
        <w:gridCol w:w="580"/>
        <w:gridCol w:w="3566"/>
        <w:gridCol w:w="2120"/>
        <w:gridCol w:w="1660"/>
        <w:gridCol w:w="4954"/>
        <w:gridCol w:w="1660"/>
      </w:tblGrid>
      <w:tr w:rsidR="004D4EF3" w:rsidRPr="004D4EF3" w14:paraId="507359B9" w14:textId="77777777" w:rsidTr="004D4EF3">
        <w:trPr>
          <w:trHeight w:val="30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694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B5C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დასახელება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AB5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დოზირება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57B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სტატუსი</w:t>
            </w:r>
          </w:p>
        </w:tc>
        <w:tc>
          <w:tcPr>
            <w:tcW w:w="6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A7D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შენიშვნა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2F58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შენიშვა</w:t>
            </w:r>
          </w:p>
        </w:tc>
      </w:tr>
      <w:tr w:rsidR="004D4EF3" w:rsidRPr="004D4EF3" w14:paraId="1055DBD7" w14:textId="77777777" w:rsidTr="004D4EF3">
        <w:trPr>
          <w:trHeight w:val="5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E1D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50C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ენალაპრილი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457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02D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2AC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სექტემბრის ხარჯვის გათვალისწინებით გვაქვს დაახლოებით 9 თვის მარაგი (ვადით 2020 წლამდე), დამატებითი შესყიდვის საჭიროება მიზანშეწონილია განხილულ იქნას კომბინირებული პრეპარატების ამუშავების შემდგომ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9372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35A30962" w14:textId="77777777" w:rsidTr="004D4EF3">
        <w:trPr>
          <w:trHeight w:val="12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869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631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ენალაპრილი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FB5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28F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F06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სექტემბრის ხარჯვის გათვალისწინებით გვაქვს დაახლოებით 20 თვის მარაგი (ვადით 2020 წლამდე), დამატებითი შესყიდვის საჭიროება მიზანშეწონილია განხილულ იქნას კომბინირებული პრეპარატების ამუშავების შემდგომ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5AE0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14AF2B18" w14:textId="77777777" w:rsidTr="004D4EF3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B43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83F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ლოსარტანი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4AD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E4D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DCC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ტენდერი არ შედგა, გამოცხადდა ბაზრის ხელახალი კვლევა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3967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0905CB7B" w14:textId="77777777" w:rsidTr="004D4EF3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FA7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147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ამლოდიპინი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82D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CCF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26CA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სექტემბრის ხარჯვის გათვალისწინებით გვაქვს დაახლოებით 20 თვის მარაგი (ვადით 2020 წლამდე), შესყიდვის საჭიროება არ დგას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E058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41A8E3C5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E83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E76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sz w:val="20"/>
                <w:szCs w:val="20"/>
              </w:rPr>
              <w:t xml:space="preserve">მეტოპროლოლი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7CC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sz w:val="20"/>
                <w:szCs w:val="20"/>
              </w:rPr>
              <w:t>100მგ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1C7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B4D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მინიმალური ფასი დააფიქსირა შპს "პსპ ფარმამ"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0152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</w:tr>
      <w:tr w:rsidR="004D4EF3" w:rsidRPr="004D4EF3" w14:paraId="2467B843" w14:textId="77777777" w:rsidTr="004D4EF3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D70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945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ამიოდარონი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C0A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206A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302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სექტემბრის ხარჯვის გათვალისწინებით გვაქვს დაახლოებით 31 თვის მარაგი ( ვადით 2020 წლამდე), შესყიდვის საჭიროება არ დგას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9A04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3EF80F41" w14:textId="77777777" w:rsidTr="004D4EF3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B9B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26A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იზოსორბიდის მონონიტრატი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9C9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81D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AF1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სექტემბრის ხარჯვის გათვალისწინებით გვაქვს დაახლოებით 13 თვის მარაგი ( ვადით 2022 წლამდე), შესყიდვის საჭიროება არ დგას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553A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6A145A22" w14:textId="77777777" w:rsidTr="004D4EF3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10A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6B1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ვარფარინი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BAE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10B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570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სექტემბრის ხარჯვის გათვალისწინებით გვაქვს დაახლოებით 44 თვის მარაგი ( ვადით 2022 წლამდე), შესყიდვის საჭიროება არ დგას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883C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55206C75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B95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590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კლოპიდოგრელი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498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11B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4FC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მინიმალური ფასი დააფიქსირა შპს "პსპ ფარმამ"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5A61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0FB4F81F" w14:textId="77777777" w:rsidTr="004D4EF3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AAA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D26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დიგოქსინი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AE0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0,25მგ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749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F50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ტენდერი არ შედგა, გამოცხადდა ბაზრის ხელახალი კვლევა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3093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1429BFFC" w14:textId="77777777" w:rsidTr="004D4EF3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63C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8AB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ფუროსემიდი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0B2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E43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D92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სექტემბრის ხარჯვის გათვალისწინებით გვაქვს დაახლოებით 53 თვის მარაგი (ვადით 2020-2022 წლამდე), შესყიდვის საჭიროება არ დგას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CE92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5EF747D6" w14:textId="77777777" w:rsidTr="004D4EF3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E43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D84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სპირონოლაქტონი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6AB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C94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21C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სექტემბრის ხარჯვის გათვალისწინებით გვაქვს დაახლოებით 19 თვის მარაგი (ვადით 2021-2022 წლამდე), შესყიდვის საჭიროება არ დგას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7BFD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27BD3971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C77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06B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ატორვასტატინი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FA4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B22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9B7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მინიმალური ფასი დააფიქსირა შპს "პსპ ფარმამ"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316C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2AED7397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6E8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200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მეტფორმინი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ED4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977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5B3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მინიმალური ფასი დააფიქსირა შპს "ავერსი-ფარმამ"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55D6A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1B8F7DEF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37A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ECA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გლიკლაზიდი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1E4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98E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D39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მინიმალური ფასი დააფიქსირა შპს სს "გეფამ"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4795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5030F904" w14:textId="77777777" w:rsidTr="004D4EF3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FB4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FC7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გლიმეპირიდი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10F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7BE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C17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ტენდერი არ შედგა, გამოცხადდა ბაზრის ხელახალი კვლევა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760F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30AB9CC5" w14:textId="77777777" w:rsidTr="004D4EF3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FB4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963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თიამაზოლი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F51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B75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719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ტენდერი არ შედგა, გამოცხადდა ბაზრის ხელახალი კვლევა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E324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06087A28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F66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8AA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ლევოთიროქსინი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782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50მკგ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FBD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E74A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მინიმალური ფასი დააფიქსირა სს "გეფამ"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FB67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7663AA67" w14:textId="77777777" w:rsidTr="004D4EF3">
        <w:trPr>
          <w:trHeight w:val="15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128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394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ბუდესონიდი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6B3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0,5მგ/2მლ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A6F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97EA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ხარჯვის მცირე მაჩვენებლის გამო, დაახლოებით 4000 ცალი დგას ვადის გასვლის საშიშროების წინაშე (2018 წლის დეკემბრის ბოლოს, 2019 წლის იანვრის ბოლოს) მიმდინარეობს განხილვები ექსპერტებთან  ბუდესონიდის შესაძლო ჩანაცვლებასთან (?) დაკავშირებით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2D6B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6FCBC838" w14:textId="77777777" w:rsidTr="004D4EF3">
        <w:trPr>
          <w:trHeight w:val="15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2AA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1E9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ალბუტეროლი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2DA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2,5მგ/0,5მლ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1CA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2D9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ხარჯვის მცირე მაჩვენებლის (თვეში საშუალოდ 90) გამო, დაახლოებით 19 000 ცალი დგას ვადის გასვლის საშიშროების წინაშე (2019 წლის იანვრის ბოლოს) მიმდინარეობს განხილვები ექსპერტებთან  ალბუტეროლის შესაძლო ჩანაცვლებასთან (?) დაკავშირებით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109A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5C0D8015" w14:textId="77777777" w:rsidTr="004D4EF3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FEE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002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სალმეტეროლი/ფლუტიკაზონი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5AA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50მკგ/250მკგ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1F3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7DE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გაგზავნილია მთავრობის ადმინისტრაციაში - 09.10.18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8F93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აღნიშნულ საკითხთან დაკავშირებიული ინფორმაცია წარმოდგენილი იქნება დამატებით</w:t>
            </w:r>
          </w:p>
        </w:tc>
      </w:tr>
      <w:tr w:rsidR="004D4EF3" w:rsidRPr="004D4EF3" w14:paraId="432D73DC" w14:textId="77777777" w:rsidTr="004D4EF3">
        <w:trPr>
          <w:trHeight w:val="15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7C0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B63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სალბუტამოლი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331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100 მკგ/დოზა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0F9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F4B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სექტემბრის ხარჯვის გათვალისწინებით გვაქვს დაახლოებით 12 თვის მარაგი (ვადით 2019 წლის აპრილი-მაისი), გასათვალისწინებელია, რომ თუ ხარჯვის მაჩვენებელი (შესაძლოა ალბუტეროლი ჩანაცვლდეს სალბუტამოლით) არ გაიზრდება წლის ბოლოსთვის, დადგება დამატებითი შესყიდვის საჭიროება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9116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3533A148" w14:textId="77777777" w:rsidTr="004D4EF3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97C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E43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აკლიდინიუმის ბრომიდი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146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322 მკგ/დოზა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7CC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8B1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ტენდერი არ შედგა, გამოცხადდა ბაზრის ხელახალი კვლევა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B2FB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</w:tr>
      <w:tr w:rsidR="004D4EF3" w:rsidRPr="004D4EF3" w14:paraId="6DF1B3D5" w14:textId="77777777" w:rsidTr="004D4EF3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1A6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B3B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მეთილპრედნიზოლონი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51B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16 მგ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86D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AF4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სექტემბრის ხარჯვის გათვალისწინებით გვაქვს დაახლოებით 26 თვის მარაგი (ვადით 2021-2022 წლამდე), შესყიდვის საჭიროება არ დგას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A2F3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22818222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D95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5B8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5F8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7FE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B42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A4A4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5360DA91" w14:textId="77777777" w:rsidTr="004D4EF3">
        <w:trPr>
          <w:trHeight w:val="12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D6A062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779E72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პერინდოპრილ/ამლოდიპინი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AA64BE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4მგ/5მგ ან 5მგ/5მგ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8BA398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B3EBA4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შპს</w:t>
            </w:r>
            <w:proofErr w:type="gramEnd"/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"პსპ ფარმას" მიერ წარმოდგენილი დაზუსტებული დოკუმენტი არ შეესაბამება სატენდერო პირობებს. ტენდერი დასრულდა უარყოფითი შედეგით, ცხადდება ბაზრის ხელახალი კვლევა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07C15E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3DB86D25" w14:textId="77777777" w:rsidTr="004D4EF3">
        <w:trPr>
          <w:trHeight w:val="12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5ADC77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6CAE5F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პერინდოპრილ/ამლოდიპინი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0E43F1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8მგ/10მგ ან 10მგ/10მგ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F554ED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6BD6C4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შპს</w:t>
            </w:r>
            <w:proofErr w:type="gramEnd"/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"პსპ ფარმას" მიერ წარმოდგენილი დაზუსტებული დოკუმენტი არ შეესაბამება სატენდერო პირობებს. ტენდერი დასრულდა უარყოფითი შედეგით, ცხადდება ბაზრის ხელახალი კვლევა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BEF12F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48274D4F" w14:textId="77777777" w:rsidTr="004D4EF3">
        <w:trPr>
          <w:trHeight w:val="12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73FFA3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C6FA8D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პერინდოპრილ/ინდაპამიდი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2AC055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4მგ/1.25მგ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C54880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1F4718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შპს</w:t>
            </w:r>
            <w:proofErr w:type="gramEnd"/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"პსპ ფარმას" მიერ წარმოდგენილი დაზუსტებული დოკუმენტი არ შეესაბამება სატენდერო პირობებს. ტენდერი დასრულდა უარყოფითი შედეგით, ცხადდება ბაზრის ხელახალი კვლევა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9B537B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1722AAA6" w14:textId="77777777" w:rsidTr="004D4EF3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6CDA3C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A108EC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ლოსარტან+ჰიდროქლოროთიაზიდი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841B2A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50მგ/12.5მგ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B6F3BA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55176F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შპს "პსპ ფარმა" მოწვეულია ხელშეკრულების გასაფორმებლად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14D221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6DD43636" w14:textId="77777777" w:rsidTr="004D4EF3">
        <w:trPr>
          <w:trHeight w:val="12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7F95C4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456C01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ბისოპროლოლი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F138B6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BD76A2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210001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შპს</w:t>
            </w:r>
            <w:proofErr w:type="gramEnd"/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"პსპ ფარმას" მიერ წარმოდგენილი დაზუსტებული დოკუმენტი არ შეესაბამება სატენდერო პირობებს. მეორე პრეტენდენტის - სს "გეფას" ტექნიკური დოკუმენტაცია განხილვის პროცესშია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ADFFC0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7A0D69E7" w14:textId="77777777" w:rsidTr="004D4EF3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130B32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4548FB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ნებივოლოლი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B19549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5CE06C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BE6106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შპს "პსპ ფარმა" მოწვეულია ხელშეკრულების გასაფორმებლად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410F82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5D9FAED7" w14:textId="77777777" w:rsidTr="004D4EF3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FA4AC6A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B77551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ჰიდროქლორთიაზიდი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C094E6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C1235A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1A0951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ტენდერი</w:t>
            </w:r>
            <w:proofErr w:type="gramEnd"/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არ შედგა. გაგზავნილია სათანადო წერილი სსიპ სახელმწიფო შესყიდვების სააგენტოში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8847C4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5386247D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62A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A27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B9F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2EA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2C3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F088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3635E006" w14:textId="77777777" w:rsidTr="004D4EF3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B14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601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აცეტილსალიცილის მჟავა+მაგნიუმის ჰიდროქსიდი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F26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0F8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406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სატენდერო წინადადებების გახსნის თარიღი - 05.11.18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B9C3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463F752B" w14:textId="77777777" w:rsidTr="004D4EF3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166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420A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აცეტილსალიცილის მჟავა+მაგნიუმის ჰიდროქსიდი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6FC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A9D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A66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სატენდერო წინადადებების გახსნის თარიღი - 05.11.18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83B7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42DBBA15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BA2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3C1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ატორვასტატინი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463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F86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6F0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სატენდერო წინადადებების გახსნის თარიღი - 05.11.18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2211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59289FA1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8BDA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E3F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ატორვასტატინი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564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6AB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B94A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სატენდერო წინადადებების გახსნის თარიღი - 05.11.18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8238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2B3E4DCA" w14:textId="77777777" w:rsidTr="004D4EF3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C16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4A3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კარბიდოპა, ლევოდოპა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8DE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250მგ/25მგ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793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1A3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სატენდერო წინადადებების გახსნის თარიღი - 05.11.18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F08B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0712BB95" w14:textId="77777777" w:rsidTr="004D4EF3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1B2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2F5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ლევოდოპა+ბენსერაზიდი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C85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100მგ/25მგ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749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D3A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სატენდერო წინადადებების გახსნის თარიღი - 05.11.18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6F4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1BA8794E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ECD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BAC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ლევეტირაცეტამი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D5CA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6A4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A24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სატენდერო წინადადებების გახსნის თარიღი - 05.11.18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01CA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4A83DE28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6D1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F22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კარბამაზეპინი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F08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5E9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7D8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მინიმალური ფასი დააფიქსირა შპს "პსპ ფარმამ"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1C15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558EF800" w14:textId="77777777" w:rsidTr="004D4EF3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886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02D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ნატრიუმის ვალპროატი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55C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E6A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6ED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სატენდერო წინადადებების გახსნის თარიღი - 05.11.18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37C2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2FAD3421" w14:textId="77777777" w:rsidTr="004D4EF3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8CD004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B915DD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ნატრიუმის ვალპროატი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2C8FE9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3DB63E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2959E7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ტენდერი</w:t>
            </w:r>
            <w:proofErr w:type="gramEnd"/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არ შედგა. გამოხცადებულია ბაზრის ხელახალი კვლევა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0EC2DF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45324952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9B2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CD6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ლამოტრიჯინი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F48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D2C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F4E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სატენდერო წინადადებების გახსნის თარიღი - 05.11.18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74A1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30C05590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970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788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ლამოტრიჯინი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9BFA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AF1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0D8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მინიმალური ფასი დააფიქსირა სს "გეფამ"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6C2EA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15DF5DA3" w14:textId="77777777" w:rsidTr="004D4EF3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44E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8E8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333333"/>
                <w:sz w:val="16"/>
                <w:szCs w:val="16"/>
              </w:rPr>
            </w:pPr>
            <w:r w:rsidRPr="004D4EF3">
              <w:rPr>
                <w:rFonts w:ascii="Sylfaen" w:eastAsia="Times New Roman" w:hAnsi="Sylfaen" w:cs="Calibri"/>
                <w:color w:val="333333"/>
                <w:sz w:val="16"/>
                <w:szCs w:val="16"/>
              </w:rPr>
              <w:t>Budesonide, Formoterol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D27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320მკგ/9მკგ/დოზა 60 დოზა დოზირებული საინჰალაციო ფხვნილი ინჰალატორი №1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539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5CF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დასრულდა ბაზრის კვლევა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C1121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აღნიშნულ საკითხთან დაკავშირებიული ინფორმაცია წარმოდგენილი იქნება დამატებით</w:t>
            </w:r>
          </w:p>
        </w:tc>
      </w:tr>
      <w:tr w:rsidR="004D4EF3" w:rsidRPr="004D4EF3" w14:paraId="075624C0" w14:textId="77777777" w:rsidTr="004D4EF3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FE1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D9C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333333"/>
                <w:sz w:val="16"/>
                <w:szCs w:val="16"/>
              </w:rPr>
            </w:pPr>
            <w:r w:rsidRPr="004D4EF3">
              <w:rPr>
                <w:rFonts w:ascii="Sylfaen" w:eastAsia="Times New Roman" w:hAnsi="Sylfaen" w:cs="Calibri"/>
                <w:color w:val="333333"/>
                <w:sz w:val="16"/>
                <w:szCs w:val="16"/>
              </w:rPr>
              <w:t>Budesonide, Formoterol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381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160მკგ/4,5მკგ/დოზა 60 დოზა დოზირებული საინჰალაციო ფხვნილი ინჰალატორი №1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4B4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037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დასრულდა ბაზრის კვლევა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8CA50" w14:textId="77777777" w:rsidR="004D4EF3" w:rsidRPr="004D4EF3" w:rsidRDefault="004D4EF3" w:rsidP="004D4EF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4D4EF3" w:rsidRPr="004D4EF3" w14:paraId="22996D0B" w14:textId="77777777" w:rsidTr="004D4EF3">
        <w:trPr>
          <w:trHeight w:val="9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8A6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80A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333333"/>
                <w:sz w:val="16"/>
                <w:szCs w:val="16"/>
              </w:rPr>
            </w:pPr>
            <w:r w:rsidRPr="004D4EF3">
              <w:rPr>
                <w:rFonts w:ascii="Sylfaen" w:eastAsia="Times New Roman" w:hAnsi="Sylfaen" w:cs="Calibri"/>
                <w:color w:val="333333"/>
                <w:sz w:val="16"/>
                <w:szCs w:val="16"/>
              </w:rPr>
              <w:t>Budesonide, Formoterol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899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80მკგ/4,5მკგ/დოზა 60 დოზა დოზირებული საინჰალაციო ფხვნილი ინჰალატორი №1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660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F90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დასრულდა ბაზრის კვლევა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F5D41" w14:textId="77777777" w:rsidR="004D4EF3" w:rsidRPr="004D4EF3" w:rsidRDefault="004D4EF3" w:rsidP="004D4EF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</w:tbl>
    <w:p w14:paraId="5FD7BBA6" w14:textId="166895C3" w:rsidR="0049547B" w:rsidRDefault="0049547B" w:rsidP="00073B8D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5B5EA87A" w14:textId="77777777" w:rsidR="0030446E" w:rsidRDefault="0030446E" w:rsidP="0030446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სააგენტოს ინფორმაციით, </w:t>
      </w:r>
      <w:r>
        <w:rPr>
          <w:rFonts w:ascii="Sylfaen" w:hAnsi="Sylfaen"/>
        </w:rPr>
        <w:t xml:space="preserve">2018 </w:t>
      </w:r>
      <w:r>
        <w:rPr>
          <w:rFonts w:ascii="Sylfaen" w:hAnsi="Sylfaen"/>
          <w:lang w:val="ka-GE"/>
        </w:rPr>
        <w:t xml:space="preserve">წლის საბიუჯეტო ასიგნებათა ფარგლებში გამოცხადებული/გამოსაცხადებელი ყველა ელექტრონული ტენდერის დადებითი შედეგით დასრულების შემთხვევაში, პროგრამის ფარგლებში გასაწევი მაქსიმალური ხარჯი იქნება </w:t>
      </w:r>
      <w:r w:rsidRPr="00CC795A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 xml:space="preserve"> </w:t>
      </w:r>
      <w:r w:rsidRPr="00CC795A">
        <w:rPr>
          <w:rFonts w:ascii="Sylfaen" w:hAnsi="Sylfaen"/>
          <w:lang w:val="ka-GE"/>
        </w:rPr>
        <w:t>577</w:t>
      </w:r>
      <w:r>
        <w:rPr>
          <w:rFonts w:ascii="Sylfaen" w:hAnsi="Sylfaen"/>
          <w:lang w:val="ka-GE"/>
        </w:rPr>
        <w:t xml:space="preserve"> </w:t>
      </w:r>
      <w:r w:rsidRPr="00CC795A">
        <w:rPr>
          <w:rFonts w:ascii="Sylfaen" w:hAnsi="Sylfaen"/>
          <w:lang w:val="ka-GE"/>
        </w:rPr>
        <w:t>346</w:t>
      </w:r>
      <w:r>
        <w:rPr>
          <w:rFonts w:ascii="Sylfaen" w:hAnsi="Sylfaen"/>
          <w:lang w:val="ka-GE"/>
        </w:rPr>
        <w:t xml:space="preserve"> ლარი.</w:t>
      </w:r>
    </w:p>
    <w:p w14:paraId="1125DECB" w14:textId="70F3FDDB" w:rsidR="0030446E" w:rsidRDefault="0030446E" w:rsidP="0030446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6F2EB112" w14:textId="77777777" w:rsidR="0030446E" w:rsidRDefault="0030446E" w:rsidP="0030446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7B84A5E" w14:textId="0856D258" w:rsidR="00986FD5" w:rsidRDefault="0030446E" w:rsidP="0030446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შეხვედრაზე </w:t>
      </w:r>
      <w:r w:rsidR="00AD4F78">
        <w:rPr>
          <w:rFonts w:ascii="Sylfaen" w:hAnsi="Sylfaen"/>
          <w:lang w:val="ka-GE"/>
        </w:rPr>
        <w:t>გაიმართა მსჯელობა შესასყიდი მედიკამენტების რაოდენობებთან დაკავშირებით. გამოთქმული მოსაზრებებით, მიზანშეწონილია მთლიანად იქნას დაფარული ცალკეული მიმართულებები, მაგალი</w:t>
      </w:r>
      <w:r w:rsidR="00AE75BA">
        <w:rPr>
          <w:rFonts w:ascii="Sylfaen" w:hAnsi="Sylfaen"/>
          <w:lang w:val="ka-GE"/>
        </w:rPr>
        <w:t>თ</w:t>
      </w:r>
      <w:r w:rsidR="00AD4F78">
        <w:rPr>
          <w:rFonts w:ascii="Sylfaen" w:hAnsi="Sylfaen"/>
          <w:lang w:val="ka-GE"/>
        </w:rPr>
        <w:t>ად</w:t>
      </w:r>
      <w:r w:rsidR="00AE75BA">
        <w:rPr>
          <w:rFonts w:ascii="Sylfaen" w:hAnsi="Sylfaen"/>
          <w:lang w:val="ka-GE"/>
        </w:rPr>
        <w:t>,</w:t>
      </w:r>
      <w:r w:rsidR="00AD4F78">
        <w:rPr>
          <w:rFonts w:ascii="Sylfaen" w:hAnsi="Sylfaen"/>
          <w:lang w:val="ka-GE"/>
        </w:rPr>
        <w:t xml:space="preserve"> გულ-სისხლძარღვთა ფარგლებში </w:t>
      </w:r>
      <w:r w:rsidR="00AD4F78">
        <w:rPr>
          <w:rFonts w:ascii="Sylfaen" w:hAnsi="Sylfaen"/>
          <w:lang w:val="ka-GE"/>
        </w:rPr>
        <w:lastRenderedPageBreak/>
        <w:t>არტერიული ჰიპერტენზია, ასევე</w:t>
      </w:r>
      <w:r w:rsidR="00AE75BA">
        <w:rPr>
          <w:rFonts w:ascii="Sylfaen" w:hAnsi="Sylfaen"/>
          <w:lang w:val="ka-GE"/>
        </w:rPr>
        <w:t>,</w:t>
      </w:r>
      <w:r w:rsidR="00AD4F78">
        <w:rPr>
          <w:rFonts w:ascii="Sylfaen" w:hAnsi="Sylfaen"/>
          <w:lang w:val="ka-GE"/>
        </w:rPr>
        <w:t xml:space="preserve"> ნევროლოგიური მიმართულებით პარკინსონისა და ეპილეფსიის მკურნალობა. შესაბამისად, უმჯობესია, ეტაპობრივად დავიწყოთ მედიკამენტების შესაყიდი რაოდენობების ზრდა.  </w:t>
      </w:r>
      <w:r>
        <w:rPr>
          <w:rFonts w:ascii="Sylfaen" w:hAnsi="Sylfaen"/>
          <w:lang w:val="ka-GE"/>
        </w:rPr>
        <w:t xml:space="preserve">კერძოდ, </w:t>
      </w:r>
      <w:r w:rsidR="00AD4F78">
        <w:rPr>
          <w:rFonts w:ascii="Sylfaen" w:hAnsi="Sylfaen"/>
          <w:lang w:val="ka-GE"/>
        </w:rPr>
        <w:t xml:space="preserve">მიღებულ იქნა გადაწყვეტილება </w:t>
      </w:r>
      <w:r>
        <w:rPr>
          <w:rFonts w:ascii="Sylfaen" w:hAnsi="Sylfaen"/>
          <w:lang w:val="ka-GE"/>
        </w:rPr>
        <w:t>ახალ პოზიციებზე, მათ შორის გულ-სისხლძარღვთა მიმართულებით</w:t>
      </w:r>
      <w:r w:rsidR="00986FD5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 xml:space="preserve">3 მონო და 3 კომბინირებული </w:t>
      </w:r>
      <w:r w:rsidR="00986FD5">
        <w:rPr>
          <w:rFonts w:ascii="Sylfaen" w:hAnsi="Sylfaen"/>
          <w:lang w:val="ka-GE"/>
        </w:rPr>
        <w:t xml:space="preserve">პრეპარატის, ასევე </w:t>
      </w:r>
      <w:r w:rsidR="00986FD5" w:rsidRPr="004D4EF3">
        <w:rPr>
          <w:rFonts w:ascii="Sylfaen" w:hAnsi="Sylfaen"/>
          <w:lang w:val="ka-GE"/>
        </w:rPr>
        <w:t>აცეტილსალიცილის მჟავა+მაგნიუმის ჰიდროქსიდი</w:t>
      </w:r>
      <w:r w:rsidR="00986FD5">
        <w:rPr>
          <w:rFonts w:ascii="Sylfaen" w:hAnsi="Sylfaen"/>
          <w:lang w:val="ka-GE"/>
        </w:rPr>
        <w:t>ს  შესყიდვა) და ნევროლოგიური მიმართულებით  შესასყიდი მედიკამენტების რაოდენობა</w:t>
      </w:r>
      <w:r w:rsidR="00AD4F78">
        <w:rPr>
          <w:rFonts w:ascii="Sylfaen" w:hAnsi="Sylfaen"/>
          <w:lang w:val="ka-GE"/>
        </w:rPr>
        <w:t xml:space="preserve">, დაგეგმილი 30%-ის ნაცვლად, </w:t>
      </w:r>
      <w:r w:rsidR="00986FD5">
        <w:rPr>
          <w:rFonts w:ascii="Sylfaen" w:hAnsi="Sylfaen"/>
          <w:lang w:val="ka-GE"/>
        </w:rPr>
        <w:t>განისაზღვროს წლიური რეალიზაციის 45%-ით</w:t>
      </w:r>
      <w:r w:rsidR="00AD4F78">
        <w:rPr>
          <w:rFonts w:ascii="Sylfaen" w:hAnsi="Sylfaen"/>
          <w:lang w:val="ka-GE"/>
        </w:rPr>
        <w:t>.</w:t>
      </w:r>
      <w:r w:rsidR="00986FD5">
        <w:rPr>
          <w:rFonts w:ascii="Sylfaen" w:hAnsi="Sylfaen"/>
          <w:lang w:val="ka-GE"/>
        </w:rPr>
        <w:t xml:space="preserve"> </w:t>
      </w:r>
    </w:p>
    <w:p w14:paraId="07C3E8D8" w14:textId="77777777" w:rsidR="00986FD5" w:rsidRDefault="00986FD5" w:rsidP="0030446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D4BE5BD" w14:textId="2CD8E473" w:rsidR="0030446E" w:rsidRDefault="0030446E" w:rsidP="0030446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</w:t>
      </w:r>
      <w:r w:rsidRPr="004D2E9F">
        <w:rPr>
          <w:rFonts w:ascii="Sylfaen" w:hAnsi="Sylfaen"/>
          <w:lang w:val="ka-GE"/>
        </w:rPr>
        <w:t>ფარმაცევტული პროდუქტის შესყიდვის მოცულობ</w:t>
      </w:r>
      <w:r>
        <w:rPr>
          <w:rFonts w:ascii="Sylfaen" w:hAnsi="Sylfaen"/>
          <w:lang w:val="ka-GE"/>
        </w:rPr>
        <w:t>ა</w:t>
      </w:r>
      <w:r w:rsidRPr="004D2E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(გარდა 23 მედიკამენტისა), გაიზრდება</w:t>
      </w:r>
      <w:r w:rsidRPr="004D2E9F">
        <w:rPr>
          <w:rFonts w:ascii="Sylfaen" w:hAnsi="Sylfaen"/>
          <w:lang w:val="ka-GE"/>
        </w:rPr>
        <w:t xml:space="preserve"> 30%</w:t>
      </w:r>
      <w:r>
        <w:rPr>
          <w:rFonts w:ascii="Sylfaen" w:hAnsi="Sylfaen"/>
          <w:lang w:val="ka-GE"/>
        </w:rPr>
        <w:t xml:space="preserve">-დან </w:t>
      </w:r>
      <w:r w:rsidRPr="004D2E9F">
        <w:rPr>
          <w:rFonts w:ascii="Sylfaen" w:hAnsi="Sylfaen"/>
          <w:lang w:val="ka-GE"/>
        </w:rPr>
        <w:t>45%</w:t>
      </w:r>
      <w:r>
        <w:rPr>
          <w:rFonts w:ascii="Sylfaen" w:hAnsi="Sylfaen"/>
          <w:lang w:val="ka-GE"/>
        </w:rPr>
        <w:t xml:space="preserve">-მდე, პროგრამის ფარგლებში გასაწევი ხარჯი იქნება </w:t>
      </w:r>
      <w:r>
        <w:rPr>
          <w:rFonts w:ascii="Sylfaen" w:hAnsi="Sylfaen"/>
        </w:rPr>
        <w:t xml:space="preserve"> </w:t>
      </w:r>
      <w:r w:rsidR="00A104C1" w:rsidRPr="005B6471">
        <w:rPr>
          <w:rFonts w:ascii="Sylfaen" w:hAnsi="Sylfaen"/>
          <w:b/>
          <w:i/>
          <w:lang w:val="ka-GE"/>
        </w:rPr>
        <w:t xml:space="preserve">2 302 032 </w:t>
      </w:r>
      <w:r>
        <w:rPr>
          <w:rFonts w:ascii="Sylfaen" w:hAnsi="Sylfaen"/>
          <w:lang w:val="ka-GE"/>
        </w:rPr>
        <w:t>ლარი:</w:t>
      </w:r>
    </w:p>
    <w:p w14:paraId="13B97A93" w14:textId="1BFE561C" w:rsidR="0030446E" w:rsidRPr="005B6471" w:rsidRDefault="0030446E" w:rsidP="0030446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B6471">
        <w:rPr>
          <w:rFonts w:ascii="Sylfaen" w:hAnsi="Sylfaen"/>
          <w:lang w:val="ka-GE"/>
        </w:rPr>
        <w:t>561</w:t>
      </w:r>
      <w:r>
        <w:rPr>
          <w:rFonts w:ascii="Sylfaen" w:hAnsi="Sylfaen"/>
        </w:rPr>
        <w:t xml:space="preserve"> </w:t>
      </w:r>
      <w:r w:rsidRPr="005B6471">
        <w:rPr>
          <w:rFonts w:ascii="Sylfaen" w:hAnsi="Sylfaen"/>
          <w:lang w:val="ka-GE"/>
        </w:rPr>
        <w:t xml:space="preserve">339.5 </w:t>
      </w:r>
      <w:r w:rsidR="00986FD5">
        <w:rPr>
          <w:rFonts w:ascii="Sylfaen" w:hAnsi="Sylfaen"/>
          <w:lang w:val="ka-GE"/>
        </w:rPr>
        <w:t>ლარი +</w:t>
      </w:r>
      <w:r w:rsidR="00986FD5" w:rsidRPr="005B6471">
        <w:rPr>
          <w:rFonts w:ascii="Sylfaen" w:hAnsi="Sylfaen"/>
          <w:lang w:val="ka-GE"/>
        </w:rPr>
        <w:t>725 653</w:t>
      </w:r>
      <w:r w:rsidR="00986FD5">
        <w:rPr>
          <w:rFonts w:ascii="Sylfaen" w:hAnsi="Sylfaen"/>
          <w:lang w:val="ka-GE"/>
        </w:rPr>
        <w:t xml:space="preserve"> </w:t>
      </w:r>
      <w:r w:rsidRPr="005B6471">
        <w:rPr>
          <w:rFonts w:ascii="Sylfaen" w:hAnsi="Sylfaen"/>
          <w:lang w:val="ka-GE"/>
        </w:rPr>
        <w:t xml:space="preserve">ლარი - </w:t>
      </w:r>
      <w:r w:rsidR="00986FD5">
        <w:rPr>
          <w:rFonts w:ascii="Sylfaen" w:hAnsi="Sylfaen"/>
          <w:lang w:val="ka-GE"/>
        </w:rPr>
        <w:t xml:space="preserve">გულ-სისხლძარღვთა მიმართულება </w:t>
      </w:r>
    </w:p>
    <w:p w14:paraId="4DA01711" w14:textId="791A9803" w:rsidR="0030446E" w:rsidRPr="005B6471" w:rsidRDefault="0030446E" w:rsidP="0030446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B6471">
        <w:rPr>
          <w:rFonts w:ascii="Sylfaen" w:hAnsi="Sylfaen"/>
          <w:lang w:val="ka-GE"/>
        </w:rPr>
        <w:t xml:space="preserve">1 015 039.5 ლარი - </w:t>
      </w:r>
      <w:r w:rsidR="00986FD5">
        <w:rPr>
          <w:rFonts w:ascii="Sylfaen" w:hAnsi="Sylfaen"/>
          <w:lang w:val="ka-GE"/>
        </w:rPr>
        <w:t>ნევროლოგიური მიმართულება</w:t>
      </w:r>
    </w:p>
    <w:p w14:paraId="0AA2768D" w14:textId="77777777" w:rsidR="00986FD5" w:rsidRDefault="00986FD5" w:rsidP="0030446E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</w:p>
    <w:p w14:paraId="084807AB" w14:textId="1034EFF8" w:rsidR="0030446E" w:rsidRPr="005B6471" w:rsidRDefault="0030446E" w:rsidP="00A104C1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5B6471">
        <w:rPr>
          <w:rFonts w:ascii="Sylfaen" w:hAnsi="Sylfaen"/>
          <w:b/>
          <w:i/>
          <w:lang w:val="ka-GE"/>
        </w:rPr>
        <w:t xml:space="preserve">ჯამურად: </w:t>
      </w:r>
      <w:r w:rsidR="00A104C1" w:rsidRPr="00A104C1">
        <w:rPr>
          <w:rFonts w:ascii="Sylfaen" w:hAnsi="Sylfaen"/>
          <w:b/>
          <w:i/>
          <w:lang w:val="ka-GE"/>
        </w:rPr>
        <w:t>8 879 378</w:t>
      </w:r>
      <w:r w:rsidR="00A104C1">
        <w:rPr>
          <w:rFonts w:ascii="Sylfaen" w:hAnsi="Sylfaen"/>
          <w:lang w:val="ka-GE"/>
        </w:rPr>
        <w:t xml:space="preserve"> </w:t>
      </w:r>
      <w:r w:rsidRPr="005B6471">
        <w:rPr>
          <w:rFonts w:ascii="Sylfaen" w:hAnsi="Sylfaen"/>
          <w:b/>
          <w:i/>
          <w:lang w:val="ka-GE"/>
        </w:rPr>
        <w:t>ლარი</w:t>
      </w:r>
      <w:r w:rsidR="00A104C1">
        <w:rPr>
          <w:rFonts w:ascii="Sylfaen" w:hAnsi="Sylfaen"/>
          <w:b/>
          <w:i/>
          <w:lang w:val="ka-GE"/>
        </w:rPr>
        <w:t xml:space="preserve"> (=</w:t>
      </w:r>
      <w:r w:rsidR="00A104C1" w:rsidRPr="00A104C1">
        <w:rPr>
          <w:rFonts w:ascii="Sylfaen" w:hAnsi="Sylfaen"/>
          <w:b/>
          <w:i/>
          <w:lang w:val="ka-GE"/>
        </w:rPr>
        <w:t>6 577 346+</w:t>
      </w:r>
      <w:r w:rsidR="00A104C1" w:rsidRPr="005B6471">
        <w:rPr>
          <w:rFonts w:ascii="Sylfaen" w:hAnsi="Sylfaen"/>
          <w:b/>
          <w:i/>
          <w:lang w:val="ka-GE"/>
        </w:rPr>
        <w:t>2 302 032</w:t>
      </w:r>
      <w:r w:rsidR="00A104C1">
        <w:rPr>
          <w:rFonts w:ascii="Sylfaen" w:hAnsi="Sylfaen"/>
          <w:b/>
          <w:i/>
          <w:lang w:val="ka-GE"/>
        </w:rPr>
        <w:t>)</w:t>
      </w:r>
    </w:p>
    <w:p w14:paraId="7D10A9FC" w14:textId="7FDCE355" w:rsidR="00E3315E" w:rsidRDefault="00E3315E" w:rsidP="00986FD5">
      <w:pPr>
        <w:jc w:val="both"/>
        <w:rPr>
          <w:rFonts w:ascii="Sylfaen" w:hAnsi="Sylfaen"/>
          <w:b/>
          <w:lang w:val="ka-GE"/>
        </w:rPr>
      </w:pPr>
    </w:p>
    <w:p w14:paraId="0D7ABC77" w14:textId="6453C746" w:rsidR="00986FD5" w:rsidRDefault="00E3315E" w:rsidP="00986FD5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ზემოაღნიშნულის გათვალისწინებით, შესასყიდი მედიკამენტების რაოდენობები განისაზღვროს შემდეგი ცხრილების შესაბამისად:</w:t>
      </w:r>
    </w:p>
    <w:p w14:paraId="26FE67F2" w14:textId="26249423" w:rsidR="00986FD5" w:rsidRPr="00773448" w:rsidRDefault="00986FD5" w:rsidP="00986FD5">
      <w:pPr>
        <w:jc w:val="both"/>
        <w:rPr>
          <w:rFonts w:ascii="Sylfaen" w:hAnsi="Sylfaen" w:cs="Sylfaen"/>
          <w:lang w:val="ka-GE"/>
        </w:rPr>
      </w:pPr>
      <w:r w:rsidRPr="00773448">
        <w:rPr>
          <w:rFonts w:ascii="Sylfaen" w:hAnsi="Sylfaen"/>
          <w:b/>
          <w:lang w:val="ka-GE"/>
        </w:rPr>
        <w:t>გულ-სისხლძარღვთა მიმართულებ</w:t>
      </w:r>
      <w:r w:rsidR="00E3315E">
        <w:rPr>
          <w:rFonts w:ascii="Sylfaen" w:hAnsi="Sylfaen"/>
          <w:b/>
          <w:lang w:val="ka-GE"/>
        </w:rPr>
        <w:t>ა</w:t>
      </w:r>
    </w:p>
    <w:tbl>
      <w:tblPr>
        <w:tblpPr w:leftFromText="180" w:rightFromText="180" w:vertAnchor="text" w:horzAnchor="margin" w:tblpXSpec="center" w:tblpY="416"/>
        <w:tblW w:w="13405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560"/>
        <w:gridCol w:w="1984"/>
        <w:gridCol w:w="1418"/>
        <w:gridCol w:w="2503"/>
        <w:gridCol w:w="2430"/>
      </w:tblGrid>
      <w:tr w:rsidR="00986FD5" w:rsidRPr="00EF167E" w14:paraId="50C5E475" w14:textId="77777777" w:rsidTr="00660FDF">
        <w:trPr>
          <w:trHeight w:val="17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0D55" w14:textId="77777777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Sylfaen"/>
                <w:b/>
                <w:bCs/>
                <w:color w:val="000000"/>
                <w:sz w:val="15"/>
                <w:szCs w:val="15"/>
              </w:rPr>
              <w:t>კლასი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6A17" w14:textId="77777777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Sylfaen"/>
                <w:b/>
                <w:bCs/>
                <w:color w:val="000000"/>
                <w:sz w:val="15"/>
                <w:szCs w:val="15"/>
              </w:rPr>
              <w:t>ჯენერიული</w:t>
            </w: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EF167E">
              <w:rPr>
                <w:rFonts w:ascii="Sylfaen" w:eastAsia="Times New Roman" w:hAnsi="Sylfaen" w:cs="Sylfaen"/>
                <w:b/>
                <w:bCs/>
                <w:color w:val="000000"/>
                <w:sz w:val="15"/>
                <w:szCs w:val="15"/>
              </w:rPr>
              <w:t>დასახელება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EA11" w14:textId="77777777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Sylfaen"/>
                <w:b/>
                <w:bCs/>
                <w:color w:val="000000"/>
                <w:sz w:val="15"/>
                <w:szCs w:val="15"/>
              </w:rPr>
              <w:t>დოზა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A75BA" w14:textId="1E3066BB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Sylfaen"/>
                <w:b/>
                <w:bCs/>
                <w:color w:val="000000"/>
                <w:sz w:val="15"/>
                <w:szCs w:val="15"/>
              </w:rPr>
              <w:t>საშუალო</w:t>
            </w: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EF167E">
              <w:rPr>
                <w:rFonts w:ascii="Sylfaen" w:eastAsia="Times New Roman" w:hAnsi="Sylfaen" w:cs="Sylfaen"/>
                <w:b/>
                <w:bCs/>
                <w:color w:val="000000"/>
                <w:sz w:val="15"/>
                <w:szCs w:val="15"/>
              </w:rPr>
              <w:t>წლიური</w:t>
            </w: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EF167E">
              <w:rPr>
                <w:rFonts w:ascii="Sylfaen" w:eastAsia="Times New Roman" w:hAnsi="Sylfaen" w:cs="Sylfaen"/>
                <w:b/>
                <w:bCs/>
                <w:color w:val="000000"/>
                <w:sz w:val="15"/>
                <w:szCs w:val="15"/>
              </w:rPr>
              <w:t>თეორიული</w:t>
            </w: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EF167E">
              <w:rPr>
                <w:rFonts w:ascii="Sylfaen" w:eastAsia="Times New Roman" w:hAnsi="Sylfaen" w:cs="Sylfaen"/>
                <w:b/>
                <w:bCs/>
                <w:color w:val="000000"/>
                <w:sz w:val="15"/>
                <w:szCs w:val="15"/>
              </w:rPr>
              <w:t>რეალიზაცია</w:t>
            </w: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EF167E">
              <w:rPr>
                <w:rFonts w:ascii="Sylfaen" w:eastAsia="Times New Roman" w:hAnsi="Sylfaen" w:cs="Sylfaen"/>
                <w:b/>
                <w:bCs/>
                <w:color w:val="000000"/>
                <w:sz w:val="15"/>
                <w:szCs w:val="15"/>
              </w:rPr>
              <w:t>ტაბლეტი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3B76" w14:textId="0D4FDCF5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Sylfaen"/>
                <w:b/>
                <w:bCs/>
                <w:color w:val="000000"/>
                <w:sz w:val="15"/>
                <w:szCs w:val="15"/>
              </w:rPr>
              <w:t>ჩანაცვლების</w:t>
            </w: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EF167E">
              <w:rPr>
                <w:rFonts w:ascii="Sylfaen" w:eastAsia="Times New Roman" w:hAnsi="Sylfaen" w:cs="Sylfaen"/>
                <w:b/>
                <w:bCs/>
                <w:color w:val="000000"/>
                <w:sz w:val="15"/>
                <w:szCs w:val="15"/>
              </w:rPr>
              <w:t>პროცენტი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DE01" w14:textId="61612229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Sylfaen"/>
                <w:b/>
                <w:bCs/>
                <w:color w:val="000000"/>
                <w:sz w:val="15"/>
                <w:szCs w:val="15"/>
              </w:rPr>
              <w:t>საშუალო</w:t>
            </w: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EF167E">
              <w:rPr>
                <w:rFonts w:ascii="Sylfaen" w:eastAsia="Times New Roman" w:hAnsi="Sylfaen" w:cs="Sylfaen"/>
                <w:b/>
                <w:bCs/>
                <w:color w:val="000000"/>
                <w:sz w:val="15"/>
                <w:szCs w:val="15"/>
              </w:rPr>
              <w:t>წლიური</w:t>
            </w: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 xml:space="preserve">  </w:t>
            </w:r>
            <w:r w:rsidRPr="00EF167E">
              <w:rPr>
                <w:rFonts w:ascii="Sylfaen" w:eastAsia="Times New Roman" w:hAnsi="Sylfaen" w:cs="Sylfaen"/>
                <w:b/>
                <w:bCs/>
                <w:color w:val="000000"/>
                <w:sz w:val="15"/>
                <w:szCs w:val="15"/>
              </w:rPr>
              <w:t>თეორიული</w:t>
            </w: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EF167E">
              <w:rPr>
                <w:rFonts w:ascii="Sylfaen" w:eastAsia="Times New Roman" w:hAnsi="Sylfaen" w:cs="Sylfaen"/>
                <w:b/>
                <w:bCs/>
                <w:color w:val="000000"/>
                <w:sz w:val="15"/>
                <w:szCs w:val="15"/>
              </w:rPr>
              <w:t>რეალიზაცია</w:t>
            </w: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EF167E">
              <w:rPr>
                <w:rFonts w:ascii="Sylfaen" w:eastAsia="Times New Roman" w:hAnsi="Sylfaen" w:cs="Sylfaen"/>
                <w:b/>
                <w:bCs/>
                <w:color w:val="000000"/>
                <w:sz w:val="15"/>
                <w:szCs w:val="15"/>
              </w:rPr>
              <w:t>ტაბლეტში</w:t>
            </w: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 xml:space="preserve">  </w:t>
            </w:r>
            <w:r w:rsidRPr="00EF167E">
              <w:rPr>
                <w:rFonts w:ascii="Sylfaen" w:eastAsia="Times New Roman" w:hAnsi="Sylfaen" w:cs="Sylfaen"/>
                <w:b/>
                <w:bCs/>
                <w:color w:val="000000"/>
                <w:sz w:val="15"/>
                <w:szCs w:val="15"/>
              </w:rPr>
              <w:t>ჩანაცლების</w:t>
            </w: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EF167E">
              <w:rPr>
                <w:rFonts w:ascii="Sylfaen" w:eastAsia="Times New Roman" w:hAnsi="Sylfaen" w:cs="Sylfaen"/>
                <w:b/>
                <w:bCs/>
                <w:color w:val="000000"/>
                <w:sz w:val="15"/>
                <w:szCs w:val="15"/>
              </w:rPr>
              <w:t>პროცენტის</w:t>
            </w: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EF167E">
              <w:rPr>
                <w:rFonts w:ascii="Sylfaen" w:eastAsia="Times New Roman" w:hAnsi="Sylfaen" w:cs="Sylfaen"/>
                <w:b/>
                <w:bCs/>
                <w:color w:val="000000"/>
                <w:sz w:val="15"/>
                <w:szCs w:val="15"/>
              </w:rPr>
              <w:t>გათვალისწინებით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B8C9" w14:textId="4F685034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  <w:lang w:val="ka-GE"/>
              </w:rPr>
            </w:pPr>
            <w:r w:rsidRPr="00EF167E">
              <w:rPr>
                <w:rFonts w:ascii="Sylfaen" w:eastAsia="Times New Roman" w:hAnsi="Sylfaen" w:cs="Sylfaen"/>
                <w:b/>
                <w:bCs/>
                <w:color w:val="000000"/>
                <w:sz w:val="15"/>
                <w:szCs w:val="15"/>
              </w:rPr>
              <w:t>საშუალო</w:t>
            </w: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EF167E">
              <w:rPr>
                <w:rFonts w:ascii="Sylfaen" w:eastAsia="Times New Roman" w:hAnsi="Sylfaen" w:cs="Sylfaen"/>
                <w:b/>
                <w:bCs/>
                <w:color w:val="000000"/>
                <w:sz w:val="15"/>
                <w:szCs w:val="15"/>
              </w:rPr>
              <w:t>წლიური</w:t>
            </w: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 xml:space="preserve">  </w:t>
            </w:r>
            <w:r w:rsidRPr="00EF167E">
              <w:rPr>
                <w:rFonts w:ascii="Sylfaen" w:eastAsia="Times New Roman" w:hAnsi="Sylfaen" w:cs="Sylfaen"/>
                <w:b/>
                <w:bCs/>
                <w:color w:val="000000"/>
                <w:sz w:val="15"/>
                <w:szCs w:val="15"/>
              </w:rPr>
              <w:t>თეორიული</w:t>
            </w: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EF167E">
              <w:rPr>
                <w:rFonts w:ascii="Sylfaen" w:eastAsia="Times New Roman" w:hAnsi="Sylfaen" w:cs="Sylfaen"/>
                <w:b/>
                <w:bCs/>
                <w:color w:val="000000"/>
                <w:sz w:val="15"/>
                <w:szCs w:val="15"/>
              </w:rPr>
              <w:t>რეალიზაცია</w:t>
            </w: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EF167E">
              <w:rPr>
                <w:rFonts w:ascii="Sylfaen" w:eastAsia="Times New Roman" w:hAnsi="Sylfaen" w:cs="Sylfaen"/>
                <w:b/>
                <w:bCs/>
                <w:color w:val="000000"/>
                <w:sz w:val="15"/>
                <w:szCs w:val="15"/>
              </w:rPr>
              <w:t>ტაბლეტში</w:t>
            </w:r>
          </w:p>
          <w:p w14:paraId="02F6CA92" w14:textId="6FD9CC8E" w:rsidR="00986FD5" w:rsidRPr="00EF167E" w:rsidRDefault="00E3315E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  <w:lang w:val="ka-GE"/>
              </w:rPr>
              <w:t>45</w:t>
            </w:r>
            <w:r w:rsidR="00986FD5"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>%</w:t>
            </w:r>
          </w:p>
        </w:tc>
      </w:tr>
      <w:tr w:rsidR="00986FD5" w:rsidRPr="00EF167E" w14:paraId="1CDC4796" w14:textId="77777777" w:rsidTr="00660FDF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36CB" w14:textId="77777777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აგფ</w:t>
            </w: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 xml:space="preserve"> </w:t>
            </w:r>
            <w:r w:rsidRPr="00EF167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ინჰიბიტორები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F5DF" w14:textId="77777777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Perindopril/Amlodipine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239B" w14:textId="77777777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 xml:space="preserve">4mg/5mg </w:t>
            </w:r>
            <w:r w:rsidRPr="00EF167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და</w:t>
            </w: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 xml:space="preserve">  5mg/5mg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7E8F8" w14:textId="5C2E0BED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3 203 802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14F01" w14:textId="41739FB5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0BC32" w14:textId="47DE2F7F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1 922 281,20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0940C" w14:textId="26975EF7" w:rsidR="00986FD5" w:rsidRPr="00EF167E" w:rsidRDefault="00986FD5" w:rsidP="00C03F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  <w:lang w:val="ka-GE"/>
              </w:rPr>
              <w:t>865 02</w:t>
            </w:r>
            <w:r w:rsidR="00C03FDF"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6</w:t>
            </w:r>
          </w:p>
        </w:tc>
      </w:tr>
      <w:tr w:rsidR="00986FD5" w:rsidRPr="00EF167E" w14:paraId="3C9D6E83" w14:textId="77777777" w:rsidTr="00660FDF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F3F3" w14:textId="3727F9F1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7C6E" w14:textId="77777777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Perindopril/Amlodipine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68EC" w14:textId="77777777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 xml:space="preserve">8mg/10mg </w:t>
            </w:r>
            <w:r w:rsidRPr="00EF167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და</w:t>
            </w: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 xml:space="preserve">  10mg/10mg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CDB03" w14:textId="59B2BF65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3 977 280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ABB2F" w14:textId="02172A2F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BE3A7" w14:textId="744F2BE9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2 386 368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92E99" w14:textId="782215D9" w:rsidR="00986FD5" w:rsidRPr="00EF167E" w:rsidRDefault="00986FD5" w:rsidP="00E603A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  <w:lang w:val="ka-GE"/>
              </w:rPr>
              <w:t>1 073 86</w:t>
            </w:r>
            <w:r w:rsidR="00E603A5"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5</w:t>
            </w:r>
          </w:p>
        </w:tc>
      </w:tr>
      <w:tr w:rsidR="00986FD5" w:rsidRPr="00EF167E" w14:paraId="44A449CC" w14:textId="77777777" w:rsidTr="00660FDF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63A3" w14:textId="77777777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აგფ</w:t>
            </w: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 xml:space="preserve"> </w:t>
            </w:r>
            <w:r w:rsidRPr="00EF167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ინჰიბიტორები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726E" w14:textId="77777777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>Perindopril/Indapamide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B682" w14:textId="77777777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>4mg/1.25mg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C7D2E" w14:textId="1FEBA6EA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>5 197 905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B3389" w14:textId="7891D4C8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50934" w14:textId="596123E5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3 118 743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EE215" w14:textId="4C8BDEC3" w:rsidR="00986FD5" w:rsidRPr="00EF167E" w:rsidRDefault="00986FD5" w:rsidP="0088106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  <w:lang w:val="ka-GE"/>
              </w:rPr>
              <w:t>1 403 43</w:t>
            </w:r>
            <w:r w:rsidR="00881068"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5</w:t>
            </w:r>
          </w:p>
        </w:tc>
      </w:tr>
      <w:tr w:rsidR="00986FD5" w:rsidRPr="00EF167E" w14:paraId="644F8A4E" w14:textId="77777777" w:rsidTr="00660FDF">
        <w:trPr>
          <w:trHeight w:val="90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EED9" w14:textId="77777777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აგფ</w:t>
            </w: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 xml:space="preserve"> </w:t>
            </w:r>
            <w:r w:rsidRPr="00EF167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ინჰიბიტორები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EF93" w14:textId="77777777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>Losartan/Hydrochlorothiazide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8DE1" w14:textId="77777777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>50mg/12.5mg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0C26A" w14:textId="3AEB07FF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>8 006 267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0F88" w14:textId="0FAB7569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C8FF" w14:textId="5CAD8184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4 803 760,26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77E8" w14:textId="10E4957C" w:rsidR="00DB468C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2 161 692</w:t>
            </w:r>
            <w:r w:rsidR="00DB468C"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 xml:space="preserve"> (</w:t>
            </w:r>
            <w:r w:rsidR="00EF167E"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  <w:lang w:val="ka-GE"/>
              </w:rPr>
              <w:t xml:space="preserve">მ. შ. </w:t>
            </w:r>
            <w:r w:rsidR="00DB468C"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 xml:space="preserve">დამატებითი 15% - </w:t>
            </w:r>
          </w:p>
          <w:p w14:paraId="3F02AA64" w14:textId="3CC76572" w:rsidR="00986FD5" w:rsidRPr="00EF167E" w:rsidRDefault="00DB468C" w:rsidP="00BD6526">
            <w:pPr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720</w:t>
            </w:r>
            <w:r w:rsidR="00BD6526"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  <w:lang w:val="ka-GE"/>
              </w:rPr>
              <w:t xml:space="preserve"> </w:t>
            </w: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564)</w:t>
            </w:r>
          </w:p>
        </w:tc>
      </w:tr>
      <w:tr w:rsidR="00986FD5" w:rsidRPr="00EF167E" w14:paraId="2D4EAEDF" w14:textId="77777777" w:rsidTr="00660FDF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B338" w14:textId="77777777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lastRenderedPageBreak/>
              <w:t>ბეტა</w:t>
            </w: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 xml:space="preserve"> </w:t>
            </w:r>
            <w:r w:rsidRPr="00EF167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ბლოკერები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3FDE" w14:textId="77777777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>Bisoprolol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D6EF" w14:textId="77777777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>5mg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D338A" w14:textId="4D3D4855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>27 523 788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F0F1F" w14:textId="430CBBDF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3F7E0" w14:textId="68786B7F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16 147 073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46A9C" w14:textId="26C85FE0" w:rsidR="00BD6526" w:rsidRPr="00EF167E" w:rsidRDefault="00E3315E" w:rsidP="00BD65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  <w:lang w:val="ka-GE"/>
              </w:rPr>
              <w:t>7 266 183</w:t>
            </w:r>
            <w:r w:rsidR="00BD6526"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  <w:lang w:val="ka-GE"/>
              </w:rPr>
              <w:t xml:space="preserve"> </w:t>
            </w:r>
            <w:r w:rsidR="00BD6526"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(</w:t>
            </w:r>
            <w:r w:rsidR="00660FDF"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  <w:lang w:val="ka-GE"/>
              </w:rPr>
              <w:t>მ. შ.</w:t>
            </w:r>
            <w:r w:rsidR="00660FDF">
              <w:rPr>
                <w:rFonts w:ascii="Sylfaen" w:eastAsia="Times New Roman" w:hAnsi="Sylfaen" w:cs="Calibri"/>
                <w:color w:val="000000"/>
                <w:sz w:val="15"/>
                <w:szCs w:val="15"/>
                <w:lang w:val="ka-GE"/>
              </w:rPr>
              <w:t xml:space="preserve"> </w:t>
            </w:r>
            <w:r w:rsidR="00BD6526"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 xml:space="preserve">დამატებითი 15% - </w:t>
            </w:r>
          </w:p>
          <w:p w14:paraId="5E98F728" w14:textId="3E1C36D2" w:rsidR="00986FD5" w:rsidRPr="00EF167E" w:rsidRDefault="00BD6526" w:rsidP="00BD65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  <w:lang w:val="ka-GE"/>
              </w:rPr>
              <w:t>2 422 061</w:t>
            </w: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)</w:t>
            </w:r>
          </w:p>
        </w:tc>
      </w:tr>
      <w:tr w:rsidR="00986FD5" w:rsidRPr="00EF167E" w14:paraId="63020AF9" w14:textId="77777777" w:rsidTr="00660FDF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65B9" w14:textId="77777777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ბეტა</w:t>
            </w: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 xml:space="preserve"> </w:t>
            </w:r>
            <w:r w:rsidRPr="00EF167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ბლოკერები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3356" w14:textId="77777777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>Nebivolol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4EDF" w14:textId="77777777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>5mg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A98AE" w14:textId="6619B6FA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>6 801 260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0129F" w14:textId="038D824B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71536" w14:textId="43BA93EB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4 410 593,40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F3C9C" w14:textId="1E330938" w:rsidR="00903EF1" w:rsidRPr="00EF167E" w:rsidRDefault="00E3315E" w:rsidP="00903E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  <w:lang w:val="ka-GE"/>
              </w:rPr>
              <w:t>1 984 767</w:t>
            </w:r>
            <w:r w:rsidR="00903EF1"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  <w:lang w:val="ka-GE"/>
              </w:rPr>
              <w:t xml:space="preserve"> </w:t>
            </w:r>
            <w:r w:rsidR="00903EF1"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(</w:t>
            </w:r>
            <w:r w:rsidR="00660FDF"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  <w:lang w:val="ka-GE"/>
              </w:rPr>
              <w:t>მ. შ.</w:t>
            </w:r>
            <w:r w:rsidR="00660FDF">
              <w:rPr>
                <w:rFonts w:ascii="Sylfaen" w:eastAsia="Times New Roman" w:hAnsi="Sylfaen" w:cs="Calibri"/>
                <w:color w:val="000000"/>
                <w:sz w:val="15"/>
                <w:szCs w:val="15"/>
                <w:lang w:val="ka-GE"/>
              </w:rPr>
              <w:t xml:space="preserve"> </w:t>
            </w:r>
            <w:r w:rsidR="00903EF1"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 xml:space="preserve">დამატებითი 15% - </w:t>
            </w:r>
          </w:p>
          <w:p w14:paraId="52D57BFA" w14:textId="6B983B3D" w:rsidR="00986FD5" w:rsidRPr="00EF167E" w:rsidRDefault="00903EF1" w:rsidP="00903E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  <w:lang w:val="ka-GE"/>
              </w:rPr>
              <w:t>661 589</w:t>
            </w: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)</w:t>
            </w: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  <w:lang w:val="ka-GE"/>
              </w:rPr>
              <w:t xml:space="preserve"> </w:t>
            </w:r>
          </w:p>
        </w:tc>
      </w:tr>
      <w:tr w:rsidR="00986FD5" w:rsidRPr="00EF167E" w14:paraId="20285197" w14:textId="77777777" w:rsidTr="00660FDF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D489" w14:textId="77777777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დიურეტიკები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830F" w14:textId="77777777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>Hydrochlorothiazide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9084" w14:textId="77777777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>25mg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20F63" w14:textId="3D15FCF3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b/>
                <w:bCs/>
                <w:color w:val="000000"/>
                <w:sz w:val="15"/>
                <w:szCs w:val="15"/>
              </w:rPr>
              <w:t>21 503 430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5377C" w14:textId="013B6220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30</w:t>
            </w: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E66D1" w14:textId="77D7F9C0" w:rsidR="00986FD5" w:rsidRPr="00EF167E" w:rsidRDefault="00986FD5" w:rsidP="007562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6 451 029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B2071" w14:textId="162B2985" w:rsidR="00986FD5" w:rsidRPr="00EF167E" w:rsidRDefault="00E3315E" w:rsidP="00EF167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  <w:lang w:val="ka-GE"/>
              </w:rPr>
              <w:t>2 902 96</w:t>
            </w:r>
            <w:r w:rsidR="00EF167E"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  <w:lang w:val="ka-GE"/>
              </w:rPr>
              <w:t>4</w:t>
            </w:r>
          </w:p>
        </w:tc>
      </w:tr>
    </w:tbl>
    <w:p w14:paraId="454616D5" w14:textId="13CE3001" w:rsidR="0036176A" w:rsidRDefault="0036176A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6814658F" w14:textId="71891EED" w:rsidR="00986FD5" w:rsidRDefault="00986FD5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34744D3B" w14:textId="6CC38FE5" w:rsidR="00986FD5" w:rsidRDefault="00986FD5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69CFB755" w14:textId="60B92DE4" w:rsidR="00986FD5" w:rsidRDefault="00986FD5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tbl>
      <w:tblPr>
        <w:tblpPr w:leftFromText="180" w:rightFromText="180" w:vertAnchor="text" w:horzAnchor="margin" w:tblpXSpec="center" w:tblpY="63"/>
        <w:tblW w:w="13320" w:type="dxa"/>
        <w:tblLayout w:type="fixed"/>
        <w:tblLook w:val="04A0" w:firstRow="1" w:lastRow="0" w:firstColumn="1" w:lastColumn="0" w:noHBand="0" w:noVBand="1"/>
      </w:tblPr>
      <w:tblGrid>
        <w:gridCol w:w="2919"/>
        <w:gridCol w:w="2529"/>
        <w:gridCol w:w="1297"/>
        <w:gridCol w:w="1605"/>
        <w:gridCol w:w="1674"/>
        <w:gridCol w:w="3296"/>
      </w:tblGrid>
      <w:tr w:rsidR="00E3315E" w:rsidRPr="007F23A7" w14:paraId="0957F7DA" w14:textId="77777777" w:rsidTr="007F23A7">
        <w:trPr>
          <w:trHeight w:val="1275"/>
        </w:trPr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A133" w14:textId="77777777" w:rsidR="00E3315E" w:rsidRPr="007F23A7" w:rsidRDefault="00E3315E" w:rsidP="007F23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F23A7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კლასი</w:t>
            </w:r>
          </w:p>
        </w:tc>
        <w:tc>
          <w:tcPr>
            <w:tcW w:w="2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178A" w14:textId="77777777" w:rsidR="00E3315E" w:rsidRPr="007F23A7" w:rsidRDefault="00E3315E" w:rsidP="007F23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F23A7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საერთაშორისო არაპატენტირებული დასახელება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E632" w14:textId="77777777" w:rsidR="00E3315E" w:rsidRPr="007F23A7" w:rsidRDefault="00E3315E" w:rsidP="007F23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F23A7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დოზა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D691" w14:textId="51EB928F" w:rsidR="00E3315E" w:rsidRPr="007F23A7" w:rsidRDefault="00E3315E" w:rsidP="007F23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F23A7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განზომილების ერთეული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760AE" w14:textId="77777777" w:rsidR="00E3315E" w:rsidRPr="007F23A7" w:rsidRDefault="00E3315E" w:rsidP="007F23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ka-GE"/>
              </w:rPr>
            </w:pPr>
            <w:r w:rsidRPr="007F23A7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ka-GE"/>
              </w:rPr>
              <w:t>საშუალო წლიური რეალიზაციის მაჩვენებელი (ტაბლეტი)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4AB2F" w14:textId="6F55BE17" w:rsidR="00E3315E" w:rsidRPr="007F23A7" w:rsidRDefault="00E3315E" w:rsidP="007F23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ka-GE"/>
              </w:rPr>
            </w:pPr>
            <w:r w:rsidRPr="007F23A7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ka-GE"/>
              </w:rPr>
              <w:t>რეალიზაციის 45% (ტაბლეტი)</w:t>
            </w:r>
          </w:p>
        </w:tc>
      </w:tr>
      <w:tr w:rsidR="00E3315E" w:rsidRPr="007F23A7" w14:paraId="27BD9565" w14:textId="77777777" w:rsidTr="007F23A7">
        <w:trPr>
          <w:trHeight w:val="825"/>
        </w:trPr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2E81" w14:textId="77777777" w:rsidR="00E3315E" w:rsidRPr="007F23A7" w:rsidRDefault="00E3315E" w:rsidP="007F23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F23A7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სისხლის</w:t>
            </w:r>
            <w:r w:rsidRPr="007F23A7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F23A7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შედედების</w:t>
            </w:r>
            <w:r w:rsidRPr="007F23A7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F23A7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სისტემაზე</w:t>
            </w:r>
            <w:r w:rsidRPr="007F23A7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F23A7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მოქმედი</w:t>
            </w:r>
            <w:r w:rsidRPr="007F23A7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F23A7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საშუალებები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C934" w14:textId="77777777" w:rsidR="00E3315E" w:rsidRPr="007F23A7" w:rsidRDefault="00E3315E" w:rsidP="007F23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F23A7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acetylsalicylic acid, magnesium hydroxide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AE86" w14:textId="77777777" w:rsidR="00E3315E" w:rsidRPr="007F23A7" w:rsidRDefault="00E3315E" w:rsidP="007F23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F23A7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75</w:t>
            </w:r>
            <w:r w:rsidRPr="007F23A7">
              <w:rPr>
                <w:rFonts w:ascii="Sylfaen" w:eastAsia="Times New Roman" w:hAnsi="Sylfaen" w:cs="Calibri"/>
                <w:sz w:val="16"/>
                <w:szCs w:val="16"/>
              </w:rPr>
              <w:t>mg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3454" w14:textId="77777777" w:rsidR="00E3315E" w:rsidRPr="007F23A7" w:rsidRDefault="00E3315E" w:rsidP="007F23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F23A7">
              <w:rPr>
                <w:rFonts w:ascii="Sylfaen" w:eastAsia="Times New Roman" w:hAnsi="Sylfaen" w:cs="Calibri"/>
                <w:sz w:val="16"/>
                <w:szCs w:val="16"/>
              </w:rPr>
              <w:t>ტაბლეტი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58B4" w14:textId="77777777" w:rsidR="00E3315E" w:rsidRPr="007F23A7" w:rsidRDefault="00E3315E" w:rsidP="007F23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ka-GE"/>
              </w:rPr>
            </w:pPr>
          </w:p>
          <w:p w14:paraId="311EB13B" w14:textId="77777777" w:rsidR="00E3315E" w:rsidRPr="007F23A7" w:rsidRDefault="00E3315E" w:rsidP="007F23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F23A7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46 703 500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1F4FC" w14:textId="77777777" w:rsidR="00E3315E" w:rsidRPr="007F23A7" w:rsidRDefault="00E3315E" w:rsidP="007F23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</w:p>
          <w:p w14:paraId="27E39223" w14:textId="5BA99ABB" w:rsidR="008A61B1" w:rsidRPr="00EF167E" w:rsidRDefault="00E3315E" w:rsidP="008A61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</w:pPr>
            <w:r w:rsidRPr="007F23A7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21 016 575</w:t>
            </w:r>
            <w:r w:rsidR="0062290C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 xml:space="preserve"> </w:t>
            </w:r>
          </w:p>
          <w:p w14:paraId="71A02523" w14:textId="204E8F37" w:rsidR="00E3315E" w:rsidRPr="007F23A7" w:rsidRDefault="008A61B1" w:rsidP="008A61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 xml:space="preserve">(მ. შ. </w:t>
            </w:r>
            <w:r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დამატებითი 15% -</w:t>
            </w:r>
            <w:r>
              <w:rPr>
                <w:rFonts w:ascii="Sylfaen" w:eastAsia="Times New Roman" w:hAnsi="Sylfaen" w:cs="Calibri"/>
                <w:color w:val="000000"/>
                <w:sz w:val="15"/>
                <w:szCs w:val="15"/>
                <w:lang w:val="ka-GE"/>
              </w:rPr>
              <w:t xml:space="preserve"> </w:t>
            </w:r>
            <w:r w:rsidRPr="008A61B1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7</w:t>
            </w:r>
            <w:r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 xml:space="preserve"> </w:t>
            </w:r>
            <w:r w:rsidRPr="008A61B1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005</w:t>
            </w:r>
            <w:r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 xml:space="preserve"> </w:t>
            </w:r>
            <w:r w:rsidRPr="008A61B1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525</w:t>
            </w:r>
            <w:r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)</w:t>
            </w:r>
          </w:p>
        </w:tc>
      </w:tr>
      <w:tr w:rsidR="00E3315E" w:rsidRPr="007F23A7" w14:paraId="7B3E67C5" w14:textId="77777777" w:rsidTr="007F23A7">
        <w:trPr>
          <w:trHeight w:val="825"/>
        </w:trPr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91571" w14:textId="77777777" w:rsidR="00E3315E" w:rsidRPr="007F23A7" w:rsidRDefault="00E3315E" w:rsidP="007F23A7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4A0B" w14:textId="77777777" w:rsidR="00E3315E" w:rsidRPr="007F23A7" w:rsidRDefault="00E3315E" w:rsidP="007F23A7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D7878" w14:textId="77777777" w:rsidR="00E3315E" w:rsidRPr="007F23A7" w:rsidRDefault="00E3315E" w:rsidP="007F23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F23A7">
              <w:rPr>
                <w:rFonts w:ascii="Sylfaen" w:eastAsia="Times New Roman" w:hAnsi="Sylfaen" w:cs="Calibri"/>
                <w:sz w:val="16"/>
                <w:szCs w:val="16"/>
              </w:rPr>
              <w:t>150mg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396F" w14:textId="77777777" w:rsidR="00E3315E" w:rsidRPr="007F23A7" w:rsidRDefault="00E3315E" w:rsidP="007F23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F26C0" w14:textId="77777777" w:rsidR="00E3315E" w:rsidRPr="007F23A7" w:rsidRDefault="00E3315E" w:rsidP="007F23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</w:p>
          <w:p w14:paraId="66DE5BE7" w14:textId="77777777" w:rsidR="00E3315E" w:rsidRPr="007F23A7" w:rsidRDefault="00E3315E" w:rsidP="007F23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F23A7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10 563 700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8AA0B" w14:textId="77777777" w:rsidR="00E3315E" w:rsidRPr="007F23A7" w:rsidRDefault="00E3315E" w:rsidP="007F23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</w:p>
          <w:p w14:paraId="5F20753C" w14:textId="0711D8DB" w:rsidR="00E3315E" w:rsidRPr="007F23A7" w:rsidRDefault="00E3315E" w:rsidP="007F23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ka-GE"/>
              </w:rPr>
            </w:pPr>
            <w:r w:rsidRPr="007F23A7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4 753 665</w:t>
            </w:r>
            <w:r w:rsidR="008A61B1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 xml:space="preserve"> (მ. შ. </w:t>
            </w:r>
            <w:r w:rsidR="008A61B1"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დამატებითი 15% -</w:t>
            </w:r>
            <w:r w:rsidR="008A61B1">
              <w:rPr>
                <w:rFonts w:ascii="Sylfaen" w:eastAsia="Times New Roman" w:hAnsi="Sylfaen" w:cs="Calibri"/>
                <w:color w:val="000000"/>
                <w:sz w:val="15"/>
                <w:szCs w:val="15"/>
                <w:lang w:val="ka-GE"/>
              </w:rPr>
              <w:t xml:space="preserve"> </w:t>
            </w:r>
            <w:r w:rsidR="009D54CF" w:rsidRPr="009D54CF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1</w:t>
            </w:r>
            <w:r w:rsidR="009D54CF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 xml:space="preserve"> </w:t>
            </w:r>
            <w:r w:rsidR="009D54CF" w:rsidRPr="009D54CF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584</w:t>
            </w:r>
            <w:r w:rsidR="009D54CF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 xml:space="preserve"> </w:t>
            </w:r>
            <w:r w:rsidR="009D54CF" w:rsidRPr="009D54CF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555</w:t>
            </w:r>
            <w:r w:rsidR="008A61B1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)</w:t>
            </w:r>
          </w:p>
        </w:tc>
      </w:tr>
    </w:tbl>
    <w:p w14:paraId="3B2260E4" w14:textId="77777777" w:rsidR="00986FD5" w:rsidRDefault="00986FD5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29500503" w14:textId="4FECF4B8" w:rsidR="00986FD5" w:rsidRDefault="00986FD5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2D6A89F0" w14:textId="560D666A" w:rsidR="00E3315E" w:rsidRDefault="00E3315E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773448">
        <w:rPr>
          <w:rFonts w:ascii="Sylfaen" w:hAnsi="Sylfaen"/>
          <w:b/>
          <w:lang w:val="ka-GE"/>
        </w:rPr>
        <w:t>პარკინსონის სამკურნალო მედიკამენტებ</w:t>
      </w:r>
      <w:r>
        <w:rPr>
          <w:rFonts w:ascii="Sylfaen" w:hAnsi="Sylfaen"/>
          <w:b/>
          <w:lang w:val="ka-GE"/>
        </w:rPr>
        <w:t>ი</w:t>
      </w:r>
    </w:p>
    <w:tbl>
      <w:tblPr>
        <w:tblW w:w="13410" w:type="dxa"/>
        <w:tblInd w:w="-5" w:type="dxa"/>
        <w:tblLook w:val="04A0" w:firstRow="1" w:lastRow="0" w:firstColumn="1" w:lastColumn="0" w:noHBand="0" w:noVBand="1"/>
      </w:tblPr>
      <w:tblGrid>
        <w:gridCol w:w="1999"/>
        <w:gridCol w:w="2529"/>
        <w:gridCol w:w="1405"/>
        <w:gridCol w:w="1742"/>
        <w:gridCol w:w="1481"/>
        <w:gridCol w:w="4254"/>
      </w:tblGrid>
      <w:tr w:rsidR="00E3315E" w:rsidRPr="00AE31AB" w14:paraId="52F7C899" w14:textId="77777777" w:rsidTr="00AE31AB">
        <w:trPr>
          <w:trHeight w:val="82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D94F4" w14:textId="77777777" w:rsidR="00E3315E" w:rsidRPr="00AE31AB" w:rsidRDefault="00E3315E" w:rsidP="00AE31AB">
            <w:pPr>
              <w:spacing w:after="0" w:line="240" w:lineRule="auto"/>
              <w:jc w:val="center"/>
              <w:rPr>
                <w:rFonts w:ascii="Sylfaen" w:hAnsi="Sylfaen" w:cs="Sylfaen"/>
                <w:color w:val="606366"/>
                <w:sz w:val="16"/>
                <w:szCs w:val="16"/>
              </w:rPr>
            </w:pPr>
            <w:r w:rsidRPr="00AE31AB">
              <w:rPr>
                <w:rFonts w:ascii="Sylfaen" w:hAnsi="Sylfaen" w:cs="Sylfaen"/>
                <w:color w:val="606366"/>
                <w:sz w:val="16"/>
                <w:szCs w:val="16"/>
              </w:rPr>
              <w:t>კლასი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82603" w14:textId="77777777" w:rsidR="00E3315E" w:rsidRPr="00AE31AB" w:rsidRDefault="00E3315E" w:rsidP="00AE31AB">
            <w:pPr>
              <w:spacing w:after="0" w:line="240" w:lineRule="auto"/>
              <w:jc w:val="center"/>
              <w:rPr>
                <w:rFonts w:ascii="Sylfaen" w:hAnsi="Sylfaen"/>
                <w:color w:val="34383D"/>
                <w:sz w:val="16"/>
                <w:szCs w:val="16"/>
              </w:rPr>
            </w:pPr>
            <w:r w:rsidRPr="00AE31AB">
              <w:rPr>
                <w:rFonts w:ascii="Sylfaen" w:hAnsi="Sylfaen" w:cs="Sylfaen"/>
                <w:color w:val="34383D"/>
                <w:sz w:val="16"/>
                <w:szCs w:val="16"/>
              </w:rPr>
              <w:t>საერთაშორისო</w:t>
            </w:r>
            <w:r w:rsidRPr="00AE31AB">
              <w:rPr>
                <w:rFonts w:ascii="Sylfaen" w:hAnsi="Sylfaen"/>
                <w:color w:val="34383D"/>
                <w:sz w:val="16"/>
                <w:szCs w:val="16"/>
              </w:rPr>
              <w:t xml:space="preserve"> </w:t>
            </w:r>
            <w:r w:rsidRPr="00AE31AB">
              <w:rPr>
                <w:rFonts w:ascii="Sylfaen" w:hAnsi="Sylfaen" w:cs="Sylfaen"/>
                <w:color w:val="34383D"/>
                <w:sz w:val="16"/>
                <w:szCs w:val="16"/>
              </w:rPr>
              <w:t>არაპატენტირებული</w:t>
            </w:r>
            <w:r w:rsidRPr="00AE31AB">
              <w:rPr>
                <w:rFonts w:ascii="Sylfaen" w:hAnsi="Sylfaen"/>
                <w:color w:val="34383D"/>
                <w:sz w:val="16"/>
                <w:szCs w:val="16"/>
              </w:rPr>
              <w:t xml:space="preserve"> </w:t>
            </w:r>
            <w:r w:rsidRPr="00AE31AB">
              <w:rPr>
                <w:rFonts w:ascii="Sylfaen" w:hAnsi="Sylfaen" w:cs="Sylfaen"/>
                <w:color w:val="34383D"/>
                <w:sz w:val="16"/>
                <w:szCs w:val="16"/>
              </w:rPr>
              <w:t>დასახელება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724F9" w14:textId="77777777" w:rsidR="00E3315E" w:rsidRPr="00AE31AB" w:rsidRDefault="00E3315E" w:rsidP="00AE31AB">
            <w:pPr>
              <w:spacing w:after="0" w:line="240" w:lineRule="auto"/>
              <w:jc w:val="center"/>
              <w:rPr>
                <w:rFonts w:ascii="Sylfaen" w:hAnsi="Sylfaen"/>
                <w:color w:val="34383D"/>
                <w:sz w:val="16"/>
                <w:szCs w:val="16"/>
              </w:rPr>
            </w:pPr>
            <w:r w:rsidRPr="00AE31AB">
              <w:rPr>
                <w:rFonts w:ascii="Sylfaen" w:hAnsi="Sylfaen" w:cs="Sylfaen"/>
                <w:color w:val="34383D"/>
                <w:sz w:val="16"/>
                <w:szCs w:val="16"/>
              </w:rPr>
              <w:t>დოზა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1CCE" w14:textId="21F71E12" w:rsidR="00E3315E" w:rsidRPr="00AE31AB" w:rsidRDefault="00E3315E" w:rsidP="00AE31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E31AB">
              <w:rPr>
                <w:rFonts w:ascii="Sylfaen" w:eastAsia="Times New Roman" w:hAnsi="Sylfaen" w:cs="Calibri"/>
                <w:sz w:val="16"/>
                <w:szCs w:val="16"/>
              </w:rPr>
              <w:t>განზომილების ერთეული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7D516" w14:textId="77777777" w:rsidR="00E3315E" w:rsidRPr="00AE31AB" w:rsidRDefault="00E3315E" w:rsidP="00AE31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E31AB">
              <w:rPr>
                <w:rFonts w:ascii="Sylfaen" w:eastAsia="Times New Roman" w:hAnsi="Sylfaen" w:cs="Calibri"/>
                <w:sz w:val="16"/>
                <w:szCs w:val="16"/>
              </w:rPr>
              <w:t xml:space="preserve">საშუალო წლიური </w:t>
            </w:r>
            <w:r w:rsidRPr="00AE31AB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საჭიროება</w:t>
            </w:r>
            <w:r w:rsidRPr="00AE31AB">
              <w:rPr>
                <w:rFonts w:ascii="Sylfaen" w:eastAsia="Times New Roman" w:hAnsi="Sylfaen" w:cs="Calibri"/>
                <w:sz w:val="16"/>
                <w:szCs w:val="16"/>
              </w:rPr>
              <w:t xml:space="preserve"> (ტაბლეტი)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6AD6C" w14:textId="180B929F" w:rsidR="00E3315E" w:rsidRPr="00AE31AB" w:rsidRDefault="00E3315E" w:rsidP="00AE31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E31AB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წლიური საჭიროების 45</w:t>
            </w:r>
            <w:r w:rsidRPr="00AE31AB">
              <w:rPr>
                <w:rFonts w:ascii="Sylfaen" w:eastAsia="Times New Roman" w:hAnsi="Sylfaen" w:cs="Calibri"/>
                <w:sz w:val="16"/>
                <w:szCs w:val="16"/>
              </w:rPr>
              <w:t>% (ტაბლეტი)</w:t>
            </w:r>
          </w:p>
        </w:tc>
      </w:tr>
      <w:tr w:rsidR="00E3315E" w:rsidRPr="00AE31AB" w14:paraId="38631A73" w14:textId="77777777" w:rsidTr="00AE31AB">
        <w:trPr>
          <w:trHeight w:val="825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7708C" w14:textId="77777777" w:rsidR="00E3315E" w:rsidRPr="00AE31AB" w:rsidRDefault="00E3315E" w:rsidP="00AE31AB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ka-GE"/>
              </w:rPr>
            </w:pPr>
            <w:r w:rsidRPr="00AE31AB">
              <w:rPr>
                <w:rFonts w:ascii="Sylfaen" w:hAnsi="Sylfaen" w:cs="Sylfaen"/>
                <w:color w:val="606366"/>
                <w:sz w:val="16"/>
                <w:szCs w:val="16"/>
              </w:rPr>
              <w:t>პარკინსონის</w:t>
            </w:r>
            <w:r w:rsidRPr="00AE31AB">
              <w:rPr>
                <w:rFonts w:ascii="Sylfaen" w:hAnsi="Sylfaen"/>
                <w:color w:val="606366"/>
                <w:sz w:val="16"/>
                <w:szCs w:val="16"/>
              </w:rPr>
              <w:t xml:space="preserve"> </w:t>
            </w:r>
            <w:r w:rsidRPr="00AE31AB">
              <w:rPr>
                <w:rFonts w:ascii="Sylfaen" w:hAnsi="Sylfaen" w:cs="Sylfaen"/>
                <w:color w:val="606366"/>
                <w:sz w:val="16"/>
                <w:szCs w:val="16"/>
              </w:rPr>
              <w:t>საწინააღმდეგო</w:t>
            </w:r>
            <w:r w:rsidRPr="00AE31AB">
              <w:rPr>
                <w:rFonts w:ascii="Sylfaen" w:hAnsi="Sylfaen"/>
                <w:color w:val="606366"/>
                <w:sz w:val="16"/>
                <w:szCs w:val="16"/>
              </w:rPr>
              <w:t xml:space="preserve"> </w:t>
            </w:r>
            <w:r w:rsidRPr="00AE31AB">
              <w:rPr>
                <w:rFonts w:ascii="Sylfaen" w:hAnsi="Sylfaen" w:cs="Sylfaen"/>
                <w:color w:val="606366"/>
                <w:sz w:val="16"/>
                <w:szCs w:val="16"/>
              </w:rPr>
              <w:t>საშუალებები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571F8" w14:textId="2049535C" w:rsidR="00E3315E" w:rsidRPr="00AE31AB" w:rsidRDefault="00AD4F78" w:rsidP="00AE31AB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</w:pPr>
            <w:hyperlink r:id="rId5" w:history="1">
              <w:r w:rsidR="00E3315E" w:rsidRPr="00AE31AB">
                <w:rPr>
                  <w:rFonts w:ascii="Sylfaen" w:hAnsi="Sylfaen"/>
                  <w:color w:val="000000"/>
                  <w:sz w:val="16"/>
                  <w:szCs w:val="16"/>
                  <w:shd w:val="clear" w:color="auto" w:fill="FFFFFF"/>
                </w:rPr>
                <w:t>carbidopa</w:t>
              </w:r>
            </w:hyperlink>
            <w:r w:rsidR="00E3315E" w:rsidRPr="00AE31AB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, </w:t>
            </w:r>
            <w:hyperlink r:id="rId6" w:history="1">
              <w:r w:rsidR="00E3315E" w:rsidRPr="00AE31AB">
                <w:rPr>
                  <w:rFonts w:ascii="Sylfaen" w:hAnsi="Sylfaen"/>
                  <w:color w:val="000000"/>
                  <w:sz w:val="16"/>
                  <w:szCs w:val="16"/>
                  <w:shd w:val="clear" w:color="auto" w:fill="FFFFFF"/>
                </w:rPr>
                <w:t>levodopa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1F907" w14:textId="77777777" w:rsidR="00E3315E" w:rsidRPr="00AE31AB" w:rsidRDefault="00E3315E" w:rsidP="00AE31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E31AB">
              <w:rPr>
                <w:rFonts w:ascii="Sylfaen" w:hAnsi="Sylfaen"/>
                <w:color w:val="34383D"/>
                <w:sz w:val="16"/>
                <w:szCs w:val="16"/>
              </w:rPr>
              <w:t>250mg/25mg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7BC0" w14:textId="77777777" w:rsidR="00E3315E" w:rsidRPr="00AE31AB" w:rsidRDefault="00E3315E" w:rsidP="00AE31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E31AB">
              <w:rPr>
                <w:rFonts w:ascii="Sylfaen" w:eastAsia="Times New Roman" w:hAnsi="Sylfaen" w:cs="Calibri"/>
                <w:sz w:val="16"/>
                <w:szCs w:val="16"/>
              </w:rPr>
              <w:t>ტაბლეტი</w:t>
            </w:r>
          </w:p>
          <w:p w14:paraId="0AF7587C" w14:textId="77777777" w:rsidR="00E3315E" w:rsidRPr="00AE31AB" w:rsidRDefault="00E3315E" w:rsidP="00AE31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A3775" w14:textId="77777777" w:rsidR="00E3315E" w:rsidRPr="00AE31AB" w:rsidRDefault="00E3315E" w:rsidP="00AE31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</w:p>
          <w:p w14:paraId="78FE55FF" w14:textId="380FBA74" w:rsidR="00E3315E" w:rsidRPr="00AE31AB" w:rsidRDefault="00E3315E" w:rsidP="00AE31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ka-GE"/>
              </w:rPr>
            </w:pPr>
            <w:r w:rsidRPr="00AE31AB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1 168 000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945AF" w14:textId="104EC002" w:rsidR="00E3315E" w:rsidRPr="00AE31AB" w:rsidRDefault="00E3315E" w:rsidP="00D27AE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ka-GE"/>
              </w:rPr>
            </w:pPr>
            <w:r w:rsidRPr="00AE31AB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525 600</w:t>
            </w:r>
            <w:r w:rsidR="00D27AE6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 xml:space="preserve"> (მ. შ. </w:t>
            </w:r>
            <w:r w:rsidR="00D27AE6"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დამატებითი 15% -</w:t>
            </w:r>
            <w:r w:rsidR="00D27AE6">
              <w:rPr>
                <w:rFonts w:ascii="Sylfaen" w:eastAsia="Times New Roman" w:hAnsi="Sylfaen" w:cs="Calibri"/>
                <w:color w:val="000000"/>
                <w:sz w:val="15"/>
                <w:szCs w:val="15"/>
                <w:lang w:val="ka-GE"/>
              </w:rPr>
              <w:t xml:space="preserve"> </w:t>
            </w:r>
            <w:r w:rsidR="00D27AE6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175 200)</w:t>
            </w:r>
          </w:p>
        </w:tc>
      </w:tr>
      <w:tr w:rsidR="00E3315E" w:rsidRPr="00AE31AB" w14:paraId="6D02D134" w14:textId="77777777" w:rsidTr="00AE31AB">
        <w:trPr>
          <w:trHeight w:val="825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A7961" w14:textId="77777777" w:rsidR="00E3315E" w:rsidRPr="00AE31AB" w:rsidRDefault="00E3315E" w:rsidP="00AE31AB">
            <w:pPr>
              <w:spacing w:after="0" w:line="240" w:lineRule="auto"/>
              <w:jc w:val="center"/>
              <w:rPr>
                <w:rFonts w:ascii="Sylfaen" w:hAnsi="Sylfaen" w:cs="Sylfaen"/>
                <w:color w:val="606366"/>
                <w:sz w:val="16"/>
                <w:szCs w:val="16"/>
                <w:lang w:val="ka-GE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F62A4" w14:textId="71E1539F" w:rsidR="00E3315E" w:rsidRPr="00AE31AB" w:rsidRDefault="00E338D7" w:rsidP="00AE31AB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</w:pPr>
            <w:r w:rsidRPr="00AE31AB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Levodopa+Benserazide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16B4" w14:textId="1E60BB23" w:rsidR="00E3315E" w:rsidRPr="00AE31AB" w:rsidRDefault="00E3315E" w:rsidP="00AE31AB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</w:pPr>
            <w:r w:rsidRPr="00AE31AB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E338D7" w:rsidRPr="00AE31AB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ka-GE"/>
              </w:rPr>
              <w:t>00</w:t>
            </w:r>
            <w:r w:rsidRPr="00AE31AB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mg/25mg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CB29" w14:textId="77777777" w:rsidR="00E3315E" w:rsidRPr="00AE31AB" w:rsidRDefault="00E3315E" w:rsidP="00AE31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DC094" w14:textId="77777777" w:rsidR="00E3315E" w:rsidRPr="00AD4F78" w:rsidRDefault="00E3315E" w:rsidP="00AE31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</w:p>
          <w:p w14:paraId="2C61E20E" w14:textId="77777777" w:rsidR="00E3315E" w:rsidRPr="00AE31AB" w:rsidRDefault="00E3315E" w:rsidP="00AE31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ka-GE"/>
              </w:rPr>
            </w:pPr>
            <w:r w:rsidRPr="00AE31AB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584 000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4B7FA" w14:textId="5FFB6DF5" w:rsidR="00E3315E" w:rsidRPr="00AE31AB" w:rsidRDefault="00E3315E" w:rsidP="002A0EA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ka-GE"/>
              </w:rPr>
            </w:pPr>
            <w:r w:rsidRPr="00AE31AB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262</w:t>
            </w:r>
            <w:r w:rsidR="00D27AE6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 xml:space="preserve"> </w:t>
            </w:r>
            <w:r w:rsidRPr="00AE31AB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800</w:t>
            </w:r>
            <w:r w:rsidR="00AC79A9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 xml:space="preserve"> (მ. შ. </w:t>
            </w:r>
            <w:r w:rsidR="00AC79A9" w:rsidRPr="00EF167E">
              <w:rPr>
                <w:rFonts w:ascii="Sylfaen" w:eastAsia="Times New Roman" w:hAnsi="Sylfaen" w:cs="Calibri"/>
                <w:color w:val="000000"/>
                <w:sz w:val="15"/>
                <w:szCs w:val="15"/>
              </w:rPr>
              <w:t>დამატებითი 15% -</w:t>
            </w:r>
            <w:r w:rsidR="00AC79A9">
              <w:rPr>
                <w:rFonts w:ascii="Sylfaen" w:eastAsia="Times New Roman" w:hAnsi="Sylfaen" w:cs="Calibri"/>
                <w:color w:val="000000"/>
                <w:sz w:val="15"/>
                <w:szCs w:val="15"/>
                <w:lang w:val="ka-GE"/>
              </w:rPr>
              <w:t xml:space="preserve"> </w:t>
            </w:r>
            <w:r w:rsidR="002A0EAA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87 600</w:t>
            </w:r>
            <w:r w:rsidR="00AC79A9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)</w:t>
            </w:r>
          </w:p>
        </w:tc>
      </w:tr>
    </w:tbl>
    <w:p w14:paraId="3F305805" w14:textId="73ABA8F1" w:rsidR="00E3315E" w:rsidRDefault="00E3315E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1B7D1499" w14:textId="3045F26F" w:rsidR="00E3315E" w:rsidRDefault="00E3315E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773448">
        <w:rPr>
          <w:rFonts w:ascii="Sylfaen" w:hAnsi="Sylfaen"/>
          <w:b/>
          <w:lang w:val="ka-GE"/>
        </w:rPr>
        <w:t xml:space="preserve">ეპილეფსიის სამკურნალო </w:t>
      </w:r>
      <w:r>
        <w:rPr>
          <w:rFonts w:ascii="Sylfaen" w:hAnsi="Sylfaen"/>
          <w:b/>
          <w:lang w:val="ka-GE"/>
        </w:rPr>
        <w:t>მედიკამენტები</w:t>
      </w:r>
    </w:p>
    <w:p w14:paraId="1AFEB531" w14:textId="3879D5B8" w:rsidR="00E3315E" w:rsidRDefault="00E3315E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tbl>
      <w:tblPr>
        <w:tblStyle w:val="TableGrid"/>
        <w:tblW w:w="12865" w:type="dxa"/>
        <w:tblLook w:val="04A0" w:firstRow="1" w:lastRow="0" w:firstColumn="1" w:lastColumn="0" w:noHBand="0" w:noVBand="1"/>
      </w:tblPr>
      <w:tblGrid>
        <w:gridCol w:w="1634"/>
        <w:gridCol w:w="1188"/>
        <w:gridCol w:w="1306"/>
        <w:gridCol w:w="1624"/>
        <w:gridCol w:w="1493"/>
        <w:gridCol w:w="1379"/>
        <w:gridCol w:w="4241"/>
      </w:tblGrid>
      <w:tr w:rsidR="00E3315E" w:rsidRPr="00F30DE5" w14:paraId="04629EFE" w14:textId="77777777" w:rsidTr="00EA12F5">
        <w:tc>
          <w:tcPr>
            <w:tcW w:w="1634" w:type="dxa"/>
            <w:vAlign w:val="center"/>
          </w:tcPr>
          <w:p w14:paraId="2BE779D8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მედიკამენტი</w:t>
            </w:r>
          </w:p>
        </w:tc>
        <w:tc>
          <w:tcPr>
            <w:tcW w:w="1188" w:type="dxa"/>
            <w:vAlign w:val="center"/>
          </w:tcPr>
          <w:p w14:paraId="6A3A2A88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ფორმა</w:t>
            </w:r>
          </w:p>
        </w:tc>
        <w:tc>
          <w:tcPr>
            <w:tcW w:w="1306" w:type="dxa"/>
            <w:vAlign w:val="center"/>
          </w:tcPr>
          <w:p w14:paraId="547EA628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დოზირება</w:t>
            </w:r>
          </w:p>
        </w:tc>
        <w:tc>
          <w:tcPr>
            <w:tcW w:w="1624" w:type="dxa"/>
            <w:vAlign w:val="center"/>
          </w:tcPr>
          <w:p w14:paraId="19B924F3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საშუალო დოზა დღეში პაციენტზე</w:t>
            </w:r>
          </w:p>
        </w:tc>
        <w:tc>
          <w:tcPr>
            <w:tcW w:w="1493" w:type="dxa"/>
            <w:vAlign w:val="center"/>
          </w:tcPr>
          <w:p w14:paraId="6ECB3EA3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პაციენტების რაოდენობა</w:t>
            </w:r>
          </w:p>
        </w:tc>
        <w:tc>
          <w:tcPr>
            <w:tcW w:w="1379" w:type="dxa"/>
            <w:vAlign w:val="center"/>
          </w:tcPr>
          <w:p w14:paraId="062EF48C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წლიური რაოდენობა პაციენტზე (აბი)</w:t>
            </w:r>
          </w:p>
        </w:tc>
        <w:tc>
          <w:tcPr>
            <w:tcW w:w="4241" w:type="dxa"/>
            <w:vAlign w:val="center"/>
          </w:tcPr>
          <w:p w14:paraId="52683FC1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rFonts w:eastAsia="Times New Roman" w:cs="Calibri"/>
                <w:sz w:val="16"/>
                <w:szCs w:val="16"/>
              </w:rPr>
              <w:t>წლიური საჭიროების 30%</w:t>
            </w:r>
            <w:r w:rsidRPr="00F30DE5">
              <w:rPr>
                <w:rFonts w:eastAsia="Times New Roman" w:cs="Calibri"/>
                <w:sz w:val="16"/>
                <w:szCs w:val="16"/>
                <w:lang w:val="ka-GE"/>
              </w:rPr>
              <w:t xml:space="preserve"> (აბი)</w:t>
            </w:r>
          </w:p>
        </w:tc>
      </w:tr>
      <w:tr w:rsidR="00E3315E" w:rsidRPr="00F30DE5" w14:paraId="04148D11" w14:textId="77777777" w:rsidTr="00EA12F5">
        <w:tc>
          <w:tcPr>
            <w:tcW w:w="1634" w:type="dxa"/>
            <w:vAlign w:val="center"/>
          </w:tcPr>
          <w:p w14:paraId="567A1B83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Levetiracetam</w:t>
            </w:r>
          </w:p>
        </w:tc>
        <w:tc>
          <w:tcPr>
            <w:tcW w:w="1188" w:type="dxa"/>
            <w:vAlign w:val="center"/>
          </w:tcPr>
          <w:p w14:paraId="257E54FF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ტაბლეტი</w:t>
            </w:r>
          </w:p>
        </w:tc>
        <w:tc>
          <w:tcPr>
            <w:tcW w:w="1306" w:type="dxa"/>
            <w:vAlign w:val="center"/>
          </w:tcPr>
          <w:p w14:paraId="7A8F7D65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500მგ</w:t>
            </w:r>
          </w:p>
        </w:tc>
        <w:tc>
          <w:tcPr>
            <w:tcW w:w="1624" w:type="dxa"/>
            <w:vAlign w:val="center"/>
          </w:tcPr>
          <w:p w14:paraId="6DCA85D2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</w:rPr>
              <w:t>1</w:t>
            </w:r>
            <w:r w:rsidRPr="00F30DE5">
              <w:rPr>
                <w:sz w:val="16"/>
                <w:szCs w:val="16"/>
                <w:lang w:val="ka-GE"/>
              </w:rPr>
              <w:t>000მგ/დღეში</w:t>
            </w:r>
          </w:p>
        </w:tc>
        <w:tc>
          <w:tcPr>
            <w:tcW w:w="1493" w:type="dxa"/>
            <w:vAlign w:val="center"/>
          </w:tcPr>
          <w:p w14:paraId="0D7CCC7E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F30DE5">
              <w:rPr>
                <w:sz w:val="16"/>
                <w:szCs w:val="16"/>
              </w:rPr>
              <w:t>5840</w:t>
            </w:r>
          </w:p>
        </w:tc>
        <w:tc>
          <w:tcPr>
            <w:tcW w:w="1379" w:type="dxa"/>
            <w:vAlign w:val="center"/>
          </w:tcPr>
          <w:p w14:paraId="07BDB35A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F30DE5">
              <w:rPr>
                <w:sz w:val="16"/>
                <w:szCs w:val="16"/>
              </w:rPr>
              <w:t>4 263 200</w:t>
            </w:r>
          </w:p>
        </w:tc>
        <w:tc>
          <w:tcPr>
            <w:tcW w:w="4241" w:type="dxa"/>
            <w:vAlign w:val="center"/>
          </w:tcPr>
          <w:p w14:paraId="1396324E" w14:textId="5BC2CFC0" w:rsidR="00E3315E" w:rsidRPr="00F30DE5" w:rsidRDefault="00E3315E" w:rsidP="00EE234A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</w:rPr>
              <w:t xml:space="preserve">1 </w:t>
            </w:r>
            <w:r w:rsidRPr="00F30DE5">
              <w:rPr>
                <w:sz w:val="16"/>
                <w:szCs w:val="16"/>
                <w:lang w:val="ka-GE"/>
              </w:rPr>
              <w:t>918 440</w:t>
            </w:r>
            <w:r w:rsidR="00A058E2">
              <w:rPr>
                <w:sz w:val="16"/>
                <w:szCs w:val="16"/>
                <w:lang w:val="ka-GE"/>
              </w:rPr>
              <w:t xml:space="preserve"> </w:t>
            </w:r>
            <w:r w:rsidR="00A058E2">
              <w:rPr>
                <w:rFonts w:eastAsia="Times New Roman" w:cs="Calibri"/>
                <w:sz w:val="16"/>
                <w:szCs w:val="16"/>
                <w:lang w:val="ka-GE"/>
              </w:rPr>
              <w:t xml:space="preserve">(მ. შ. </w:t>
            </w:r>
            <w:r w:rsidR="00A058E2" w:rsidRPr="00EF167E">
              <w:rPr>
                <w:rFonts w:eastAsia="Times New Roman" w:cs="Calibri"/>
                <w:color w:val="000000"/>
                <w:sz w:val="15"/>
                <w:szCs w:val="15"/>
              </w:rPr>
              <w:t>დამატებითი 15% -</w:t>
            </w:r>
            <w:r w:rsidR="00A058E2">
              <w:rPr>
                <w:rFonts w:eastAsia="Times New Roman" w:cs="Calibri"/>
                <w:color w:val="000000"/>
                <w:sz w:val="15"/>
                <w:szCs w:val="15"/>
                <w:lang w:val="ka-GE"/>
              </w:rPr>
              <w:t xml:space="preserve"> </w:t>
            </w:r>
            <w:r w:rsidR="00EE234A">
              <w:rPr>
                <w:rFonts w:eastAsia="Times New Roman" w:cs="Calibri"/>
                <w:sz w:val="16"/>
                <w:szCs w:val="16"/>
                <w:lang w:val="ka-GE"/>
              </w:rPr>
              <w:t>639 480</w:t>
            </w:r>
            <w:r w:rsidR="00A058E2">
              <w:rPr>
                <w:rFonts w:eastAsia="Times New Roman" w:cs="Calibri"/>
                <w:sz w:val="16"/>
                <w:szCs w:val="16"/>
                <w:lang w:val="ka-GE"/>
              </w:rPr>
              <w:t>)</w:t>
            </w:r>
          </w:p>
        </w:tc>
      </w:tr>
      <w:tr w:rsidR="00E3315E" w:rsidRPr="00F30DE5" w14:paraId="639ACA76" w14:textId="77777777" w:rsidTr="00EA12F5">
        <w:tc>
          <w:tcPr>
            <w:tcW w:w="1634" w:type="dxa"/>
            <w:vAlign w:val="center"/>
          </w:tcPr>
          <w:p w14:paraId="23747788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Carbamazepine</w:t>
            </w:r>
          </w:p>
        </w:tc>
        <w:tc>
          <w:tcPr>
            <w:tcW w:w="1188" w:type="dxa"/>
            <w:vAlign w:val="center"/>
          </w:tcPr>
          <w:p w14:paraId="461A5248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ტაბლეტი</w:t>
            </w:r>
          </w:p>
        </w:tc>
        <w:tc>
          <w:tcPr>
            <w:tcW w:w="1306" w:type="dxa"/>
            <w:vAlign w:val="center"/>
          </w:tcPr>
          <w:p w14:paraId="7AD35EA2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200მგ</w:t>
            </w:r>
          </w:p>
        </w:tc>
        <w:tc>
          <w:tcPr>
            <w:tcW w:w="1624" w:type="dxa"/>
            <w:vAlign w:val="center"/>
          </w:tcPr>
          <w:p w14:paraId="19E25BD3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600მგ/დღეში</w:t>
            </w:r>
          </w:p>
        </w:tc>
        <w:tc>
          <w:tcPr>
            <w:tcW w:w="1493" w:type="dxa"/>
            <w:vAlign w:val="center"/>
          </w:tcPr>
          <w:p w14:paraId="1BE96195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F30DE5">
              <w:rPr>
                <w:sz w:val="16"/>
                <w:szCs w:val="16"/>
              </w:rPr>
              <w:t>2300</w:t>
            </w:r>
          </w:p>
        </w:tc>
        <w:tc>
          <w:tcPr>
            <w:tcW w:w="1379" w:type="dxa"/>
            <w:vAlign w:val="center"/>
          </w:tcPr>
          <w:p w14:paraId="63513FE2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</w:rPr>
              <w:t>2 518 500</w:t>
            </w:r>
          </w:p>
        </w:tc>
        <w:tc>
          <w:tcPr>
            <w:tcW w:w="4241" w:type="dxa"/>
            <w:vAlign w:val="center"/>
          </w:tcPr>
          <w:p w14:paraId="3F0CA821" w14:textId="4E57ACB6" w:rsidR="00E3315E" w:rsidRPr="00F30DE5" w:rsidRDefault="00E3315E" w:rsidP="00B9519B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1 133 325</w:t>
            </w:r>
            <w:r w:rsidR="00A058E2">
              <w:rPr>
                <w:sz w:val="16"/>
                <w:szCs w:val="16"/>
                <w:lang w:val="ka-GE"/>
              </w:rPr>
              <w:t xml:space="preserve"> </w:t>
            </w:r>
            <w:r w:rsidR="00A058E2">
              <w:rPr>
                <w:rFonts w:eastAsia="Times New Roman" w:cs="Calibri"/>
                <w:sz w:val="16"/>
                <w:szCs w:val="16"/>
                <w:lang w:val="ka-GE"/>
              </w:rPr>
              <w:t xml:space="preserve">(მ. შ. </w:t>
            </w:r>
            <w:r w:rsidR="00A058E2" w:rsidRPr="00EF167E">
              <w:rPr>
                <w:rFonts w:eastAsia="Times New Roman" w:cs="Calibri"/>
                <w:color w:val="000000"/>
                <w:sz w:val="15"/>
                <w:szCs w:val="15"/>
              </w:rPr>
              <w:t>დამატებითი 15% -</w:t>
            </w:r>
            <w:r w:rsidR="00A058E2">
              <w:rPr>
                <w:rFonts w:eastAsia="Times New Roman" w:cs="Calibri"/>
                <w:color w:val="000000"/>
                <w:sz w:val="15"/>
                <w:szCs w:val="15"/>
                <w:lang w:val="ka-GE"/>
              </w:rPr>
              <w:t xml:space="preserve"> </w:t>
            </w:r>
            <w:r w:rsidR="00B9519B">
              <w:rPr>
                <w:rFonts w:eastAsia="Times New Roman" w:cs="Calibri"/>
                <w:sz w:val="16"/>
                <w:szCs w:val="16"/>
                <w:lang w:val="ka-GE"/>
              </w:rPr>
              <w:t>377 775</w:t>
            </w:r>
            <w:r w:rsidR="00A058E2">
              <w:rPr>
                <w:rFonts w:eastAsia="Times New Roman" w:cs="Calibri"/>
                <w:sz w:val="16"/>
                <w:szCs w:val="16"/>
                <w:lang w:val="ka-GE"/>
              </w:rPr>
              <w:t>)</w:t>
            </w:r>
          </w:p>
        </w:tc>
      </w:tr>
      <w:tr w:rsidR="00E3315E" w:rsidRPr="00F30DE5" w14:paraId="207CA807" w14:textId="77777777" w:rsidTr="00EA12F5">
        <w:tc>
          <w:tcPr>
            <w:tcW w:w="1634" w:type="dxa"/>
            <w:vAlign w:val="center"/>
          </w:tcPr>
          <w:p w14:paraId="4455EDDA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Valproate Sodium</w:t>
            </w:r>
          </w:p>
        </w:tc>
        <w:tc>
          <w:tcPr>
            <w:tcW w:w="1188" w:type="dxa"/>
            <w:vAlign w:val="center"/>
          </w:tcPr>
          <w:p w14:paraId="2F92ADFF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ტაბლეტი</w:t>
            </w:r>
          </w:p>
        </w:tc>
        <w:tc>
          <w:tcPr>
            <w:tcW w:w="1306" w:type="dxa"/>
            <w:vAlign w:val="center"/>
          </w:tcPr>
          <w:p w14:paraId="2929D566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500მგ</w:t>
            </w:r>
          </w:p>
        </w:tc>
        <w:tc>
          <w:tcPr>
            <w:tcW w:w="1624" w:type="dxa"/>
            <w:vAlign w:val="center"/>
          </w:tcPr>
          <w:p w14:paraId="44EC61A7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1000მ/დღეში</w:t>
            </w:r>
          </w:p>
        </w:tc>
        <w:tc>
          <w:tcPr>
            <w:tcW w:w="1493" w:type="dxa"/>
            <w:vAlign w:val="center"/>
          </w:tcPr>
          <w:p w14:paraId="3B6B14F7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F30DE5">
              <w:rPr>
                <w:sz w:val="16"/>
                <w:szCs w:val="16"/>
              </w:rPr>
              <w:t>3800</w:t>
            </w:r>
          </w:p>
        </w:tc>
        <w:tc>
          <w:tcPr>
            <w:tcW w:w="1379" w:type="dxa"/>
            <w:vAlign w:val="center"/>
          </w:tcPr>
          <w:p w14:paraId="161024A5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F30DE5">
              <w:rPr>
                <w:sz w:val="16"/>
                <w:szCs w:val="16"/>
              </w:rPr>
              <w:t>2 774 000</w:t>
            </w:r>
          </w:p>
        </w:tc>
        <w:tc>
          <w:tcPr>
            <w:tcW w:w="4241" w:type="dxa"/>
            <w:vAlign w:val="center"/>
          </w:tcPr>
          <w:p w14:paraId="045A8A6A" w14:textId="219AA5B4" w:rsidR="00E3315E" w:rsidRPr="00F30DE5" w:rsidRDefault="00E3315E" w:rsidP="0084359A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1 248 300</w:t>
            </w:r>
            <w:r w:rsidR="00A058E2">
              <w:rPr>
                <w:sz w:val="16"/>
                <w:szCs w:val="16"/>
                <w:lang w:val="ka-GE"/>
              </w:rPr>
              <w:t xml:space="preserve"> </w:t>
            </w:r>
            <w:r w:rsidR="00A058E2">
              <w:rPr>
                <w:rFonts w:eastAsia="Times New Roman" w:cs="Calibri"/>
                <w:sz w:val="16"/>
                <w:szCs w:val="16"/>
                <w:lang w:val="ka-GE"/>
              </w:rPr>
              <w:t xml:space="preserve">(მ. შ. </w:t>
            </w:r>
            <w:r w:rsidR="00A058E2" w:rsidRPr="00EF167E">
              <w:rPr>
                <w:rFonts w:eastAsia="Times New Roman" w:cs="Calibri"/>
                <w:color w:val="000000"/>
                <w:sz w:val="15"/>
                <w:szCs w:val="15"/>
              </w:rPr>
              <w:t>დამატებითი 15% -</w:t>
            </w:r>
            <w:r w:rsidR="00A058E2">
              <w:rPr>
                <w:rFonts w:eastAsia="Times New Roman" w:cs="Calibri"/>
                <w:color w:val="000000"/>
                <w:sz w:val="15"/>
                <w:szCs w:val="15"/>
                <w:lang w:val="ka-GE"/>
              </w:rPr>
              <w:t xml:space="preserve"> </w:t>
            </w:r>
            <w:r w:rsidR="0084359A">
              <w:rPr>
                <w:rFonts w:eastAsia="Times New Roman" w:cs="Calibri"/>
                <w:sz w:val="16"/>
                <w:szCs w:val="16"/>
                <w:lang w:val="ka-GE"/>
              </w:rPr>
              <w:t>416 100</w:t>
            </w:r>
            <w:r w:rsidR="00A058E2">
              <w:rPr>
                <w:rFonts w:eastAsia="Times New Roman" w:cs="Calibri"/>
                <w:sz w:val="16"/>
                <w:szCs w:val="16"/>
                <w:lang w:val="ka-GE"/>
              </w:rPr>
              <w:t>)</w:t>
            </w:r>
          </w:p>
        </w:tc>
      </w:tr>
      <w:tr w:rsidR="00E3315E" w:rsidRPr="00F30DE5" w14:paraId="3B4E50DD" w14:textId="77777777" w:rsidTr="00EA12F5">
        <w:tc>
          <w:tcPr>
            <w:tcW w:w="1634" w:type="dxa"/>
            <w:vAlign w:val="center"/>
          </w:tcPr>
          <w:p w14:paraId="6946CBC3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Valproate Sodium</w:t>
            </w:r>
          </w:p>
        </w:tc>
        <w:tc>
          <w:tcPr>
            <w:tcW w:w="1188" w:type="dxa"/>
            <w:vAlign w:val="center"/>
          </w:tcPr>
          <w:p w14:paraId="5C03F305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ტაბლეტი</w:t>
            </w:r>
          </w:p>
        </w:tc>
        <w:tc>
          <w:tcPr>
            <w:tcW w:w="1306" w:type="dxa"/>
            <w:vAlign w:val="center"/>
          </w:tcPr>
          <w:p w14:paraId="1E8EF856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300მგ</w:t>
            </w:r>
          </w:p>
        </w:tc>
        <w:tc>
          <w:tcPr>
            <w:tcW w:w="1624" w:type="dxa"/>
            <w:vAlign w:val="center"/>
          </w:tcPr>
          <w:p w14:paraId="6DD9B5D5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</w:rPr>
              <w:t>6</w:t>
            </w:r>
            <w:r w:rsidRPr="00F30DE5">
              <w:rPr>
                <w:sz w:val="16"/>
                <w:szCs w:val="16"/>
                <w:lang w:val="ka-GE"/>
              </w:rPr>
              <w:t>00მგ/დღეში</w:t>
            </w:r>
          </w:p>
        </w:tc>
        <w:tc>
          <w:tcPr>
            <w:tcW w:w="1493" w:type="dxa"/>
            <w:vAlign w:val="center"/>
          </w:tcPr>
          <w:p w14:paraId="5421AE3B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F30DE5">
              <w:rPr>
                <w:sz w:val="16"/>
                <w:szCs w:val="16"/>
              </w:rPr>
              <w:t>800</w:t>
            </w:r>
          </w:p>
        </w:tc>
        <w:tc>
          <w:tcPr>
            <w:tcW w:w="1379" w:type="dxa"/>
            <w:vAlign w:val="center"/>
          </w:tcPr>
          <w:p w14:paraId="2B25DF08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F30DE5">
              <w:rPr>
                <w:sz w:val="16"/>
                <w:szCs w:val="16"/>
              </w:rPr>
              <w:t>584 000</w:t>
            </w:r>
          </w:p>
        </w:tc>
        <w:tc>
          <w:tcPr>
            <w:tcW w:w="4241" w:type="dxa"/>
            <w:vAlign w:val="center"/>
          </w:tcPr>
          <w:p w14:paraId="66EA0853" w14:textId="344010B8" w:rsidR="00E3315E" w:rsidRPr="00F30DE5" w:rsidRDefault="00E3315E" w:rsidP="0036570F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262 800</w:t>
            </w:r>
          </w:p>
        </w:tc>
      </w:tr>
      <w:tr w:rsidR="00E3315E" w:rsidRPr="00F30DE5" w14:paraId="754BA337" w14:textId="77777777" w:rsidTr="00EA12F5">
        <w:tc>
          <w:tcPr>
            <w:tcW w:w="1634" w:type="dxa"/>
            <w:vAlign w:val="center"/>
          </w:tcPr>
          <w:p w14:paraId="4680F9AA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Lamotrigine</w:t>
            </w:r>
          </w:p>
        </w:tc>
        <w:tc>
          <w:tcPr>
            <w:tcW w:w="1188" w:type="dxa"/>
            <w:vAlign w:val="center"/>
          </w:tcPr>
          <w:p w14:paraId="5CF6BE41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ტაბლეტი</w:t>
            </w:r>
          </w:p>
        </w:tc>
        <w:tc>
          <w:tcPr>
            <w:tcW w:w="1306" w:type="dxa"/>
            <w:vAlign w:val="center"/>
          </w:tcPr>
          <w:p w14:paraId="00EDB91B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</w:rPr>
              <w:t>100mg</w:t>
            </w:r>
          </w:p>
        </w:tc>
        <w:tc>
          <w:tcPr>
            <w:tcW w:w="1624" w:type="dxa"/>
            <w:vAlign w:val="center"/>
          </w:tcPr>
          <w:p w14:paraId="3AE2ED18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200მგ/დღეში</w:t>
            </w:r>
          </w:p>
        </w:tc>
        <w:tc>
          <w:tcPr>
            <w:tcW w:w="1493" w:type="dxa"/>
            <w:vAlign w:val="center"/>
          </w:tcPr>
          <w:p w14:paraId="2EAE729C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F30DE5">
              <w:rPr>
                <w:sz w:val="16"/>
                <w:szCs w:val="16"/>
              </w:rPr>
              <w:t>1400</w:t>
            </w:r>
          </w:p>
        </w:tc>
        <w:tc>
          <w:tcPr>
            <w:tcW w:w="1379" w:type="dxa"/>
            <w:vAlign w:val="center"/>
          </w:tcPr>
          <w:p w14:paraId="756F9526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F30DE5">
              <w:rPr>
                <w:sz w:val="16"/>
                <w:szCs w:val="16"/>
              </w:rPr>
              <w:t>1 022 000</w:t>
            </w:r>
          </w:p>
        </w:tc>
        <w:tc>
          <w:tcPr>
            <w:tcW w:w="4241" w:type="dxa"/>
            <w:vAlign w:val="center"/>
          </w:tcPr>
          <w:p w14:paraId="54B9C1C6" w14:textId="48C9558F" w:rsidR="00E3315E" w:rsidRPr="00F30DE5" w:rsidRDefault="00E3315E" w:rsidP="00663112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459 900</w:t>
            </w:r>
            <w:r w:rsidR="00663112">
              <w:rPr>
                <w:sz w:val="16"/>
                <w:szCs w:val="16"/>
                <w:lang w:val="ka-GE"/>
              </w:rPr>
              <w:t xml:space="preserve"> </w:t>
            </w:r>
            <w:r w:rsidR="00A058E2">
              <w:rPr>
                <w:rFonts w:eastAsia="Times New Roman" w:cs="Calibri"/>
                <w:sz w:val="16"/>
                <w:szCs w:val="16"/>
                <w:lang w:val="ka-GE"/>
              </w:rPr>
              <w:t xml:space="preserve">(მ. შ. </w:t>
            </w:r>
            <w:r w:rsidR="00A058E2" w:rsidRPr="00EF167E">
              <w:rPr>
                <w:rFonts w:eastAsia="Times New Roman" w:cs="Calibri"/>
                <w:color w:val="000000"/>
                <w:sz w:val="15"/>
                <w:szCs w:val="15"/>
              </w:rPr>
              <w:t>დამატებითი 15% -</w:t>
            </w:r>
            <w:r w:rsidR="00A058E2">
              <w:rPr>
                <w:rFonts w:eastAsia="Times New Roman" w:cs="Calibri"/>
                <w:color w:val="000000"/>
                <w:sz w:val="15"/>
                <w:szCs w:val="15"/>
                <w:lang w:val="ka-GE"/>
              </w:rPr>
              <w:t xml:space="preserve"> </w:t>
            </w:r>
            <w:r w:rsidR="00663112">
              <w:rPr>
                <w:rFonts w:eastAsia="Times New Roman" w:cs="Calibri"/>
                <w:sz w:val="16"/>
                <w:szCs w:val="16"/>
                <w:lang w:val="ka-GE"/>
              </w:rPr>
              <w:t>153 300</w:t>
            </w:r>
            <w:r w:rsidR="00A058E2">
              <w:rPr>
                <w:rFonts w:eastAsia="Times New Roman" w:cs="Calibri"/>
                <w:sz w:val="16"/>
                <w:szCs w:val="16"/>
                <w:lang w:val="ka-GE"/>
              </w:rPr>
              <w:t>)</w:t>
            </w:r>
          </w:p>
        </w:tc>
      </w:tr>
      <w:tr w:rsidR="00E3315E" w:rsidRPr="00F30DE5" w14:paraId="50030003" w14:textId="77777777" w:rsidTr="008C5851">
        <w:trPr>
          <w:trHeight w:val="71"/>
        </w:trPr>
        <w:tc>
          <w:tcPr>
            <w:tcW w:w="1634" w:type="dxa"/>
            <w:vAlign w:val="center"/>
          </w:tcPr>
          <w:p w14:paraId="71C17076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Lamotrigine</w:t>
            </w:r>
          </w:p>
        </w:tc>
        <w:tc>
          <w:tcPr>
            <w:tcW w:w="1188" w:type="dxa"/>
            <w:vAlign w:val="center"/>
          </w:tcPr>
          <w:p w14:paraId="250445E5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highlight w:val="yellow"/>
              </w:rPr>
            </w:pPr>
            <w:r w:rsidRPr="00F30DE5">
              <w:rPr>
                <w:sz w:val="16"/>
                <w:szCs w:val="16"/>
                <w:lang w:val="ka-GE"/>
              </w:rPr>
              <w:t>ტაბლეტი</w:t>
            </w:r>
          </w:p>
        </w:tc>
        <w:tc>
          <w:tcPr>
            <w:tcW w:w="1306" w:type="dxa"/>
            <w:vAlign w:val="center"/>
          </w:tcPr>
          <w:p w14:paraId="2FFA32BE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</w:rPr>
              <w:t>25mg</w:t>
            </w:r>
          </w:p>
        </w:tc>
        <w:tc>
          <w:tcPr>
            <w:tcW w:w="1624" w:type="dxa"/>
            <w:vAlign w:val="center"/>
          </w:tcPr>
          <w:p w14:paraId="2C79609E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75მგ/დღეში</w:t>
            </w:r>
          </w:p>
        </w:tc>
        <w:tc>
          <w:tcPr>
            <w:tcW w:w="1493" w:type="dxa"/>
            <w:vAlign w:val="center"/>
          </w:tcPr>
          <w:p w14:paraId="477C4CB6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F30DE5">
              <w:rPr>
                <w:sz w:val="16"/>
                <w:szCs w:val="16"/>
              </w:rPr>
              <w:t>600</w:t>
            </w:r>
          </w:p>
        </w:tc>
        <w:tc>
          <w:tcPr>
            <w:tcW w:w="1379" w:type="dxa"/>
            <w:vAlign w:val="center"/>
          </w:tcPr>
          <w:p w14:paraId="0697CE9E" w14:textId="77777777" w:rsidR="00E3315E" w:rsidRPr="00F30DE5" w:rsidRDefault="00E3315E" w:rsidP="00EA12F5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F30DE5">
              <w:rPr>
                <w:sz w:val="16"/>
                <w:szCs w:val="16"/>
              </w:rPr>
              <w:t>657 000</w:t>
            </w:r>
          </w:p>
        </w:tc>
        <w:tc>
          <w:tcPr>
            <w:tcW w:w="4241" w:type="dxa"/>
            <w:vAlign w:val="center"/>
          </w:tcPr>
          <w:p w14:paraId="08DE377A" w14:textId="26B2FF6C" w:rsidR="00E3315E" w:rsidRPr="00F30DE5" w:rsidRDefault="00E3315E" w:rsidP="00F115BC">
            <w:pPr>
              <w:spacing w:after="160" w:line="259" w:lineRule="auto"/>
              <w:jc w:val="center"/>
              <w:rPr>
                <w:sz w:val="16"/>
                <w:szCs w:val="16"/>
                <w:lang w:val="ka-GE"/>
              </w:rPr>
            </w:pPr>
            <w:r w:rsidRPr="00F30DE5">
              <w:rPr>
                <w:sz w:val="16"/>
                <w:szCs w:val="16"/>
                <w:lang w:val="ka-GE"/>
              </w:rPr>
              <w:t>295 650</w:t>
            </w:r>
            <w:r w:rsidR="00A058E2">
              <w:rPr>
                <w:sz w:val="16"/>
                <w:szCs w:val="16"/>
                <w:lang w:val="ka-GE"/>
              </w:rPr>
              <w:t xml:space="preserve"> </w:t>
            </w:r>
            <w:r w:rsidR="00A058E2">
              <w:rPr>
                <w:rFonts w:eastAsia="Times New Roman" w:cs="Calibri"/>
                <w:sz w:val="16"/>
                <w:szCs w:val="16"/>
                <w:lang w:val="ka-GE"/>
              </w:rPr>
              <w:t xml:space="preserve">(მ. შ. </w:t>
            </w:r>
            <w:r w:rsidR="00A058E2" w:rsidRPr="00EF167E">
              <w:rPr>
                <w:rFonts w:eastAsia="Times New Roman" w:cs="Calibri"/>
                <w:color w:val="000000"/>
                <w:sz w:val="15"/>
                <w:szCs w:val="15"/>
              </w:rPr>
              <w:t>დამატებითი 15% -</w:t>
            </w:r>
            <w:r w:rsidR="00A058E2">
              <w:rPr>
                <w:rFonts w:eastAsia="Times New Roman" w:cs="Calibri"/>
                <w:color w:val="000000"/>
                <w:sz w:val="15"/>
                <w:szCs w:val="15"/>
                <w:lang w:val="ka-GE"/>
              </w:rPr>
              <w:t xml:space="preserve"> </w:t>
            </w:r>
            <w:r w:rsidR="00F115BC">
              <w:rPr>
                <w:rFonts w:eastAsia="Times New Roman" w:cs="Calibri"/>
                <w:sz w:val="16"/>
                <w:szCs w:val="16"/>
                <w:lang w:val="ka-GE"/>
              </w:rPr>
              <w:t>98 550</w:t>
            </w:r>
            <w:r w:rsidR="00A058E2">
              <w:rPr>
                <w:rFonts w:eastAsia="Times New Roman" w:cs="Calibri"/>
                <w:sz w:val="16"/>
                <w:szCs w:val="16"/>
                <w:lang w:val="ka-GE"/>
              </w:rPr>
              <w:t>)</w:t>
            </w:r>
          </w:p>
        </w:tc>
      </w:tr>
    </w:tbl>
    <w:p w14:paraId="3508C12C" w14:textId="73943744" w:rsidR="00E3315E" w:rsidRDefault="00E3315E" w:rsidP="00E3315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18192A43" w14:textId="1876F7E0" w:rsidR="00AD4F78" w:rsidRDefault="00AD4F78" w:rsidP="00E3315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2710144F" w14:textId="7B985242" w:rsidR="00AD4F78" w:rsidRDefault="00AD4F78" w:rsidP="002B2E80">
      <w:pPr>
        <w:tabs>
          <w:tab w:val="left" w:pos="2460"/>
        </w:tabs>
        <w:spacing w:line="240" w:lineRule="auto"/>
        <w:jc w:val="both"/>
        <w:rPr>
          <w:rFonts w:ascii="Sylfaen" w:hAnsi="Sylfaen"/>
          <w:lang w:val="ka-GE"/>
        </w:rPr>
      </w:pPr>
      <w:r w:rsidRPr="00AD4F78">
        <w:rPr>
          <w:rFonts w:ascii="Sylfaen" w:hAnsi="Sylfaen"/>
          <w:lang w:val="ka-GE"/>
        </w:rPr>
        <w:t xml:space="preserve">შეხვედრაზე, ასევე, განხილულ იქნა N3 ოქმის ფარგლებში </w:t>
      </w:r>
      <w:r w:rsidR="002B2E80">
        <w:rPr>
          <w:rFonts w:ascii="Sylfaen" w:hAnsi="Sylfaen"/>
          <w:lang w:val="ka-GE"/>
        </w:rPr>
        <w:t xml:space="preserve">დასმული საკითხი </w:t>
      </w:r>
      <w:r w:rsidRPr="00AD4F78">
        <w:rPr>
          <w:rFonts w:ascii="Sylfaen" w:hAnsi="Sylfaen"/>
          <w:lang w:val="ka-GE"/>
        </w:rPr>
        <w:t xml:space="preserve">სალმეტეროლ/ფლუტიკაზონის </w:t>
      </w:r>
      <w:r w:rsidR="002B2E80">
        <w:rPr>
          <w:rFonts w:ascii="Sylfaen" w:hAnsi="Sylfaen"/>
          <w:lang w:val="ka-GE"/>
        </w:rPr>
        <w:t xml:space="preserve">შესაძლო </w:t>
      </w:r>
      <w:r w:rsidRPr="00AD4F78">
        <w:rPr>
          <w:rFonts w:ascii="Sylfaen" w:hAnsi="Sylfaen"/>
          <w:lang w:val="ka-GE"/>
        </w:rPr>
        <w:t>ჩანაცვლებასთან დაკავშირებით.</w:t>
      </w:r>
      <w:r w:rsidR="002B2E80">
        <w:rPr>
          <w:rFonts w:ascii="Sylfaen" w:hAnsi="Sylfaen"/>
          <w:lang w:val="ka-GE"/>
        </w:rPr>
        <w:t xml:space="preserve"> </w:t>
      </w:r>
      <w:r w:rsidR="002B2E80" w:rsidRPr="002B2E80">
        <w:rPr>
          <w:rFonts w:ascii="Sylfaen" w:hAnsi="Sylfaen"/>
          <w:lang w:val="ka-GE"/>
        </w:rPr>
        <w:t>კერძოდ, ექსპერტები მიიჩნევენ (ოქმი N3), რომ „Salmeterol Xinafoate, Fluticasone, Propionate“-ის ჩანაცვლება შესაძლებელია „Budesonide, Formoterol“-ით.</w:t>
      </w:r>
    </w:p>
    <w:p w14:paraId="1D98AF88" w14:textId="0592AA22" w:rsidR="002B2E80" w:rsidRDefault="002B2E80" w:rsidP="002B2E80">
      <w:pPr>
        <w:tabs>
          <w:tab w:val="left" w:pos="2460"/>
        </w:tabs>
        <w:spacing w:line="240" w:lineRule="auto"/>
        <w:jc w:val="both"/>
        <w:rPr>
          <w:rFonts w:ascii="Sylfaen" w:hAnsi="Sylfaen"/>
          <w:lang w:val="ka-GE"/>
        </w:rPr>
      </w:pPr>
    </w:p>
    <w:p w14:paraId="75EA821C" w14:textId="57112A7F" w:rsidR="002B2E80" w:rsidRPr="002B2E80" w:rsidRDefault="002B2E80" w:rsidP="002B2E8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სააგენტოს ინფორმაციით, </w:t>
      </w:r>
      <w:r w:rsidRPr="002B2E80">
        <w:rPr>
          <w:rFonts w:ascii="Sylfaen" w:hAnsi="Sylfaen"/>
          <w:lang w:val="ka-GE"/>
        </w:rPr>
        <w:t xml:space="preserve">ზემოხსენებული ფარმაცევტული პროდუქტის შესყიდვის მიზნით, ჩატარებული იქნა ბაზრის კვლევა. </w:t>
      </w:r>
      <w:r>
        <w:rPr>
          <w:rFonts w:ascii="Sylfaen" w:hAnsi="Sylfaen"/>
          <w:lang w:val="ka-GE"/>
        </w:rPr>
        <w:t xml:space="preserve">კერძოდ, </w:t>
      </w:r>
      <w:r w:rsidRPr="002B2E80">
        <w:rPr>
          <w:rFonts w:ascii="Sylfaen" w:hAnsi="Sylfaen"/>
          <w:lang w:val="ka-GE"/>
        </w:rPr>
        <w:t xml:space="preserve">სათანადო ინფორმაცია აიტვირთა სახელმწიფო შესყიდვების სააგენტოს (www.spa.ge), საქართველოს </w:t>
      </w:r>
      <w:r w:rsidR="007B216C">
        <w:rPr>
          <w:rFonts w:ascii="Sylfaen" w:hAnsi="Sylfaen"/>
          <w:lang w:val="ka-GE"/>
        </w:rPr>
        <w:t xml:space="preserve">ოკუპირებული ტერიტორიებიდან დევნილთა, </w:t>
      </w:r>
      <w:r w:rsidRPr="002B2E80">
        <w:rPr>
          <w:rFonts w:ascii="Sylfaen" w:hAnsi="Sylfaen"/>
          <w:lang w:val="ka-GE"/>
        </w:rPr>
        <w:t xml:space="preserve">შრომის, ჯანმრთელობისა და სოციალური დაცვის სამინისტროს (www.moh.gov.ge) და სსიპ სოციალური მომსახურების სააგენტოს (www.ssa.gov.ge) ვებ-გვერდებზე, ასევე, ელექტრონული ფოსტის მეშვეობით, შესაბამისი წერილები დაეგზავნა სათანადო პროფილის კომპანიებს. გამოხმაურება </w:t>
      </w:r>
      <w:r w:rsidR="007B216C">
        <w:rPr>
          <w:rFonts w:ascii="Sylfaen" w:hAnsi="Sylfaen"/>
          <w:lang w:val="ka-GE"/>
        </w:rPr>
        <w:t>მიღებულია</w:t>
      </w:r>
      <w:r w:rsidRPr="002B2E80">
        <w:rPr>
          <w:rFonts w:ascii="Sylfaen" w:hAnsi="Sylfaen"/>
          <w:lang w:val="ka-GE"/>
        </w:rPr>
        <w:t xml:space="preserve"> მხოლოდ შპს „პსპ ფარმასგან“, </w:t>
      </w:r>
      <w:r w:rsidR="007B216C">
        <w:rPr>
          <w:rFonts w:ascii="Sylfaen" w:hAnsi="Sylfaen"/>
          <w:lang w:val="ka-GE"/>
        </w:rPr>
        <w:t>რომლის მიერ</w:t>
      </w:r>
      <w:r w:rsidRPr="002B2E80">
        <w:rPr>
          <w:rFonts w:ascii="Sylfaen" w:hAnsi="Sylfaen"/>
          <w:lang w:val="ka-GE"/>
        </w:rPr>
        <w:t xml:space="preserve"> </w:t>
      </w:r>
      <w:r w:rsidR="007B216C">
        <w:rPr>
          <w:rFonts w:ascii="Sylfaen" w:hAnsi="Sylfaen"/>
          <w:lang w:val="ka-GE"/>
        </w:rPr>
        <w:lastRenderedPageBreak/>
        <w:t>შემოთავაზებულია</w:t>
      </w:r>
      <w:r w:rsidRPr="002B2E80">
        <w:rPr>
          <w:rFonts w:ascii="Sylfaen" w:hAnsi="Sylfaen"/>
          <w:lang w:val="ka-GE"/>
        </w:rPr>
        <w:t xml:space="preserve"> შვედეთის სამეფოს წარმოების მედიკამენტი „სიმბიკორტი“ (მწარმოებელი „Astra Zeneca“). მოწოდების ვადა - 4 თვე, ხელშეკრულების გაფორმების მომენტიდან. ფასები დოზირების მიხედვით:</w:t>
      </w:r>
    </w:p>
    <w:p w14:paraId="408E5A3E" w14:textId="18C616E3" w:rsidR="002B2E80" w:rsidRPr="002B2E80" w:rsidRDefault="002B2E80" w:rsidP="002B2E80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2B2E80">
        <w:rPr>
          <w:rFonts w:ascii="Sylfaen" w:hAnsi="Sylfaen"/>
          <w:lang w:val="ka-GE"/>
        </w:rPr>
        <w:t>ა) 320/9მკგ</w:t>
      </w:r>
      <w:r>
        <w:rPr>
          <w:rFonts w:ascii="Sylfaen" w:hAnsi="Sylfaen"/>
          <w:lang w:val="ka-GE"/>
        </w:rPr>
        <w:t xml:space="preserve"> </w:t>
      </w:r>
      <w:r w:rsidRPr="002B2E80">
        <w:rPr>
          <w:rFonts w:ascii="Sylfaen" w:hAnsi="Sylfaen"/>
          <w:lang w:val="ka-GE"/>
        </w:rPr>
        <w:t>60დოზა - 142.34 ლარი;</w:t>
      </w:r>
    </w:p>
    <w:p w14:paraId="3028CFEB" w14:textId="28188F66" w:rsidR="002B2E80" w:rsidRPr="002B2E80" w:rsidRDefault="002B2E80" w:rsidP="002B2E80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2B2E80">
        <w:rPr>
          <w:rFonts w:ascii="Sylfaen" w:hAnsi="Sylfaen"/>
          <w:lang w:val="ka-GE"/>
        </w:rPr>
        <w:t>ბ) 160/4.5მკგ</w:t>
      </w:r>
      <w:r>
        <w:rPr>
          <w:rFonts w:ascii="Sylfaen" w:hAnsi="Sylfaen"/>
          <w:lang w:val="ka-GE"/>
        </w:rPr>
        <w:t xml:space="preserve"> </w:t>
      </w:r>
      <w:r w:rsidRPr="002B2E80">
        <w:rPr>
          <w:rFonts w:ascii="Sylfaen" w:hAnsi="Sylfaen"/>
          <w:lang w:val="ka-GE"/>
        </w:rPr>
        <w:t>60დოზ.ფხვ - 72.92 ლარი;</w:t>
      </w:r>
    </w:p>
    <w:p w14:paraId="28BD4A95" w14:textId="77777777" w:rsidR="002B2E80" w:rsidRPr="002B2E80" w:rsidRDefault="002B2E80" w:rsidP="002B2E80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2B2E80">
        <w:rPr>
          <w:rFonts w:ascii="Sylfaen" w:hAnsi="Sylfaen"/>
          <w:lang w:val="ka-GE"/>
        </w:rPr>
        <w:t>გ) 80/4.5მკგ 60დოზ.ფხვ - 55.56 ლარი.</w:t>
      </w:r>
    </w:p>
    <w:p w14:paraId="4F8C6F45" w14:textId="77777777" w:rsidR="002B2E80" w:rsidRDefault="002B2E80" w:rsidP="002B2E80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14:paraId="644D53FA" w14:textId="77777777" w:rsidR="007B216C" w:rsidRDefault="002B2E80" w:rsidP="002B2E80">
      <w:pPr>
        <w:spacing w:after="0" w:line="240" w:lineRule="auto"/>
        <w:jc w:val="both"/>
        <w:rPr>
          <w:rFonts w:ascii="Sylfaen" w:hAnsi="Sylfaen"/>
          <w:lang w:val="ka-GE"/>
        </w:rPr>
      </w:pPr>
      <w:r w:rsidRPr="002B2E80">
        <w:rPr>
          <w:rFonts w:ascii="Sylfaen" w:hAnsi="Sylfaen"/>
          <w:lang w:val="ka-GE"/>
        </w:rPr>
        <w:t xml:space="preserve">გარდა ამისა, </w:t>
      </w:r>
      <w:r>
        <w:rPr>
          <w:rFonts w:ascii="Sylfaen" w:hAnsi="Sylfaen"/>
          <w:lang w:val="ka-GE"/>
        </w:rPr>
        <w:t xml:space="preserve">N3 </w:t>
      </w:r>
      <w:r w:rsidRPr="002B2E80">
        <w:rPr>
          <w:rFonts w:ascii="Sylfaen" w:hAnsi="Sylfaen"/>
          <w:lang w:val="ka-GE"/>
        </w:rPr>
        <w:t>ოქმის შესაბამისად, ა(ა)იპ „პარტნიორობა ხელმისაწვდომი ჯანდაცვისათვის“ მიერ მოწოდებული იქნა კომპანია „Astra Zeneca“-ს წარმომადგენლობის ინფორმაცია, „სიმბიკორტის“ წლიური მოხმარების (რეალური რეალიზაცია) და ფასების შესახებ, რაც მოცემულია ქვემოთ მოყვანილ ცხრილში.</w:t>
      </w:r>
    </w:p>
    <w:p w14:paraId="00E2F24D" w14:textId="76B6F7CC" w:rsidR="002B2E80" w:rsidRPr="002B2E80" w:rsidRDefault="002B2E80" w:rsidP="002B2E80">
      <w:pPr>
        <w:spacing w:after="0" w:line="240" w:lineRule="auto"/>
        <w:jc w:val="both"/>
        <w:rPr>
          <w:rFonts w:ascii="Sylfaen" w:hAnsi="Sylfaen"/>
          <w:lang w:val="ka-GE"/>
        </w:rPr>
      </w:pPr>
      <w:r w:rsidRPr="002B2E80">
        <w:rPr>
          <w:rFonts w:ascii="Sylfaen" w:hAnsi="Sylfaen"/>
          <w:lang w:val="ka-GE"/>
        </w:rPr>
        <w:t xml:space="preserve"> </w:t>
      </w:r>
    </w:p>
    <w:tbl>
      <w:tblPr>
        <w:tblW w:w="13603" w:type="dxa"/>
        <w:tblLook w:val="04A0" w:firstRow="1" w:lastRow="0" w:firstColumn="1" w:lastColumn="0" w:noHBand="0" w:noVBand="1"/>
      </w:tblPr>
      <w:tblGrid>
        <w:gridCol w:w="420"/>
        <w:gridCol w:w="2439"/>
        <w:gridCol w:w="1620"/>
        <w:gridCol w:w="2746"/>
        <w:gridCol w:w="4252"/>
        <w:gridCol w:w="2126"/>
      </w:tblGrid>
      <w:tr w:rsidR="002B2E80" w:rsidRPr="002B2E80" w14:paraId="2A965606" w14:textId="77777777" w:rsidTr="007B216C">
        <w:trPr>
          <w:trHeight w:val="60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21FB" w14:textId="77777777" w:rsidR="002B2E80" w:rsidRPr="002B2E80" w:rsidRDefault="002B2E80" w:rsidP="00ED11BB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2B2E80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61E4" w14:textId="77777777" w:rsidR="002B2E80" w:rsidRPr="002B2E80" w:rsidRDefault="002B2E80" w:rsidP="00ED11BB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2B2E80">
              <w:rPr>
                <w:rFonts w:ascii="Sylfaen" w:hAnsi="Sylfaen"/>
                <w:lang w:val="ka-GE"/>
              </w:rPr>
              <w:t>პროდუქტი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46A6" w14:textId="77777777" w:rsidR="002B2E80" w:rsidRPr="002B2E80" w:rsidRDefault="002B2E80" w:rsidP="00ED11BB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2B2E80">
              <w:rPr>
                <w:rFonts w:ascii="Sylfaen" w:hAnsi="Sylfaen"/>
                <w:lang w:val="ka-GE"/>
              </w:rPr>
              <w:t>წლიური რეალიზაცია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3628" w14:textId="77777777" w:rsidR="002B2E80" w:rsidRPr="002B2E80" w:rsidRDefault="002B2E80" w:rsidP="00ED11BB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2B2E80">
              <w:rPr>
                <w:rFonts w:ascii="Sylfaen" w:hAnsi="Sylfaen"/>
                <w:lang w:val="ka-GE"/>
              </w:rPr>
              <w:t>საცალო ფასი  ლარში ფასდაკლების დღეს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6D14" w14:textId="77777777" w:rsidR="002B2E80" w:rsidRPr="002B2E80" w:rsidRDefault="002B2E80" w:rsidP="00ED11BB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2B2E80">
              <w:rPr>
                <w:rFonts w:ascii="Sylfaen" w:hAnsi="Sylfaen"/>
                <w:lang w:val="ka-GE"/>
              </w:rPr>
              <w:t>სავარაუდო  ფასი  ლარში მითითებული  კურსით    1€ = 3,0ლ შემთხვევაში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7C38" w14:textId="77777777" w:rsidR="002B2E80" w:rsidRPr="002B2E80" w:rsidRDefault="002B2E80" w:rsidP="00ED11BB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2B2E80">
              <w:rPr>
                <w:rFonts w:ascii="Sylfaen" w:hAnsi="Sylfaen"/>
                <w:lang w:val="ka-GE"/>
              </w:rPr>
              <w:t>სხვაობა</w:t>
            </w:r>
          </w:p>
        </w:tc>
      </w:tr>
      <w:tr w:rsidR="002B2E80" w:rsidRPr="002B2E80" w14:paraId="199BE801" w14:textId="77777777" w:rsidTr="007B216C">
        <w:trPr>
          <w:trHeight w:val="38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EA50" w14:textId="77777777" w:rsidR="002B2E80" w:rsidRPr="002B2E80" w:rsidRDefault="002B2E80" w:rsidP="00ED11BB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2B2E80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D981" w14:textId="77777777" w:rsidR="002B2E80" w:rsidRPr="002B2E80" w:rsidRDefault="002B2E80" w:rsidP="00ED11BB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2B2E80">
              <w:rPr>
                <w:rFonts w:ascii="Sylfaen" w:hAnsi="Sylfaen"/>
                <w:lang w:val="ka-GE"/>
              </w:rPr>
              <w:t>SYMBICORT TBH powder for inhal. 160ug/4,5g/d,60ds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E68D" w14:textId="77777777" w:rsidR="002B2E80" w:rsidRPr="002B2E80" w:rsidRDefault="002B2E80" w:rsidP="00ED11BB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2B2E80">
              <w:rPr>
                <w:rFonts w:ascii="Sylfaen" w:hAnsi="Sylfaen"/>
                <w:lang w:val="ka-GE"/>
              </w:rPr>
              <w:t>9852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B45F" w14:textId="77777777" w:rsidR="002B2E80" w:rsidRPr="002B2E80" w:rsidRDefault="002B2E80" w:rsidP="00ED11BB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2B2E80">
              <w:rPr>
                <w:rFonts w:ascii="Sylfaen" w:hAnsi="Sylfaen"/>
                <w:lang w:val="ka-GE"/>
              </w:rPr>
              <w:t>71.98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71CF" w14:textId="77777777" w:rsidR="002B2E80" w:rsidRPr="002B2E80" w:rsidRDefault="002B2E80" w:rsidP="00ED11BB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2B2E80">
              <w:rPr>
                <w:rFonts w:ascii="Sylfaen" w:hAnsi="Sylfaen"/>
                <w:lang w:val="ka-GE"/>
              </w:rPr>
              <w:t>45.738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EF1C" w14:textId="77777777" w:rsidR="002B2E80" w:rsidRPr="002B2E80" w:rsidRDefault="002B2E80" w:rsidP="00ED11BB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2B2E80">
              <w:rPr>
                <w:rFonts w:ascii="Sylfaen" w:hAnsi="Sylfaen"/>
                <w:lang w:val="ka-GE"/>
              </w:rPr>
              <w:t>-36%</w:t>
            </w:r>
          </w:p>
        </w:tc>
      </w:tr>
      <w:tr w:rsidR="002B2E80" w:rsidRPr="002B2E80" w14:paraId="3964746D" w14:textId="77777777" w:rsidTr="007B216C">
        <w:trPr>
          <w:trHeight w:val="3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383F" w14:textId="77777777" w:rsidR="002B2E80" w:rsidRPr="002B2E80" w:rsidRDefault="002B2E80" w:rsidP="00ED11BB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2B2E80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801C" w14:textId="77777777" w:rsidR="002B2E80" w:rsidRPr="002B2E80" w:rsidRDefault="002B2E80" w:rsidP="00ED11BB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2B2E80">
              <w:rPr>
                <w:rFonts w:ascii="Sylfaen" w:hAnsi="Sylfaen"/>
                <w:lang w:val="ka-GE"/>
              </w:rPr>
              <w:t>SYMBICORT TBH powder for inhal. 320ug/9g/d,60ds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86FE" w14:textId="77777777" w:rsidR="002B2E80" w:rsidRPr="002B2E80" w:rsidRDefault="002B2E80" w:rsidP="00ED11BB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2B2E80">
              <w:rPr>
                <w:rFonts w:ascii="Sylfaen" w:hAnsi="Sylfaen"/>
                <w:lang w:val="ka-GE"/>
              </w:rPr>
              <w:t>4296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896E" w14:textId="77777777" w:rsidR="002B2E80" w:rsidRPr="002B2E80" w:rsidRDefault="002B2E80" w:rsidP="00ED11BB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2B2E80">
              <w:rPr>
                <w:rFonts w:ascii="Sylfaen" w:hAnsi="Sylfaen"/>
                <w:lang w:val="ka-GE"/>
              </w:rPr>
              <w:t>132.4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FB8E" w14:textId="77777777" w:rsidR="002B2E80" w:rsidRPr="002B2E80" w:rsidRDefault="002B2E80" w:rsidP="00ED11BB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2B2E80">
              <w:rPr>
                <w:rFonts w:ascii="Sylfaen" w:hAnsi="Sylfaen"/>
                <w:lang w:val="ka-GE"/>
              </w:rPr>
              <w:t>91.476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5213" w14:textId="77777777" w:rsidR="002B2E80" w:rsidRPr="002B2E80" w:rsidRDefault="002B2E80" w:rsidP="00ED11BB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2B2E80">
              <w:rPr>
                <w:rFonts w:ascii="Sylfaen" w:hAnsi="Sylfaen"/>
                <w:lang w:val="ka-GE"/>
              </w:rPr>
              <w:t>-31%</w:t>
            </w:r>
          </w:p>
        </w:tc>
      </w:tr>
      <w:tr w:rsidR="002B2E80" w:rsidRPr="002B2E80" w14:paraId="52E110AD" w14:textId="77777777" w:rsidTr="007B216C">
        <w:trPr>
          <w:trHeight w:val="41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450D" w14:textId="77777777" w:rsidR="002B2E80" w:rsidRPr="002B2E80" w:rsidRDefault="002B2E80" w:rsidP="00ED11BB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2B2E80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DA31" w14:textId="77777777" w:rsidR="002B2E80" w:rsidRPr="002B2E80" w:rsidRDefault="002B2E80" w:rsidP="00ED11BB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2B2E80">
              <w:rPr>
                <w:rFonts w:ascii="Sylfaen" w:hAnsi="Sylfaen"/>
                <w:lang w:val="ka-GE"/>
              </w:rPr>
              <w:t>SYMBICORT TBH powder for inhal. 80ug/4,5g/d,60ds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54CE" w14:textId="77777777" w:rsidR="002B2E80" w:rsidRPr="002B2E80" w:rsidRDefault="002B2E80" w:rsidP="00ED11BB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2B2E80">
              <w:rPr>
                <w:rFonts w:ascii="Sylfaen" w:hAnsi="Sylfaen"/>
                <w:lang w:val="ka-GE"/>
              </w:rPr>
              <w:t>3600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35DB" w14:textId="77777777" w:rsidR="002B2E80" w:rsidRPr="002B2E80" w:rsidRDefault="002B2E80" w:rsidP="00ED11BB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2B2E80">
              <w:rPr>
                <w:rFonts w:ascii="Sylfaen" w:hAnsi="Sylfaen"/>
                <w:lang w:val="ka-GE"/>
              </w:rPr>
              <w:t>54.13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F649" w14:textId="77777777" w:rsidR="002B2E80" w:rsidRPr="002B2E80" w:rsidRDefault="002B2E80" w:rsidP="00ED11BB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2B2E80">
              <w:rPr>
                <w:rFonts w:ascii="Sylfaen" w:hAnsi="Sylfaen"/>
                <w:lang w:val="ka-GE"/>
              </w:rPr>
              <w:t>34.848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45A8" w14:textId="77777777" w:rsidR="002B2E80" w:rsidRPr="002B2E80" w:rsidRDefault="002B2E80" w:rsidP="00ED11BB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2B2E80">
              <w:rPr>
                <w:rFonts w:ascii="Sylfaen" w:hAnsi="Sylfaen"/>
                <w:lang w:val="ka-GE"/>
              </w:rPr>
              <w:t>-36%</w:t>
            </w:r>
          </w:p>
        </w:tc>
      </w:tr>
    </w:tbl>
    <w:p w14:paraId="29C9CF4D" w14:textId="77777777" w:rsidR="007B216C" w:rsidRDefault="007B216C" w:rsidP="007B216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F49A41A" w14:textId="48983236" w:rsidR="002B2E80" w:rsidRDefault="002B2E80" w:rsidP="007B216C">
      <w:pPr>
        <w:spacing w:after="0" w:line="240" w:lineRule="auto"/>
        <w:jc w:val="both"/>
        <w:rPr>
          <w:rFonts w:ascii="Sylfaen" w:hAnsi="Sylfaen"/>
          <w:lang w:val="ka-GE"/>
        </w:rPr>
      </w:pPr>
      <w:r w:rsidRPr="002B2E80">
        <w:rPr>
          <w:rFonts w:ascii="Sylfaen" w:hAnsi="Sylfaen"/>
          <w:lang w:val="ka-GE"/>
        </w:rPr>
        <w:t>ფასების მიღების შემდგომ, კიდევ ერთხელ მივმართეთ ექსპერტებს, რათა გარკვეულიყო რამდენად შესაბამისია ერთმანეთთან, „სერეტიდი დისკუსის“ და „სიმბიკორტის“ დოზები. პროფესორი კახა ვაჭარაძის პასუხის შესაბამისად, „სერეტიდის“ 100მგ დოზას შეესაბამება „სიმბიკორტის 80მგ დოზა“, 250მგ - 160მგ დოზა, 500მგ - 320მგ დოზა.</w:t>
      </w:r>
    </w:p>
    <w:p w14:paraId="3F260103" w14:textId="77777777" w:rsidR="007B216C" w:rsidRDefault="007B216C" w:rsidP="007B216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2B710C6" w14:textId="3C55B5A3" w:rsidR="007B216C" w:rsidRPr="007B216C" w:rsidRDefault="007B216C" w:rsidP="007B216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ამასთან, </w:t>
      </w:r>
      <w:r w:rsidRPr="007B216C">
        <w:rPr>
          <w:rFonts w:ascii="Sylfaen" w:hAnsi="Sylfaen"/>
          <w:lang w:val="ka-GE"/>
        </w:rPr>
        <w:t>სააგენტოს მიერ „Salmeterol Xinafoate, Fluticasone, Propionate“-ის შესასყიდად ჩატარებულმა ბაზრის კვლევ</w:t>
      </w:r>
      <w:r w:rsidRPr="007B216C">
        <w:rPr>
          <w:rFonts w:ascii="Sylfaen" w:hAnsi="Sylfaen"/>
          <w:lang w:val="ka-GE"/>
        </w:rPr>
        <w:t xml:space="preserve">ის მიხედვით ერთეულის ყველაზე დაბალ ღირებულებად დაფიქსირებულია 30,5 ლარი. </w:t>
      </w:r>
    </w:p>
    <w:p w14:paraId="42E9039A" w14:textId="77777777" w:rsidR="007B216C" w:rsidRDefault="007B216C" w:rsidP="007B216C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2C0AD850" w14:textId="01E4392D" w:rsidR="00A3418E" w:rsidRPr="00DD7BD6" w:rsidRDefault="002B2E80" w:rsidP="00A3418E">
      <w:pPr>
        <w:jc w:val="both"/>
        <w:rPr>
          <w:rFonts w:ascii="Sylfaen" w:hAnsi="Sylfaen"/>
          <w:lang w:val="ka-GE"/>
        </w:rPr>
      </w:pPr>
      <w:r w:rsidRPr="002B2E80">
        <w:rPr>
          <w:rFonts w:ascii="Sylfaen" w:hAnsi="Sylfaen"/>
          <w:lang w:val="ka-GE"/>
        </w:rPr>
        <w:t>ბაზრის კვლევის შედეგების, კომპანია „Astra Zeneca“-ს წარმომადგენლობის მიერ მოწოდებული ინფორმაციის და ექსპერტების მოსაზრებით იკვეთება, რომ „Budesonide, Formoterol“-ის შესაბამისი დოზის ფასი, მეტია „Salmeterol Xinafoate, Fluticasone, Propionate“-ის შესაბამისი ღირებულებაზე. ამდენად, მიზანშეწონილია, სახელმწიფო პროგრამის ფარგლებში, შესყიდული იქნ</w:t>
      </w:r>
      <w:r w:rsidR="007B216C">
        <w:rPr>
          <w:rFonts w:ascii="Sylfaen" w:hAnsi="Sylfaen"/>
          <w:lang w:val="ka-GE"/>
        </w:rPr>
        <w:t>ა</w:t>
      </w:r>
      <w:r w:rsidRPr="002B2E80">
        <w:rPr>
          <w:rFonts w:ascii="Sylfaen" w:hAnsi="Sylfaen"/>
          <w:lang w:val="ka-GE"/>
        </w:rPr>
        <w:t xml:space="preserve">ს </w:t>
      </w:r>
      <w:r w:rsidR="007B216C" w:rsidRPr="002B2E80">
        <w:rPr>
          <w:rFonts w:ascii="Sylfaen" w:hAnsi="Sylfaen"/>
          <w:lang w:val="ka-GE"/>
        </w:rPr>
        <w:t>„Salmeterol Xinafoate, Fluticasone, Propionate“</w:t>
      </w:r>
      <w:r w:rsidR="007B216C">
        <w:rPr>
          <w:rFonts w:ascii="Sylfaen" w:hAnsi="Sylfaen"/>
          <w:lang w:val="ka-GE"/>
        </w:rPr>
        <w:t xml:space="preserve">, </w:t>
      </w:r>
      <w:r w:rsidR="00A3418E">
        <w:rPr>
          <w:rFonts w:ascii="Sylfaen" w:hAnsi="Sylfaen"/>
          <w:lang w:val="ka-GE"/>
        </w:rPr>
        <w:t xml:space="preserve">მიმდინარე ხარჯვის მაჩვენებლების გათვალისწინებით, </w:t>
      </w:r>
      <w:r w:rsidR="007B216C">
        <w:rPr>
          <w:rFonts w:ascii="Sylfaen" w:hAnsi="Sylfaen"/>
          <w:lang w:val="ka-GE"/>
        </w:rPr>
        <w:t xml:space="preserve">მათ შორის </w:t>
      </w:r>
      <w:r w:rsidRPr="002B2E80">
        <w:rPr>
          <w:rFonts w:ascii="Sylfaen" w:hAnsi="Sylfaen"/>
          <w:lang w:val="ka-GE"/>
        </w:rPr>
        <w:t>250მგ და 500მგ დოზიანი</w:t>
      </w:r>
      <w:r w:rsidR="007B216C">
        <w:rPr>
          <w:rFonts w:ascii="Sylfaen" w:hAnsi="Sylfaen"/>
          <w:lang w:val="ka-GE"/>
        </w:rPr>
        <w:t xml:space="preserve"> ფორმით.</w:t>
      </w:r>
      <w:r w:rsidR="00A3418E">
        <w:rPr>
          <w:rFonts w:ascii="Sylfaen" w:hAnsi="Sylfaen"/>
          <w:lang w:val="ka-GE"/>
        </w:rPr>
        <w:t xml:space="preserve"> </w:t>
      </w:r>
      <w:r w:rsidR="00A3418E">
        <w:rPr>
          <w:rFonts w:ascii="Sylfaen" w:hAnsi="Sylfaen"/>
          <w:lang w:val="ka-GE"/>
        </w:rPr>
        <w:lastRenderedPageBreak/>
        <w:t xml:space="preserve">ექსპერტების მოსაზრებით (N3 ოქმი), მიზანშეწონილია </w:t>
      </w:r>
      <w:r w:rsidR="00A3418E" w:rsidRPr="00365672">
        <w:rPr>
          <w:rFonts w:ascii="Sylfaen" w:hAnsi="Sylfaen"/>
          <w:lang w:val="ka-GE"/>
        </w:rPr>
        <w:t>სალმეტეროლ/ ფლუტიკაზონ</w:t>
      </w:r>
      <w:r w:rsidR="00A3418E">
        <w:rPr>
          <w:lang w:val="ka-GE"/>
        </w:rPr>
        <w:t xml:space="preserve">ის </w:t>
      </w:r>
      <w:r w:rsidR="00A3418E" w:rsidRPr="00DD7BD6">
        <w:rPr>
          <w:rFonts w:ascii="Sylfaen" w:hAnsi="Sylfaen"/>
          <w:lang w:val="ka-GE"/>
        </w:rPr>
        <w:t>მთლიანი შესასყიდი რაოდენობის დაახლოებით 20% იყოს</w:t>
      </w:r>
      <w:r w:rsidR="00A3418E">
        <w:rPr>
          <w:rFonts w:ascii="Sylfaen" w:hAnsi="Sylfaen"/>
          <w:lang w:val="ka-GE"/>
        </w:rPr>
        <w:t xml:space="preserve"> 50/250მკგ </w:t>
      </w:r>
      <w:r w:rsidR="00A3418E" w:rsidRPr="00DD7BD6">
        <w:rPr>
          <w:rFonts w:ascii="Sylfaen" w:hAnsi="Sylfaen"/>
          <w:lang w:val="ka-GE"/>
        </w:rPr>
        <w:t>ფორმა, ხოლო 80%  - 50/500მკგ ფორმა.</w:t>
      </w:r>
    </w:p>
    <w:p w14:paraId="669596E4" w14:textId="09CC6A4A" w:rsidR="002B2E80" w:rsidRPr="00AD4F78" w:rsidRDefault="00A3418E" w:rsidP="00A3418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სააგენტოს ინფორმაციით,</w:t>
      </w:r>
      <w:r w:rsidR="002B2E80" w:rsidRPr="002B2E80">
        <w:rPr>
          <w:rFonts w:ascii="Sylfaen" w:hAnsi="Sylfaen"/>
          <w:lang w:val="ka-GE"/>
        </w:rPr>
        <w:t xml:space="preserve"> 2018 წლის სექტემბრის თვეში დაფიქსირდა </w:t>
      </w:r>
      <w:r>
        <w:rPr>
          <w:rFonts w:ascii="Sylfaen" w:hAnsi="Sylfaen"/>
          <w:lang w:val="ka-GE"/>
        </w:rPr>
        <w:t>,,</w:t>
      </w:r>
      <w:r w:rsidRPr="007B216C">
        <w:rPr>
          <w:rFonts w:ascii="Sylfaen" w:hAnsi="Sylfaen"/>
          <w:lang w:val="ka-GE"/>
        </w:rPr>
        <w:t>Salmeterol Xinafoate, Fluticasone, Propionate</w:t>
      </w:r>
      <w:r>
        <w:rPr>
          <w:rFonts w:ascii="Sylfaen" w:hAnsi="Sylfaen"/>
          <w:lang w:val="ka-GE"/>
        </w:rPr>
        <w:t>“</w:t>
      </w:r>
      <w:r w:rsidRPr="002B2E80">
        <w:rPr>
          <w:rFonts w:ascii="Sylfaen" w:hAnsi="Sylfaen"/>
          <w:lang w:val="ka-GE"/>
        </w:rPr>
        <w:t xml:space="preserve"> </w:t>
      </w:r>
      <w:r w:rsidR="002B2E80" w:rsidRPr="002B2E80">
        <w:rPr>
          <w:rFonts w:ascii="Sylfaen" w:hAnsi="Sylfaen"/>
          <w:lang w:val="ka-GE"/>
        </w:rPr>
        <w:t xml:space="preserve">ხარჯვის ყველაზე დიდი მაჩვენებელი 2118 ერთეული. </w:t>
      </w:r>
      <w:r>
        <w:rPr>
          <w:rFonts w:ascii="Sylfaen" w:hAnsi="Sylfaen"/>
          <w:lang w:val="ka-GE"/>
        </w:rPr>
        <w:t>აღნიშნულის</w:t>
      </w:r>
      <w:r w:rsidR="002B2E80" w:rsidRPr="002B2E80">
        <w:rPr>
          <w:rFonts w:ascii="Sylfaen" w:hAnsi="Sylfaen"/>
          <w:lang w:val="ka-GE"/>
        </w:rPr>
        <w:t xml:space="preserve"> გავითვალისწინებ</w:t>
      </w:r>
      <w:r>
        <w:rPr>
          <w:rFonts w:ascii="Sylfaen" w:hAnsi="Sylfaen"/>
          <w:lang w:val="ka-GE"/>
        </w:rPr>
        <w:t>ი</w:t>
      </w:r>
      <w:r w:rsidR="002B2E80" w:rsidRPr="002B2E80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,</w:t>
      </w:r>
      <w:r w:rsidR="002B2E80" w:rsidRPr="002B2E80">
        <w:rPr>
          <w:rFonts w:ascii="Sylfaen" w:hAnsi="Sylfaen"/>
          <w:lang w:val="ka-GE"/>
        </w:rPr>
        <w:t xml:space="preserve"> მიზანშეწონილია </w:t>
      </w:r>
      <w:r>
        <w:rPr>
          <w:rFonts w:ascii="Sylfaen" w:hAnsi="Sylfaen"/>
          <w:lang w:val="ka-GE"/>
        </w:rPr>
        <w:t xml:space="preserve">ამ ეტაპზე, შესასყიდი რაოდენობა განისაზღვროს </w:t>
      </w:r>
      <w:r w:rsidR="002B2E80" w:rsidRPr="002B2E80">
        <w:rPr>
          <w:rFonts w:ascii="Sylfaen" w:hAnsi="Sylfaen"/>
          <w:lang w:val="ka-GE"/>
        </w:rPr>
        <w:t xml:space="preserve"> - 25 416 </w:t>
      </w:r>
      <w:r>
        <w:rPr>
          <w:rFonts w:ascii="Sylfaen" w:hAnsi="Sylfaen"/>
          <w:lang w:val="ka-GE"/>
        </w:rPr>
        <w:t xml:space="preserve">ერთეულით (სასურველი </w:t>
      </w:r>
      <w:r w:rsidR="002B2E80" w:rsidRPr="002B2E80">
        <w:rPr>
          <w:rFonts w:ascii="Sylfaen" w:hAnsi="Sylfaen"/>
          <w:lang w:val="ka-GE"/>
        </w:rPr>
        <w:t>ვარგისიანობის ვადა მოწოდების მომენტისთვის 18 თვეზე მეტი)</w:t>
      </w:r>
      <w:r>
        <w:rPr>
          <w:rFonts w:ascii="Sylfaen" w:hAnsi="Sylfaen"/>
          <w:lang w:val="ka-GE"/>
        </w:rPr>
        <w:t xml:space="preserve">, მათ შორის 5084 ცალი </w:t>
      </w:r>
      <w:r w:rsidRPr="00DD7BD6">
        <w:rPr>
          <w:rFonts w:ascii="Sylfaen" w:hAnsi="Sylfaen"/>
          <w:lang w:val="ka-GE"/>
        </w:rPr>
        <w:t xml:space="preserve">50/250 </w:t>
      </w:r>
      <w:r>
        <w:rPr>
          <w:rFonts w:ascii="Sylfaen" w:hAnsi="Sylfaen"/>
          <w:lang w:val="ka-GE"/>
        </w:rPr>
        <w:t xml:space="preserve">ფორმით, ხოლო 20 332 ერთეული </w:t>
      </w:r>
      <w:r w:rsidRPr="00DD7BD6">
        <w:rPr>
          <w:rFonts w:ascii="Sylfaen" w:hAnsi="Sylfaen"/>
          <w:lang w:val="ka-GE"/>
        </w:rPr>
        <w:t>50/500მკგ</w:t>
      </w:r>
      <w:r>
        <w:rPr>
          <w:rFonts w:ascii="Sylfaen" w:hAnsi="Sylfaen"/>
          <w:lang w:val="ka-GE"/>
        </w:rPr>
        <w:t xml:space="preserve"> ფორმით.</w:t>
      </w:r>
      <w:bookmarkStart w:id="0" w:name="_GoBack"/>
      <w:bookmarkEnd w:id="0"/>
    </w:p>
    <w:sectPr w:rsidR="002B2E80" w:rsidRPr="00AD4F78" w:rsidSect="00E3315E">
      <w:pgSz w:w="15840" w:h="12240" w:orient="landscape"/>
      <w:pgMar w:top="1440" w:right="1440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40A7"/>
    <w:multiLevelType w:val="hybridMultilevel"/>
    <w:tmpl w:val="178C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165E7"/>
    <w:multiLevelType w:val="hybridMultilevel"/>
    <w:tmpl w:val="33769E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095EDD"/>
    <w:multiLevelType w:val="hybridMultilevel"/>
    <w:tmpl w:val="22743E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45BE"/>
    <w:multiLevelType w:val="hybridMultilevel"/>
    <w:tmpl w:val="8258F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E0FF6"/>
    <w:multiLevelType w:val="hybridMultilevel"/>
    <w:tmpl w:val="2FB47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51815"/>
    <w:multiLevelType w:val="hybridMultilevel"/>
    <w:tmpl w:val="144E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33E23"/>
    <w:multiLevelType w:val="hybridMultilevel"/>
    <w:tmpl w:val="F642F2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D2FD3"/>
    <w:multiLevelType w:val="hybridMultilevel"/>
    <w:tmpl w:val="E406685E"/>
    <w:lvl w:ilvl="0" w:tplc="04090001">
      <w:start w:val="1"/>
      <w:numFmt w:val="bullet"/>
      <w:lvlText w:val=""/>
      <w:lvlJc w:val="left"/>
      <w:pPr>
        <w:ind w:left="2460" w:hanging="24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BD4618"/>
    <w:multiLevelType w:val="hybridMultilevel"/>
    <w:tmpl w:val="E2A6A27A"/>
    <w:lvl w:ilvl="0" w:tplc="F3FC8ACA">
      <w:numFmt w:val="bullet"/>
      <w:lvlText w:val="•"/>
      <w:lvlJc w:val="left"/>
      <w:pPr>
        <w:ind w:left="2460" w:hanging="24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0D1758"/>
    <w:multiLevelType w:val="hybridMultilevel"/>
    <w:tmpl w:val="7530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C68EB"/>
    <w:multiLevelType w:val="hybridMultilevel"/>
    <w:tmpl w:val="0472D284"/>
    <w:lvl w:ilvl="0" w:tplc="D6B2F24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61066"/>
    <w:multiLevelType w:val="hybridMultilevel"/>
    <w:tmpl w:val="7FE8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C5251"/>
    <w:multiLevelType w:val="hybridMultilevel"/>
    <w:tmpl w:val="8698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11C7B"/>
    <w:multiLevelType w:val="hybridMultilevel"/>
    <w:tmpl w:val="8F9E4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85D63"/>
    <w:multiLevelType w:val="hybridMultilevel"/>
    <w:tmpl w:val="B6E624E2"/>
    <w:lvl w:ilvl="0" w:tplc="368644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6610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483D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1274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8650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BCBA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B8B1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7C3F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B0E8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5AC57AB8"/>
    <w:multiLevelType w:val="hybridMultilevel"/>
    <w:tmpl w:val="7A80E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90FE6"/>
    <w:multiLevelType w:val="hybridMultilevel"/>
    <w:tmpl w:val="43A2EC44"/>
    <w:lvl w:ilvl="0" w:tplc="69F8EB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662D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8459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9EEA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96BE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30A8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AE1D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BC62C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892EC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6BFB5C78"/>
    <w:multiLevelType w:val="hybridMultilevel"/>
    <w:tmpl w:val="4FCCBF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D761755"/>
    <w:multiLevelType w:val="hybridMultilevel"/>
    <w:tmpl w:val="AC9EB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C5634"/>
    <w:multiLevelType w:val="hybridMultilevel"/>
    <w:tmpl w:val="AF04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D7483"/>
    <w:multiLevelType w:val="hybridMultilevel"/>
    <w:tmpl w:val="12DCEC8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CEA6859"/>
    <w:multiLevelType w:val="hybridMultilevel"/>
    <w:tmpl w:val="EBCEC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12"/>
  </w:num>
  <w:num w:numId="5">
    <w:abstractNumId w:val="3"/>
  </w:num>
  <w:num w:numId="6">
    <w:abstractNumId w:val="11"/>
  </w:num>
  <w:num w:numId="7">
    <w:abstractNumId w:val="8"/>
  </w:num>
  <w:num w:numId="8">
    <w:abstractNumId w:val="7"/>
  </w:num>
  <w:num w:numId="9">
    <w:abstractNumId w:val="2"/>
  </w:num>
  <w:num w:numId="10">
    <w:abstractNumId w:val="20"/>
  </w:num>
  <w:num w:numId="11">
    <w:abstractNumId w:val="13"/>
  </w:num>
  <w:num w:numId="12">
    <w:abstractNumId w:val="21"/>
  </w:num>
  <w:num w:numId="13">
    <w:abstractNumId w:val="4"/>
  </w:num>
  <w:num w:numId="14">
    <w:abstractNumId w:val="19"/>
  </w:num>
  <w:num w:numId="15">
    <w:abstractNumId w:val="15"/>
  </w:num>
  <w:num w:numId="16">
    <w:abstractNumId w:val="18"/>
  </w:num>
  <w:num w:numId="17">
    <w:abstractNumId w:val="5"/>
  </w:num>
  <w:num w:numId="18">
    <w:abstractNumId w:val="9"/>
  </w:num>
  <w:num w:numId="19">
    <w:abstractNumId w:val="0"/>
  </w:num>
  <w:num w:numId="20">
    <w:abstractNumId w:val="1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EE"/>
    <w:rsid w:val="00073B8D"/>
    <w:rsid w:val="00081AE5"/>
    <w:rsid w:val="001D3843"/>
    <w:rsid w:val="00287D22"/>
    <w:rsid w:val="002A0EAA"/>
    <w:rsid w:val="002A482D"/>
    <w:rsid w:val="002B2E80"/>
    <w:rsid w:val="0030446E"/>
    <w:rsid w:val="0036176A"/>
    <w:rsid w:val="0036570F"/>
    <w:rsid w:val="00370521"/>
    <w:rsid w:val="0038300C"/>
    <w:rsid w:val="0049547B"/>
    <w:rsid w:val="004C1720"/>
    <w:rsid w:val="004D4EF3"/>
    <w:rsid w:val="00567D53"/>
    <w:rsid w:val="0062290C"/>
    <w:rsid w:val="00660FDF"/>
    <w:rsid w:val="00663112"/>
    <w:rsid w:val="007048BF"/>
    <w:rsid w:val="0075629C"/>
    <w:rsid w:val="007B216C"/>
    <w:rsid w:val="007F23A7"/>
    <w:rsid w:val="007F3DEA"/>
    <w:rsid w:val="0084359A"/>
    <w:rsid w:val="00881068"/>
    <w:rsid w:val="00893D2B"/>
    <w:rsid w:val="008A61B1"/>
    <w:rsid w:val="008C0827"/>
    <w:rsid w:val="008C5851"/>
    <w:rsid w:val="00903EF1"/>
    <w:rsid w:val="009754C8"/>
    <w:rsid w:val="00986FD5"/>
    <w:rsid w:val="009D54CF"/>
    <w:rsid w:val="00A058E2"/>
    <w:rsid w:val="00A104C1"/>
    <w:rsid w:val="00A3418E"/>
    <w:rsid w:val="00A61F63"/>
    <w:rsid w:val="00AC0EAF"/>
    <w:rsid w:val="00AC79A9"/>
    <w:rsid w:val="00AD4F78"/>
    <w:rsid w:val="00AE31AB"/>
    <w:rsid w:val="00AE75BA"/>
    <w:rsid w:val="00B9519B"/>
    <w:rsid w:val="00BD6526"/>
    <w:rsid w:val="00BF3A73"/>
    <w:rsid w:val="00C03FDF"/>
    <w:rsid w:val="00CD50EE"/>
    <w:rsid w:val="00D27AE6"/>
    <w:rsid w:val="00D454DD"/>
    <w:rsid w:val="00DB468C"/>
    <w:rsid w:val="00DD55B9"/>
    <w:rsid w:val="00E3315E"/>
    <w:rsid w:val="00E338D7"/>
    <w:rsid w:val="00E603A5"/>
    <w:rsid w:val="00EA12F5"/>
    <w:rsid w:val="00EA41BA"/>
    <w:rsid w:val="00EE234A"/>
    <w:rsid w:val="00EF167E"/>
    <w:rsid w:val="00F115BC"/>
    <w:rsid w:val="00F30DE5"/>
    <w:rsid w:val="00F7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95E7"/>
  <w15:chartTrackingRefBased/>
  <w15:docId w15:val="{51DA2BB1-11C8-4519-A52E-A64D1808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4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3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B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B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B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B8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3315E"/>
    <w:pPr>
      <w:spacing w:after="0" w:line="240" w:lineRule="auto"/>
    </w:pPr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768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86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219">
          <w:marLeft w:val="108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861">
          <w:marLeft w:val="108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436">
          <w:marLeft w:val="108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090">
          <w:marLeft w:val="108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467">
          <w:marLeft w:val="108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977">
          <w:marLeft w:val="108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1704">
          <w:marLeft w:val="108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904">
          <w:marLeft w:val="108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251">
          <w:marLeft w:val="108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160">
          <w:marLeft w:val="108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85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54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9180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dal.ge/drugs/active-ingredients/levodopa" TargetMode="External"/><Relationship Id="rId5" Type="http://schemas.openxmlformats.org/officeDocument/2006/relationships/hyperlink" Target="http://www.vidal.ge/drugs/active-ingredients/carbido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Ekaterine Adamia</cp:lastModifiedBy>
  <cp:revision>3</cp:revision>
  <dcterms:created xsi:type="dcterms:W3CDTF">2018-10-30T12:27:00Z</dcterms:created>
  <dcterms:modified xsi:type="dcterms:W3CDTF">2018-10-30T12:29:00Z</dcterms:modified>
</cp:coreProperties>
</file>