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4D" w:rsidRDefault="00850F4D" w:rsidP="00850F4D">
      <w:pPr>
        <w:rPr>
          <w:rFonts w:ascii="Sylfaen" w:hAnsi="Sylfaen"/>
          <w:lang w:val="en-US"/>
        </w:rPr>
      </w:pPr>
    </w:p>
    <w:p w:rsidR="001E4EBB" w:rsidRDefault="001E4EBB" w:rsidP="00850F4D">
      <w:pPr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6585ABC5">
            <wp:extent cx="8610600" cy="4843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195" cy="4844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4EBB" w:rsidRDefault="001E4EBB" w:rsidP="00850F4D">
      <w:pPr>
        <w:rPr>
          <w:rFonts w:ascii="Sylfaen" w:hAnsi="Sylfaen"/>
          <w:lang w:val="en-US"/>
        </w:rPr>
      </w:pPr>
    </w:p>
    <w:p w:rsidR="001E4EBB" w:rsidRDefault="001E4EBB" w:rsidP="00850F4D">
      <w:pPr>
        <w:rPr>
          <w:rFonts w:ascii="Sylfaen" w:hAnsi="Sylfaen"/>
          <w:lang w:val="en-US"/>
        </w:rPr>
      </w:pPr>
    </w:p>
    <w:p w:rsidR="00FC4134" w:rsidRDefault="00FC4134" w:rsidP="00FC4134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lastRenderedPageBreak/>
        <w:t>გრიპისმაგვარი დაავადებებისა (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ILI)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 xml:space="preserve">ინციდენტობა**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</w:rPr>
        <w:t>201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7-19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</w:rPr>
        <w:t xml:space="preserve">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წლების სეზონთაშორისი მონაცემები (საყრდენი ბაზების მიხედვით***)</w:t>
      </w:r>
    </w:p>
    <w:tbl>
      <w:tblPr>
        <w:tblpPr w:leftFromText="180" w:rightFromText="180" w:horzAnchor="margin" w:tblpXSpec="center" w:tblpY="450"/>
        <w:tblW w:w="1566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61"/>
        <w:gridCol w:w="893"/>
        <w:gridCol w:w="893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C4134" w:rsidRPr="00FC4134" w:rsidTr="00FC4134">
        <w:trPr>
          <w:trHeight w:val="1185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წლის</w:t>
            </w:r>
          </w:p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კალენდარული</w:t>
            </w:r>
          </w:p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23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24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25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26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27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28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29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30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31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32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33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34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35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36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37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38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39</w:t>
            </w:r>
          </w:p>
        </w:tc>
      </w:tr>
      <w:tr w:rsidR="00FC4134" w:rsidRPr="00FC4134" w:rsidTr="00FC4134">
        <w:trPr>
          <w:trHeight w:val="414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201</w:t>
            </w: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7 წ.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94,1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110,7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114,1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117,8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94,1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94,1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23,8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16,7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26,9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5,2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10,3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3,4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7,5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12.8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5.5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5,1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4,6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15,9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45,1</w:t>
            </w:r>
          </w:p>
        </w:tc>
      </w:tr>
      <w:tr w:rsidR="00FC4134" w:rsidRPr="00FC4134" w:rsidTr="00FC4134">
        <w:trPr>
          <w:trHeight w:val="600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201</w:t>
            </w: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8</w:t>
            </w: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 xml:space="preserve"> წ.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65,6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56,6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94,5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47,3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59,9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45,8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37,4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39,1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23,6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33,7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4,3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30,2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28,9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40,6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43,4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40,6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40,6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49,8</w:t>
            </w:r>
          </w:p>
        </w:tc>
      </w:tr>
      <w:tr w:rsidR="00FC4134" w:rsidRPr="00FC4134" w:rsidTr="00FC4134">
        <w:trPr>
          <w:trHeight w:val="600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201</w:t>
            </w: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9</w:t>
            </w:r>
            <w:r w:rsidRPr="00FC4134">
              <w:rPr>
                <w:rFonts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 xml:space="preserve"> </w:t>
            </w:r>
            <w:r w:rsidRPr="00FC4134">
              <w:rPr>
                <w:rFonts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წ</w:t>
            </w:r>
            <w:r w:rsidRPr="00FC4134">
              <w:rPr>
                <w:rFonts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38,5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116,4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1E4EBB" w:rsidRDefault="001E4EBB" w:rsidP="00850F4D">
      <w:pPr>
        <w:rPr>
          <w:rFonts w:ascii="Sylfaen" w:hAnsi="Sylfaen"/>
          <w:lang w:val="ka-GE"/>
        </w:rPr>
      </w:pPr>
    </w:p>
    <w:p w:rsidR="00FC4134" w:rsidRPr="00FC4134" w:rsidRDefault="00FC4134" w:rsidP="00FC4134">
      <w:pPr>
        <w:rPr>
          <w:rFonts w:ascii="Sylfaen" w:hAnsi="Sylfaen"/>
          <w:lang w:val="en-US"/>
        </w:rPr>
      </w:pPr>
      <w:r w:rsidRPr="00FC4134">
        <w:rPr>
          <w:rFonts w:ascii="Sylfaen" w:hAnsi="Sylfaen"/>
          <w:b/>
          <w:bCs/>
          <w:lang w:val="ka-GE"/>
        </w:rPr>
        <w:t>მძიმე მწვავე რესპირატორული ინფექციების (</w:t>
      </w:r>
      <w:r w:rsidRPr="00FC4134">
        <w:rPr>
          <w:rFonts w:ascii="Sylfaen" w:hAnsi="Sylfaen"/>
          <w:b/>
          <w:bCs/>
          <w:lang w:val="en-US"/>
        </w:rPr>
        <w:t xml:space="preserve">SARI) </w:t>
      </w:r>
      <w:r w:rsidRPr="00FC4134">
        <w:rPr>
          <w:rFonts w:ascii="Sylfaen" w:hAnsi="Sylfaen"/>
          <w:b/>
          <w:bCs/>
          <w:lang w:val="ka-GE"/>
        </w:rPr>
        <w:t>2018 წლის სეზონთაშორისი მონაცემების,  % წილი საერთო ჰოსპიტალიზაციაში (საყრდენი ბაზების მიხედვით***)</w:t>
      </w:r>
    </w:p>
    <w:tbl>
      <w:tblPr>
        <w:tblW w:w="16332" w:type="dxa"/>
        <w:tblInd w:w="-87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32"/>
        <w:gridCol w:w="706"/>
        <w:gridCol w:w="762"/>
        <w:gridCol w:w="762"/>
        <w:gridCol w:w="762"/>
        <w:gridCol w:w="762"/>
        <w:gridCol w:w="760"/>
        <w:gridCol w:w="760"/>
        <w:gridCol w:w="760"/>
        <w:gridCol w:w="762"/>
        <w:gridCol w:w="760"/>
        <w:gridCol w:w="760"/>
        <w:gridCol w:w="760"/>
        <w:gridCol w:w="760"/>
        <w:gridCol w:w="762"/>
        <w:gridCol w:w="760"/>
        <w:gridCol w:w="762"/>
        <w:gridCol w:w="760"/>
        <w:gridCol w:w="760"/>
        <w:gridCol w:w="760"/>
      </w:tblGrid>
      <w:tr w:rsidR="00FC4134" w:rsidRPr="00FC4134" w:rsidTr="00FC4134">
        <w:trPr>
          <w:trHeight w:val="1160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წლის</w:t>
            </w:r>
          </w:p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კალენდარული</w:t>
            </w:r>
          </w:p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კვირა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21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22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23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24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25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26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27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28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29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30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31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32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33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34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35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36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37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38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39</w:t>
            </w:r>
          </w:p>
        </w:tc>
      </w:tr>
      <w:tr w:rsidR="00FC4134" w:rsidRPr="00FC4134" w:rsidTr="00FC4134">
        <w:trPr>
          <w:trHeight w:val="460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201</w:t>
            </w: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7 წ.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11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9,3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ka-GE"/>
              </w:rPr>
              <w:t>10,8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13,1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en-US"/>
              </w:rPr>
              <w:t>9,5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en-US"/>
              </w:rPr>
              <w:t>9,7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en-US"/>
              </w:rPr>
              <w:t>6,4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en-US"/>
              </w:rPr>
              <w:t>9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en-US"/>
              </w:rPr>
              <w:t>8,3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ka-GE"/>
              </w:rPr>
              <w:t>9,4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en-US"/>
              </w:rPr>
              <w:t>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en-US"/>
              </w:rPr>
              <w:t>9,4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en-US"/>
              </w:rPr>
              <w:t>9,8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ka-GE"/>
              </w:rPr>
              <w:t>10.8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ka-GE"/>
              </w:rPr>
              <w:t>6.1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ka-GE"/>
              </w:rPr>
              <w:t>11,5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en-US"/>
              </w:rPr>
              <w:t>8,1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ka-GE"/>
              </w:rPr>
              <w:t>10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val="en-US"/>
              </w:rPr>
              <w:t>9,2</w:t>
            </w:r>
          </w:p>
        </w:tc>
      </w:tr>
      <w:tr w:rsidR="00FC4134" w:rsidRPr="00FC4134" w:rsidTr="00FC4134">
        <w:trPr>
          <w:trHeight w:val="509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2018 </w:t>
            </w: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4"/>
                <w:szCs w:val="24"/>
                <w:lang w:val="ka-GE"/>
              </w:rPr>
              <w:t>წ.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11,6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9,6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11,2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ka-GE"/>
              </w:rPr>
              <w:t>9,8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11,6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8,3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8,5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9,9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10,3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9,2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9,9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7,7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9,1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7,8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5,6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9,1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9,7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7,7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9,6</w:t>
            </w:r>
          </w:p>
        </w:tc>
      </w:tr>
      <w:tr w:rsidR="00FC4134" w:rsidRPr="00FC4134" w:rsidTr="00FC4134">
        <w:trPr>
          <w:trHeight w:val="640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eastAsia="Times New Roman" w:hAnsi="Sylfaen" w:cs="Arial"/>
                <w:b/>
                <w:bCs/>
                <w:color w:val="000000" w:themeColor="text1"/>
                <w:kern w:val="24"/>
                <w:sz w:val="24"/>
                <w:szCs w:val="24"/>
                <w:lang w:val="ka-GE"/>
              </w:rPr>
              <w:t>201</w:t>
            </w: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9</w:t>
            </w:r>
            <w:r w:rsidRPr="00FC4134">
              <w:rPr>
                <w:rFonts w:eastAsia="Times New Roman" w:hAnsi="Sylfaen" w:cs="Arial"/>
                <w:b/>
                <w:bCs/>
                <w:color w:val="000000" w:themeColor="text1"/>
                <w:kern w:val="24"/>
                <w:sz w:val="24"/>
                <w:szCs w:val="24"/>
                <w:lang w:val="ka-GE"/>
              </w:rPr>
              <w:t xml:space="preserve"> </w:t>
            </w:r>
            <w:r w:rsidRPr="00FC4134">
              <w:rPr>
                <w:rFonts w:eastAsia="Times New Roman" w:hAnsi="Sylfaen" w:cs="Arial"/>
                <w:b/>
                <w:bCs/>
                <w:color w:val="000000" w:themeColor="text1"/>
                <w:kern w:val="24"/>
                <w:sz w:val="24"/>
                <w:szCs w:val="24"/>
                <w:lang w:val="ka-GE"/>
              </w:rPr>
              <w:t>წ</w:t>
            </w:r>
            <w:r w:rsidRPr="00FC4134">
              <w:rPr>
                <w:rFonts w:eastAsia="Times New Roman" w:hAnsi="Sylfaen" w:cs="Arial"/>
                <w:b/>
                <w:bCs/>
                <w:color w:val="000000" w:themeColor="text1"/>
                <w:kern w:val="24"/>
                <w:sz w:val="24"/>
                <w:szCs w:val="24"/>
                <w:lang w:val="ka-GE"/>
              </w:rPr>
              <w:t>.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lang w:val="en-US"/>
              </w:rPr>
              <w:t>3,9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10,9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</w:tbl>
    <w:p w:rsidR="00FC4134" w:rsidRPr="00FC4134" w:rsidRDefault="00FC4134" w:rsidP="00850F4D">
      <w:pPr>
        <w:rPr>
          <w:rFonts w:ascii="Sylfaen" w:hAnsi="Sylfaen"/>
          <w:lang w:val="ka-GE"/>
        </w:rPr>
      </w:pPr>
    </w:p>
    <w:p w:rsidR="001E4EBB" w:rsidRDefault="001E4EBB" w:rsidP="00850F4D">
      <w:pPr>
        <w:rPr>
          <w:rFonts w:ascii="Sylfaen" w:hAnsi="Sylfaen"/>
          <w:lang w:val="en-US"/>
        </w:rPr>
      </w:pPr>
    </w:p>
    <w:p w:rsidR="001E4EBB" w:rsidRDefault="001E4EBB" w:rsidP="00850F4D">
      <w:pPr>
        <w:rPr>
          <w:rFonts w:ascii="Sylfaen" w:hAnsi="Sylfaen"/>
          <w:lang w:val="en-US"/>
        </w:rPr>
      </w:pPr>
    </w:p>
    <w:p w:rsidR="001E4EBB" w:rsidRDefault="001E4EBB" w:rsidP="00850F4D">
      <w:pPr>
        <w:rPr>
          <w:rFonts w:ascii="Sylfaen" w:hAnsi="Sylfaen"/>
          <w:lang w:val="en-US"/>
        </w:rPr>
      </w:pPr>
    </w:p>
    <w:p w:rsidR="001E4EBB" w:rsidRDefault="00FC4134" w:rsidP="00850F4D">
      <w:pPr>
        <w:rPr>
          <w:rFonts w:ascii="Sylfaen" w:hAnsi="Sylfaen"/>
          <w:lang w:val="ka-GE"/>
        </w:rPr>
      </w:pPr>
      <w:r w:rsidRPr="00FC4134">
        <w:rPr>
          <w:rFonts w:ascii="Sylfaen" w:hAnsi="Sylfaen"/>
          <w:b/>
          <w:bCs/>
          <w:lang w:val="ka-GE"/>
        </w:rPr>
        <w:lastRenderedPageBreak/>
        <w:t>საყრდენი ბაზებით ეპიდზედამხედველობის ფარგლებში დადგენილი მოცირკულირე რესპირატორული  პათოგენები,</w:t>
      </w:r>
      <w:r w:rsidRPr="00FC4134">
        <w:rPr>
          <w:rFonts w:ascii="Sylfaen" w:hAnsi="Sylfaen"/>
          <w:b/>
          <w:bCs/>
          <w:lang w:val="ka-GE"/>
        </w:rPr>
        <w:br/>
        <w:t>გრიპის 201</w:t>
      </w:r>
      <w:r w:rsidRPr="00FC4134">
        <w:rPr>
          <w:rFonts w:ascii="Sylfaen" w:hAnsi="Sylfaen"/>
          <w:b/>
          <w:bCs/>
        </w:rPr>
        <w:t>9</w:t>
      </w:r>
      <w:r w:rsidRPr="00FC4134">
        <w:rPr>
          <w:rFonts w:ascii="Sylfaen" w:hAnsi="Sylfaen"/>
          <w:b/>
          <w:bCs/>
          <w:lang w:val="ka-GE"/>
        </w:rPr>
        <w:t xml:space="preserve"> წლის სეზონთაშორისი მონაცემები</w:t>
      </w:r>
    </w:p>
    <w:p w:rsidR="00FC4134" w:rsidRDefault="00FC4134" w:rsidP="00850F4D">
      <w:pPr>
        <w:rPr>
          <w:rFonts w:ascii="Sylfaen" w:hAnsi="Sylfaen"/>
          <w:lang w:val="ka-GE"/>
        </w:rPr>
      </w:pPr>
    </w:p>
    <w:tbl>
      <w:tblPr>
        <w:tblW w:w="1396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97"/>
        <w:gridCol w:w="740"/>
        <w:gridCol w:w="740"/>
        <w:gridCol w:w="800"/>
        <w:gridCol w:w="799"/>
        <w:gridCol w:w="799"/>
        <w:gridCol w:w="719"/>
        <w:gridCol w:w="719"/>
        <w:gridCol w:w="739"/>
        <w:gridCol w:w="739"/>
        <w:gridCol w:w="699"/>
        <w:gridCol w:w="759"/>
        <w:gridCol w:w="739"/>
        <w:gridCol w:w="739"/>
        <w:gridCol w:w="739"/>
      </w:tblGrid>
      <w:tr w:rsidR="00FC4134" w:rsidRPr="00FC4134" w:rsidTr="00FC4134">
        <w:trPr>
          <w:trHeight w:val="820"/>
        </w:trPr>
        <w:tc>
          <w:tcPr>
            <w:tcW w:w="34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>წლის კალენდარული კვირა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en-US"/>
              </w:rPr>
              <w:t>21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ka-GE"/>
              </w:rPr>
              <w:t>22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ka-GE"/>
              </w:rPr>
              <w:t>23</w:t>
            </w: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ka-GE"/>
              </w:rPr>
              <w:t>24</w:t>
            </w: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ka-GE"/>
              </w:rPr>
              <w:t>25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ka-GE"/>
              </w:rPr>
              <w:t>26</w:t>
            </w: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ka-GE"/>
              </w:rPr>
              <w:t>27</w:t>
            </w: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ka-GE"/>
              </w:rPr>
              <w:t>28</w:t>
            </w: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ka-GE"/>
              </w:rPr>
              <w:t>29</w:t>
            </w:r>
          </w:p>
        </w:tc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ka-GE"/>
              </w:rPr>
              <w:t>30</w:t>
            </w: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ka-GE"/>
              </w:rPr>
              <w:t>31</w:t>
            </w: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ka-GE"/>
              </w:rPr>
              <w:t>32</w:t>
            </w: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ka-GE"/>
              </w:rPr>
              <w:t>33</w:t>
            </w: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2060"/>
                <w:kern w:val="24"/>
                <w:lang w:val="ka-GE"/>
              </w:rPr>
              <w:t>34</w:t>
            </w:r>
          </w:p>
        </w:tc>
      </w:tr>
      <w:tr w:rsidR="00FC4134" w:rsidRPr="00FC4134" w:rsidTr="00FC4134">
        <w:trPr>
          <w:trHeight w:val="452"/>
        </w:trPr>
        <w:tc>
          <w:tcPr>
            <w:tcW w:w="34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>Influenza A</w:t>
            </w:r>
          </w:p>
        </w:tc>
        <w:tc>
          <w:tcPr>
            <w:tcW w:w="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6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FC4134" w:rsidRPr="00FC4134" w:rsidTr="00FC4134">
        <w:trPr>
          <w:trHeight w:val="420"/>
        </w:trPr>
        <w:tc>
          <w:tcPr>
            <w:tcW w:w="3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>Influenza A/</w:t>
            </w:r>
            <w:r w:rsidRPr="00FC4134">
              <w:rPr>
                <w:rFonts w:ascii="Calibri" w:eastAsia="Times New Roman" w:hAnsi="Calibri" w:cs="Arial"/>
                <w:b/>
                <w:bCs/>
                <w:color w:val="002060"/>
                <w:kern w:val="24"/>
                <w:lang w:val="en-US"/>
              </w:rPr>
              <w:t>H1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FC4134" w:rsidRPr="00FC4134" w:rsidTr="00FC4134">
        <w:trPr>
          <w:trHeight w:val="820"/>
        </w:trPr>
        <w:tc>
          <w:tcPr>
            <w:tcW w:w="3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>Influenza A/H3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FC4134" w:rsidRPr="00FC4134" w:rsidTr="00FC4134">
        <w:trPr>
          <w:trHeight w:val="860"/>
        </w:trPr>
        <w:tc>
          <w:tcPr>
            <w:tcW w:w="3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Calibri" w:eastAsia="Times New Roman" w:hAnsi="Calibri" w:cs="Arial"/>
                <w:b/>
                <w:bCs/>
                <w:color w:val="002060"/>
                <w:kern w:val="24"/>
                <w:lang w:val="en-US"/>
              </w:rPr>
              <w:t>I</w:t>
            </w: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>nfluenza B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FC4134" w:rsidRPr="00FC4134" w:rsidTr="00FC4134">
        <w:trPr>
          <w:trHeight w:val="465"/>
        </w:trPr>
        <w:tc>
          <w:tcPr>
            <w:tcW w:w="3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>Rhinovirus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FC4134" w:rsidRPr="00FC4134" w:rsidTr="00FC4134">
        <w:trPr>
          <w:trHeight w:val="640"/>
        </w:trPr>
        <w:tc>
          <w:tcPr>
            <w:tcW w:w="3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>Coronavirus NL63</w:t>
            </w:r>
            <w:r w:rsidRPr="00FC4134">
              <w:rPr>
                <w:rFonts w:ascii="Calibri" w:eastAsia="Times New Roman" w:hAnsi="Calibri" w:cs="Arial"/>
                <w:b/>
                <w:bCs/>
                <w:color w:val="002060"/>
                <w:kern w:val="24"/>
                <w:lang w:val="en-US"/>
              </w:rPr>
              <w:t>/</w:t>
            </w: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 xml:space="preserve">229E </w:t>
            </w:r>
            <w:r w:rsidRPr="00FC4134">
              <w:rPr>
                <w:rFonts w:ascii="Calibri" w:eastAsia="Times New Roman" w:hAnsi="Calibri" w:cs="Arial"/>
                <w:b/>
                <w:bCs/>
                <w:color w:val="002060"/>
                <w:kern w:val="24"/>
                <w:lang w:val="en-US"/>
              </w:rPr>
              <w:t>/</w:t>
            </w: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>OC43/HKU1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FC4134" w:rsidRPr="00FC4134" w:rsidTr="00FC4134">
        <w:trPr>
          <w:trHeight w:val="640"/>
        </w:trPr>
        <w:tc>
          <w:tcPr>
            <w:tcW w:w="3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ind w:firstLine="173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>Parainfluenza 1, 2, 3, 4,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FC4134" w:rsidRPr="00FC4134" w:rsidTr="00FC4134">
        <w:trPr>
          <w:trHeight w:val="522"/>
        </w:trPr>
        <w:tc>
          <w:tcPr>
            <w:tcW w:w="3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>Human metapneumovirus A/B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FC4134" w:rsidRPr="00FC4134" w:rsidTr="00FC4134">
        <w:trPr>
          <w:trHeight w:val="572"/>
        </w:trPr>
        <w:tc>
          <w:tcPr>
            <w:tcW w:w="3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>Bocavirus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FC4134" w:rsidRPr="00FC4134" w:rsidTr="00FC4134">
        <w:trPr>
          <w:trHeight w:val="652"/>
        </w:trPr>
        <w:tc>
          <w:tcPr>
            <w:tcW w:w="3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>Respiratory syncytial virus A/B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FC4134" w:rsidRPr="00FC4134" w:rsidTr="00FC4134">
        <w:trPr>
          <w:trHeight w:val="547"/>
        </w:trPr>
        <w:tc>
          <w:tcPr>
            <w:tcW w:w="34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Times New Roman" w:hAnsi="Sylfaen" w:cs="Arial"/>
                <w:b/>
                <w:bCs/>
                <w:color w:val="002060"/>
                <w:kern w:val="24"/>
                <w:lang w:val="ka-GE"/>
              </w:rPr>
              <w:t>Adenovirus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C413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4134" w:rsidRPr="00FC4134" w:rsidRDefault="00FC4134" w:rsidP="00FC41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</w:tbl>
    <w:p w:rsidR="00FC4134" w:rsidRPr="00FC4134" w:rsidRDefault="00FC4134" w:rsidP="00850F4D">
      <w:pPr>
        <w:rPr>
          <w:rFonts w:ascii="Sylfaen" w:hAnsi="Sylfaen"/>
          <w:lang w:val="ka-GE"/>
        </w:rPr>
      </w:pPr>
    </w:p>
    <w:p w:rsidR="001E4EBB" w:rsidRDefault="001E4EBB" w:rsidP="00850F4D">
      <w:pPr>
        <w:rPr>
          <w:rFonts w:ascii="Sylfaen" w:hAnsi="Sylfaen"/>
          <w:lang w:val="en-US"/>
        </w:rPr>
      </w:pPr>
      <w:bookmarkStart w:id="0" w:name="_GoBack"/>
      <w:bookmarkEnd w:id="0"/>
    </w:p>
    <w:p w:rsidR="001E4EBB" w:rsidRPr="001E4EBB" w:rsidRDefault="001E4EBB" w:rsidP="00850F4D">
      <w:pPr>
        <w:rPr>
          <w:rFonts w:ascii="Sylfaen" w:hAnsi="Sylfaen"/>
          <w:lang w:val="ka-GE"/>
        </w:rPr>
      </w:pPr>
      <w:proofErr w:type="gramStart"/>
      <w:r>
        <w:rPr>
          <w:rFonts w:ascii="Sylfaen" w:hAnsi="Sylfaen"/>
          <w:lang w:val="en-US"/>
        </w:rPr>
        <w:t>22-</w:t>
      </w:r>
      <w:r>
        <w:rPr>
          <w:rFonts w:ascii="Sylfaen" w:hAnsi="Sylfaen"/>
          <w:lang w:val="ka-GE"/>
        </w:rPr>
        <w:t xml:space="preserve">ე კალენდარულ კვირაში აღინიშნა </w:t>
      </w:r>
      <w:r>
        <w:rPr>
          <w:rFonts w:ascii="Sylfaen" w:hAnsi="Sylfaen"/>
          <w:lang w:val="en-US"/>
        </w:rPr>
        <w:t>ILI-</w:t>
      </w:r>
      <w:r>
        <w:rPr>
          <w:rFonts w:ascii="Sylfaen" w:hAnsi="Sylfaen"/>
          <w:lang w:val="ka-GE"/>
        </w:rPr>
        <w:t>ისა და</w:t>
      </w:r>
      <w:r>
        <w:rPr>
          <w:rFonts w:ascii="Sylfaen" w:hAnsi="Sylfaen"/>
          <w:lang w:val="en-US"/>
        </w:rPr>
        <w:t xml:space="preserve"> SARI-</w:t>
      </w:r>
      <w:r>
        <w:rPr>
          <w:rFonts w:ascii="Sylfaen" w:hAnsi="Sylfaen"/>
          <w:lang w:val="ka-GE"/>
        </w:rPr>
        <w:t>ის მატების ტენდენცია, რაც უპირატესად უკავშირდება რესპირატორული ვირუსებიდან ადენოვირუსის გაზრდილ ცირკულაციას და მასთან ასოცირებულ მიმართვიანობის ზრდას.</w:t>
      </w:r>
      <w:proofErr w:type="gramEnd"/>
      <w:r>
        <w:rPr>
          <w:rFonts w:ascii="Sylfaen" w:hAnsi="Sylfaen"/>
          <w:lang w:val="ka-GE"/>
        </w:rPr>
        <w:t xml:space="preserve"> გარდა ადენოვირუსისა, სახეზეა რინო, ადამიანის მეტაპნევმო და რესპირატორულ სინციტიური ვირუსის ცირკულაცია. ამასთან, 22-ე კვირის მანძილზე მოგროვებული ნიმუშების ტესტირება გრძელდება და სხვა დომინანტური პათოგენის გამოკვეთის შემთხვევაში, განახლებულ ინფორმაციას წარმოგიდგენთ დამატებით.</w:t>
      </w:r>
    </w:p>
    <w:p w:rsidR="001E4EBB" w:rsidRPr="001E4EBB" w:rsidRDefault="001E4EBB" w:rsidP="00850F4D">
      <w:pPr>
        <w:rPr>
          <w:rFonts w:ascii="Sylfaen" w:hAnsi="Sylfaen"/>
          <w:lang w:val="en-US"/>
        </w:rPr>
      </w:pPr>
    </w:p>
    <w:p w:rsidR="0080329A" w:rsidRDefault="0080329A" w:rsidP="0080329A">
      <w:pPr>
        <w:spacing w:after="0" w:line="240" w:lineRule="auto"/>
        <w:ind w:left="360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>წით</w:t>
      </w:r>
      <w:r w:rsidRPr="00B02559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ელას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>, 2019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="00C81952">
        <w:rPr>
          <w:rFonts w:ascii="Sylfaen" w:eastAsia="Times New Roman" w:hAnsi="Sylfaen"/>
          <w:b/>
          <w:color w:val="000000"/>
          <w:lang w:val="ka-GE" w:eastAsia="ru-RU"/>
        </w:rPr>
        <w:t xml:space="preserve">03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 </w:t>
      </w:r>
      <w:r w:rsidR="00C81952">
        <w:rPr>
          <w:rFonts w:ascii="Sylfaen" w:eastAsia="Times New Roman" w:hAnsi="Sylfaen"/>
          <w:b/>
          <w:color w:val="000000"/>
          <w:lang w:val="ka-GE" w:eastAsia="ru-RU"/>
        </w:rPr>
        <w:t>ივნისი</w:t>
      </w:r>
    </w:p>
    <w:p w:rsidR="002C477B" w:rsidRDefault="002C477B" w:rsidP="0080329A">
      <w:pPr>
        <w:spacing w:after="0" w:line="240" w:lineRule="auto"/>
        <w:ind w:left="360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</w:p>
    <w:tbl>
      <w:tblPr>
        <w:tblW w:w="15956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912"/>
        <w:gridCol w:w="770"/>
        <w:gridCol w:w="866"/>
        <w:gridCol w:w="1199"/>
        <w:gridCol w:w="1113"/>
        <w:gridCol w:w="937"/>
        <w:gridCol w:w="1240"/>
        <w:gridCol w:w="1151"/>
        <w:gridCol w:w="1370"/>
        <w:gridCol w:w="1201"/>
        <w:gridCol w:w="1077"/>
        <w:gridCol w:w="1077"/>
        <w:gridCol w:w="700"/>
      </w:tblGrid>
      <w:tr w:rsidR="002C477B" w:rsidRPr="00391E17" w:rsidTr="001E4EBB">
        <w:trPr>
          <w:trHeight w:val="764"/>
        </w:trPr>
        <w:tc>
          <w:tcPr>
            <w:tcW w:w="2343" w:type="dxa"/>
            <w:hideMark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912" w:type="dxa"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866" w:type="dxa"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1199" w:type="dxa"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1113" w:type="dxa"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937" w:type="dxa"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1240" w:type="dxa"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1151" w:type="dxa"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1370" w:type="dxa"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1201" w:type="dxa"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1077" w:type="dxa"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1077" w:type="dxa"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700" w:type="dxa"/>
          </w:tcPr>
          <w:p w:rsidR="002C477B" w:rsidRPr="00391E17" w:rsidRDefault="002C477B" w:rsidP="007033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3B019C" w:rsidRPr="00391E17" w:rsidTr="001E4EBB">
        <w:trPr>
          <w:trHeight w:val="881"/>
        </w:trPr>
        <w:tc>
          <w:tcPr>
            <w:tcW w:w="2343" w:type="dxa"/>
            <w:hideMark/>
          </w:tcPr>
          <w:p w:rsidR="003B019C" w:rsidRDefault="003B019C" w:rsidP="003B019C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:rsidR="003B019C" w:rsidRPr="00391E17" w:rsidRDefault="003B019C" w:rsidP="003B019C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01-03 ივნისს</w:t>
            </w:r>
          </w:p>
          <w:p w:rsidR="003B019C" w:rsidRPr="00391E17" w:rsidRDefault="003B019C" w:rsidP="003B019C">
            <w:pPr>
              <w:spacing w:after="0"/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  <w:r w:rsidRPr="00391E17">
              <w:rPr>
                <w:b/>
              </w:rPr>
              <w:t xml:space="preserve"> </w:t>
            </w:r>
          </w:p>
        </w:tc>
        <w:tc>
          <w:tcPr>
            <w:tcW w:w="912" w:type="dxa"/>
          </w:tcPr>
          <w:p w:rsidR="003B019C" w:rsidRPr="008563C3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70" w:type="dxa"/>
          </w:tcPr>
          <w:p w:rsidR="003B019C" w:rsidRPr="00391E17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66" w:type="dxa"/>
          </w:tcPr>
          <w:p w:rsidR="003B019C" w:rsidRPr="00391E17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99" w:type="dxa"/>
          </w:tcPr>
          <w:p w:rsidR="003B019C" w:rsidRPr="0009560E" w:rsidRDefault="008C50C4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13" w:type="dxa"/>
          </w:tcPr>
          <w:p w:rsidR="003B019C" w:rsidRPr="000F0D56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37" w:type="dxa"/>
          </w:tcPr>
          <w:p w:rsidR="003B019C" w:rsidRPr="00391E17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40" w:type="dxa"/>
          </w:tcPr>
          <w:p w:rsidR="003B019C" w:rsidRPr="00391E17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51" w:type="dxa"/>
          </w:tcPr>
          <w:p w:rsidR="003B019C" w:rsidRPr="00391E17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370" w:type="dxa"/>
          </w:tcPr>
          <w:p w:rsidR="003B019C" w:rsidRPr="00194EB4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01" w:type="dxa"/>
          </w:tcPr>
          <w:p w:rsidR="003B019C" w:rsidRPr="00391E17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077" w:type="dxa"/>
          </w:tcPr>
          <w:p w:rsidR="003B019C" w:rsidRPr="005E0C57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077" w:type="dxa"/>
          </w:tcPr>
          <w:p w:rsidR="003B019C" w:rsidRPr="00391E17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700" w:type="dxa"/>
          </w:tcPr>
          <w:p w:rsidR="003B019C" w:rsidRPr="00E10BB7" w:rsidRDefault="008C50C4" w:rsidP="003B019C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9</w:t>
            </w:r>
          </w:p>
        </w:tc>
      </w:tr>
      <w:tr w:rsidR="003B019C" w:rsidRPr="00391E17" w:rsidTr="001E4EBB">
        <w:trPr>
          <w:trHeight w:val="953"/>
        </w:trPr>
        <w:tc>
          <w:tcPr>
            <w:tcW w:w="2343" w:type="dxa"/>
            <w:hideMark/>
          </w:tcPr>
          <w:p w:rsidR="003B019C" w:rsidRPr="00391E17" w:rsidRDefault="003B019C" w:rsidP="003B019C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სულ</w:t>
            </w:r>
            <w:proofErr w:type="spellEnd"/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წე</w:t>
            </w:r>
            <w:proofErr w:type="spellEnd"/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3B019C" w:rsidRPr="00BF202C" w:rsidRDefault="003B019C" w:rsidP="003B019C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03 ივნისის</w:t>
            </w:r>
          </w:p>
          <w:p w:rsidR="003B019C" w:rsidRPr="00391E17" w:rsidRDefault="003B019C" w:rsidP="003B019C">
            <w:pPr>
              <w:spacing w:after="0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ჩათვლით</w:t>
            </w:r>
            <w:proofErr w:type="spellEnd"/>
          </w:p>
        </w:tc>
        <w:tc>
          <w:tcPr>
            <w:tcW w:w="912" w:type="dxa"/>
          </w:tcPr>
          <w:p w:rsidR="003B019C" w:rsidRPr="00391E17" w:rsidRDefault="003B019C" w:rsidP="003B019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</w:t>
            </w:r>
          </w:p>
        </w:tc>
        <w:tc>
          <w:tcPr>
            <w:tcW w:w="770" w:type="dxa"/>
          </w:tcPr>
          <w:p w:rsidR="003B019C" w:rsidRPr="007B4C07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112</w:t>
            </w:r>
          </w:p>
        </w:tc>
        <w:tc>
          <w:tcPr>
            <w:tcW w:w="866" w:type="dxa"/>
          </w:tcPr>
          <w:p w:rsidR="003B019C" w:rsidRPr="00391E17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38</w:t>
            </w:r>
          </w:p>
        </w:tc>
        <w:tc>
          <w:tcPr>
            <w:tcW w:w="1199" w:type="dxa"/>
          </w:tcPr>
          <w:p w:rsidR="003B019C" w:rsidRPr="003D4D24" w:rsidRDefault="008C50C4" w:rsidP="003B019C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1579</w:t>
            </w:r>
          </w:p>
        </w:tc>
        <w:tc>
          <w:tcPr>
            <w:tcW w:w="1113" w:type="dxa"/>
          </w:tcPr>
          <w:p w:rsidR="003B019C" w:rsidRPr="00DE0805" w:rsidRDefault="003B019C" w:rsidP="003B019C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554</w:t>
            </w:r>
          </w:p>
        </w:tc>
        <w:tc>
          <w:tcPr>
            <w:tcW w:w="937" w:type="dxa"/>
          </w:tcPr>
          <w:p w:rsidR="003B019C" w:rsidRPr="004926D1" w:rsidRDefault="003B019C" w:rsidP="003B019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310</w:t>
            </w:r>
          </w:p>
        </w:tc>
        <w:tc>
          <w:tcPr>
            <w:tcW w:w="1240" w:type="dxa"/>
          </w:tcPr>
          <w:p w:rsidR="003B019C" w:rsidRPr="001A5A09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90</w:t>
            </w:r>
          </w:p>
        </w:tc>
        <w:tc>
          <w:tcPr>
            <w:tcW w:w="1151" w:type="dxa"/>
          </w:tcPr>
          <w:p w:rsidR="003B019C" w:rsidRPr="00391E17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370" w:type="dxa"/>
          </w:tcPr>
          <w:p w:rsidR="003B019C" w:rsidRPr="00DE0805" w:rsidRDefault="003B019C" w:rsidP="003B019C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476</w:t>
            </w:r>
          </w:p>
        </w:tc>
        <w:tc>
          <w:tcPr>
            <w:tcW w:w="1201" w:type="dxa"/>
          </w:tcPr>
          <w:p w:rsidR="003B019C" w:rsidRPr="00391E17" w:rsidRDefault="003B019C" w:rsidP="003B01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1077" w:type="dxa"/>
          </w:tcPr>
          <w:p w:rsidR="003B019C" w:rsidRPr="00EC2351" w:rsidRDefault="003B019C" w:rsidP="003B019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en-US"/>
              </w:rPr>
              <w:t>308</w:t>
            </w:r>
          </w:p>
        </w:tc>
        <w:tc>
          <w:tcPr>
            <w:tcW w:w="1077" w:type="dxa"/>
          </w:tcPr>
          <w:p w:rsidR="003B019C" w:rsidRPr="001E4271" w:rsidRDefault="003B019C" w:rsidP="003B019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167</w:t>
            </w:r>
          </w:p>
        </w:tc>
        <w:tc>
          <w:tcPr>
            <w:tcW w:w="700" w:type="dxa"/>
          </w:tcPr>
          <w:p w:rsidR="003B019C" w:rsidRPr="00A723A2" w:rsidRDefault="008C50C4" w:rsidP="003B019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3734</w:t>
            </w:r>
          </w:p>
        </w:tc>
      </w:tr>
    </w:tbl>
    <w:p w:rsidR="003B019C" w:rsidRDefault="003B019C" w:rsidP="0080329A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</w:p>
    <w:p w:rsidR="0080329A" w:rsidRPr="00391E17" w:rsidRDefault="0080329A" w:rsidP="0080329A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  <w:proofErr w:type="spellStart"/>
      <w:proofErr w:type="gramStart"/>
      <w:r w:rsidRPr="00391E17">
        <w:rPr>
          <w:rFonts w:ascii="Sylfaen" w:eastAsia="Times New Roman" w:hAnsi="Sylfaen"/>
          <w:b/>
          <w:color w:val="000000"/>
          <w:lang w:eastAsia="ru-RU"/>
        </w:rPr>
        <w:t>ასაკობრივი</w:t>
      </w:r>
      <w:proofErr w:type="spellEnd"/>
      <w:proofErr w:type="gramEnd"/>
      <w:r w:rsidRPr="00391E17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391E17"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</w:p>
    <w:tbl>
      <w:tblPr>
        <w:tblW w:w="4412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</w:tblGrid>
      <w:tr w:rsidR="0080329A" w:rsidRPr="00391E17" w:rsidTr="003B019C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29A" w:rsidRDefault="0080329A" w:rsidP="00443A9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80329A" w:rsidRPr="00391E17" w:rsidRDefault="0080329A" w:rsidP="00443A9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29A" w:rsidRPr="00391E17" w:rsidRDefault="0080329A" w:rsidP="00443A9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:rsidR="0080329A" w:rsidRPr="00391E17" w:rsidRDefault="0080329A" w:rsidP="00443A9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9A" w:rsidRPr="00391E17" w:rsidRDefault="0080329A" w:rsidP="00443A9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</w:tr>
      <w:tr w:rsidR="003B019C" w:rsidRPr="00E10BB7" w:rsidTr="003B019C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391E17" w:rsidRDefault="003B019C" w:rsidP="003B019C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Default="003B019C" w:rsidP="003B019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B83E5C" w:rsidRDefault="003B019C" w:rsidP="003B019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11,9</w:t>
            </w:r>
          </w:p>
        </w:tc>
      </w:tr>
      <w:tr w:rsidR="003B019C" w:rsidRPr="00A949D0" w:rsidTr="003B019C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391E17" w:rsidRDefault="003B019C" w:rsidP="003B019C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Default="003B019C" w:rsidP="003B019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391E17" w:rsidRDefault="003B019C" w:rsidP="003B019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4,8</w:t>
            </w:r>
          </w:p>
        </w:tc>
      </w:tr>
      <w:tr w:rsidR="003B019C" w:rsidRPr="00391E17" w:rsidTr="003B019C">
        <w:trPr>
          <w:trHeight w:val="358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391E17" w:rsidRDefault="003B019C" w:rsidP="003B019C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Default="003B019C" w:rsidP="003B019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391E17" w:rsidRDefault="003B019C" w:rsidP="003B019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10,3</w:t>
            </w:r>
          </w:p>
        </w:tc>
      </w:tr>
      <w:tr w:rsidR="003B019C" w:rsidRPr="00391E17" w:rsidTr="003B019C">
        <w:trPr>
          <w:trHeight w:val="241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391E17" w:rsidRDefault="003B019C" w:rsidP="003B019C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lastRenderedPageBreak/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Default="003B019C" w:rsidP="003B019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3D5B55" w:rsidRDefault="003B019C" w:rsidP="003B019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7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,3</w:t>
            </w:r>
          </w:p>
        </w:tc>
      </w:tr>
      <w:tr w:rsidR="003B019C" w:rsidRPr="00391E17" w:rsidTr="003B019C">
        <w:trPr>
          <w:trHeight w:val="286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391E17" w:rsidRDefault="003B019C" w:rsidP="003B019C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Default="003B019C" w:rsidP="003B019C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E84684" w:rsidRDefault="003B019C" w:rsidP="003B019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24</w:t>
            </w: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,4</w:t>
            </w:r>
          </w:p>
        </w:tc>
      </w:tr>
      <w:tr w:rsidR="003B019C" w:rsidRPr="00391E17" w:rsidTr="003B019C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391E17" w:rsidRDefault="003B019C" w:rsidP="003B019C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Default="003B019C" w:rsidP="003B019C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493F3E" w:rsidRDefault="003B019C" w:rsidP="003B019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23,1</w:t>
            </w:r>
          </w:p>
        </w:tc>
      </w:tr>
      <w:tr w:rsidR="003B019C" w:rsidRPr="00391E17" w:rsidTr="003B019C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391E17" w:rsidRDefault="003B019C" w:rsidP="003B019C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Default="008C50C4" w:rsidP="003B019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391E17" w:rsidRDefault="003B019C" w:rsidP="003B019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8,3</w:t>
            </w:r>
          </w:p>
        </w:tc>
      </w:tr>
      <w:tr w:rsidR="003B019C" w:rsidRPr="00391E17" w:rsidTr="003B019C">
        <w:trPr>
          <w:trHeight w:val="6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2046FB" w:rsidRDefault="003B019C" w:rsidP="003B019C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391E17" w:rsidRDefault="008C50C4" w:rsidP="003B019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3734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C" w:rsidRPr="00391E17" w:rsidRDefault="003B019C" w:rsidP="003B019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A428F9" w:rsidRDefault="001E7556" w:rsidP="000A6DEA">
      <w:pPr>
        <w:jc w:val="center"/>
        <w:rPr>
          <w:rFonts w:ascii="Sylfaen" w:hAnsi="Sylfaen"/>
          <w:b/>
          <w:lang w:val="ka-GE"/>
        </w:rPr>
      </w:pPr>
      <w:r>
        <w:rPr>
          <w:noProof/>
          <w:lang w:val="en-US"/>
        </w:rPr>
        <w:lastRenderedPageBreak/>
        <w:drawing>
          <wp:inline distT="0" distB="0" distL="0" distR="0" wp14:anchorId="027F4A5A" wp14:editId="6853FE76">
            <wp:extent cx="9794875" cy="4705350"/>
            <wp:effectExtent l="0" t="0" r="1587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28F9" w:rsidRDefault="00A428F9" w:rsidP="000A6DEA">
      <w:pPr>
        <w:jc w:val="center"/>
        <w:rPr>
          <w:rFonts w:ascii="Sylfaen" w:hAnsi="Sylfaen"/>
          <w:b/>
          <w:lang w:val="ka-GE"/>
        </w:rPr>
      </w:pPr>
    </w:p>
    <w:p w:rsidR="004D016A" w:rsidRDefault="00572092" w:rsidP="0057209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წწყ არაგეგმიური აცრები</w:t>
      </w:r>
    </w:p>
    <w:tbl>
      <w:tblPr>
        <w:tblW w:w="2718" w:type="dxa"/>
        <w:tblInd w:w="103" w:type="dxa"/>
        <w:tblLook w:val="04A0" w:firstRow="1" w:lastRow="0" w:firstColumn="1" w:lastColumn="0" w:noHBand="0" w:noVBand="1"/>
      </w:tblPr>
      <w:tblGrid>
        <w:gridCol w:w="1834"/>
        <w:gridCol w:w="884"/>
      </w:tblGrid>
      <w:tr w:rsidR="00D83F81" w:rsidRPr="00D83F81" w:rsidTr="00572092">
        <w:trPr>
          <w:trHeight w:val="1575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F81" w:rsidRPr="00D83F81" w:rsidRDefault="00572092" w:rsidP="00D83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lastRenderedPageBreak/>
              <w:t>რეგიონი</w:t>
            </w:r>
            <w:r w:rsidR="00D83F81" w:rsidRPr="00D83F8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extDirection w:val="btLr"/>
            <w:vAlign w:val="center"/>
            <w:hideMark/>
          </w:tcPr>
          <w:p w:rsidR="00D83F81" w:rsidRPr="00D83F81" w:rsidRDefault="00572092" w:rsidP="00D83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აცრილია</w:t>
            </w:r>
          </w:p>
        </w:tc>
      </w:tr>
      <w:tr w:rsidR="00D83F81" w:rsidRPr="00D83F81" w:rsidTr="00572092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F81" w:rsidRPr="00D83F81" w:rsidRDefault="00D83F81" w:rsidP="00D83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თბილისი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>52589</w:t>
            </w:r>
          </w:p>
        </w:tc>
      </w:tr>
      <w:tr w:rsidR="00D83F81" w:rsidRPr="00D83F81" w:rsidTr="00572092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აჭარა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>9278</w:t>
            </w:r>
          </w:p>
        </w:tc>
      </w:tr>
      <w:tr w:rsidR="00D83F81" w:rsidRPr="00D83F81" w:rsidTr="00572092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იმერეთი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>13677</w:t>
            </w:r>
          </w:p>
        </w:tc>
      </w:tr>
      <w:tr w:rsidR="00D83F81" w:rsidRPr="00D83F81" w:rsidTr="00572092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სამეგრელო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3F81" w:rsidRPr="00D83F81" w:rsidRDefault="00572092" w:rsidP="00D83F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6</w:t>
            </w:r>
          </w:p>
        </w:tc>
      </w:tr>
      <w:tr w:rsidR="00D83F81" w:rsidRPr="00D83F81" w:rsidTr="00572092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გურია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>4097</w:t>
            </w:r>
          </w:p>
        </w:tc>
      </w:tr>
      <w:tr w:rsidR="00D83F81" w:rsidRPr="00D83F81" w:rsidTr="00572092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შიდა</w:t>
            </w:r>
            <w:proofErr w:type="spellEnd"/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ქართლი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>7005</w:t>
            </w:r>
          </w:p>
        </w:tc>
      </w:tr>
      <w:tr w:rsidR="00D83F81" w:rsidRPr="00D83F81" w:rsidTr="00572092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ქვემო</w:t>
            </w:r>
            <w:proofErr w:type="spellEnd"/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ქართლი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>8167</w:t>
            </w:r>
          </w:p>
        </w:tc>
      </w:tr>
      <w:tr w:rsidR="00D83F81" w:rsidRPr="00D83F81" w:rsidTr="00572092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სამცხე</w:t>
            </w:r>
            <w:proofErr w:type="spellEnd"/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-</w:t>
            </w: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ჯავახეთი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>8052</w:t>
            </w:r>
          </w:p>
        </w:tc>
      </w:tr>
      <w:tr w:rsidR="00D83F81" w:rsidRPr="00D83F81" w:rsidTr="00572092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რაჭა</w:t>
            </w:r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ლეჩხუმი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>1571</w:t>
            </w:r>
          </w:p>
        </w:tc>
      </w:tr>
      <w:tr w:rsidR="00D83F81" w:rsidRPr="00D83F81" w:rsidTr="00572092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მცხეთა</w:t>
            </w:r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მთიანეთი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>3077</w:t>
            </w:r>
          </w:p>
        </w:tc>
      </w:tr>
      <w:tr w:rsidR="00D83F81" w:rsidRPr="00D83F81" w:rsidTr="00572092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კახეთი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83F81">
              <w:rPr>
                <w:rFonts w:ascii="Calibri" w:eastAsia="Times New Roman" w:hAnsi="Calibri" w:cs="Calibri"/>
                <w:color w:val="000000"/>
                <w:lang w:val="en-US"/>
              </w:rPr>
              <w:t>10464</w:t>
            </w:r>
          </w:p>
        </w:tc>
      </w:tr>
      <w:tr w:rsidR="00D83F81" w:rsidRPr="00D83F81" w:rsidTr="00572092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F81" w:rsidRPr="00D83F81" w:rsidRDefault="00572092" w:rsidP="00D83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თავდაცვა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3F81" w:rsidRPr="00D83F81" w:rsidRDefault="00572092" w:rsidP="00D83F8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8000</w:t>
            </w:r>
          </w:p>
        </w:tc>
      </w:tr>
      <w:tr w:rsidR="00D83F81" w:rsidRPr="00D83F81" w:rsidTr="00572092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F81" w:rsidRPr="00D83F81" w:rsidRDefault="00D83F81" w:rsidP="00D83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83F81">
              <w:rPr>
                <w:rFonts w:ascii="Sylfaen" w:eastAsia="Times New Roman" w:hAnsi="Sylfaen" w:cs="Sylfaen"/>
                <w:color w:val="000000"/>
                <w:lang w:val="en-US"/>
              </w:rPr>
              <w:t>სულ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3F81" w:rsidRPr="00D83F81" w:rsidRDefault="00572092" w:rsidP="00D83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9</w:t>
            </w:r>
            <w:r w:rsidR="00D83F81" w:rsidRPr="00D83F81">
              <w:rPr>
                <w:rFonts w:ascii="Calibri" w:eastAsia="Times New Roman" w:hAnsi="Calibri" w:cs="Calibri"/>
                <w:color w:val="000000"/>
                <w:lang w:val="en-US"/>
              </w:rPr>
              <w:t>783</w:t>
            </w:r>
          </w:p>
        </w:tc>
      </w:tr>
    </w:tbl>
    <w:p w:rsidR="00A949D0" w:rsidRDefault="00A949D0" w:rsidP="001E4EBB">
      <w:pPr>
        <w:jc w:val="both"/>
        <w:rPr>
          <w:rFonts w:ascii="Sylfaen" w:hAnsi="Sylfaen"/>
          <w:b/>
          <w:lang w:val="ka-GE"/>
        </w:rPr>
      </w:pPr>
    </w:p>
    <w:p w:rsidR="008A34FC" w:rsidRDefault="00B142F5" w:rsidP="00B142F5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წითელას შემთხვევათა კლების ტენდენცია გრძლდება.</w:t>
      </w:r>
    </w:p>
    <w:p w:rsidR="00FC4134" w:rsidRDefault="00B142F5" w:rsidP="00B142F5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22-ე კალენდარულ კვირაში რეგისტრირებულია</w:t>
      </w:r>
      <w:r w:rsidR="00FC4134">
        <w:rPr>
          <w:rFonts w:ascii="Sylfaen" w:hAnsi="Sylfaen"/>
          <w:b/>
          <w:lang w:val="ka-GE"/>
        </w:rPr>
        <w:t>:</w:t>
      </w:r>
    </w:p>
    <w:p w:rsidR="00B142F5" w:rsidRDefault="00C50755" w:rsidP="00B142F5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ტეტანუსის 1 შემთხვევა. 45 წლის, ქალი, სამეგრელოდან (წალენჯიხა). დაავადება დაეწყო 20.05-ს და 1.06-ს დასრულდა ლეტალურად.</w:t>
      </w:r>
    </w:p>
    <w:p w:rsidR="00FC4134" w:rsidRDefault="00FC4134" w:rsidP="00B142F5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სიერა-ლეონედან შემოტანილი ტროპიკული მალარიის 1 შემთხვევა. ქართველი, 21 წლის მამაკაცი მკურნალობას გადის პარაზიტოლოგიის ინსტიტუტში.</w:t>
      </w:r>
    </w:p>
    <w:p w:rsidR="00FC4134" w:rsidRDefault="00FC4134" w:rsidP="00B142F5">
      <w:pPr>
        <w:jc w:val="both"/>
        <w:rPr>
          <w:rFonts w:ascii="Sylfaen" w:hAnsi="Sylfaen"/>
          <w:b/>
          <w:lang w:val="ka-GE"/>
        </w:rPr>
      </w:pPr>
    </w:p>
    <w:p w:rsidR="00C50755" w:rsidRDefault="00C50755" w:rsidP="00B142F5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21-ე კალენდარული კვირის აბაშის რ-ნის სავარაუდო საკვებისმიერი ტოქსიკოინფექციის გამომწვევი იდენტიფიცირებულია ლაბორატორიულად. აფეთქება გამოწვეული იყო სალმონელათი.</w:t>
      </w:r>
    </w:p>
    <w:p w:rsidR="00FC4134" w:rsidRDefault="00FC4134" w:rsidP="00B142F5">
      <w:pPr>
        <w:jc w:val="both"/>
        <w:rPr>
          <w:rFonts w:ascii="Sylfaen" w:hAnsi="Sylfaen"/>
          <w:b/>
          <w:lang w:val="ka-GE"/>
        </w:rPr>
      </w:pPr>
    </w:p>
    <w:sectPr w:rsidR="00FC4134" w:rsidSect="006E42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7165"/>
    <w:multiLevelType w:val="multilevel"/>
    <w:tmpl w:val="BD342DA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8"/>
    <w:rsid w:val="00017C94"/>
    <w:rsid w:val="00023A8E"/>
    <w:rsid w:val="000254B4"/>
    <w:rsid w:val="00033502"/>
    <w:rsid w:val="000350F3"/>
    <w:rsid w:val="00041E66"/>
    <w:rsid w:val="00053818"/>
    <w:rsid w:val="0006366C"/>
    <w:rsid w:val="00066C12"/>
    <w:rsid w:val="000675BD"/>
    <w:rsid w:val="00071F88"/>
    <w:rsid w:val="00087FBD"/>
    <w:rsid w:val="000A6DEA"/>
    <w:rsid w:val="000C65E2"/>
    <w:rsid w:val="000C7C5A"/>
    <w:rsid w:val="000D12CD"/>
    <w:rsid w:val="000D5493"/>
    <w:rsid w:val="000D7306"/>
    <w:rsid w:val="000E1C32"/>
    <w:rsid w:val="000E69EA"/>
    <w:rsid w:val="001009B9"/>
    <w:rsid w:val="0012036A"/>
    <w:rsid w:val="00120B3D"/>
    <w:rsid w:val="00133BDF"/>
    <w:rsid w:val="00141E99"/>
    <w:rsid w:val="00150FC2"/>
    <w:rsid w:val="0015749D"/>
    <w:rsid w:val="00164D76"/>
    <w:rsid w:val="001665CC"/>
    <w:rsid w:val="0017795B"/>
    <w:rsid w:val="00195634"/>
    <w:rsid w:val="001A4398"/>
    <w:rsid w:val="001A7ADE"/>
    <w:rsid w:val="001B72CE"/>
    <w:rsid w:val="001C0FD5"/>
    <w:rsid w:val="001D5406"/>
    <w:rsid w:val="001E065F"/>
    <w:rsid w:val="001E1564"/>
    <w:rsid w:val="001E309E"/>
    <w:rsid w:val="001E4EBB"/>
    <w:rsid w:val="001E7556"/>
    <w:rsid w:val="0021654A"/>
    <w:rsid w:val="00242408"/>
    <w:rsid w:val="0025279E"/>
    <w:rsid w:val="00263083"/>
    <w:rsid w:val="00266CD2"/>
    <w:rsid w:val="002723AA"/>
    <w:rsid w:val="00290792"/>
    <w:rsid w:val="002B16A2"/>
    <w:rsid w:val="002C2193"/>
    <w:rsid w:val="002C477B"/>
    <w:rsid w:val="002D48AB"/>
    <w:rsid w:val="002D68BF"/>
    <w:rsid w:val="002D708B"/>
    <w:rsid w:val="002E10B9"/>
    <w:rsid w:val="002E2EA8"/>
    <w:rsid w:val="002F6080"/>
    <w:rsid w:val="0030226F"/>
    <w:rsid w:val="003103CF"/>
    <w:rsid w:val="00315262"/>
    <w:rsid w:val="003207E9"/>
    <w:rsid w:val="00324795"/>
    <w:rsid w:val="00326F07"/>
    <w:rsid w:val="00330AE7"/>
    <w:rsid w:val="00352FFF"/>
    <w:rsid w:val="0035431D"/>
    <w:rsid w:val="00367862"/>
    <w:rsid w:val="0037172D"/>
    <w:rsid w:val="00372550"/>
    <w:rsid w:val="003B019C"/>
    <w:rsid w:val="003D5D3E"/>
    <w:rsid w:val="003D64DD"/>
    <w:rsid w:val="003E016C"/>
    <w:rsid w:val="003E34BA"/>
    <w:rsid w:val="003F194A"/>
    <w:rsid w:val="004023AD"/>
    <w:rsid w:val="0040328C"/>
    <w:rsid w:val="00436A7F"/>
    <w:rsid w:val="00437B77"/>
    <w:rsid w:val="004936D2"/>
    <w:rsid w:val="004A2F2E"/>
    <w:rsid w:val="004A3511"/>
    <w:rsid w:val="004B0D95"/>
    <w:rsid w:val="004C23FD"/>
    <w:rsid w:val="004C5229"/>
    <w:rsid w:val="004C52D9"/>
    <w:rsid w:val="004D016A"/>
    <w:rsid w:val="004E6977"/>
    <w:rsid w:val="004F7F58"/>
    <w:rsid w:val="00503E9E"/>
    <w:rsid w:val="00506F6A"/>
    <w:rsid w:val="00510343"/>
    <w:rsid w:val="00514209"/>
    <w:rsid w:val="00516EAD"/>
    <w:rsid w:val="005364CC"/>
    <w:rsid w:val="005414E6"/>
    <w:rsid w:val="00541AE7"/>
    <w:rsid w:val="00551DBE"/>
    <w:rsid w:val="00554537"/>
    <w:rsid w:val="00556D59"/>
    <w:rsid w:val="00571396"/>
    <w:rsid w:val="00572092"/>
    <w:rsid w:val="00577481"/>
    <w:rsid w:val="00585E8A"/>
    <w:rsid w:val="005A3A48"/>
    <w:rsid w:val="005B0E5F"/>
    <w:rsid w:val="005C53DF"/>
    <w:rsid w:val="00603D8F"/>
    <w:rsid w:val="00606B06"/>
    <w:rsid w:val="00613BAD"/>
    <w:rsid w:val="006154B8"/>
    <w:rsid w:val="00627182"/>
    <w:rsid w:val="00630EE2"/>
    <w:rsid w:val="006370F9"/>
    <w:rsid w:val="00644D1D"/>
    <w:rsid w:val="0065724B"/>
    <w:rsid w:val="00671804"/>
    <w:rsid w:val="00673E7F"/>
    <w:rsid w:val="006850C2"/>
    <w:rsid w:val="00690A11"/>
    <w:rsid w:val="0069556C"/>
    <w:rsid w:val="006A6800"/>
    <w:rsid w:val="006C10C3"/>
    <w:rsid w:val="006C41B4"/>
    <w:rsid w:val="006C5B01"/>
    <w:rsid w:val="006D2AAF"/>
    <w:rsid w:val="006D3812"/>
    <w:rsid w:val="006D5E91"/>
    <w:rsid w:val="006D7368"/>
    <w:rsid w:val="006E42BD"/>
    <w:rsid w:val="006F2D73"/>
    <w:rsid w:val="007072F0"/>
    <w:rsid w:val="00713E28"/>
    <w:rsid w:val="00714808"/>
    <w:rsid w:val="00717063"/>
    <w:rsid w:val="00721930"/>
    <w:rsid w:val="00724C9B"/>
    <w:rsid w:val="00725073"/>
    <w:rsid w:val="007407D8"/>
    <w:rsid w:val="00744D4E"/>
    <w:rsid w:val="00767AB4"/>
    <w:rsid w:val="007860AD"/>
    <w:rsid w:val="00791404"/>
    <w:rsid w:val="007A218B"/>
    <w:rsid w:val="007D76E6"/>
    <w:rsid w:val="007E51F9"/>
    <w:rsid w:val="007F1005"/>
    <w:rsid w:val="00801E94"/>
    <w:rsid w:val="0080329A"/>
    <w:rsid w:val="008168DB"/>
    <w:rsid w:val="008278DD"/>
    <w:rsid w:val="00850055"/>
    <w:rsid w:val="00850F4D"/>
    <w:rsid w:val="008532AB"/>
    <w:rsid w:val="00853534"/>
    <w:rsid w:val="00856CD2"/>
    <w:rsid w:val="008722D7"/>
    <w:rsid w:val="008936F3"/>
    <w:rsid w:val="00894176"/>
    <w:rsid w:val="00895465"/>
    <w:rsid w:val="008A34FC"/>
    <w:rsid w:val="008B620D"/>
    <w:rsid w:val="008C50C4"/>
    <w:rsid w:val="008D04F1"/>
    <w:rsid w:val="008D13FA"/>
    <w:rsid w:val="008D2F93"/>
    <w:rsid w:val="008D3250"/>
    <w:rsid w:val="008E32F4"/>
    <w:rsid w:val="008E59D7"/>
    <w:rsid w:val="008F23BE"/>
    <w:rsid w:val="00903F13"/>
    <w:rsid w:val="009211C4"/>
    <w:rsid w:val="0092619F"/>
    <w:rsid w:val="00944504"/>
    <w:rsid w:val="009453FB"/>
    <w:rsid w:val="00955490"/>
    <w:rsid w:val="00970432"/>
    <w:rsid w:val="009741A7"/>
    <w:rsid w:val="009B49C6"/>
    <w:rsid w:val="009D0F80"/>
    <w:rsid w:val="009D7D64"/>
    <w:rsid w:val="009F0104"/>
    <w:rsid w:val="00A06BA3"/>
    <w:rsid w:val="00A11482"/>
    <w:rsid w:val="00A20BCF"/>
    <w:rsid w:val="00A24E8A"/>
    <w:rsid w:val="00A3743C"/>
    <w:rsid w:val="00A428F9"/>
    <w:rsid w:val="00A626CA"/>
    <w:rsid w:val="00A66999"/>
    <w:rsid w:val="00A7195E"/>
    <w:rsid w:val="00A93497"/>
    <w:rsid w:val="00A949D0"/>
    <w:rsid w:val="00A965A6"/>
    <w:rsid w:val="00AA4820"/>
    <w:rsid w:val="00AB27A0"/>
    <w:rsid w:val="00AF22AF"/>
    <w:rsid w:val="00AF7E98"/>
    <w:rsid w:val="00B142F5"/>
    <w:rsid w:val="00B22575"/>
    <w:rsid w:val="00B240C5"/>
    <w:rsid w:val="00B409A9"/>
    <w:rsid w:val="00B76D54"/>
    <w:rsid w:val="00B855C2"/>
    <w:rsid w:val="00BA0A81"/>
    <w:rsid w:val="00BA1F30"/>
    <w:rsid w:val="00BA5BCD"/>
    <w:rsid w:val="00BB6F05"/>
    <w:rsid w:val="00BC14EF"/>
    <w:rsid w:val="00BF54EF"/>
    <w:rsid w:val="00C031ED"/>
    <w:rsid w:val="00C1521C"/>
    <w:rsid w:val="00C17C76"/>
    <w:rsid w:val="00C209E2"/>
    <w:rsid w:val="00C223F8"/>
    <w:rsid w:val="00C227A2"/>
    <w:rsid w:val="00C42A31"/>
    <w:rsid w:val="00C50755"/>
    <w:rsid w:val="00C50DF7"/>
    <w:rsid w:val="00C51420"/>
    <w:rsid w:val="00C81952"/>
    <w:rsid w:val="00C83582"/>
    <w:rsid w:val="00C9336F"/>
    <w:rsid w:val="00CB68E8"/>
    <w:rsid w:val="00CB7169"/>
    <w:rsid w:val="00CB7915"/>
    <w:rsid w:val="00CE698B"/>
    <w:rsid w:val="00CF562E"/>
    <w:rsid w:val="00D03535"/>
    <w:rsid w:val="00D05D05"/>
    <w:rsid w:val="00D11BD1"/>
    <w:rsid w:val="00D13E17"/>
    <w:rsid w:val="00D1454D"/>
    <w:rsid w:val="00D214EC"/>
    <w:rsid w:val="00D36260"/>
    <w:rsid w:val="00D45404"/>
    <w:rsid w:val="00D53489"/>
    <w:rsid w:val="00D76329"/>
    <w:rsid w:val="00D806F8"/>
    <w:rsid w:val="00D823DD"/>
    <w:rsid w:val="00D83F81"/>
    <w:rsid w:val="00DC3205"/>
    <w:rsid w:val="00DD41F7"/>
    <w:rsid w:val="00DE5FA0"/>
    <w:rsid w:val="00DF0E09"/>
    <w:rsid w:val="00DF7632"/>
    <w:rsid w:val="00E00767"/>
    <w:rsid w:val="00E06EA8"/>
    <w:rsid w:val="00E1583D"/>
    <w:rsid w:val="00E16712"/>
    <w:rsid w:val="00E2263B"/>
    <w:rsid w:val="00E23832"/>
    <w:rsid w:val="00E255DE"/>
    <w:rsid w:val="00E25BC2"/>
    <w:rsid w:val="00E27858"/>
    <w:rsid w:val="00E52D20"/>
    <w:rsid w:val="00E56EAB"/>
    <w:rsid w:val="00E620F0"/>
    <w:rsid w:val="00E64855"/>
    <w:rsid w:val="00E664DB"/>
    <w:rsid w:val="00E70C58"/>
    <w:rsid w:val="00E74274"/>
    <w:rsid w:val="00E92015"/>
    <w:rsid w:val="00E9284D"/>
    <w:rsid w:val="00EB0D71"/>
    <w:rsid w:val="00EB521E"/>
    <w:rsid w:val="00EC0E14"/>
    <w:rsid w:val="00EC1B3C"/>
    <w:rsid w:val="00EC33FC"/>
    <w:rsid w:val="00EC3D0E"/>
    <w:rsid w:val="00EF268B"/>
    <w:rsid w:val="00EF4928"/>
    <w:rsid w:val="00EF5A58"/>
    <w:rsid w:val="00F05845"/>
    <w:rsid w:val="00F10B34"/>
    <w:rsid w:val="00F32AEC"/>
    <w:rsid w:val="00F32FF4"/>
    <w:rsid w:val="00F45419"/>
    <w:rsid w:val="00F462F9"/>
    <w:rsid w:val="00F6352A"/>
    <w:rsid w:val="00F67D35"/>
    <w:rsid w:val="00F73FD4"/>
    <w:rsid w:val="00F81F51"/>
    <w:rsid w:val="00F97B3E"/>
    <w:rsid w:val="00FA24B5"/>
    <w:rsid w:val="00FC4134"/>
    <w:rsid w:val="00FD647D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550"/>
    <w:pPr>
      <w:ind w:left="720"/>
      <w:contextualSpacing/>
    </w:pPr>
  </w:style>
  <w:style w:type="paragraph" w:customStyle="1" w:styleId="yiv8955783563ydpde4dd935msonormal">
    <w:name w:val="yiv8955783563ydpde4dd935msonormal"/>
    <w:basedOn w:val="Normal"/>
    <w:rsid w:val="00A4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l3x">
    <w:name w:val="_3l3x"/>
    <w:basedOn w:val="DefaultParagraphFont"/>
    <w:rsid w:val="008A34FC"/>
  </w:style>
  <w:style w:type="character" w:customStyle="1" w:styleId="6qdm">
    <w:name w:val="_6qdm"/>
    <w:basedOn w:val="DefaultParagraphFont"/>
    <w:rsid w:val="008A34FC"/>
  </w:style>
  <w:style w:type="paragraph" w:styleId="BalloonText">
    <w:name w:val="Balloon Text"/>
    <w:basedOn w:val="Normal"/>
    <w:link w:val="BalloonTextChar"/>
    <w:uiPriority w:val="99"/>
    <w:semiHidden/>
    <w:unhideWhenUsed/>
    <w:rsid w:val="001E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550"/>
    <w:pPr>
      <w:ind w:left="720"/>
      <w:contextualSpacing/>
    </w:pPr>
  </w:style>
  <w:style w:type="paragraph" w:customStyle="1" w:styleId="yiv8955783563ydpde4dd935msonormal">
    <w:name w:val="yiv8955783563ydpde4dd935msonormal"/>
    <w:basedOn w:val="Normal"/>
    <w:rsid w:val="00A4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l3x">
    <w:name w:val="_3l3x"/>
    <w:basedOn w:val="DefaultParagraphFont"/>
    <w:rsid w:val="008A34FC"/>
  </w:style>
  <w:style w:type="character" w:customStyle="1" w:styleId="6qdm">
    <w:name w:val="_6qdm"/>
    <w:basedOn w:val="DefaultParagraphFont"/>
    <w:rsid w:val="008A34FC"/>
  </w:style>
  <w:style w:type="paragraph" w:styleId="BalloonText">
    <w:name w:val="Balloon Text"/>
    <w:basedOn w:val="Normal"/>
    <w:link w:val="BalloonTextChar"/>
    <w:uiPriority w:val="99"/>
    <w:semiHidden/>
    <w:unhideWhenUsed/>
    <w:rsid w:val="001E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 სიმპტომების დაწყების თარიღის მიხედვით, საქართველო, 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</a:t>
            </a:r>
            <a:r>
              <a:rPr lang="ka-GE" sz="1200" baseline="0"/>
              <a:t>01.2018-03.06.201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15796777976534676"/>
          <c:y val="3.969274329908253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5045964182955678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Sheet1!$A$2:$A$75</c:f>
              <c:strCache>
                <c:ptCount val="74"/>
                <c:pt idx="0">
                  <c:v>1. 2018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1. 2019</c:v>
                </c:pt>
                <c:pt idx="53">
                  <c:v>2</c:v>
                </c:pt>
                <c:pt idx="54">
                  <c:v>3</c:v>
                </c:pt>
                <c:pt idx="55">
                  <c:v>4</c:v>
                </c:pt>
                <c:pt idx="56">
                  <c:v>5</c:v>
                </c:pt>
                <c:pt idx="57">
                  <c:v>6</c:v>
                </c:pt>
                <c:pt idx="58">
                  <c:v>7</c:v>
                </c:pt>
                <c:pt idx="59">
                  <c:v>8</c:v>
                </c:pt>
                <c:pt idx="60">
                  <c:v>9</c:v>
                </c:pt>
                <c:pt idx="61">
                  <c:v>10</c:v>
                </c:pt>
                <c:pt idx="62">
                  <c:v>11</c:v>
                </c:pt>
                <c:pt idx="63">
                  <c:v>12</c:v>
                </c:pt>
                <c:pt idx="64">
                  <c:v>13</c:v>
                </c:pt>
                <c:pt idx="65">
                  <c:v>14</c:v>
                </c:pt>
                <c:pt idx="66">
                  <c:v>15</c:v>
                </c:pt>
                <c:pt idx="67">
                  <c:v>16</c:v>
                </c:pt>
                <c:pt idx="68">
                  <c:v>17</c:v>
                </c:pt>
                <c:pt idx="69">
                  <c:v>18</c:v>
                </c:pt>
                <c:pt idx="70">
                  <c:v>19</c:v>
                </c:pt>
                <c:pt idx="71">
                  <c:v>20</c:v>
                </c:pt>
                <c:pt idx="72">
                  <c:v>21</c:v>
                </c:pt>
                <c:pt idx="73">
                  <c:v>22</c:v>
                </c:pt>
              </c:strCache>
            </c:strRef>
          </c:cat>
          <c:val>
            <c:numRef>
              <c:f>Sheet1!$B$2:$B$75</c:f>
              <c:numCache>
                <c:formatCode>General</c:formatCode>
                <c:ptCount val="74"/>
                <c:pt idx="0">
                  <c:v>21</c:v>
                </c:pt>
                <c:pt idx="1">
                  <c:v>29</c:v>
                </c:pt>
                <c:pt idx="2">
                  <c:v>28</c:v>
                </c:pt>
                <c:pt idx="3">
                  <c:v>43</c:v>
                </c:pt>
                <c:pt idx="4">
                  <c:v>45</c:v>
                </c:pt>
                <c:pt idx="5">
                  <c:v>42</c:v>
                </c:pt>
                <c:pt idx="6">
                  <c:v>42</c:v>
                </c:pt>
                <c:pt idx="7">
                  <c:v>30</c:v>
                </c:pt>
                <c:pt idx="8">
                  <c:v>23</c:v>
                </c:pt>
                <c:pt idx="9">
                  <c:v>40</c:v>
                </c:pt>
                <c:pt idx="10">
                  <c:v>34</c:v>
                </c:pt>
                <c:pt idx="11">
                  <c:v>53</c:v>
                </c:pt>
                <c:pt idx="12">
                  <c:v>20</c:v>
                </c:pt>
                <c:pt idx="13">
                  <c:v>45</c:v>
                </c:pt>
                <c:pt idx="14">
                  <c:v>37</c:v>
                </c:pt>
                <c:pt idx="15">
                  <c:v>87</c:v>
                </c:pt>
                <c:pt idx="16">
                  <c:v>39</c:v>
                </c:pt>
                <c:pt idx="17">
                  <c:v>89</c:v>
                </c:pt>
                <c:pt idx="18">
                  <c:v>41</c:v>
                </c:pt>
                <c:pt idx="19">
                  <c:v>66</c:v>
                </c:pt>
                <c:pt idx="20">
                  <c:v>44</c:v>
                </c:pt>
                <c:pt idx="21">
                  <c:v>59</c:v>
                </c:pt>
                <c:pt idx="22">
                  <c:v>47</c:v>
                </c:pt>
                <c:pt idx="23">
                  <c:v>60</c:v>
                </c:pt>
                <c:pt idx="24">
                  <c:v>40</c:v>
                </c:pt>
                <c:pt idx="25">
                  <c:v>47</c:v>
                </c:pt>
                <c:pt idx="26">
                  <c:v>43</c:v>
                </c:pt>
                <c:pt idx="27">
                  <c:v>52</c:v>
                </c:pt>
                <c:pt idx="28">
                  <c:v>29</c:v>
                </c:pt>
                <c:pt idx="29">
                  <c:v>18</c:v>
                </c:pt>
                <c:pt idx="30">
                  <c:v>15</c:v>
                </c:pt>
                <c:pt idx="31">
                  <c:v>15</c:v>
                </c:pt>
                <c:pt idx="32">
                  <c:v>9</c:v>
                </c:pt>
                <c:pt idx="33">
                  <c:v>17</c:v>
                </c:pt>
                <c:pt idx="34">
                  <c:v>16</c:v>
                </c:pt>
                <c:pt idx="35">
                  <c:v>13</c:v>
                </c:pt>
                <c:pt idx="36">
                  <c:v>11</c:v>
                </c:pt>
                <c:pt idx="37">
                  <c:v>9</c:v>
                </c:pt>
                <c:pt idx="38">
                  <c:v>4</c:v>
                </c:pt>
                <c:pt idx="39">
                  <c:v>10</c:v>
                </c:pt>
                <c:pt idx="40">
                  <c:v>39</c:v>
                </c:pt>
                <c:pt idx="41">
                  <c:v>16</c:v>
                </c:pt>
                <c:pt idx="42">
                  <c:v>37</c:v>
                </c:pt>
                <c:pt idx="43">
                  <c:v>24</c:v>
                </c:pt>
                <c:pt idx="44">
                  <c:v>36</c:v>
                </c:pt>
                <c:pt idx="45">
                  <c:v>64</c:v>
                </c:pt>
                <c:pt idx="46">
                  <c:v>63</c:v>
                </c:pt>
                <c:pt idx="47">
                  <c:v>106</c:v>
                </c:pt>
                <c:pt idx="48">
                  <c:v>84</c:v>
                </c:pt>
                <c:pt idx="49">
                  <c:v>86</c:v>
                </c:pt>
                <c:pt idx="50">
                  <c:v>139</c:v>
                </c:pt>
                <c:pt idx="51">
                  <c:v>99</c:v>
                </c:pt>
                <c:pt idx="52">
                  <c:v>182</c:v>
                </c:pt>
                <c:pt idx="53">
                  <c:v>196</c:v>
                </c:pt>
                <c:pt idx="54">
                  <c:v>316</c:v>
                </c:pt>
                <c:pt idx="55">
                  <c:v>293</c:v>
                </c:pt>
                <c:pt idx="56">
                  <c:v>340</c:v>
                </c:pt>
                <c:pt idx="57">
                  <c:v>278</c:v>
                </c:pt>
                <c:pt idx="58">
                  <c:v>269</c:v>
                </c:pt>
                <c:pt idx="59">
                  <c:v>190</c:v>
                </c:pt>
                <c:pt idx="60">
                  <c:v>205</c:v>
                </c:pt>
                <c:pt idx="61">
                  <c:v>200</c:v>
                </c:pt>
                <c:pt idx="62">
                  <c:v>161</c:v>
                </c:pt>
                <c:pt idx="63">
                  <c:v>169</c:v>
                </c:pt>
                <c:pt idx="64">
                  <c:v>158</c:v>
                </c:pt>
                <c:pt idx="65">
                  <c:v>157</c:v>
                </c:pt>
                <c:pt idx="66">
                  <c:v>176</c:v>
                </c:pt>
                <c:pt idx="67">
                  <c:v>93</c:v>
                </c:pt>
                <c:pt idx="68">
                  <c:v>94</c:v>
                </c:pt>
                <c:pt idx="69">
                  <c:v>95</c:v>
                </c:pt>
                <c:pt idx="70">
                  <c:v>68</c:v>
                </c:pt>
                <c:pt idx="71">
                  <c:v>67</c:v>
                </c:pt>
                <c:pt idx="72">
                  <c:v>53</c:v>
                </c:pt>
                <c:pt idx="73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689920"/>
        <c:axId val="176692224"/>
      </c:lineChart>
      <c:catAx>
        <c:axId val="1766899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92224"/>
        <c:crosses val="autoZero"/>
        <c:auto val="1"/>
        <c:lblAlgn val="ctr"/>
        <c:lblOffset val="100"/>
        <c:noMultiLvlLbl val="0"/>
      </c:catAx>
      <c:valAx>
        <c:axId val="17669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8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F6ED2-6F5A-436F-BE91-9A8EA9CF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Chlikadze</dc:creator>
  <cp:lastModifiedBy>ncdc</cp:lastModifiedBy>
  <cp:revision>7</cp:revision>
  <dcterms:created xsi:type="dcterms:W3CDTF">2019-06-03T18:12:00Z</dcterms:created>
  <dcterms:modified xsi:type="dcterms:W3CDTF">2019-06-03T18:36:00Z</dcterms:modified>
</cp:coreProperties>
</file>