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EC" w:rsidRDefault="009A15EC"/>
    <w:p w:rsidR="00402D44" w:rsidRDefault="00402D44" w:rsidP="00402D44">
      <w:pPr>
        <w:jc w:val="center"/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</w:rPr>
      </w:pP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გრიპისმაგვარი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დაავადებებისა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ILI)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მძიმე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მწვავე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ინფექციები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(SARI)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201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7-19 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წლების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სეზონთაშორისი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მონაცემები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ბაზების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მიხედვით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***. </w:t>
      </w:r>
      <w:r w:rsidRPr="00402D44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(</w:t>
      </w:r>
      <w:proofErr w:type="gramStart"/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სვეტებით</w:t>
      </w:r>
      <w:proofErr w:type="gramEnd"/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მოცემულია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ლაბორატორიულად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დადასტურებული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შემთხვევები</w:t>
      </w:r>
      <w:r w:rsidRPr="00402D44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*)</w:t>
      </w:r>
    </w:p>
    <w:p w:rsidR="00402D44" w:rsidRDefault="00402D44" w:rsidP="00402D4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974174">
            <wp:extent cx="8255819" cy="250809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504" cy="251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D44" w:rsidRDefault="00402D44" w:rsidP="00402D4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446100">
            <wp:extent cx="8092382" cy="1857368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589" cy="1861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D44" w:rsidRDefault="00402D44" w:rsidP="00402D44">
      <w:pPr>
        <w:jc w:val="center"/>
        <w:rPr>
          <w:sz w:val="24"/>
          <w:szCs w:val="24"/>
        </w:rPr>
      </w:pPr>
    </w:p>
    <w:p w:rsidR="00402D44" w:rsidRDefault="00402D44" w:rsidP="00402D44">
      <w:pPr>
        <w:pStyle w:val="NormalWeb"/>
        <w:spacing w:before="0" w:beforeAutospacing="0" w:after="0" w:afterAutospacing="0"/>
        <w:jc w:val="center"/>
        <w:textAlignment w:val="baseline"/>
        <w:rPr>
          <w:rFonts w:ascii="Sylfaen" w:eastAsiaTheme="minorEastAsia" w:hAnsi="Sylfaen" w:cs="Arial"/>
          <w:b/>
          <w:bCs/>
          <w:color w:val="000000" w:themeColor="text1"/>
          <w:kern w:val="24"/>
        </w:rPr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გრიპისმაგვარი დაავადებებისა (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ILI)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 xml:space="preserve">ინციდენტობა**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</w:rPr>
        <w:t>201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7-19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წლების სეზონთაშორისი მონაცემები (საყრდენი ბაზების მიხედვით***)</w:t>
      </w:r>
    </w:p>
    <w:p w:rsidR="00402D44" w:rsidRDefault="00402D44" w:rsidP="00402D44">
      <w:pPr>
        <w:pStyle w:val="NormalWeb"/>
        <w:spacing w:before="0" w:beforeAutospacing="0" w:after="0" w:afterAutospacing="0"/>
        <w:jc w:val="center"/>
        <w:textAlignment w:val="baseline"/>
        <w:rPr>
          <w:rFonts w:ascii="Sylfaen" w:eastAsiaTheme="minorEastAsia" w:hAnsi="Sylfaen" w:cs="Arial"/>
          <w:b/>
          <w:bCs/>
          <w:color w:val="000000" w:themeColor="text1"/>
          <w:kern w:val="24"/>
        </w:rPr>
      </w:pPr>
    </w:p>
    <w:p w:rsidR="00402D44" w:rsidRPr="00402D44" w:rsidRDefault="00402D44" w:rsidP="00402D44">
      <w:pPr>
        <w:pStyle w:val="NormalWeb"/>
        <w:spacing w:before="0" w:beforeAutospacing="0" w:after="0" w:afterAutospacing="0"/>
        <w:jc w:val="center"/>
        <w:textAlignment w:val="baseline"/>
      </w:pPr>
    </w:p>
    <w:p w:rsidR="00402D44" w:rsidRDefault="00402D44" w:rsidP="00402D4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C0F2D8">
            <wp:extent cx="8677275" cy="14981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335" cy="1498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D44" w:rsidRDefault="00402D44" w:rsidP="00402D44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მძიმე მწვავე რესპირატორული ინფექციების (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</w:rPr>
        <w:t xml:space="preserve">SARI) 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lang w:val="ka-GE"/>
        </w:rPr>
        <w:t xml:space="preserve">2018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წლის სეზონთაშორისი მონაცემების,  % წილი საერთო ჰოსპიტალიზაციაში (საყრდენი ბაზების მიხედვით***)</w:t>
      </w:r>
    </w:p>
    <w:p w:rsidR="00402D44" w:rsidRDefault="00402D44" w:rsidP="00402D44">
      <w:pPr>
        <w:jc w:val="center"/>
        <w:rPr>
          <w:sz w:val="24"/>
          <w:szCs w:val="24"/>
        </w:rPr>
      </w:pPr>
    </w:p>
    <w:p w:rsidR="00402D44" w:rsidRDefault="00402D44" w:rsidP="00402D4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4DC3743">
            <wp:extent cx="8606995" cy="1366438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559" cy="1374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D44" w:rsidRPr="00402D44" w:rsidRDefault="00402D44" w:rsidP="00402D44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განმარტებები:</w:t>
      </w:r>
    </w:p>
    <w:p w:rsidR="00402D44" w:rsidRDefault="00402D44" w:rsidP="00402D44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sz w:val="24"/>
          <w:szCs w:val="24"/>
        </w:rPr>
        <w:drawing>
          <wp:inline distT="0" distB="0" distL="0" distR="0" wp14:anchorId="66A8F09D">
            <wp:extent cx="8429625" cy="412598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906" cy="415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D44" w:rsidRDefault="00402D44" w:rsidP="00402D44">
      <w:pPr>
        <w:jc w:val="center"/>
        <w:rPr>
          <w:rFonts w:ascii="Sylfaen" w:hAnsi="Sylfaen"/>
          <w:sz w:val="24"/>
          <w:szCs w:val="24"/>
          <w:lang w:val="ka-GE"/>
        </w:rPr>
      </w:pPr>
    </w:p>
    <w:p w:rsidR="00402D44" w:rsidRDefault="00402D44" w:rsidP="00402D44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499F522F">
            <wp:extent cx="8382000" cy="4832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4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D44" w:rsidRDefault="00402D44" w:rsidP="00402D44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4FAB875A">
            <wp:extent cx="8176175" cy="33224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219" cy="3320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D44" w:rsidRDefault="00402D44" w:rsidP="00402D4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23-ე კალენდარულ კვირაში </w:t>
      </w:r>
      <w:r w:rsidR="00903962">
        <w:rPr>
          <w:rFonts w:ascii="Sylfaen" w:hAnsi="Sylfaen"/>
          <w:sz w:val="24"/>
          <w:szCs w:val="24"/>
          <w:lang w:val="ka-GE"/>
        </w:rPr>
        <w:t>გრიპისმაგვარი დაავადებების გავრცელება და მძიმე მწვავე რესპირაციული დაავადებების გამო ჰოსპიტალიზაციის მაჩვენებლები რჩება სეზონთაშორისი ფონის დონეზე. ლაბორატორიულად დადგენილია რინო, ადამიანის მეტაპნევმო და ადენოვირუსის ცირკულაცია.</w:t>
      </w:r>
    </w:p>
    <w:p w:rsidR="00903962" w:rsidRDefault="00903962" w:rsidP="00402D44">
      <w:pPr>
        <w:jc w:val="both"/>
        <w:rPr>
          <w:rFonts w:ascii="Sylfaen" w:hAnsi="Sylfaen"/>
          <w:sz w:val="24"/>
          <w:szCs w:val="24"/>
          <w:lang w:val="ka-GE"/>
        </w:rPr>
      </w:pPr>
    </w:p>
    <w:p w:rsidR="00ED077D" w:rsidRPr="00ED077D" w:rsidRDefault="00ED077D" w:rsidP="00ED077D">
      <w:pPr>
        <w:spacing w:after="0" w:line="240" w:lineRule="auto"/>
        <w:ind w:left="360"/>
        <w:jc w:val="center"/>
        <w:rPr>
          <w:rFonts w:ascii="Sylfaen" w:eastAsia="Times New Roman" w:hAnsi="Sylfaen" w:cs="Times New Roman"/>
          <w:b/>
          <w:color w:val="000000"/>
          <w:lang w:val="ka-GE" w:eastAsia="ru-RU"/>
        </w:rPr>
      </w:pPr>
      <w:r w:rsidRPr="00ED077D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r w:rsidRPr="00ED077D">
        <w:rPr>
          <w:rFonts w:ascii="Sylfaen" w:eastAsia="Times New Roman" w:hAnsi="Sylfaen" w:cs="Sylfaen"/>
          <w:b/>
          <w:color w:val="000000"/>
          <w:lang w:val="ru-RU" w:eastAsia="ru-RU"/>
        </w:rPr>
        <w:t>შემთხვევების</w:t>
      </w:r>
      <w:r w:rsidRPr="00ED077D">
        <w:rPr>
          <w:rFonts w:ascii="Sylfaen" w:eastAsia="Times New Roman" w:hAnsi="Sylfaen" w:cs="Times New Roman"/>
          <w:b/>
          <w:color w:val="000000"/>
          <w:lang w:val="ru-RU" w:eastAsia="ru-RU"/>
        </w:rPr>
        <w:t xml:space="preserve"> </w:t>
      </w:r>
      <w:r w:rsidRPr="00ED077D">
        <w:rPr>
          <w:rFonts w:ascii="Sylfaen" w:eastAsia="Times New Roman" w:hAnsi="Sylfaen" w:cs="Sylfaen"/>
          <w:b/>
          <w:color w:val="000000"/>
          <w:lang w:val="ru-RU" w:eastAsia="ru-RU"/>
        </w:rPr>
        <w:t>რაოდენობა</w:t>
      </w:r>
      <w:r w:rsidRPr="00ED077D">
        <w:rPr>
          <w:rFonts w:ascii="Sylfaen" w:eastAsia="Times New Roman" w:hAnsi="Sylfaen" w:cs="Times New Roman"/>
          <w:b/>
          <w:color w:val="000000"/>
          <w:lang w:val="ru-RU" w:eastAsia="ru-RU"/>
        </w:rPr>
        <w:t xml:space="preserve"> </w:t>
      </w:r>
      <w:r w:rsidRPr="00ED077D">
        <w:rPr>
          <w:rFonts w:ascii="Sylfaen" w:eastAsia="Times New Roman" w:hAnsi="Sylfaen" w:cs="Times New Roman"/>
          <w:b/>
          <w:color w:val="000000"/>
          <w:lang w:val="ka-GE" w:eastAsia="ru-RU"/>
        </w:rPr>
        <w:t xml:space="preserve">საქართველოში </w:t>
      </w:r>
      <w:r w:rsidRPr="00ED077D">
        <w:rPr>
          <w:rFonts w:ascii="Sylfaen" w:eastAsia="Times New Roman" w:hAnsi="Sylfaen" w:cs="Sylfaen"/>
          <w:b/>
          <w:color w:val="000000"/>
          <w:lang w:val="ru-RU" w:eastAsia="ru-RU"/>
        </w:rPr>
        <w:t>რეგიონების</w:t>
      </w:r>
      <w:r w:rsidRPr="00ED077D">
        <w:rPr>
          <w:rFonts w:ascii="Sylfaen" w:eastAsia="Times New Roman" w:hAnsi="Sylfaen" w:cs="Times New Roman"/>
          <w:b/>
          <w:color w:val="000000"/>
          <w:lang w:val="ru-RU" w:eastAsia="ru-RU"/>
        </w:rPr>
        <w:t xml:space="preserve"> </w:t>
      </w:r>
      <w:r w:rsidRPr="00ED077D">
        <w:rPr>
          <w:rFonts w:ascii="Sylfaen" w:eastAsia="Times New Roman" w:hAnsi="Sylfaen" w:cs="Sylfaen"/>
          <w:b/>
          <w:color w:val="000000"/>
          <w:lang w:val="ru-RU" w:eastAsia="ru-RU"/>
        </w:rPr>
        <w:t>მიხედვით</w:t>
      </w:r>
      <w:r w:rsidRPr="00ED077D">
        <w:rPr>
          <w:rFonts w:ascii="Sylfaen" w:eastAsia="Times New Roman" w:hAnsi="Sylfaen" w:cs="Times New Roman"/>
          <w:b/>
          <w:color w:val="000000"/>
          <w:lang w:val="ru-RU" w:eastAsia="ru-RU"/>
        </w:rPr>
        <w:t xml:space="preserve">, 2019 </w:t>
      </w:r>
      <w:r w:rsidRPr="00ED077D">
        <w:rPr>
          <w:rFonts w:ascii="Sylfaen" w:eastAsia="Times New Roman" w:hAnsi="Sylfaen" w:cs="Sylfaen"/>
          <w:b/>
          <w:color w:val="000000"/>
          <w:lang w:val="ru-RU" w:eastAsia="ru-RU"/>
        </w:rPr>
        <w:t>წელი</w:t>
      </w:r>
      <w:r w:rsidRPr="00ED077D">
        <w:rPr>
          <w:rFonts w:ascii="Sylfaen" w:eastAsia="Times New Roman" w:hAnsi="Sylfaen" w:cs="Times New Roman"/>
          <w:b/>
          <w:color w:val="000000"/>
          <w:lang w:val="ru-RU" w:eastAsia="ru-RU"/>
        </w:rPr>
        <w:t xml:space="preserve"> </w:t>
      </w:r>
      <w:r w:rsidRPr="00ED077D">
        <w:rPr>
          <w:rFonts w:ascii="Sylfaen" w:eastAsia="Times New Roman" w:hAnsi="Sylfaen" w:cs="Times New Roman"/>
          <w:b/>
          <w:color w:val="000000"/>
          <w:lang w:eastAsia="ru-RU"/>
        </w:rPr>
        <w:t>10</w:t>
      </w:r>
      <w:r w:rsidRPr="00ED077D">
        <w:rPr>
          <w:rFonts w:ascii="Sylfaen" w:eastAsia="Times New Roman" w:hAnsi="Sylfaen" w:cs="Times New Roman"/>
          <w:b/>
          <w:color w:val="000000"/>
          <w:lang w:val="ka-GE" w:eastAsia="ru-RU"/>
        </w:rPr>
        <w:t xml:space="preserve"> ივნისი</w:t>
      </w:r>
    </w:p>
    <w:p w:rsidR="00ED077D" w:rsidRPr="00ED077D" w:rsidRDefault="00ED077D" w:rsidP="00ED077D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/>
          <w:lang w:eastAsia="ru-RU"/>
        </w:rPr>
      </w:pPr>
    </w:p>
    <w:tbl>
      <w:tblPr>
        <w:tblW w:w="144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921"/>
        <w:gridCol w:w="851"/>
        <w:gridCol w:w="937"/>
        <w:gridCol w:w="764"/>
        <w:gridCol w:w="992"/>
        <w:gridCol w:w="992"/>
        <w:gridCol w:w="1201"/>
        <w:gridCol w:w="1077"/>
        <w:gridCol w:w="1077"/>
        <w:gridCol w:w="700"/>
      </w:tblGrid>
      <w:tr w:rsidR="00ED077D" w:rsidRPr="00ED077D" w:rsidTr="00ED077D">
        <w:trPr>
          <w:trHeight w:val="764"/>
        </w:trPr>
        <w:tc>
          <w:tcPr>
            <w:tcW w:w="2010" w:type="dxa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რეგიონი</w:t>
            </w:r>
          </w:p>
        </w:tc>
        <w:tc>
          <w:tcPr>
            <w:tcW w:w="1245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აჭარა</w:t>
            </w:r>
          </w:p>
        </w:tc>
        <w:tc>
          <w:tcPr>
            <w:tcW w:w="866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გურია</w:t>
            </w:r>
          </w:p>
        </w:tc>
        <w:tc>
          <w:tcPr>
            <w:tcW w:w="921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თბილისი</w:t>
            </w:r>
          </w:p>
        </w:tc>
        <w:tc>
          <w:tcPr>
            <w:tcW w:w="851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იმერეთი</w:t>
            </w:r>
          </w:p>
        </w:tc>
        <w:tc>
          <w:tcPr>
            <w:tcW w:w="937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კახეთი</w:t>
            </w:r>
          </w:p>
        </w:tc>
        <w:tc>
          <w:tcPr>
            <w:tcW w:w="764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მცხეთა</w:t>
            </w:r>
            <w:r w:rsidRPr="00ED077D">
              <w:rPr>
                <w:rFonts w:ascii="Calibri" w:eastAsia="Times New Roman" w:hAnsi="Calibri" w:cs="Calibri"/>
                <w:b/>
                <w:color w:val="000000"/>
                <w:lang w:val="ru-RU" w:eastAsia="ru-RU"/>
              </w:rPr>
              <w:t>-</w:t>
            </w: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მთიანეთი</w:t>
            </w:r>
          </w:p>
        </w:tc>
        <w:tc>
          <w:tcPr>
            <w:tcW w:w="992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რაჭა</w:t>
            </w:r>
            <w:r w:rsidRPr="00ED077D">
              <w:rPr>
                <w:rFonts w:ascii="Calibri" w:eastAsia="Times New Roman" w:hAnsi="Calibri" w:cs="Calibri"/>
                <w:b/>
                <w:color w:val="000000"/>
                <w:lang w:val="ru-RU" w:eastAsia="ru-RU"/>
              </w:rPr>
              <w:t>-</w:t>
            </w: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ლეჩხუმი</w:t>
            </w:r>
          </w:p>
        </w:tc>
        <w:tc>
          <w:tcPr>
            <w:tcW w:w="992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სამეგრელო</w:t>
            </w:r>
          </w:p>
        </w:tc>
        <w:tc>
          <w:tcPr>
            <w:tcW w:w="1201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სამცხე</w:t>
            </w:r>
            <w:r w:rsidRPr="00ED077D">
              <w:rPr>
                <w:rFonts w:ascii="Calibri" w:eastAsia="Times New Roman" w:hAnsi="Calibri" w:cs="Calibri"/>
                <w:b/>
                <w:color w:val="000000"/>
                <w:lang w:val="ru-RU" w:eastAsia="ru-RU"/>
              </w:rPr>
              <w:t>-</w:t>
            </w: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ჯავახეთი</w:t>
            </w:r>
          </w:p>
        </w:tc>
        <w:tc>
          <w:tcPr>
            <w:tcW w:w="1077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  <w:t>ქვემო ქართლი</w:t>
            </w:r>
          </w:p>
        </w:tc>
        <w:tc>
          <w:tcPr>
            <w:tcW w:w="1077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შიდა</w:t>
            </w:r>
            <w:r w:rsidRPr="00ED077D">
              <w:rPr>
                <w:rFonts w:ascii="Calibri" w:eastAsia="Times New Roman" w:hAnsi="Calibri" w:cs="Calibri"/>
                <w:b/>
                <w:color w:val="000000"/>
                <w:lang w:val="ru-RU" w:eastAsia="ru-RU"/>
              </w:rPr>
              <w:t xml:space="preserve"> </w:t>
            </w: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ქართლი</w:t>
            </w:r>
          </w:p>
        </w:tc>
        <w:tc>
          <w:tcPr>
            <w:tcW w:w="700" w:type="dxa"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სულ</w:t>
            </w:r>
          </w:p>
        </w:tc>
      </w:tr>
      <w:tr w:rsidR="00ED077D" w:rsidRPr="00ED077D" w:rsidTr="00ED077D">
        <w:trPr>
          <w:trHeight w:val="1151"/>
        </w:trPr>
        <w:tc>
          <w:tcPr>
            <w:tcW w:w="2010" w:type="dxa"/>
            <w:hideMark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Sylfaen"/>
                <w:b/>
                <w:lang w:val="ka-GE"/>
              </w:rPr>
            </w:pPr>
            <w:r w:rsidRPr="00ED077D">
              <w:rPr>
                <w:rFonts w:ascii="Sylfaen" w:eastAsia="Calibri" w:hAnsi="Sylfaen" w:cs="Sylfaen"/>
                <w:b/>
                <w:lang w:val="ka-GE"/>
              </w:rPr>
              <w:t xml:space="preserve">2019 წ </w:t>
            </w:r>
          </w:p>
          <w:p w:rsidR="00ED077D" w:rsidRPr="00ED077D" w:rsidRDefault="00ED077D" w:rsidP="00ED077D">
            <w:pPr>
              <w:spacing w:after="0"/>
              <w:rPr>
                <w:rFonts w:ascii="Sylfaen" w:eastAsia="Calibri" w:hAnsi="Sylfaen" w:cs="Sylfaen"/>
                <w:b/>
                <w:lang w:val="ka-GE"/>
              </w:rPr>
            </w:pPr>
            <w:r w:rsidRPr="00ED077D">
              <w:rPr>
                <w:rFonts w:ascii="Sylfaen" w:eastAsia="Calibri" w:hAnsi="Sylfaen" w:cs="Sylfaen"/>
                <w:b/>
              </w:rPr>
              <w:t xml:space="preserve">8-10 </w:t>
            </w:r>
            <w:r w:rsidRPr="00ED077D">
              <w:rPr>
                <w:rFonts w:ascii="Sylfaen" w:eastAsia="Calibri" w:hAnsi="Sylfaen" w:cs="Sylfaen"/>
                <w:b/>
                <w:lang w:val="ka-GE"/>
              </w:rPr>
              <w:t>ივნისს</w:t>
            </w:r>
          </w:p>
          <w:p w:rsidR="00ED077D" w:rsidRPr="00ED077D" w:rsidRDefault="00ED077D" w:rsidP="00ED077D">
            <w:pPr>
              <w:spacing w:after="0"/>
              <w:rPr>
                <w:rFonts w:ascii="Calibri" w:eastAsia="Calibri" w:hAnsi="Calibri" w:cs="Times New Roman"/>
                <w:b/>
                <w:lang w:val="ru-RU"/>
              </w:rPr>
            </w:pPr>
            <w:r w:rsidRPr="00ED077D">
              <w:rPr>
                <w:rFonts w:ascii="Sylfaen" w:eastAsia="Calibri" w:hAnsi="Sylfaen" w:cs="Sylfaen"/>
                <w:b/>
                <w:lang w:val="ru-RU"/>
              </w:rPr>
              <w:t>შეტყობინებულია</w:t>
            </w:r>
            <w:r w:rsidRPr="00ED077D">
              <w:rPr>
                <w:rFonts w:ascii="Calibri" w:eastAsia="Calibri" w:hAnsi="Calibri" w:cs="Times New Roman"/>
                <w:b/>
                <w:lang w:val="ru-RU"/>
              </w:rPr>
              <w:t xml:space="preserve"> </w:t>
            </w:r>
          </w:p>
        </w:tc>
        <w:tc>
          <w:tcPr>
            <w:tcW w:w="1245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lang w:val="ka-GE"/>
              </w:rPr>
            </w:pPr>
            <w:r w:rsidRPr="00ED077D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770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lang w:val="ka-GE"/>
              </w:rPr>
            </w:pPr>
            <w:r w:rsidRPr="00ED077D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866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lang w:val="ka-GE"/>
              </w:rPr>
            </w:pPr>
            <w:r w:rsidRPr="00ED077D">
              <w:rPr>
                <w:rFonts w:ascii="Sylfaen" w:eastAsia="Calibri" w:hAnsi="Sylfaen" w:cs="Times New Roman"/>
                <w:lang w:val="ka-GE"/>
              </w:rPr>
              <w:t>0</w:t>
            </w:r>
          </w:p>
        </w:tc>
        <w:tc>
          <w:tcPr>
            <w:tcW w:w="921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6</w:t>
            </w:r>
          </w:p>
        </w:tc>
        <w:tc>
          <w:tcPr>
            <w:tcW w:w="851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0</w:t>
            </w:r>
          </w:p>
        </w:tc>
        <w:tc>
          <w:tcPr>
            <w:tcW w:w="937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1</w:t>
            </w:r>
          </w:p>
        </w:tc>
        <w:tc>
          <w:tcPr>
            <w:tcW w:w="764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1</w:t>
            </w:r>
          </w:p>
        </w:tc>
        <w:tc>
          <w:tcPr>
            <w:tcW w:w="992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0</w:t>
            </w:r>
          </w:p>
        </w:tc>
        <w:tc>
          <w:tcPr>
            <w:tcW w:w="992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0</w:t>
            </w:r>
          </w:p>
        </w:tc>
        <w:tc>
          <w:tcPr>
            <w:tcW w:w="1201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0</w:t>
            </w:r>
          </w:p>
        </w:tc>
        <w:tc>
          <w:tcPr>
            <w:tcW w:w="1077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1</w:t>
            </w:r>
          </w:p>
        </w:tc>
        <w:tc>
          <w:tcPr>
            <w:tcW w:w="1077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1</w:t>
            </w:r>
          </w:p>
        </w:tc>
        <w:tc>
          <w:tcPr>
            <w:tcW w:w="700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b/>
              </w:rPr>
            </w:pPr>
            <w:r w:rsidRPr="00ED077D">
              <w:rPr>
                <w:rFonts w:ascii="Sylfaen" w:eastAsia="Calibri" w:hAnsi="Sylfaen" w:cs="Times New Roman"/>
                <w:b/>
                <w:lang w:val="ka-GE"/>
              </w:rPr>
              <w:t>10</w:t>
            </w:r>
          </w:p>
        </w:tc>
      </w:tr>
      <w:tr w:rsidR="00ED077D" w:rsidRPr="00ED077D" w:rsidTr="00ED077D">
        <w:trPr>
          <w:trHeight w:val="679"/>
        </w:trPr>
        <w:tc>
          <w:tcPr>
            <w:tcW w:w="2010" w:type="dxa"/>
            <w:hideMark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Sylfaen"/>
                <w:b/>
                <w:lang w:val="ka-GE"/>
              </w:rPr>
            </w:pPr>
            <w:r w:rsidRPr="00ED077D">
              <w:rPr>
                <w:rFonts w:ascii="Sylfaen" w:eastAsia="Calibri" w:hAnsi="Sylfaen" w:cs="Sylfaen"/>
                <w:b/>
                <w:lang w:val="ru-RU"/>
              </w:rPr>
              <w:t>სულ</w:t>
            </w:r>
            <w:r w:rsidRPr="00ED077D">
              <w:rPr>
                <w:rFonts w:ascii="Calibri" w:eastAsia="Calibri" w:hAnsi="Calibri" w:cs="Times New Roman"/>
                <w:b/>
                <w:lang w:val="ru-RU"/>
              </w:rPr>
              <w:t xml:space="preserve"> 2019 </w:t>
            </w:r>
            <w:r w:rsidRPr="00ED077D">
              <w:rPr>
                <w:rFonts w:ascii="Sylfaen" w:eastAsia="Calibri" w:hAnsi="Sylfaen" w:cs="Sylfaen"/>
                <w:b/>
                <w:lang w:val="ru-RU"/>
              </w:rPr>
              <w:t>წე</w:t>
            </w:r>
            <w:r w:rsidRPr="00ED077D">
              <w:rPr>
                <w:rFonts w:ascii="Sylfaen" w:eastAsia="Calibri" w:hAnsi="Sylfaen" w:cs="Sylfaen"/>
                <w:b/>
                <w:lang w:val="ka-GE"/>
              </w:rPr>
              <w:t>ლი</w:t>
            </w:r>
          </w:p>
          <w:p w:rsidR="00ED077D" w:rsidRPr="00ED077D" w:rsidRDefault="00ED077D" w:rsidP="00ED077D">
            <w:pPr>
              <w:spacing w:after="0"/>
              <w:rPr>
                <w:rFonts w:ascii="Sylfaen" w:eastAsia="Calibri" w:hAnsi="Sylfaen" w:cs="Sylfaen"/>
                <w:b/>
                <w:lang w:val="ka-GE"/>
              </w:rPr>
            </w:pPr>
            <w:r w:rsidRPr="00ED077D">
              <w:rPr>
                <w:rFonts w:ascii="Sylfaen" w:eastAsia="Calibri" w:hAnsi="Sylfaen" w:cs="Sylfaen"/>
                <w:b/>
              </w:rPr>
              <w:t xml:space="preserve">10 </w:t>
            </w:r>
            <w:r w:rsidRPr="00ED077D">
              <w:rPr>
                <w:rFonts w:ascii="Sylfaen" w:eastAsia="Calibri" w:hAnsi="Sylfaen" w:cs="Sylfaen"/>
                <w:b/>
                <w:lang w:val="ka-GE"/>
              </w:rPr>
              <w:t xml:space="preserve"> ივნისის</w:t>
            </w:r>
          </w:p>
          <w:p w:rsidR="00ED077D" w:rsidRPr="00ED077D" w:rsidRDefault="00ED077D" w:rsidP="00ED077D">
            <w:pPr>
              <w:spacing w:after="0"/>
              <w:rPr>
                <w:rFonts w:ascii="Sylfaen" w:eastAsia="Calibri" w:hAnsi="Sylfaen" w:cs="Sylfaen"/>
                <w:b/>
                <w:lang w:val="ka-GE"/>
              </w:rPr>
            </w:pPr>
            <w:r w:rsidRPr="00ED077D">
              <w:rPr>
                <w:rFonts w:ascii="Sylfaen" w:eastAsia="Calibri" w:hAnsi="Sylfaen" w:cs="Sylfaen"/>
                <w:b/>
                <w:lang w:val="ru-RU"/>
              </w:rPr>
              <w:t>ჩათვლით</w:t>
            </w:r>
          </w:p>
        </w:tc>
        <w:tc>
          <w:tcPr>
            <w:tcW w:w="1245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</w:rPr>
              <w:t>24</w:t>
            </w:r>
          </w:p>
        </w:tc>
        <w:tc>
          <w:tcPr>
            <w:tcW w:w="770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lang w:val="ka-GE"/>
              </w:rPr>
            </w:pPr>
            <w:r w:rsidRPr="00ED077D">
              <w:rPr>
                <w:rFonts w:ascii="Sylfaen" w:eastAsia="Calibri" w:hAnsi="Sylfaen" w:cs="Times New Roman"/>
              </w:rPr>
              <w:t>111</w:t>
            </w:r>
          </w:p>
        </w:tc>
        <w:tc>
          <w:tcPr>
            <w:tcW w:w="866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lang w:val="ka-GE"/>
              </w:rPr>
            </w:pPr>
            <w:r w:rsidRPr="00ED077D">
              <w:rPr>
                <w:rFonts w:ascii="Sylfaen" w:eastAsia="Calibri" w:hAnsi="Sylfaen" w:cs="Times New Roman"/>
              </w:rPr>
              <w:t>38</w:t>
            </w:r>
          </w:p>
        </w:tc>
        <w:tc>
          <w:tcPr>
            <w:tcW w:w="921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b/>
              </w:rPr>
            </w:pPr>
            <w:r w:rsidRPr="00ED077D">
              <w:rPr>
                <w:rFonts w:ascii="Sylfaen" w:eastAsia="Calibri" w:hAnsi="Sylfaen" w:cs="Times New Roman"/>
                <w:b/>
                <w:lang w:val="ka-GE"/>
              </w:rPr>
              <w:t>160</w:t>
            </w:r>
            <w:r w:rsidRPr="00ED077D">
              <w:rPr>
                <w:rFonts w:ascii="Sylfaen" w:eastAsia="Calibri" w:hAnsi="Sylfaen" w:cs="Times New Roman"/>
                <w:b/>
              </w:rPr>
              <w:t>9</w:t>
            </w:r>
          </w:p>
        </w:tc>
        <w:tc>
          <w:tcPr>
            <w:tcW w:w="851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b/>
              </w:rPr>
            </w:pPr>
            <w:r w:rsidRPr="00ED077D">
              <w:rPr>
                <w:rFonts w:ascii="Sylfaen" w:eastAsia="Calibri" w:hAnsi="Sylfaen" w:cs="Times New Roman"/>
                <w:b/>
                <w:lang w:val="ka-GE"/>
              </w:rPr>
              <w:t>560</w:t>
            </w:r>
          </w:p>
        </w:tc>
        <w:tc>
          <w:tcPr>
            <w:tcW w:w="937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b/>
              </w:rPr>
            </w:pPr>
            <w:r w:rsidRPr="00ED077D">
              <w:rPr>
                <w:rFonts w:ascii="Sylfaen" w:eastAsia="Calibri" w:hAnsi="Sylfaen" w:cs="Times New Roman"/>
                <w:b/>
                <w:lang w:val="ka-GE"/>
              </w:rPr>
              <w:t>3</w:t>
            </w:r>
            <w:r w:rsidRPr="00ED077D">
              <w:rPr>
                <w:rFonts w:ascii="Sylfaen" w:eastAsia="Calibri" w:hAnsi="Sylfaen" w:cs="Times New Roman"/>
                <w:b/>
              </w:rPr>
              <w:t>10</w:t>
            </w:r>
          </w:p>
        </w:tc>
        <w:tc>
          <w:tcPr>
            <w:tcW w:w="764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lang w:val="ka-GE"/>
              </w:rPr>
            </w:pPr>
            <w:r w:rsidRPr="00ED077D">
              <w:rPr>
                <w:rFonts w:ascii="Sylfaen" w:eastAsia="Calibri" w:hAnsi="Sylfaen" w:cs="Times New Roman"/>
              </w:rPr>
              <w:t>91</w:t>
            </w:r>
          </w:p>
        </w:tc>
        <w:tc>
          <w:tcPr>
            <w:tcW w:w="992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lang w:val="ka-GE"/>
              </w:rPr>
            </w:pPr>
            <w:r w:rsidRPr="00ED077D">
              <w:rPr>
                <w:rFonts w:ascii="Sylfaen" w:eastAsia="Calibri" w:hAnsi="Sylfaen" w:cs="Times New Roman"/>
                <w:lang w:val="ka-GE"/>
              </w:rPr>
              <w:t>10</w:t>
            </w:r>
          </w:p>
        </w:tc>
        <w:tc>
          <w:tcPr>
            <w:tcW w:w="992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b/>
              </w:rPr>
            </w:pPr>
            <w:r w:rsidRPr="00ED077D">
              <w:rPr>
                <w:rFonts w:ascii="Sylfaen" w:eastAsia="Calibri" w:hAnsi="Sylfaen" w:cs="Times New Roman"/>
                <w:b/>
                <w:lang w:val="ka-GE"/>
              </w:rPr>
              <w:t>477</w:t>
            </w:r>
          </w:p>
        </w:tc>
        <w:tc>
          <w:tcPr>
            <w:tcW w:w="1201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lang w:val="ka-GE"/>
              </w:rPr>
            </w:pPr>
            <w:r w:rsidRPr="00ED077D">
              <w:rPr>
                <w:rFonts w:ascii="Sylfaen" w:eastAsia="Calibri" w:hAnsi="Sylfaen" w:cs="Times New Roman"/>
                <w:lang w:val="ka-GE"/>
              </w:rPr>
              <w:t>66</w:t>
            </w:r>
          </w:p>
        </w:tc>
        <w:tc>
          <w:tcPr>
            <w:tcW w:w="1077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b/>
                <w:lang w:val="ka-GE"/>
              </w:rPr>
            </w:pPr>
            <w:r w:rsidRPr="00ED077D">
              <w:rPr>
                <w:rFonts w:ascii="Sylfaen" w:eastAsia="Calibri" w:hAnsi="Sylfaen" w:cs="Times New Roman"/>
                <w:b/>
              </w:rPr>
              <w:t>310</w:t>
            </w:r>
          </w:p>
        </w:tc>
        <w:tc>
          <w:tcPr>
            <w:tcW w:w="1077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</w:rPr>
            </w:pPr>
            <w:r w:rsidRPr="00ED077D">
              <w:rPr>
                <w:rFonts w:ascii="Sylfaen" w:eastAsia="Calibri" w:hAnsi="Sylfaen" w:cs="Times New Roman"/>
                <w:lang w:val="ka-GE"/>
              </w:rPr>
              <w:t>17</w:t>
            </w:r>
            <w:r w:rsidRPr="00ED077D">
              <w:rPr>
                <w:rFonts w:ascii="Sylfaen" w:eastAsia="Calibri" w:hAnsi="Sylfaen" w:cs="Times New Roman"/>
              </w:rPr>
              <w:t>1</w:t>
            </w:r>
          </w:p>
        </w:tc>
        <w:tc>
          <w:tcPr>
            <w:tcW w:w="700" w:type="dxa"/>
          </w:tcPr>
          <w:p w:rsidR="00ED077D" w:rsidRPr="00ED077D" w:rsidRDefault="00ED077D" w:rsidP="00ED077D">
            <w:pPr>
              <w:spacing w:after="0"/>
              <w:rPr>
                <w:rFonts w:ascii="Sylfaen" w:eastAsia="Calibri" w:hAnsi="Sylfaen" w:cs="Times New Roman"/>
                <w:b/>
              </w:rPr>
            </w:pPr>
            <w:r w:rsidRPr="00ED077D">
              <w:rPr>
                <w:rFonts w:ascii="Sylfaen" w:eastAsia="Calibri" w:hAnsi="Sylfaen" w:cs="Times New Roman"/>
                <w:b/>
                <w:lang w:val="ka-GE"/>
              </w:rPr>
              <w:t>37</w:t>
            </w:r>
            <w:r w:rsidRPr="00ED077D">
              <w:rPr>
                <w:rFonts w:ascii="Sylfaen" w:eastAsia="Calibri" w:hAnsi="Sylfaen" w:cs="Times New Roman"/>
                <w:b/>
              </w:rPr>
              <w:t>81</w:t>
            </w:r>
          </w:p>
        </w:tc>
      </w:tr>
    </w:tbl>
    <w:p w:rsidR="00ED077D" w:rsidRPr="00ED077D" w:rsidRDefault="00ED077D" w:rsidP="00ED077D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/>
          <w:lang w:val="ru-RU" w:eastAsia="ru-RU"/>
        </w:rPr>
      </w:pPr>
    </w:p>
    <w:p w:rsidR="00ED077D" w:rsidRPr="00ED077D" w:rsidRDefault="00ED077D" w:rsidP="00ED077D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/>
          <w:lang w:val="ru-RU" w:eastAsia="ru-RU"/>
        </w:rPr>
      </w:pPr>
      <w:r w:rsidRPr="00ED077D">
        <w:rPr>
          <w:rFonts w:ascii="Sylfaen" w:eastAsia="Times New Roman" w:hAnsi="Sylfaen" w:cs="Times New Roman"/>
          <w:b/>
          <w:color w:val="000000"/>
          <w:lang w:val="ru-RU" w:eastAsia="ru-RU"/>
        </w:rPr>
        <w:t>ასაკობრივი განაწილება</w:t>
      </w:r>
    </w:p>
    <w:tbl>
      <w:tblPr>
        <w:tblW w:w="4321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043"/>
      </w:tblGrid>
      <w:tr w:rsidR="00ED077D" w:rsidRPr="00ED077D" w:rsidTr="00765ACC">
        <w:trPr>
          <w:trHeight w:val="85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</w:pPr>
          </w:p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  <w:t>შემთხვევათა</w:t>
            </w:r>
          </w:p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  <w:t>რ-ობა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color w:val="000000"/>
                <w:lang w:val="ru-RU" w:eastAsia="ru-RU"/>
              </w:rPr>
              <w:t>%</w:t>
            </w:r>
          </w:p>
        </w:tc>
      </w:tr>
      <w:tr w:rsidR="00ED077D" w:rsidRPr="00ED077D" w:rsidTr="00765ACC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077D">
              <w:rPr>
                <w:rFonts w:ascii="Sylfaen" w:eastAsia="Times New Roman" w:hAnsi="Sylfaen" w:cs="Times New Roman"/>
                <w:lang w:val="ka-GE" w:eastAsia="ru-RU"/>
              </w:rPr>
              <w:t>44</w:t>
            </w:r>
            <w:r w:rsidRPr="00ED077D">
              <w:rPr>
                <w:rFonts w:ascii="Sylfaen" w:eastAsia="Times New Roman" w:hAnsi="Sylfaen" w:cs="Times New Roman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ED077D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11,8</w:t>
            </w:r>
          </w:p>
        </w:tc>
      </w:tr>
      <w:tr w:rsidR="00ED077D" w:rsidRPr="00ED077D" w:rsidTr="00765AC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 w:eastAsia="ru-RU"/>
              </w:rPr>
            </w:pPr>
            <w:r w:rsidRPr="00ED077D">
              <w:rPr>
                <w:rFonts w:ascii="Sylfaen" w:eastAsia="Times New Roman" w:hAnsi="Sylfaen" w:cs="Times New Roman"/>
                <w:lang w:eastAsia="ru-RU"/>
              </w:rPr>
              <w:t>559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ED077D">
              <w:rPr>
                <w:rFonts w:ascii="Sylfaen" w:eastAsia="Times New Roman" w:hAnsi="Sylfaen" w:cs="Times New Roman"/>
                <w:color w:val="000000"/>
                <w:lang w:eastAsia="ru-RU"/>
              </w:rPr>
              <w:t>1</w:t>
            </w:r>
            <w:r w:rsidRPr="00ED077D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4,8</w:t>
            </w:r>
          </w:p>
        </w:tc>
      </w:tr>
      <w:tr w:rsidR="00ED077D" w:rsidRPr="00ED077D" w:rsidTr="00765AC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077D">
              <w:rPr>
                <w:rFonts w:ascii="Sylfaen" w:eastAsia="Times New Roman" w:hAnsi="Sylfaen" w:cs="Times New Roman"/>
                <w:lang w:val="ka-GE" w:eastAsia="ru-RU"/>
              </w:rPr>
              <w:t>387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ED077D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10,3</w:t>
            </w:r>
          </w:p>
        </w:tc>
      </w:tr>
      <w:tr w:rsidR="00ED077D" w:rsidRPr="00ED077D" w:rsidTr="00765AC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077D">
              <w:rPr>
                <w:rFonts w:ascii="Sylfaen" w:eastAsia="Times New Roman" w:hAnsi="Sylfaen" w:cs="Times New Roman"/>
                <w:lang w:val="ka-GE" w:eastAsia="ru-RU"/>
              </w:rPr>
              <w:t>275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ED077D">
              <w:rPr>
                <w:rFonts w:ascii="Sylfaen" w:eastAsia="Times New Roman" w:hAnsi="Sylfaen" w:cs="Times New Roman"/>
                <w:color w:val="000000"/>
                <w:lang w:eastAsia="ru-RU"/>
              </w:rPr>
              <w:t>7</w:t>
            </w:r>
            <w:r w:rsidRPr="00ED077D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,3</w:t>
            </w:r>
          </w:p>
        </w:tc>
      </w:tr>
      <w:tr w:rsidR="00ED077D" w:rsidRPr="00ED077D" w:rsidTr="00765AC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lang w:val="ka-GE" w:eastAsia="ru-RU"/>
              </w:rPr>
              <w:t>9</w:t>
            </w:r>
            <w:r w:rsidRPr="00ED077D">
              <w:rPr>
                <w:rFonts w:ascii="Sylfaen" w:eastAsia="Times New Roman" w:hAnsi="Sylfaen" w:cs="Times New Roman"/>
                <w:b/>
                <w:lang w:eastAsia="ru-RU"/>
              </w:rPr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24</w:t>
            </w:r>
            <w:r w:rsidRPr="00ED077D"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  <w:t>,4</w:t>
            </w:r>
          </w:p>
        </w:tc>
      </w:tr>
      <w:tr w:rsidR="00ED077D" w:rsidRPr="00ED077D" w:rsidTr="00765AC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lang w:val="ka-GE" w:eastAsia="ru-RU"/>
              </w:rPr>
              <w:t>87</w:t>
            </w:r>
            <w:r w:rsidRPr="00ED077D">
              <w:rPr>
                <w:rFonts w:ascii="Sylfaen" w:eastAsia="Times New Roman" w:hAnsi="Sylfaen" w:cs="Times New Roman"/>
                <w:b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  <w:t>23,1</w:t>
            </w:r>
          </w:p>
        </w:tc>
      </w:tr>
      <w:tr w:rsidR="00ED077D" w:rsidRPr="00ED077D" w:rsidTr="00765AC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077D">
              <w:rPr>
                <w:rFonts w:ascii="Sylfaen" w:eastAsia="Times New Roman" w:hAnsi="Sylfaen" w:cs="Times New Roman"/>
                <w:lang w:val="ka-GE" w:eastAsia="ru-RU"/>
              </w:rPr>
              <w:t>3</w:t>
            </w:r>
            <w:r w:rsidRPr="00ED077D">
              <w:rPr>
                <w:rFonts w:ascii="Sylfaen" w:eastAsia="Times New Roman" w:hAnsi="Sylfaen" w:cs="Times New Roman"/>
                <w:lang w:eastAsia="ru-RU"/>
              </w:rPr>
              <w:t>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ED077D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8,3</w:t>
            </w:r>
          </w:p>
        </w:tc>
      </w:tr>
      <w:tr w:rsidR="00ED077D" w:rsidRPr="00ED077D" w:rsidTr="00765ACC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ED077D">
              <w:rPr>
                <w:rFonts w:ascii="Sylfaen" w:eastAsia="Times New Roman" w:hAnsi="Sylfaen" w:cs="Times New Roman"/>
                <w:b/>
                <w:lang w:val="ka-GE" w:eastAsia="ru-RU"/>
              </w:rPr>
              <w:t>37</w:t>
            </w:r>
            <w:r w:rsidRPr="00ED077D">
              <w:rPr>
                <w:rFonts w:ascii="Sylfaen" w:eastAsia="Times New Roman" w:hAnsi="Sylfaen" w:cs="Times New Roman"/>
                <w:b/>
                <w:lang w:eastAsia="ru-RU"/>
              </w:rPr>
              <w:t>81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7D" w:rsidRPr="00ED077D" w:rsidRDefault="00ED077D" w:rsidP="00ED0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</w:pPr>
            <w:r w:rsidRPr="00ED077D">
              <w:rPr>
                <w:rFonts w:ascii="Calibri" w:eastAsia="Times New Roman" w:hAnsi="Calibri" w:cs="Times New Roman"/>
                <w:b/>
                <w:color w:val="000000"/>
                <w:lang w:val="ru-RU" w:eastAsia="ru-RU"/>
              </w:rPr>
              <w:t>100</w:t>
            </w:r>
          </w:p>
        </w:tc>
      </w:tr>
    </w:tbl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</w:p>
    <w:p w:rsidR="00ED077D" w:rsidRPr="00ED077D" w:rsidRDefault="00ED077D" w:rsidP="00ED077D">
      <w:pPr>
        <w:spacing w:after="0" w:line="288" w:lineRule="atLeast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Sylfaen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8620125" cy="337576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3375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77D" w:rsidRPr="00ED077D" w:rsidRDefault="00070CBB" w:rsidP="00070CBB">
      <w:pPr>
        <w:spacing w:after="0" w:line="288" w:lineRule="atLeast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არაგეგმიური წწყ აცრები რეგიონებად</w:t>
      </w:r>
      <w:bookmarkStart w:id="0" w:name="_GoBack"/>
      <w:bookmarkEnd w:id="0"/>
    </w:p>
    <w:p w:rsidR="00ED077D" w:rsidRDefault="00ED077D" w:rsidP="00ED077D">
      <w:pPr>
        <w:spacing w:after="0" w:line="288" w:lineRule="atLeast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485"/>
      </w:tblGrid>
      <w:tr w:rsidR="00070CBB" w:rsidRPr="00070CBB" w:rsidTr="00070CB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რეგიონი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რაოდენობა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53385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აჭარა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9409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იმერეთი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4063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სამეგრელო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12841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გურია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4142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შიდა ქართლი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7049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ქვემო ქართლი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8193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სამცხე-ჯავახეთი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8057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მცხეთა - </w:t>
            </w: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მთიანეთი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3077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lastRenderedPageBreak/>
              <w:t>რაჭა-ლეჩხუმი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1571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კახეთი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10563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თავდაცვა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8000</w:t>
            </w:r>
          </w:p>
        </w:tc>
      </w:tr>
      <w:tr w:rsidR="00070CBB" w:rsidRPr="00070CBB" w:rsidTr="00070CB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სულ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CBB" w:rsidRPr="00070CBB" w:rsidRDefault="00070CBB" w:rsidP="00070CBB">
            <w:pPr>
              <w:spacing w:after="0" w:line="288" w:lineRule="atLeast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41</w:t>
            </w:r>
            <w:r w:rsidRPr="00070CB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222</w:t>
            </w:r>
          </w:p>
        </w:tc>
      </w:tr>
    </w:tbl>
    <w:p w:rsidR="00070CBB" w:rsidRPr="00ED077D" w:rsidRDefault="00070CBB" w:rsidP="00ED077D">
      <w:pPr>
        <w:spacing w:after="0" w:line="288" w:lineRule="atLeast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p w:rsidR="00ED077D" w:rsidRPr="00ED077D" w:rsidRDefault="00ED077D" w:rsidP="00ED077D">
      <w:pPr>
        <w:spacing w:after="0" w:line="288" w:lineRule="atLeast"/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 w:rsidRPr="00ED077D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 xml:space="preserve">3.06-9.06 </w:t>
      </w:r>
      <w:r w:rsidRPr="00ED077D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კვირაში დარეგისტრირდა:</w:t>
      </w: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  <w:r w:rsidRPr="00ED077D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მენინგოკოკცემიის შემთხვევა - </w:t>
      </w:r>
      <w:r w:rsidRPr="00ED077D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1წ. ქუთაისში მცხოვრები ბავშვი. ჰოსპიტალიზირებულია ქუთაისში, კლინიკაში „მედიქალ-სიტი“. ბავშვის მდგომარეობა დამაკმაყოფილებელია.</w:t>
      </w: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  <w:r w:rsidRPr="00ED077D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მიმდინარე წელს ეს არის მენინგოკოკცემიის მე-6 შემთხვევა, მათ შორის 2 დასრულდა ლეტალურად (1წ. და 19 წ.).</w:t>
      </w:r>
    </w:p>
    <w:p w:rsidR="00ED077D" w:rsidRPr="00ED077D" w:rsidRDefault="00ED077D" w:rsidP="00ED077D">
      <w:pPr>
        <w:spacing w:after="0" w:line="288" w:lineRule="atLeast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  <w:r w:rsidRPr="00ED077D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2018 წლის ამავე პერიოდისთვის დარეგისტრირებული იყო 7 შემთხვევა , მ.შ. 2 დასრულდა ლეტალურად.</w:t>
      </w:r>
    </w:p>
    <w:p w:rsidR="00903962" w:rsidRDefault="00903962" w:rsidP="00402D44">
      <w:pPr>
        <w:jc w:val="both"/>
        <w:rPr>
          <w:rFonts w:ascii="Sylfaen" w:hAnsi="Sylfaen"/>
          <w:sz w:val="24"/>
          <w:szCs w:val="24"/>
          <w:lang w:val="ka-GE"/>
        </w:rPr>
      </w:pPr>
    </w:p>
    <w:p w:rsidR="00ED077D" w:rsidRDefault="00ED077D" w:rsidP="00402D44">
      <w:pPr>
        <w:jc w:val="both"/>
        <w:rPr>
          <w:rFonts w:ascii="Sylfaen" w:hAnsi="Sylfaen"/>
          <w:sz w:val="24"/>
          <w:szCs w:val="24"/>
          <w:lang w:val="ka-GE"/>
        </w:rPr>
      </w:pPr>
    </w:p>
    <w:p w:rsidR="00886C61" w:rsidRDefault="00886C61" w:rsidP="00ED077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იმპორტირებული</w:t>
      </w:r>
      <w:r w:rsidRPr="00ED077D">
        <w:rPr>
          <w:rFonts w:ascii="Sylfaen" w:hAnsi="Sylfaen" w:cs="Sylfaen"/>
          <w:b/>
          <w:lang w:val="ka-GE"/>
        </w:rPr>
        <w:t xml:space="preserve"> </w:t>
      </w:r>
      <w:r w:rsidR="009047A6">
        <w:rPr>
          <w:rFonts w:ascii="Sylfaen" w:hAnsi="Sylfaen" w:cs="Sylfaen"/>
          <w:b/>
          <w:lang w:val="ka-GE"/>
        </w:rPr>
        <w:t>ჰანტავირუსული ინფექციის</w:t>
      </w:r>
      <w:r>
        <w:rPr>
          <w:rFonts w:ascii="Sylfaen" w:hAnsi="Sylfaen" w:cs="Sylfaen"/>
          <w:b/>
          <w:lang w:val="ka-GE"/>
        </w:rPr>
        <w:t xml:space="preserve"> </w:t>
      </w:r>
      <w:r w:rsidR="00ED077D" w:rsidRPr="00ED077D">
        <w:rPr>
          <w:rFonts w:ascii="Sylfaen" w:hAnsi="Sylfaen" w:cs="Sylfaen"/>
          <w:b/>
          <w:lang w:val="ka-GE"/>
        </w:rPr>
        <w:t>სავარაუდო შემთხვევა</w:t>
      </w:r>
      <w:r w:rsidR="00ED077D">
        <w:rPr>
          <w:rFonts w:ascii="Sylfaen" w:hAnsi="Sylfaen" w:cs="Sylfaen"/>
          <w:lang w:val="ka-GE"/>
        </w:rPr>
        <w:t xml:space="preserve"> -</w:t>
      </w:r>
      <w:r w:rsidR="00ED077D">
        <w:rPr>
          <w:rFonts w:ascii="Sylfaen" w:hAnsi="Sylfaen" w:cs="Sylfaen"/>
          <w:lang w:val="ka-GE"/>
        </w:rPr>
        <w:t xml:space="preserve"> მამაკაცი</w:t>
      </w:r>
      <w:r>
        <w:rPr>
          <w:rFonts w:ascii="Sylfaen" w:hAnsi="Sylfaen" w:cs="Sylfaen"/>
          <w:lang w:val="ka-GE"/>
        </w:rPr>
        <w:t>,</w:t>
      </w:r>
      <w:r w:rsidR="00ED077D">
        <w:rPr>
          <w:rFonts w:ascii="Sylfaen" w:hAnsi="Sylfaen" w:cs="Sylfaen"/>
          <w:lang w:val="ka-GE"/>
        </w:rPr>
        <w:t xml:space="preserve"> 31 წლის</w:t>
      </w:r>
      <w:r w:rsidR="00ED077D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>საქართველოს მოქალაქე, დაბრუნდა ისრაელიდან, სადაც დაეწყო ჰანტავირუსული ინფექციისთვის დამახასიათებელი კლინიკა.</w:t>
      </w:r>
      <w:r w:rsidR="00ED077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მდგომარეობა იყო საშუალო სიმძიმის და ამჟამად უკვე გაწერილია. ლაბორატორიული კვლევით მიღებულია დადებითი სეროლოგიური პასუხი. შემთხვევის შემდგომი კვლევის მიზნით დაიგეგმა განმეორებითი კვლევა.</w:t>
      </w:r>
    </w:p>
    <w:p w:rsidR="00886C61" w:rsidRDefault="00886C61" w:rsidP="00886C61">
      <w:pPr>
        <w:rPr>
          <w:rFonts w:ascii="Sylfaen" w:hAnsi="Sylfaen" w:cs="Sylfaen"/>
          <w:lang w:val="ka-GE"/>
        </w:rPr>
      </w:pPr>
      <w:r>
        <w:rPr>
          <w:lang w:val="ka-GE"/>
        </w:rPr>
        <w:t xml:space="preserve">01.01.2019 - 10.06.2019 </w:t>
      </w:r>
      <w:r>
        <w:rPr>
          <w:rFonts w:ascii="Sylfaen" w:hAnsi="Sylfaen" w:cs="Sylfaen"/>
          <w:lang w:val="ka-GE"/>
        </w:rPr>
        <w:t>სულ ზედამხედველობა  დამყარდა და კვლევა ჩატარდა</w:t>
      </w:r>
      <w:r>
        <w:rPr>
          <w:lang w:val="ka-GE"/>
        </w:rPr>
        <w:t xml:space="preserve"> 12 </w:t>
      </w:r>
      <w:r>
        <w:rPr>
          <w:rFonts w:ascii="Sylfaen" w:hAnsi="Sylfaen" w:cs="Sylfaen"/>
          <w:lang w:val="ka-GE"/>
        </w:rPr>
        <w:t>შემთხვევა</w:t>
      </w:r>
      <w:r>
        <w:rPr>
          <w:rFonts w:ascii="Sylfaen" w:hAnsi="Sylfaen" w:cs="Sylfaen"/>
          <w:lang w:val="ka-GE"/>
        </w:rPr>
        <w:t xml:space="preserve">ში, კვლევის შედეგების მიხედვით - </w:t>
      </w:r>
      <w:r>
        <w:rPr>
          <w:lang w:val="ka-GE"/>
        </w:rPr>
        <w:t xml:space="preserve"> 6 </w:t>
      </w:r>
      <w:r>
        <w:rPr>
          <w:rFonts w:ascii="Sylfaen" w:hAnsi="Sylfaen"/>
          <w:lang w:val="ka-GE"/>
        </w:rPr>
        <w:t xml:space="preserve">შემთხვევა </w:t>
      </w:r>
      <w:r>
        <w:rPr>
          <w:rFonts w:ascii="Sylfaen" w:hAnsi="Sylfaen" w:cs="Sylfaen"/>
          <w:lang w:val="ka-GE"/>
        </w:rPr>
        <w:t>უკუგდებულია</w:t>
      </w:r>
      <w:r>
        <w:rPr>
          <w:rFonts w:ascii="Sylfaen" w:hAnsi="Sylfaen"/>
          <w:lang w:val="ka-GE"/>
        </w:rPr>
        <w:t xml:space="preserve">. 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5 </w:t>
      </w:r>
      <w:r>
        <w:rPr>
          <w:rFonts w:ascii="Sylfaen" w:hAnsi="Sylfaen" w:cs="Sylfaen"/>
          <w:lang w:val="ka-GE"/>
        </w:rPr>
        <w:t>სავარაუდო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შემთხვევიდან 4 მამაკაცია, 1 ქალი </w:t>
      </w:r>
      <w:r>
        <w:rPr>
          <w:rFonts w:ascii="Sylfaen" w:hAnsi="Sylfaen" w:cs="Sylfaen"/>
          <w:lang w:val="ka-GE"/>
        </w:rPr>
        <w:t xml:space="preserve">- </w:t>
      </w:r>
      <w:r>
        <w:rPr>
          <w:rFonts w:ascii="Sylfaen" w:hAnsi="Sylfaen" w:cs="Sylfaen"/>
          <w:lang w:val="ka-GE"/>
        </w:rPr>
        <w:t>79 წლის  რომელიც გარდაიცვალა.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დადასტურებული შემთხვევა მამაკაცი</w:t>
      </w:r>
      <w:r>
        <w:rPr>
          <w:rFonts w:ascii="Sylfaen" w:hAnsi="Sylfaen" w:cs="Sylfaen"/>
          <w:lang w:val="ka-GE"/>
        </w:rPr>
        <w:t>ა.</w:t>
      </w:r>
    </w:p>
    <w:p w:rsidR="00886C61" w:rsidRDefault="00886C61" w:rsidP="00886C61">
      <w:pPr>
        <w:spacing w:after="0" w:line="240" w:lineRule="auto"/>
        <w:ind w:right="-12"/>
        <w:jc w:val="both"/>
        <w:rPr>
          <w:rFonts w:ascii="Sylfaen" w:eastAsia="Times New Roman" w:hAnsi="Sylfaen" w:cs="Times New Roma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საქართველოში</w:t>
      </w:r>
      <w:r>
        <w:rPr>
          <w:rFonts w:ascii="Sylfaen" w:eastAsia="Times New Roman" w:hAnsi="Sylfaen" w:cs="Times New Roman"/>
          <w:noProof/>
          <w:lang w:val="ka-GE"/>
        </w:rPr>
        <w:t xml:space="preserve"> 2018 </w:t>
      </w:r>
      <w:r>
        <w:rPr>
          <w:rFonts w:ascii="Sylfaen" w:eastAsia="Times New Roman" w:hAnsi="Sylfaen" w:cs="Sylfaen"/>
          <w:noProof/>
          <w:lang w:val="ka-GE"/>
        </w:rPr>
        <w:t>წლის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>მონაცემებით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>აღრიცხულია</w:t>
      </w:r>
      <w:r>
        <w:rPr>
          <w:rFonts w:ascii="Sylfaen" w:eastAsia="Times New Roman" w:hAnsi="Sylfaen" w:cs="Times New Roman"/>
          <w:noProof/>
          <w:lang w:val="ka-GE"/>
        </w:rPr>
        <w:t xml:space="preserve"> ჰანტავირუსით გამოწვეული ინფექციის 26 შემთხვევა: სავარაუდო 20, დადასტურებული 6 (ინციდენტობა 0.7), ყველა შემთხვევა ლაბორატორიულად ტესტირებულია. ზედამხედველობის სისტემით შესწავლილ იქნა 63 შემთხვევა, რომელთა 58,7% (37 შემთხვევა) არის უკუგდებული. შემთხვევები </w:t>
      </w:r>
      <w:r>
        <w:rPr>
          <w:rFonts w:ascii="Sylfaen" w:eastAsia="Times New Roman" w:hAnsi="Sylfaen" w:cs="Times New Roman"/>
          <w:noProof/>
          <w:lang w:val="ka-GE"/>
        </w:rPr>
        <w:t>2018</w:t>
      </w:r>
      <w:r>
        <w:rPr>
          <w:rFonts w:ascii="Sylfaen" w:eastAsia="Times New Roman" w:hAnsi="Sylfaen" w:cs="Times New Roman"/>
          <w:noProof/>
          <w:lang w:val="ka-GE"/>
        </w:rPr>
        <w:t xml:space="preserve"> წელს, </w:t>
      </w:r>
      <w:r>
        <w:rPr>
          <w:rFonts w:ascii="Sylfaen" w:eastAsia="Times New Roman" w:hAnsi="Sylfaen" w:cs="Times New Roman"/>
          <w:noProof/>
          <w:lang w:val="ka-GE"/>
        </w:rPr>
        <w:t>2017</w:t>
      </w:r>
      <w:r>
        <w:rPr>
          <w:rFonts w:ascii="Sylfaen" w:eastAsia="Times New Roman" w:hAnsi="Sylfaen" w:cs="Times New Roman"/>
          <w:noProof/>
          <w:lang w:val="ka-GE"/>
        </w:rPr>
        <w:t xml:space="preserve"> წელთან </w:t>
      </w:r>
      <w:r>
        <w:rPr>
          <w:rFonts w:ascii="Sylfaen" w:eastAsia="Times New Roman" w:hAnsi="Sylfaen" w:cs="Times New Roman"/>
          <w:noProof/>
          <w:lang w:val="ka-GE"/>
        </w:rPr>
        <w:lastRenderedPageBreak/>
        <w:t xml:space="preserve">შედარებით მნიშვნელოვნად მომატებული </w:t>
      </w:r>
      <w:r>
        <w:rPr>
          <w:rFonts w:ascii="Sylfaen" w:eastAsia="Times New Roman" w:hAnsi="Sylfaen" w:cs="Times New Roman"/>
          <w:noProof/>
          <w:lang w:val="ka-GE"/>
        </w:rPr>
        <w:t>იყო</w:t>
      </w:r>
      <w:r>
        <w:rPr>
          <w:rFonts w:ascii="Sylfaen" w:eastAsia="Times New Roman" w:hAnsi="Sylfaen" w:cs="Times New Roman"/>
          <w:noProof/>
          <w:lang w:val="ka-GE"/>
        </w:rPr>
        <w:t>. შემთხვევების განაწილება და ინციდენტობა რეგიონების მიხედვით: აჭარა 8/2.37, თბილისი 4/0.36,  გურია 7/6.19, შიდა ქართლი 3/1.14, ქვემო ქართლი 1/0.23, კახეთი 2/0.63 იმერეთი 1/0.19. ლეტალური გამოსავლით დასრულდა 2 შემთხვევა (მამაკაცი 54  წლის, თბილისი, მამაკაცი 67 წლის, ოზურგეთი); ლეტალობის მაჩვენებელი 7.69. მაღალი ინციდენტობით გამოირჩევა გურია და აჭარა.</w:t>
      </w:r>
    </w:p>
    <w:p w:rsidR="00886C61" w:rsidRDefault="009047A6" w:rsidP="009047A6">
      <w:pPr>
        <w:spacing w:after="0" w:line="240" w:lineRule="auto"/>
        <w:ind w:right="-12"/>
        <w:jc w:val="both"/>
        <w:rPr>
          <w:rFonts w:ascii="Sylfaen" w:eastAsia="Times New Roman" w:hAnsi="Sylfaen" w:cs="Times New Roman"/>
          <w:noProof/>
          <w:lang w:val="ka-GE"/>
        </w:rPr>
      </w:pPr>
      <w:r>
        <w:rPr>
          <w:rFonts w:ascii="Sylfaen" w:eastAsia="Times New Roman" w:hAnsi="Sylfaen" w:cs="Times New Roman"/>
          <w:noProof/>
          <w:lang w:val="ka-GE"/>
        </w:rPr>
        <w:t xml:space="preserve">2018 წელს </w:t>
      </w:r>
      <w:r w:rsidR="00886C61">
        <w:rPr>
          <w:rFonts w:ascii="Sylfaen" w:eastAsia="Times New Roman" w:hAnsi="Sylfaen" w:cs="Times New Roman"/>
          <w:noProof/>
          <w:lang w:val="ka-GE"/>
        </w:rPr>
        <w:t xml:space="preserve">ჰანტავირუსით გამოწვეული ინფექციის </w:t>
      </w:r>
      <w:r w:rsidR="00886C61">
        <w:rPr>
          <w:rFonts w:ascii="Sylfaen" w:eastAsia="Times New Roman" w:hAnsi="Sylfaen" w:cs="Sylfaen"/>
          <w:noProof/>
          <w:lang w:val="ka-GE"/>
        </w:rPr>
        <w:t xml:space="preserve">ჯგუფური შემთხვევა  რეგისტრირებული </w:t>
      </w:r>
      <w:r>
        <w:rPr>
          <w:rFonts w:ascii="Sylfaen" w:eastAsia="Times New Roman" w:hAnsi="Sylfaen" w:cs="Sylfaen"/>
          <w:noProof/>
          <w:lang w:val="ka-GE"/>
        </w:rPr>
        <w:t>იქნა</w:t>
      </w:r>
      <w:r>
        <w:rPr>
          <w:rFonts w:ascii="Sylfaen" w:eastAsia="Times New Roman" w:hAnsi="Sylfaen" w:cs="Sylfaen"/>
          <w:noProof/>
          <w:lang w:val="ka-GE"/>
        </w:rPr>
        <w:t xml:space="preserve"> </w:t>
      </w:r>
      <w:r w:rsidR="00886C61">
        <w:rPr>
          <w:rFonts w:ascii="Sylfaen" w:eastAsia="Times New Roman" w:hAnsi="Sylfaen" w:cs="Sylfaen"/>
          <w:noProof/>
          <w:lang w:val="ka-GE"/>
        </w:rPr>
        <w:t>გურიაშ</w:t>
      </w:r>
      <w:r>
        <w:rPr>
          <w:rFonts w:ascii="Sylfaen" w:eastAsia="Times New Roman" w:hAnsi="Sylfaen" w:cs="Sylfaen"/>
          <w:noProof/>
          <w:lang w:val="ka-GE"/>
        </w:rPr>
        <w:t>ი:</w:t>
      </w:r>
      <w:r w:rsidR="00886C61">
        <w:rPr>
          <w:rFonts w:ascii="Sylfaen" w:eastAsia="Times New Roman" w:hAnsi="Sylfaen" w:cs="Sylfaen"/>
          <w:noProof/>
          <w:lang w:val="ka-GE"/>
        </w:rPr>
        <w:t xml:space="preserve"> თებერვლის ბოლოს ერთ ოჯახში სამი შემთხვევა იქნა აღრიცხული და ლაბორატორიულად დადასტურებული, ერთი მათგანი ლეტალური გამოსავლით დასრულდა. </w:t>
      </w:r>
    </w:p>
    <w:p w:rsidR="00ED077D" w:rsidRPr="00402D44" w:rsidRDefault="00ED077D" w:rsidP="00402D4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D077D" w:rsidRPr="00402D44" w:rsidSect="00402D44">
      <w:pgSz w:w="15840" w:h="12240" w:orient="landscape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44"/>
    <w:rsid w:val="00070CBB"/>
    <w:rsid w:val="00402D44"/>
    <w:rsid w:val="00886C61"/>
    <w:rsid w:val="00903962"/>
    <w:rsid w:val="009047A6"/>
    <w:rsid w:val="009A15EC"/>
    <w:rsid w:val="00ED077D"/>
    <w:rsid w:val="00F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42D9-9FA1-4DD5-A220-F5B39ACD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ncdc</cp:lastModifiedBy>
  <cp:revision>3</cp:revision>
  <dcterms:created xsi:type="dcterms:W3CDTF">2019-06-10T14:59:00Z</dcterms:created>
  <dcterms:modified xsi:type="dcterms:W3CDTF">2019-06-10T15:37:00Z</dcterms:modified>
</cp:coreProperties>
</file>