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03" w:rsidRDefault="00AD5003" w:rsidP="00AD500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სს „საპარტნიორო ფონდის“ აღმასრულებელ დირექტორს</w:t>
      </w:r>
    </w:p>
    <w:p w:rsidR="00AD5003" w:rsidRDefault="00AD5003" w:rsidP="00AD500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ბატონ დავით საგანელიძეს</w:t>
      </w:r>
    </w:p>
    <w:p w:rsidR="00AD5003" w:rsidRDefault="00AD5003" w:rsidP="00AD500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D5003" w:rsidRDefault="00AD5003" w:rsidP="00AD5003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ბატონო დავით,</w:t>
      </w: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022A4" w:rsidRPr="00B82D91" w:rsidRDefault="002B2B5C" w:rsidP="00AE646E">
      <w:pPr>
        <w:spacing w:before="120" w:line="276" w:lineRule="auto"/>
        <w:jc w:val="both"/>
        <w:rPr>
          <w:rFonts w:ascii="Sylfaen" w:hAnsi="Sylfaen" w:cs="Arial"/>
          <w:sz w:val="22"/>
          <w:szCs w:val="22"/>
          <w:lang w:val="ka-GE"/>
        </w:rPr>
      </w:pPr>
      <w:proofErr w:type="spellStart"/>
      <w:r w:rsidRPr="00B82D91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B82D91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B82D91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და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B82D91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სამინისტრომ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განიხილა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თქვენი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მიმდინარე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წლის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25 </w:t>
      </w:r>
      <w:proofErr w:type="spellStart"/>
      <w:r w:rsidRPr="00B82D91">
        <w:rPr>
          <w:rFonts w:ascii="Sylfaen" w:hAnsi="Sylfaen" w:cs="Sylfaen"/>
          <w:sz w:val="22"/>
          <w:szCs w:val="22"/>
        </w:rPr>
        <w:t>ივლისის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N02/1-69 </w:t>
      </w:r>
      <w:proofErr w:type="spellStart"/>
      <w:r w:rsidRPr="00B82D91">
        <w:rPr>
          <w:rFonts w:ascii="Sylfaen" w:hAnsi="Sylfaen" w:cs="Sylfaen"/>
          <w:sz w:val="22"/>
          <w:szCs w:val="22"/>
        </w:rPr>
        <w:t>წერილი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შპს</w:t>
      </w:r>
      <w:proofErr w:type="spellEnd"/>
      <w:r w:rsidRPr="00B82D91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82D91">
        <w:rPr>
          <w:rFonts w:ascii="Sylfaen" w:hAnsi="Sylfaen" w:cs="Arial"/>
          <w:sz w:val="22"/>
          <w:szCs w:val="22"/>
        </w:rPr>
        <w:t>„</w:t>
      </w:r>
      <w:proofErr w:type="spellStart"/>
      <w:r w:rsidRPr="00B82D91">
        <w:rPr>
          <w:rFonts w:ascii="Sylfaen" w:hAnsi="Sylfaen" w:cs="Sylfaen"/>
          <w:sz w:val="22"/>
          <w:szCs w:val="22"/>
        </w:rPr>
        <w:t>აკადემიკოს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ნიკოლოზ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ყიფშიძის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სახელობის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ცენტრალური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საუნივერსიტეტო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proofErr w:type="gramStart"/>
      <w:r w:rsidRPr="00B82D91">
        <w:rPr>
          <w:rFonts w:ascii="Sylfaen" w:hAnsi="Sylfaen" w:cs="Sylfaen"/>
          <w:sz w:val="22"/>
          <w:szCs w:val="22"/>
        </w:rPr>
        <w:t>კლინიკის</w:t>
      </w:r>
      <w:proofErr w:type="spellEnd"/>
      <w:r w:rsidRPr="00B82D91">
        <w:rPr>
          <w:rFonts w:ascii="Sylfaen" w:hAnsi="Sylfaen" w:cs="Arial"/>
          <w:sz w:val="22"/>
          <w:szCs w:val="22"/>
        </w:rPr>
        <w:t>“</w:t>
      </w:r>
      <w:proofErr w:type="gramEnd"/>
      <w:r w:rsidRPr="00B82D91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B82D91">
        <w:rPr>
          <w:rFonts w:ascii="Sylfaen" w:hAnsi="Sylfaen" w:cs="Sylfaen"/>
          <w:sz w:val="22"/>
          <w:szCs w:val="22"/>
        </w:rPr>
        <w:t>შპს</w:t>
      </w:r>
      <w:proofErr w:type="spellEnd"/>
      <w:r w:rsidRPr="00B82D91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82D91">
        <w:rPr>
          <w:rFonts w:ascii="Sylfaen" w:hAnsi="Sylfaen" w:cs="Arial"/>
          <w:sz w:val="22"/>
          <w:szCs w:val="22"/>
        </w:rPr>
        <w:t>„</w:t>
      </w:r>
      <w:proofErr w:type="spellStart"/>
      <w:r w:rsidRPr="00B82D91">
        <w:rPr>
          <w:rFonts w:ascii="Sylfaen" w:hAnsi="Sylfaen" w:cs="Sylfaen"/>
          <w:sz w:val="22"/>
          <w:szCs w:val="22"/>
        </w:rPr>
        <w:t>თბილისის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ბავშვთა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ინფექციური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საავადმყოფოს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“ </w:t>
      </w:r>
      <w:proofErr w:type="spellStart"/>
      <w:r w:rsidRPr="00B82D91">
        <w:rPr>
          <w:rFonts w:ascii="Sylfaen" w:hAnsi="Sylfaen" w:cs="Sylfaen"/>
          <w:sz w:val="22"/>
          <w:szCs w:val="22"/>
        </w:rPr>
        <w:t>და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„</w:t>
      </w:r>
      <w:proofErr w:type="spellStart"/>
      <w:r w:rsidRPr="00B82D91">
        <w:rPr>
          <w:rFonts w:ascii="Sylfaen" w:hAnsi="Sylfaen" w:cs="Sylfaen"/>
          <w:sz w:val="22"/>
          <w:szCs w:val="22"/>
        </w:rPr>
        <w:t>უნივერსალური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ცენტრის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“ 30 </w:t>
      </w:r>
      <w:proofErr w:type="spellStart"/>
      <w:r w:rsidRPr="00B82D91">
        <w:rPr>
          <w:rFonts w:ascii="Sylfaen" w:hAnsi="Sylfaen" w:cs="Sylfaen"/>
          <w:sz w:val="22"/>
          <w:szCs w:val="22"/>
        </w:rPr>
        <w:t>წლიანი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იჯარით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მართვაში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გადაცემის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აუქციონის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გამოცხადების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თაობაზე</w:t>
      </w:r>
      <w:proofErr w:type="spellEnd"/>
      <w:r w:rsidRPr="00B82D91">
        <w:rPr>
          <w:rFonts w:ascii="Sylfaen" w:hAnsi="Sylfaen" w:cs="Arial"/>
          <w:sz w:val="22"/>
          <w:szCs w:val="22"/>
        </w:rPr>
        <w:t>.</w:t>
      </w:r>
    </w:p>
    <w:p w:rsidR="009055C4" w:rsidRPr="00B82D91" w:rsidRDefault="002B2B5C" w:rsidP="00AE646E">
      <w:pPr>
        <w:spacing w:before="120"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როგორც მოგეხსენებათ, 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ჯანდაცვის სისტემის </w:t>
      </w: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ერთ-ერთ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მთავარ </w:t>
      </w: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პრიორიტეტს მაღალხარისხიან და ეფექტიან 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წარმოადგენს.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იმ პირობებში, რომ  </w:t>
      </w:r>
      <w:r w:rsidR="00A022A4" w:rsidRPr="00B82D91">
        <w:rPr>
          <w:rFonts w:ascii="Sylfaen" w:hAnsi="Sylfaen"/>
          <w:sz w:val="22"/>
          <w:szCs w:val="22"/>
          <w:lang w:val="ka-GE"/>
        </w:rPr>
        <w:t>საკუთრების ფორმის მიხედვით, ქვეყანაში არსებული ჰოსპიტალური ქსელის სურათი რადიკალურად</w:t>
      </w:r>
      <w:r w:rsidR="009055C4" w:rsidRPr="00B82D91">
        <w:rPr>
          <w:rFonts w:ascii="Sylfaen" w:hAnsi="Sylfaen"/>
          <w:sz w:val="22"/>
          <w:szCs w:val="22"/>
          <w:lang w:val="ka-GE"/>
        </w:rPr>
        <w:t xml:space="preserve"> განსხვავდება მსოფლიოში </w:t>
      </w:r>
      <w:r w:rsidR="00A022A4" w:rsidRPr="00B82D91">
        <w:rPr>
          <w:rFonts w:ascii="Sylfaen" w:hAnsi="Sylfaen"/>
          <w:sz w:val="22"/>
          <w:szCs w:val="22"/>
          <w:lang w:val="ka-GE"/>
        </w:rPr>
        <w:t>არსებულისგან</w:t>
      </w:r>
      <w:r w:rsidR="009055C4" w:rsidRPr="00B82D91">
        <w:rPr>
          <w:rFonts w:ascii="Sylfaen" w:hAnsi="Sylfaen"/>
          <w:sz w:val="22"/>
          <w:szCs w:val="22"/>
          <w:lang w:val="ka-GE"/>
        </w:rPr>
        <w:t>,</w:t>
      </w:r>
      <w:r w:rsidR="00A022A4" w:rsidRPr="00B82D91">
        <w:rPr>
          <w:rFonts w:ascii="Sylfaen" w:hAnsi="Sylfaen"/>
          <w:sz w:val="22"/>
          <w:szCs w:val="22"/>
          <w:lang w:val="ka-GE"/>
        </w:rPr>
        <w:t xml:space="preserve">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საავადმყოფოთა 85% კერძო მომგებიანია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და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სახელმწიფო საკუთრებაში არსებული საავადმყოფოების საწოლფონდი  მთლიანი  საწოლფონდის 16%-ს შეადგენს, სამინისტრო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გარკვეული გამოწვევების წინაშე 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დგება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სერ</w:t>
      </w:r>
      <w:r w:rsidR="00AE646E">
        <w:rPr>
          <w:rFonts w:ascii="Sylfaen" w:hAnsi="Sylfaen"/>
          <w:color w:val="000000" w:themeColor="text1"/>
          <w:sz w:val="22"/>
          <w:szCs w:val="22"/>
          <w:lang w:val="ka-GE"/>
        </w:rPr>
        <w:t>ვ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ისების თანაბარი და სამართლიანი გადანაწილების 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კუთხით. </w:t>
      </w:r>
      <w:bookmarkStart w:id="0" w:name="_GoBack"/>
      <w:bookmarkEnd w:id="0"/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აღნიშნულის დადასტურებაა ის ფაქტი, კერძო კლინიკებში პაციენტების მიერ თანაგადახდა საშუალოდ 30-32%-ია, ხოლო</w:t>
      </w:r>
      <w:r w:rsidR="009055C4" w:rsidRPr="00B82D91">
        <w:rPr>
          <w:rFonts w:ascii="Sylfaen" w:hAnsi="Sylfaen"/>
          <w:color w:val="000000" w:themeColor="text1"/>
          <w:sz w:val="22"/>
          <w:szCs w:val="22"/>
        </w:rPr>
        <w:t>,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სახელმწიფო კლინიკებში დაბალი ტარიფების გათვალისწინებით, პაციენტებს თითქმის არ უწევთ თანხის დამატება, გარდა </w:t>
      </w:r>
      <w:r w:rsidR="00DD60F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მთავრობის შესაბამისი 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დადგენილებით გათვალისწინებული პირობებისა.</w:t>
      </w:r>
    </w:p>
    <w:p w:rsidR="00DD60F2" w:rsidRDefault="009055C4" w:rsidP="00AE646E">
      <w:pPr>
        <w:spacing w:before="12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კერძო დაწესებულებების უმეტესობისაგან განსხვავებით, სახელმწიფო კლინიკებში მომსახურების ფასები მნიშვნელოვნად დაბალია და ზოგ შემთხვევაში მათი ტარიფის 50%-ს შეადგენს. </w:t>
      </w:r>
      <w:r w:rsidR="00125F55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სწორედ აღნიშნული განაპირობებს </w:t>
      </w:r>
      <w:r w:rsidR="00DD60F2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იმას, რომ </w:t>
      </w:r>
      <w:r w:rsidR="00125F55" w:rsidRPr="00B82D91">
        <w:rPr>
          <w:rFonts w:ascii="Sylfaen" w:hAnsi="Sylfaen"/>
          <w:sz w:val="22"/>
          <w:szCs w:val="22"/>
          <w:lang w:val="ka-GE"/>
        </w:rPr>
        <w:t>შპს „ნ.ყიფშიძის სახელობის ცენტრ</w:t>
      </w:r>
      <w:r w:rsidR="00DD60F2">
        <w:rPr>
          <w:rFonts w:ascii="Sylfaen" w:hAnsi="Sylfaen"/>
          <w:sz w:val="22"/>
          <w:szCs w:val="22"/>
          <w:lang w:val="ka-GE"/>
        </w:rPr>
        <w:t xml:space="preserve">ალური საუნივერსიტეტო კლინიკის“ </w:t>
      </w:r>
      <w:r w:rsidR="00125F55" w:rsidRPr="00B82D91">
        <w:rPr>
          <w:rFonts w:ascii="Sylfaen" w:hAnsi="Sylfaen"/>
          <w:sz w:val="22"/>
          <w:szCs w:val="22"/>
          <w:lang w:val="ka-GE"/>
        </w:rPr>
        <w:t xml:space="preserve">და </w:t>
      </w:r>
      <w:r w:rsidR="00125F55" w:rsidRPr="00B82D91">
        <w:rPr>
          <w:rFonts w:ascii="Sylfaen" w:hAnsi="Sylfaen" w:cs="Sylfaen"/>
          <w:sz w:val="22"/>
          <w:szCs w:val="22"/>
          <w:lang w:val="ka-GE"/>
        </w:rPr>
        <w:t>შპს</w:t>
      </w:r>
      <w:r w:rsidR="00125F55" w:rsidRPr="00B82D91">
        <w:rPr>
          <w:rFonts w:ascii="Sylfaen" w:hAnsi="Sylfaen"/>
          <w:sz w:val="22"/>
          <w:szCs w:val="22"/>
          <w:lang w:val="ka-GE"/>
        </w:rPr>
        <w:t xml:space="preserve"> „თბილისის ბავშვთა ინფექციური კლინიკური საავადმყოფოს“ </w:t>
      </w:r>
      <w:r w:rsidR="00DD60F2">
        <w:rPr>
          <w:rFonts w:ascii="Sylfaen" w:hAnsi="Sylfaen"/>
          <w:sz w:val="22"/>
          <w:szCs w:val="22"/>
          <w:lang w:val="ka-GE"/>
        </w:rPr>
        <w:t xml:space="preserve">დატვირთვის მაჩვენებლები ქვეყნის საშუალოსთან შედარებით (51%) მაღლია და 2018 წლის მონაცემებზე დაყრდნობით შეადგენს 74.4%-ს და 57.2-ს. ამ კლინიკებში სახელმწიფოს აქტიური მართვის ფონზე ფაქტიურ ხარჯებთან მაქსიმალურად მიახლოვებული სატარიფო არეალი, კვლავაც კონკურენტუნარიანს ხდის მათ კერძო სექტორთან მიმართებაში და უჩენს განვითარების </w:t>
      </w:r>
      <w:r w:rsidR="00AE646E">
        <w:rPr>
          <w:rFonts w:ascii="Sylfaen" w:hAnsi="Sylfaen"/>
          <w:sz w:val="22"/>
          <w:szCs w:val="22"/>
          <w:lang w:val="ka-GE"/>
        </w:rPr>
        <w:t>შესაძლებლობას</w:t>
      </w:r>
      <w:r w:rsidR="00DD60F2">
        <w:rPr>
          <w:rFonts w:ascii="Sylfaen" w:hAnsi="Sylfaen"/>
          <w:sz w:val="22"/>
          <w:szCs w:val="22"/>
          <w:lang w:val="ka-GE"/>
        </w:rPr>
        <w:t xml:space="preserve">. </w:t>
      </w:r>
    </w:p>
    <w:p w:rsidR="00B82D91" w:rsidRPr="00AE646E" w:rsidRDefault="00DD60F2" w:rsidP="00AE646E">
      <w:pPr>
        <w:spacing w:before="120" w:line="276" w:lineRule="auto"/>
        <w:jc w:val="both"/>
        <w:rPr>
          <w:rFonts w:ascii="Sylfaen" w:hAnsi="Sylfaen" w:cstheme="minorHAnsi"/>
          <w:bCs/>
          <w:sz w:val="22"/>
          <w:szCs w:val="22"/>
          <w:bdr w:val="none" w:sz="0" w:space="0" w:color="auto" w:frame="1"/>
          <w:lang w:val="ka-GE"/>
        </w:rPr>
      </w:pPr>
      <w:r w:rsidRPr="005C5FC7">
        <w:rPr>
          <w:rFonts w:ascii="Sylfaen" w:hAnsi="Sylfaen"/>
          <w:sz w:val="22"/>
          <w:szCs w:val="22"/>
          <w:lang w:val="ka-GE"/>
        </w:rPr>
        <w:t>რაც შეეხება სს „უნივერსალური სამედიცინო ცენტრის“, მიუხედავად იმისა, რომ მისი დატვირთვა ამ</w:t>
      </w:r>
      <w:r w:rsidR="005C5FC7" w:rsidRPr="005C5FC7">
        <w:rPr>
          <w:rFonts w:ascii="Sylfaen" w:hAnsi="Sylfaen"/>
          <w:sz w:val="22"/>
          <w:szCs w:val="22"/>
          <w:lang w:val="ka-GE"/>
        </w:rPr>
        <w:t xml:space="preserve"> ეტაპზე მხოლოდ 20.8%-ია-ცენტრი ონკოლოგიურ პაციენტს სთავაზობს </w:t>
      </w:r>
      <w:r w:rsidR="005C5FC7" w:rsidRPr="005C5FC7">
        <w:rPr>
          <w:rFonts w:ascii="Sylfaen" w:hAnsi="Sylfaen" w:cstheme="minorHAnsi"/>
          <w:bCs/>
          <w:sz w:val="22"/>
          <w:szCs w:val="22"/>
          <w:bdr w:val="none" w:sz="0" w:space="0" w:color="auto" w:frame="1"/>
          <w:lang w:val="ka-GE"/>
        </w:rPr>
        <w:t xml:space="preserve">ფართო სპექტრის დიაგნოსტიკურ და სამკურნალო დახმარებას (კომპიუტერული ტომოგრაფიის, ქირურგიული ოპერაციების და ქიმიოთერაპიის, </w:t>
      </w:r>
      <w:r w:rsidR="005C5FC7" w:rsidRPr="005C5FC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ასევე, პალიატიური მზრუნველობა/მოვლა და მკურნალობის სრული კურსის </w:t>
      </w:r>
      <w:r w:rsidR="005C5FC7" w:rsidRPr="005C5FC7">
        <w:rPr>
          <w:rFonts w:ascii="Sylfaen" w:hAnsi="Sylfaen" w:cstheme="minorHAnsi"/>
          <w:bCs/>
          <w:sz w:val="22"/>
          <w:szCs w:val="22"/>
          <w:bdr w:val="none" w:sz="0" w:space="0" w:color="auto" w:frame="1"/>
          <w:lang w:val="ka-GE"/>
        </w:rPr>
        <w:t xml:space="preserve">ჩათვლით) და </w:t>
      </w:r>
      <w:r w:rsidR="005C5FC7" w:rsidRPr="005C5FC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პაციენტებს აღარ უწევთ სხვადასხვა სამედიცინო დაწესებულებებში ზედმეტი გადაადგილება.  </w:t>
      </w:r>
      <w:r w:rsidR="005C5FC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ცენტრის </w:t>
      </w:r>
      <w:r w:rsidR="00AE646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მატერიალურ-ტექნიკური ბაზის განვითარების პოტენციალი მაღალია. ეს </w:t>
      </w:r>
      <w:r w:rsidR="005C5FC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სახელმწიფოსთვის ქმნის ისეთი ძვირადღირებული სერვისების შექმნის შესაძლებლობას, </w:t>
      </w:r>
      <w:r w:rsidR="005C5FC7"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 xml:space="preserve">რაც პაციენტების საზღვარგარეთ გადინების ძირითად მიზეზს წარმოადგენს და რომელთა განვითარებით კერძო სექტორი ნაკლებად არის დაინტერესებული. </w:t>
      </w:r>
      <w:r w:rsidR="005C5FC7">
        <w:rPr>
          <w:rFonts w:ascii="Sylfaen" w:hAnsi="Sylfaen" w:cstheme="minorHAnsi"/>
          <w:bCs/>
          <w:sz w:val="22"/>
          <w:szCs w:val="22"/>
          <w:bdr w:val="none" w:sz="0" w:space="0" w:color="auto" w:frame="1"/>
          <w:lang w:val="ka-GE"/>
        </w:rPr>
        <w:t xml:space="preserve">ამის მაგალითებია </w:t>
      </w:r>
      <w:r w:rsidR="00B82D91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მაღალდოზირებული ქიმიოთერაპია, ძვლის ტვინის ა</w:t>
      </w:r>
      <w:r w:rsidR="005C5FC7">
        <w:rPr>
          <w:rFonts w:ascii="Sylfaen" w:hAnsi="Sylfaen"/>
          <w:color w:val="000000" w:themeColor="text1"/>
          <w:sz w:val="22"/>
          <w:szCs w:val="22"/>
          <w:lang w:val="ka-GE"/>
        </w:rPr>
        <w:t>ლოგენური ტრანსპლანტაცია და სხვა</w:t>
      </w:r>
      <w:r w:rsidR="00B82D91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  <w:r w:rsidR="005C5FC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ამ ტიპის სერვისების საზღვარგარეთ დასაფინანსებლად </w:t>
      </w:r>
      <w:r w:rsidR="00B82D91" w:rsidRPr="00B82D91">
        <w:rPr>
          <w:rFonts w:ascii="Sylfaen" w:hAnsi="Sylfaen"/>
          <w:color w:val="000000" w:themeColor="text1"/>
          <w:sz w:val="22"/>
          <w:szCs w:val="22"/>
          <w:lang w:val="ka-GE"/>
        </w:rPr>
        <w:t>2017-2019 წლებში სულ ცო</w:t>
      </w:r>
      <w:r w:rsidR="005C5FC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ტა 54 მლნ. ლარის გადინება მოხდა, რაც სერიოზული რესურსია ქვეყნის ეკონომიკისთვის. </w:t>
      </w:r>
    </w:p>
    <w:p w:rsidR="005C5FC7" w:rsidRDefault="00B82D91" w:rsidP="00AE646E">
      <w:pPr>
        <w:spacing w:before="120"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ასევე გასათვალისწინებელია სამივე</w:t>
      </w:r>
      <w:r w:rsidR="005C5FC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კლინიკის ცენტრალური მდებარეობა, რაც მათ გამოყენებას შესაძლებელს ხდის, როგორც თბილისის, ასევე მთელი ქვეყნის მოსახლეობისთვის.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5C5FC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სამივე კლინიკაში წარმატებით შეიძლება ჩამოყალიბდეს ბაზები საუნივერსიტეტო პრაქტიკული სწავლებისა და რეზიდენტების მომზადებისთვის, რაც სახელმწიფოსთვის მნიშვნელოვანი ბერკეტია ჯანდაცვაში ადამიანური რესურსის სტრატეგიის რეალიზაციისთვის. </w:t>
      </w:r>
    </w:p>
    <w:p w:rsidR="00AE0D90" w:rsidRDefault="005C5FC7" w:rsidP="00AE646E">
      <w:pPr>
        <w:spacing w:before="120"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გასათვალისწინებელია ის გარემოებაც, რომ კერძოდ ინვესტორისთვის ინფექციური დაავადებების პროფილის განვითარება</w:t>
      </w:r>
      <w:r w:rsidR="00AE646E"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ჩვეულებრივ</w:t>
      </w:r>
      <w:r w:rsidR="00AE646E"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არ არის მიმზიდველი მიმართულება, ეს საფრთხის ქვეშ დააყენებს </w:t>
      </w:r>
      <w:r w:rsidRPr="00B82D91">
        <w:rPr>
          <w:rFonts w:ascii="Sylfaen" w:hAnsi="Sylfaen" w:cs="Sylfaen"/>
          <w:sz w:val="22"/>
          <w:szCs w:val="22"/>
          <w:lang w:val="ka-GE"/>
        </w:rPr>
        <w:t>შპს</w:t>
      </w:r>
      <w:r w:rsidRPr="00B82D91">
        <w:rPr>
          <w:rFonts w:ascii="Sylfaen" w:hAnsi="Sylfaen"/>
          <w:sz w:val="22"/>
          <w:szCs w:val="22"/>
          <w:lang w:val="ka-GE"/>
        </w:rPr>
        <w:t xml:space="preserve"> „თბილისის ბავშვთა ინფექციური კლინიკური საავადმყოფოს“</w:t>
      </w:r>
      <w:r>
        <w:rPr>
          <w:rFonts w:ascii="Sylfaen" w:hAnsi="Sylfaen"/>
          <w:sz w:val="22"/>
          <w:szCs w:val="22"/>
          <w:lang w:val="ka-GE"/>
        </w:rPr>
        <w:t xml:space="preserve"> მიერ წა</w:t>
      </w:r>
      <w:r w:rsidR="00AE646E">
        <w:rPr>
          <w:rFonts w:ascii="Sylfaen" w:hAnsi="Sylfaen"/>
          <w:sz w:val="22"/>
          <w:szCs w:val="22"/>
          <w:lang w:val="ka-GE"/>
        </w:rPr>
        <w:t xml:space="preserve">რმოებული სერვისების უწყვეტობას და შეასუსტებს სახელმწიფოს შესაძლებლობას უპასუხოს ეპიდემიოლოგიურ რისკებს, რაც განსაკუთრებით საყურადღებოა ბავშვებში. </w:t>
      </w:r>
    </w:p>
    <w:p w:rsidR="00AE0D90" w:rsidRDefault="00AE646E" w:rsidP="00AE646E">
      <w:pPr>
        <w:spacing w:before="120"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სერვისების განვითარების მაღალი პოტენციალის გარდა, ასევე გასათვალისწინებელია  </w:t>
      </w:r>
      <w:r w:rsidR="00AE0D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შპს „თბილისის ბავშვთა ინფექციური საავადმყოფოს“ და სს“ </w:t>
      </w:r>
      <w:r w:rsidR="00AE0D90" w:rsidRPr="00BC5C7B">
        <w:rPr>
          <w:rFonts w:ascii="Sylfaen" w:hAnsi="Sylfaen"/>
          <w:color w:val="000000" w:themeColor="text1"/>
          <w:sz w:val="22"/>
          <w:szCs w:val="22"/>
          <w:lang w:val="ka-GE"/>
        </w:rPr>
        <w:t>უნივერსალური სამედიცინო ცენტრი</w:t>
      </w:r>
      <w:r w:rsidR="00AE0D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ს“ იჯარიდან შემოსული თანხმები, რომლებიც მნიშვნელოვანი რესურსია აღნიშნული დაწესებულებების განვითარებისთვის და მათი მართვაში გადაცემის შემთხვევაში სახელმწიფო დაკარგავს 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ამ</w:t>
      </w:r>
      <w:r w:rsidR="00AE0D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რესურსს. </w:t>
      </w:r>
    </w:p>
    <w:p w:rsidR="002B2B5C" w:rsidRPr="00B82D91" w:rsidRDefault="00125F55" w:rsidP="00AE646E">
      <w:pPr>
        <w:spacing w:before="120"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ზემოხსენებულ გამოწვევაზე  არაერთი წელია მიმდინარეობს დისკუსია, რათა გამოინახოს სახელმწიფოს საკუთრებაში დარჩენილი რესურსის ოპტიმალური გამოყენების ეფექტური გზები</w:t>
      </w:r>
      <w:r w:rsid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  <w:r w:rsidR="002B2B5C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გამომდინარე</w:t>
      </w:r>
      <w:r w:rsidR="000039E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აქედან</w:t>
      </w:r>
      <w:r w:rsidR="002B2B5C" w:rsidRPr="00B82D91">
        <w:rPr>
          <w:rFonts w:ascii="Sylfaen" w:hAnsi="Sylfaen"/>
          <w:color w:val="000000" w:themeColor="text1"/>
          <w:sz w:val="22"/>
          <w:szCs w:val="22"/>
          <w:lang w:val="ka-GE"/>
        </w:rPr>
        <w:t>, მეტად მნიშვნელოვანია სამი სტრატეგიული მნიშვნელობის საავადმყოფოს სახელმწიფო საკუთრებაში დატოვება და სახელმწიფოსთვის პრიორიტეტული სერვისების განვითარება. შესაბამისად, ამ ეტაპზე, სამინისტროს მიზანშეწონილად არ მიაჩნია მათი მართვაში გადაცემისთვის კომპანიის</w:t>
      </w:r>
      <w:r w:rsidR="000039E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შერჩევის აუქციონის გამოცხადება</w:t>
      </w:r>
      <w:r w:rsidR="002B2B5C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პატივისცემით, </w:t>
      </w: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795EE8" w:rsidRPr="00B82D91" w:rsidRDefault="00795EE8">
      <w:pPr>
        <w:rPr>
          <w:rFonts w:ascii="Sylfaen" w:hAnsi="Sylfaen"/>
          <w:sz w:val="22"/>
          <w:szCs w:val="22"/>
        </w:rPr>
      </w:pPr>
    </w:p>
    <w:sectPr w:rsidR="00795EE8" w:rsidRPr="00B82D91" w:rsidSect="00F850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5C"/>
    <w:rsid w:val="000039EC"/>
    <w:rsid w:val="00125F55"/>
    <w:rsid w:val="001B7AEF"/>
    <w:rsid w:val="002B2B5C"/>
    <w:rsid w:val="003A548C"/>
    <w:rsid w:val="003E5594"/>
    <w:rsid w:val="0042737F"/>
    <w:rsid w:val="005176D0"/>
    <w:rsid w:val="005C5FC7"/>
    <w:rsid w:val="00730A37"/>
    <w:rsid w:val="00795EE8"/>
    <w:rsid w:val="009055C4"/>
    <w:rsid w:val="00A022A4"/>
    <w:rsid w:val="00AD5003"/>
    <w:rsid w:val="00AE0D90"/>
    <w:rsid w:val="00AE646E"/>
    <w:rsid w:val="00B82D91"/>
    <w:rsid w:val="00C838A5"/>
    <w:rsid w:val="00D37E81"/>
    <w:rsid w:val="00D65521"/>
    <w:rsid w:val="00D70024"/>
    <w:rsid w:val="00D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C077"/>
  <w15:docId w15:val="{346C51C7-8F2E-40D0-8728-87A18BB9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2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B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B5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Tamar Gabunia</cp:lastModifiedBy>
  <cp:revision>2</cp:revision>
  <dcterms:created xsi:type="dcterms:W3CDTF">2019-09-12T05:32:00Z</dcterms:created>
  <dcterms:modified xsi:type="dcterms:W3CDTF">2019-09-12T05:32:00Z</dcterms:modified>
</cp:coreProperties>
</file>