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7" w:rsidRDefault="00C97DA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C97DA7">
        <w:rPr>
          <w:rFonts w:ascii="Sylfaen" w:hAnsi="Sylfaen"/>
          <w:color w:val="000000" w:themeColor="text1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მინისტრს, ქალბატონ ეკატერინე ტიკარაძეს</w:t>
      </w: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C97DA7">
        <w:rPr>
          <w:rFonts w:ascii="Sylfaen" w:hAnsi="Sylfaen"/>
          <w:color w:val="000000" w:themeColor="text1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მინისტრის მოადგილის, ბატონ გიორგი წოწკოლაურის</w:t>
      </w: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60227" w:rsidRDefault="00160227" w:rsidP="00B409C4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მოხსენებითი ბარათი</w:t>
      </w: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60227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797319" w:rsidRDefault="00160227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მოგეხსენებათ, </w:t>
      </w:r>
      <w:r w:rsidR="00C97DA7" w:rsidRPr="00C97DA7">
        <w:rPr>
          <w:rFonts w:ascii="Sylfaen" w:hAnsi="Sylfaen"/>
          <w:color w:val="000000" w:themeColor="text1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ში შემოვიდა</w:t>
      </w:r>
      <w:r w:rsidR="00C97DA7" w:rsidRPr="00C97DA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სს „საპარტნიორო ფონდის“ </w:t>
      </w:r>
      <w:r w:rsidR="00C97DA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წერილი 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 w:rsidR="00C97DA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იძის სახელობის ცენტრალური საუნივერსიტეტო კლინიკის“, 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„თბილისის ბავშვთა ინფექციური საავადმყოფოს“ </w:t>
      </w:r>
      <w:r w:rsidR="002A3F8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და სს „უნივერსალური სამედიცინო ცენტრის“, 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>30 წ</w:t>
      </w:r>
      <w:r w:rsidR="00814C94">
        <w:rPr>
          <w:rFonts w:ascii="Sylfaen" w:hAnsi="Sylfaen"/>
          <w:color w:val="000000" w:themeColor="text1"/>
          <w:sz w:val="22"/>
          <w:szCs w:val="22"/>
          <w:lang w:val="ka-GE"/>
        </w:rPr>
        <w:t>ლიანი იჯარით მართვაში გადაცემისთვის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აუქციონის გამოცხადების თაობაზე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(25.07.2019, N02/1-69)</w:t>
      </w:r>
      <w:r w:rsidR="008E0C8A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:rsidR="002A3F84" w:rsidRDefault="002A3F84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A3F84" w:rsidRDefault="002A3F84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წერილშია აღნიშნული, 2015 წელს განხორციელდა 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იძის სახელობის ცენტრალური საუნივერსიტეტო კლინიკის“ და შპს „თბილისის ბავშვთა ინფექციური საავადმყოფოს“ 100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%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-იანი წილების და სს „უნივერსალური სამედიცინო ცენტრის“ აქციათა 100თ-ის სს „საპარტნიორო ფო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ნ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დის“ კაპიტალში შეტანა (საქართველოს მთავრობის 2015 წლის 20 ივლისის N1588 განკარგულება). შემდგომში, 2017 წლის 27 თებერვალს, სამედიცინო დაწესებულებების ეფექტური, ოპერატიული და კოორდინირებული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მართვის მიზნით, მოხდა ფონდის 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ვილობილი კომპანიის შპს „კლინიკების განვი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არების კომპანია“, რომლის კაპიტალში იქნა შეტანილი ზემოაღნიშნული კლინიკების წილების/აქციების 100%.</w:t>
      </w:r>
    </w:p>
    <w:p w:rsidR="00C94719" w:rsidRDefault="00C94719" w:rsidP="00C97DA7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C94719" w:rsidRDefault="00C94719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</w:t>
      </w:r>
      <w:r w:rsidR="00160227">
        <w:rPr>
          <w:rFonts w:ascii="Sylfaen" w:hAnsi="Sylfaen"/>
          <w:color w:val="000000" w:themeColor="text1"/>
          <w:sz w:val="22"/>
          <w:szCs w:val="22"/>
          <w:lang w:val="ka-GE"/>
        </w:rPr>
        <w:t>თქვენთვის ცნობილია,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C0884">
        <w:rPr>
          <w:rFonts w:ascii="Sylfaen" w:hAnsi="Sylfaen"/>
          <w:color w:val="000000" w:themeColor="text1"/>
          <w:sz w:val="22"/>
          <w:szCs w:val="22"/>
        </w:rPr>
        <w:t xml:space="preserve">2018 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წლის მონაცემებით, საქართველოში ფუნქციონირებდა 287 საავადმყოფო 16,299 საწოლით. 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საავადმყოფოთა 15% სახელმწიფო საკუთრებაშია, 0.4% კერძო-არამომგებიანი, ხოლო 85% კერძო</w:t>
      </w:r>
      <w:r w:rsidR="009C0884">
        <w:rPr>
          <w:rFonts w:ascii="Sylfaen" w:hAnsi="Sylfaen"/>
          <w:color w:val="000000" w:themeColor="text1"/>
          <w:sz w:val="22"/>
          <w:szCs w:val="22"/>
        </w:rPr>
        <w:t>-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მომგებიანი</w:t>
      </w:r>
      <w:r w:rsidR="009C0884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>დაწესებულებებია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 საერთაშორისო შედარება ცხადყოფს, რომ 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კერძო-მომგებიანი 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სტაციონარული ქსელი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ასეთი მაღალი ხვედრითი წილი 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მსოფლი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ოს 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თითქმის არცერთ ქვეყანა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>ში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არ </w:t>
      </w:r>
      <w:r w:rsidR="009C0884">
        <w:rPr>
          <w:rFonts w:ascii="Sylfaen" w:hAnsi="Sylfaen"/>
          <w:color w:val="000000" w:themeColor="text1"/>
          <w:sz w:val="22"/>
          <w:szCs w:val="22"/>
          <w:lang w:val="ka-GE"/>
        </w:rPr>
        <w:t>არის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გარდა ნიდერლანდებისა (73%), მე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ქ</w:t>
      </w:r>
      <w:r w:rsidR="009C0884"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სიკისა (69%). აშშ-შიც კი, სადაც უმეტეს წილად კერძო სადაზღვევო სისტემაზე დაფუძნებული მოდელია განვითარებული, კერძო მომგებიანი ჰოსპიტლების წილი მხოლოდ 21%-ია.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საკუთრებაში (როგორც ცენტრალური, ისე მუნიციპალური) საავადმყოფოების საწოლფონდი შეადგენს 2,572 (აქედან ფსიქიკური სერვისებისთვის - 636, ტუბერკულოზის სერვისებისთვის - 340)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, რაც ქვეყანაში არსებული საწოლფ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ონდის 16%-ს შეადგენს.</w:t>
      </w:r>
    </w:p>
    <w:p w:rsidR="00C94719" w:rsidRDefault="00C94719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A20A4" w:rsidRDefault="004A7871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 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>დამატე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ბ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>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გაცნობებთ, რომ</w:t>
      </w:r>
      <w:r w:rsidR="006A20A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საკუთრებაში არსებული კლინიკებისთვის გადარიცხული თანხები,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მხოლოდ საყოველთაო ჯანმრთელობის 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სახელმწიფო პროგრამის ფარგლებში</w:t>
      </w:r>
      <w:r w:rsidR="006A20A4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6A20A4">
        <w:rPr>
          <w:rFonts w:ascii="Sylfaen" w:hAnsi="Sylfaen"/>
          <w:color w:val="000000" w:themeColor="text1"/>
          <w:sz w:val="22"/>
          <w:szCs w:val="22"/>
        </w:rPr>
        <w:t xml:space="preserve">2013-2018 </w:t>
      </w:r>
      <w:r w:rsidR="006A20A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წლებში 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სტაციონარებისთვის ანაზღაურებული საერთო </w:t>
      </w:r>
      <w:r w:rsidR="006A20A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თანხიდან საშუალოდ 8%-ს 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შეადგენდა </w:t>
      </w:r>
      <w:r w:rsidR="006A20A4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:rsidR="006A20A4" w:rsidRDefault="006A20A4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1580"/>
        <w:gridCol w:w="2276"/>
        <w:gridCol w:w="2544"/>
        <w:gridCol w:w="1260"/>
      </w:tblGrid>
      <w:tr w:rsidR="006A20A4" w:rsidRPr="006A20A4" w:rsidTr="006A20A4">
        <w:trPr>
          <w:trHeight w:val="40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წელი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თანხა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6A20A4" w:rsidRPr="006A20A4" w:rsidTr="006A20A4">
        <w:trPr>
          <w:trHeight w:val="421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0A4" w:rsidRPr="006A20A4" w:rsidRDefault="006A20A4" w:rsidP="006A20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სახელმწიფო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კერძო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0A4" w:rsidRPr="006A20A4" w:rsidRDefault="006A20A4" w:rsidP="006A20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20A4" w:rsidRPr="006A20A4" w:rsidTr="006A20A4">
        <w:trPr>
          <w:trHeight w:val="2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3,852,118.97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65,212,882.85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6A20A4" w:rsidRPr="006A20A4" w:rsidTr="006A20A4">
        <w:trPr>
          <w:trHeight w:val="2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24,595,769.43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311,007,170.94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6A20A4" w:rsidRPr="006A20A4" w:rsidTr="006A20A4">
        <w:trPr>
          <w:trHeight w:val="27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41,449,564.01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529,193,662.72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6A20A4" w:rsidRPr="006A20A4" w:rsidTr="006A20A4">
        <w:trPr>
          <w:trHeight w:val="26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56,336,598.09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621,156,964.15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6A20A4" w:rsidRPr="006A20A4" w:rsidTr="006A20A4">
        <w:trPr>
          <w:trHeight w:val="27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53,742,196.51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652,239,875.35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6A20A4" w:rsidRPr="006A20A4" w:rsidTr="006A20A4">
        <w:trPr>
          <w:trHeight w:val="27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55,271,343.99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701,198,020.60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6A20A4" w:rsidRPr="006A20A4" w:rsidTr="006A20A4">
        <w:trPr>
          <w:trHeight w:val="26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სულ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235,247,591.00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2,880,008,576.61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8%</w:t>
            </w:r>
          </w:p>
        </w:tc>
      </w:tr>
    </w:tbl>
    <w:p w:rsidR="006A20A4" w:rsidRPr="006A20A4" w:rsidRDefault="006A20A4" w:rsidP="00C94719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6A20A4" w:rsidRDefault="006A20A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A20A4" w:rsidRDefault="006A20A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რაც შეეხება საყოველთაო ჯანდაცვის პროგრამისდ ფარგლებში პაციენტების მიერ თანაგადახდას, კერძო კლინიკებში იგი საშუალოდ 30-32%-ია, ხოლონ სახელმწიფო კლინიკებში დაბალი ტარიფების გათვალისწინებით, პაციენტებს თითქმის არ უწევთ თანხის დამატება, გარდა დადგენილებით გათვალისწინებული პირობებისა.</w:t>
      </w:r>
    </w:p>
    <w:p w:rsidR="006A20A4" w:rsidRDefault="006A20A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A20A4" w:rsidRDefault="006A20A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აქვე აღსანიშნავია, </w:t>
      </w:r>
      <w:r w:rsidR="007A062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სამედიცინო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მომსახურების ხარისხი, რომლის ერთ-ერთი ინდიკატორია საავადმყოფოებს შორის პაციენტების რეფერალი. 2013-2108 წლების მონაცემების ანალიზი ცხადყოფს, რომ კერძო კლინიკებში რეფერალებს მზარდი ტენდენცია ახასიათებს, შესაბამისად იზრდება </w:t>
      </w:r>
      <w:r w:rsidR="007A0624">
        <w:rPr>
          <w:rFonts w:ascii="Sylfaen" w:hAnsi="Sylfaen"/>
          <w:color w:val="000000" w:themeColor="text1"/>
          <w:sz w:val="22"/>
          <w:szCs w:val="22"/>
          <w:lang w:val="ka-GE"/>
        </w:rPr>
        <w:t>სასწრაფო-გადაუდებელი დახმარების და სამედიცინო ტრანსპორტირების სახელმწიფო პროგრამის დახმარების პროგრამის ტრანსპორტირების კომპონენტის ხარჯები.</w:t>
      </w:r>
    </w:p>
    <w:tbl>
      <w:tblPr>
        <w:tblW w:w="4680" w:type="dxa"/>
        <w:tblInd w:w="2170" w:type="dxa"/>
        <w:tblLook w:val="04A0" w:firstRow="1" w:lastRow="0" w:firstColumn="1" w:lastColumn="0" w:noHBand="0" w:noVBand="1"/>
      </w:tblPr>
      <w:tblGrid>
        <w:gridCol w:w="2120"/>
        <w:gridCol w:w="2560"/>
      </w:tblGrid>
      <w:tr w:rsidR="006A20A4" w:rsidRPr="006A20A4" w:rsidTr="007638EA">
        <w:trPr>
          <w:trHeight w:val="46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წელი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A20A4">
              <w:rPr>
                <w:rFonts w:ascii="Sylfaen" w:hAnsi="Sylfaen" w:cs="Sylfaen"/>
                <w:color w:val="000000"/>
                <w:sz w:val="22"/>
                <w:szCs w:val="22"/>
              </w:rPr>
              <w:t>თანხა</w:t>
            </w:r>
            <w:proofErr w:type="spellEnd"/>
          </w:p>
        </w:tc>
      </w:tr>
      <w:tr w:rsidR="006A20A4" w:rsidRPr="006A20A4" w:rsidTr="007638EA">
        <w:trPr>
          <w:trHeight w:val="26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3,273,072.00</w:t>
            </w:r>
          </w:p>
        </w:tc>
      </w:tr>
      <w:tr w:rsidR="006A20A4" w:rsidRPr="006A20A4" w:rsidTr="007638EA">
        <w:trPr>
          <w:trHeight w:val="131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7,552,654.00</w:t>
            </w:r>
          </w:p>
        </w:tc>
      </w:tr>
      <w:tr w:rsidR="006A20A4" w:rsidRPr="006A20A4" w:rsidTr="007638EA">
        <w:trPr>
          <w:trHeight w:val="267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8,104,390.00</w:t>
            </w:r>
          </w:p>
        </w:tc>
      </w:tr>
      <w:tr w:rsidR="006A20A4" w:rsidRPr="006A20A4" w:rsidTr="007638EA">
        <w:trPr>
          <w:trHeight w:val="2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A4" w:rsidRPr="006A20A4" w:rsidRDefault="006A20A4" w:rsidP="006A20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0A4">
              <w:rPr>
                <w:rFonts w:ascii="Calibri" w:hAnsi="Calibri" w:cs="Calibri"/>
                <w:color w:val="000000"/>
                <w:sz w:val="22"/>
                <w:szCs w:val="22"/>
              </w:rPr>
              <w:t>6,171,855.00</w:t>
            </w:r>
          </w:p>
        </w:tc>
      </w:tr>
    </w:tbl>
    <w:p w:rsidR="006A20A4" w:rsidRDefault="006A20A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9C0884" w:rsidRDefault="00160227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928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 რეალობაში, რომ საავადმყოფოთა 85% კერძო მომგებიანია და სახელმწიფო ხარჯები სამედიცინო სერვისებზე მზარდი ტენდენციით ხასიათდება,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ჩვენი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აზრით,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მეტად მნიშვნელოვანია სამი </w:t>
      </w:r>
      <w:r w:rsidR="004A7871">
        <w:rPr>
          <w:rFonts w:ascii="Sylfaen" w:hAnsi="Sylfaen"/>
          <w:color w:val="000000" w:themeColor="text1"/>
          <w:sz w:val="22"/>
          <w:szCs w:val="22"/>
          <w:lang w:val="ka-GE"/>
        </w:rPr>
        <w:t>სტრატეგიული</w:t>
      </w:r>
      <w:r w:rsidR="00C9471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მნიშვნელობის საავადმყოფოს სახელმწიფო საკუთრებაში დატოვება და </w:t>
      </w:r>
      <w:r w:rsidR="004A7871"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სახელმწიფოსთვის პრიო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რიტეტული სერვისების განვითარება.</w:t>
      </w:r>
    </w:p>
    <w:p w:rsidR="00651430" w:rsidRDefault="00651430" w:rsidP="0065143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 მნიშვნელოვანია, ის ფაქტი, რომ სახელმწიფო საკუთრებაში არსებული კლინიკებში სერვისის ფასები გაცილებით დაბალია, კერძო მომგებიანი კლინიკების ტარიფებთან შედარებით. აღნიშნულის დადასტურებაა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უნივერსალური სამედიცინო ცენტრი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, რომელიც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იმ მცირე რაოდენობით დაწესეუბლებათაგან ერთ-ერთია, სადაც სრული სპექტრით წარმოებს ონკოლოგიური დაავადებების დიაგნოსტიკა-მკურნალობა და მართვა - ონკოქირურგია, სხივური თერაპია, ქიმიო-ჰორმონოთერაპია, ასევე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პალიატიური მზრუნველობა/მოვლა. კერძო დაწესებულებების უმეტესობისაგან განსხვავებით, სახელმწიფო კლინიკებში მომსახურების ფასები მნიშვნელოვნად დაბალია და ზოგ შემთხვევ</w:t>
      </w:r>
      <w:r w:rsidR="0036164A">
        <w:rPr>
          <w:rFonts w:ascii="Sylfaen" w:hAnsi="Sylfaen"/>
          <w:color w:val="000000" w:themeColor="text1"/>
          <w:sz w:val="22"/>
          <w:szCs w:val="22"/>
          <w:lang w:val="ka-GE"/>
        </w:rPr>
        <w:t>აში მათი ტარიფის 50%-ს შეადგენს. ქვემოთ შედარებისთვის მოყვანილია სს“</w:t>
      </w:r>
      <w:r w:rsidR="003112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36164A">
        <w:rPr>
          <w:rFonts w:ascii="Sylfaen" w:hAnsi="Sylfaen"/>
          <w:color w:val="000000" w:themeColor="text1"/>
          <w:sz w:val="22"/>
          <w:szCs w:val="22"/>
          <w:lang w:val="ka-GE"/>
        </w:rPr>
        <w:t>უნივერსალური სამედიცინო ცენტრის“, შპს „</w:t>
      </w:r>
      <w:r w:rsidR="001E0EF3">
        <w:rPr>
          <w:rFonts w:ascii="Sylfaen" w:hAnsi="Sylfaen"/>
          <w:color w:val="000000" w:themeColor="text1"/>
          <w:sz w:val="22"/>
          <w:szCs w:val="22"/>
          <w:lang w:val="ka-GE"/>
        </w:rPr>
        <w:t>აკად.ნ.ყიფშიძის სახ. ცენტრალუ</w:t>
      </w:r>
      <w:r w:rsidR="0036164A">
        <w:rPr>
          <w:rFonts w:ascii="Sylfaen" w:hAnsi="Sylfaen"/>
          <w:color w:val="000000" w:themeColor="text1"/>
          <w:sz w:val="22"/>
          <w:szCs w:val="22"/>
          <w:lang w:val="ka-GE"/>
        </w:rPr>
        <w:t>რ</w:t>
      </w:r>
      <w:r w:rsidR="001E0EF3">
        <w:rPr>
          <w:rFonts w:ascii="Sylfaen" w:hAnsi="Sylfaen"/>
          <w:color w:val="000000" w:themeColor="text1"/>
          <w:sz w:val="22"/>
          <w:szCs w:val="22"/>
          <w:lang w:val="ka-GE"/>
        </w:rPr>
        <w:t>ი</w:t>
      </w:r>
      <w:r w:rsidR="0036164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საუნივერისტეტო კლინიკის“</w:t>
      </w:r>
      <w:r w:rsidR="001E0EF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ზოგიერთი მაღალი სიხშირის ჩ</w:t>
      </w:r>
      <w:r w:rsidR="0036164A">
        <w:rPr>
          <w:rFonts w:ascii="Sylfaen" w:hAnsi="Sylfaen"/>
          <w:color w:val="000000" w:themeColor="text1"/>
          <w:sz w:val="22"/>
          <w:szCs w:val="22"/>
          <w:lang w:val="ka-GE"/>
        </w:rPr>
        <w:t>არევების ტარიფები და კერძო მომგებიანი კლინიკების ტარიფების დიაპაზონი იგივე ჩარევებზე</w:t>
      </w:r>
      <w:r w:rsidR="008C25B1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 </w:t>
      </w:r>
    </w:p>
    <w:p w:rsidR="00651430" w:rsidRPr="00BA25E7" w:rsidRDefault="00651430" w:rsidP="00651430">
      <w:pPr>
        <w:spacing w:line="276" w:lineRule="auto"/>
        <w:jc w:val="both"/>
        <w:rPr>
          <w:rFonts w:ascii="Sylfaen" w:hAnsi="Sylfaen"/>
          <w:color w:val="000000" w:themeColor="text1"/>
          <w:sz w:val="16"/>
          <w:szCs w:val="16"/>
          <w:lang w:val="ka-G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36164A" w:rsidRPr="0048496D" w:rsidTr="0048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651430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ჩარევა</w:t>
            </w:r>
          </w:p>
        </w:tc>
        <w:tc>
          <w:tcPr>
            <w:tcW w:w="2693" w:type="dxa"/>
          </w:tcPr>
          <w:p w:rsidR="0036164A" w:rsidRPr="0048496D" w:rsidRDefault="0036164A" w:rsidP="0036164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ს.ს. ”უნივერსალური სამედიცინო ცენტრის“ ტარიფი, ლარი</w:t>
            </w:r>
          </w:p>
        </w:tc>
        <w:tc>
          <w:tcPr>
            <w:tcW w:w="2694" w:type="dxa"/>
          </w:tcPr>
          <w:p w:rsidR="0036164A" w:rsidRPr="0048496D" w:rsidRDefault="0036164A" w:rsidP="0048496D">
            <w:pPr>
              <w:spacing w:line="276" w:lineRule="auto"/>
              <w:ind w:left="17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კერძო მომგებიანი კლინიკების ტარიფების დიაპაზონი</w:t>
            </w:r>
          </w:p>
        </w:tc>
      </w:tr>
      <w:tr w:rsidR="0036164A" w:rsidRPr="0048496D" w:rsidTr="0048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651430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ღვიძლის ატიპიური რეზექცია</w:t>
            </w:r>
          </w:p>
        </w:tc>
        <w:tc>
          <w:tcPr>
            <w:tcW w:w="2693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1,800</w:t>
            </w:r>
          </w:p>
        </w:tc>
        <w:tc>
          <w:tcPr>
            <w:tcW w:w="2694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10,000-17,000</w:t>
            </w:r>
          </w:p>
        </w:tc>
      </w:tr>
      <w:tr w:rsidR="0036164A" w:rsidRPr="0048496D" w:rsidTr="00BA25E7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651430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ტრანსთორაკალური  ნაწილობრივი ეზოფაგექტომია გადანერგვის გარეშე</w:t>
            </w:r>
          </w:p>
        </w:tc>
        <w:tc>
          <w:tcPr>
            <w:tcW w:w="2693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4,500</w:t>
            </w:r>
          </w:p>
          <w:p w:rsidR="0036164A" w:rsidRPr="0048496D" w:rsidRDefault="0036164A" w:rsidP="00BA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4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7,721-13,710</w:t>
            </w:r>
          </w:p>
        </w:tc>
      </w:tr>
      <w:tr w:rsidR="0036164A" w:rsidRPr="0048496D" w:rsidTr="0048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651430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ფილტვის სეგმენტის რეზექცია</w:t>
            </w:r>
          </w:p>
        </w:tc>
        <w:tc>
          <w:tcPr>
            <w:tcW w:w="2693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2,300</w:t>
            </w:r>
          </w:p>
        </w:tc>
        <w:tc>
          <w:tcPr>
            <w:tcW w:w="2694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6,500-13,000</w:t>
            </w:r>
          </w:p>
        </w:tc>
      </w:tr>
    </w:tbl>
    <w:p w:rsidR="0036164A" w:rsidRDefault="0036164A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835"/>
      </w:tblGrid>
      <w:tr w:rsidR="0036164A" w:rsidRPr="0048496D" w:rsidTr="0036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36164A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ჩარევა</w:t>
            </w:r>
          </w:p>
        </w:tc>
        <w:tc>
          <w:tcPr>
            <w:tcW w:w="2552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შპს "აკად. ნ. ყიფშიძის სახ. ცენტრალური საუნივერსიტეტო კლინიკა"</w:t>
            </w:r>
          </w:p>
        </w:tc>
        <w:tc>
          <w:tcPr>
            <w:tcW w:w="2835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sz w:val="20"/>
                <w:szCs w:val="20"/>
                <w:lang w:val="ka-GE"/>
              </w:rPr>
              <w:t>კერძო მომგებიანი კლინიკების ტარიფების  დიაპაზონი</w:t>
            </w:r>
          </w:p>
        </w:tc>
      </w:tr>
      <w:tr w:rsidR="0036164A" w:rsidRPr="0048496D" w:rsidTr="0036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651430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ომენტექტომია (ბადექონის ამოკვეთა)</w:t>
            </w:r>
          </w:p>
        </w:tc>
        <w:tc>
          <w:tcPr>
            <w:tcW w:w="2552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800</w:t>
            </w:r>
          </w:p>
        </w:tc>
        <w:tc>
          <w:tcPr>
            <w:tcW w:w="2835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3,950-4,500</w:t>
            </w:r>
          </w:p>
        </w:tc>
      </w:tr>
      <w:tr w:rsidR="0036164A" w:rsidRPr="0048496D" w:rsidTr="0036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36164A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სხვა ოპერაცია კუჭზე და 12–გოჯა ნაწლავზე</w:t>
            </w:r>
          </w:p>
        </w:tc>
        <w:tc>
          <w:tcPr>
            <w:tcW w:w="2552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3,500</w:t>
            </w:r>
          </w:p>
        </w:tc>
        <w:tc>
          <w:tcPr>
            <w:tcW w:w="2835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5,500-6,750</w:t>
            </w:r>
          </w:p>
        </w:tc>
      </w:tr>
      <w:tr w:rsidR="0036164A" w:rsidRPr="0048496D" w:rsidTr="0036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36164A" w:rsidRPr="0048496D" w:rsidRDefault="0036164A" w:rsidP="0036164A">
            <w:pPr>
              <w:spacing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სხვა ლაპარასკოპიული ლოკალური ოპერაციები  ნაწლავებზე</w:t>
            </w:r>
          </w:p>
        </w:tc>
        <w:tc>
          <w:tcPr>
            <w:tcW w:w="2552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1,900</w:t>
            </w:r>
          </w:p>
        </w:tc>
        <w:tc>
          <w:tcPr>
            <w:tcW w:w="2835" w:type="dxa"/>
          </w:tcPr>
          <w:p w:rsidR="0036164A" w:rsidRPr="0048496D" w:rsidRDefault="0036164A" w:rsidP="00361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496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4,700-6,700</w:t>
            </w:r>
          </w:p>
        </w:tc>
      </w:tr>
    </w:tbl>
    <w:p w:rsidR="00651430" w:rsidRDefault="00651430" w:rsidP="0065143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A25E7" w:rsidRDefault="00651430" w:rsidP="00FD5090">
      <w:pPr>
        <w:jc w:val="both"/>
        <w:rPr>
          <w:rFonts w:ascii="Sylfaen" w:hAnsi="Sylfaen"/>
          <w:sz w:val="22"/>
          <w:szCs w:val="22"/>
          <w:lang w:val="ka-GE"/>
        </w:rPr>
      </w:pP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ამასთან აღსანიშნავია, რომ კერძო დაწესებულებები ნაკლებად არიან დაინტერესებული ისეთი სერვისების განვითარებაში, რომელიც პაციენტების საზღვარგარეთ გადინების ძირითა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დ მიზეზს წარმოადგენს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6C6E2B">
        <w:rPr>
          <w:rFonts w:ascii="Sylfaen" w:hAnsi="Sylfaen"/>
          <w:color w:val="000000" w:themeColor="text1"/>
          <w:sz w:val="22"/>
          <w:szCs w:val="22"/>
          <w:lang w:val="ka-GE"/>
        </w:rPr>
        <w:t>(მაგ.: მაღალდოზირებული ქიმიოთერაპია, ძვლის ტვინის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ალოგენური</w:t>
      </w:r>
      <w:r w:rsidRPr="006C6E2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ტრანსპლანტაცია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</w:t>
      </w:r>
      <w:r w:rsidRPr="00651430">
        <w:rPr>
          <w:rFonts w:ascii="Sylfaen" w:hAnsi="Sylfaen"/>
          <w:color w:val="000000" w:themeColor="text1"/>
          <w:sz w:val="22"/>
          <w:szCs w:val="22"/>
          <w:lang w:val="ka-GE"/>
        </w:rPr>
        <w:t>ოპერაციული დიაგნოსტიკა მედიასტინოსკოპიის გამოყენებით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ღვიძლის, თირკმლის, გულის ტრანსპლანტაცია, რეაბილიტაციის სერვისები </w:t>
      </w:r>
      <w:r w:rsidRPr="006C6E2B">
        <w:rPr>
          <w:rFonts w:ascii="Sylfaen" w:hAnsi="Sylfaen"/>
          <w:color w:val="000000" w:themeColor="text1"/>
          <w:sz w:val="22"/>
          <w:szCs w:val="22"/>
          <w:lang w:val="ka-GE"/>
        </w:rPr>
        <w:t>და სხვა)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. 2017-2019 წლებში სულ  საქართველოს საზღვრების გარეთ დაფინანსდა მკურნალობის 702 შემთხვევა 54 მლნ. ლარის ოდენობით (სახელმწიფომ აანაზღაურა 9,4 მლნ. ლარი).</w:t>
      </w:r>
      <w:r w:rsidR="00FD50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FD5090" w:rsidRPr="00FD50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აქვე აღსანიშნავია, რომ </w:t>
      </w:r>
      <w:r w:rsidR="00FD5090" w:rsidRPr="00FD5090">
        <w:rPr>
          <w:rFonts w:ascii="Sylfaen" w:hAnsi="Sylfaen"/>
          <w:sz w:val="22"/>
          <w:szCs w:val="22"/>
          <w:lang w:val="ka-GE"/>
        </w:rPr>
        <w:t xml:space="preserve">რეფერალური მომსახურების სახელმწიფო პროგრამის ფარგლებში ადგილობრივ სამედიცინო დაწესებულებებში ანაზღაურდა </w:t>
      </w:r>
      <w:r w:rsidR="00BA25E7">
        <w:rPr>
          <w:rFonts w:ascii="Sylfaen" w:hAnsi="Sylfaen"/>
          <w:sz w:val="22"/>
          <w:szCs w:val="22"/>
          <w:lang w:val="ka-GE"/>
        </w:rPr>
        <w:t>90 მლნ.</w:t>
      </w:r>
      <w:r w:rsidR="00FD5090" w:rsidRPr="00FD5090">
        <w:rPr>
          <w:rFonts w:ascii="Sylfaen" w:hAnsi="Sylfaen"/>
          <w:sz w:val="22"/>
          <w:szCs w:val="22"/>
          <w:lang w:val="ka-GE"/>
        </w:rPr>
        <w:t xml:space="preserve"> ლარი</w:t>
      </w:r>
      <w:r w:rsidR="00BA25E7">
        <w:rPr>
          <w:rFonts w:ascii="Sylfaen" w:hAnsi="Sylfaen"/>
          <w:sz w:val="22"/>
          <w:szCs w:val="22"/>
          <w:lang w:val="ka-GE"/>
        </w:rPr>
        <w:t>:</w:t>
      </w:r>
    </w:p>
    <w:p w:rsidR="00BA25E7" w:rsidRDefault="00BA25E7" w:rsidP="00FD5090">
      <w:pPr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W w:w="5213" w:type="dxa"/>
        <w:tblInd w:w="2550" w:type="dxa"/>
        <w:tblLook w:val="04A0" w:firstRow="1" w:lastRow="0" w:firstColumn="1" w:lastColumn="0" w:noHBand="0" w:noVBand="1"/>
      </w:tblPr>
      <w:tblGrid>
        <w:gridCol w:w="1260"/>
        <w:gridCol w:w="3953"/>
      </w:tblGrid>
      <w:tr w:rsidR="00BA25E7" w:rsidRPr="00BA25E7" w:rsidTr="00BA25E7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წელი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გამოყოფილი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დაფინანსება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მედიკამენტების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უცხოეთის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გარდა</w:t>
            </w:r>
            <w:proofErr w:type="spellEnd"/>
            <w:r w:rsidRPr="00BA25E7">
              <w:rPr>
                <w:rFonts w:ascii="Sylfaen" w:hAnsi="Sylfaen" w:cs="Calibri"/>
                <w:sz w:val="18"/>
                <w:szCs w:val="18"/>
              </w:rPr>
              <w:t>/</w:t>
            </w:r>
            <w:proofErr w:type="spellStart"/>
            <w:r w:rsidRPr="00BA25E7">
              <w:rPr>
                <w:rFonts w:ascii="Sylfaen" w:hAnsi="Sylfaen" w:cs="Sylfaen"/>
                <w:sz w:val="18"/>
                <w:szCs w:val="18"/>
              </w:rPr>
              <w:t>ლარი</w:t>
            </w:r>
            <w:proofErr w:type="spellEnd"/>
          </w:p>
        </w:tc>
      </w:tr>
      <w:tr w:rsidR="00BA25E7" w:rsidRPr="00BA25E7" w:rsidTr="00BA25E7">
        <w:trPr>
          <w:trHeight w:val="29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E7" w:rsidRPr="00BA25E7" w:rsidRDefault="00BA25E7" w:rsidP="00BA25E7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E7" w:rsidRPr="00BA25E7" w:rsidRDefault="00BA25E7" w:rsidP="00BA25E7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13,679,137.03</w:t>
            </w: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13,273,990.19</w:t>
            </w: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11,323,918.35</w:t>
            </w: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19,579,287.10</w:t>
            </w: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12,762,059.84</w:t>
            </w:r>
          </w:p>
        </w:tc>
      </w:tr>
      <w:tr w:rsidR="00BA25E7" w:rsidRPr="00BA25E7" w:rsidTr="00BA25E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2018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E7" w:rsidRPr="00BA25E7" w:rsidRDefault="00BA25E7" w:rsidP="00BA25E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A25E7">
              <w:rPr>
                <w:rFonts w:ascii="Sylfaen" w:hAnsi="Sylfaen" w:cs="Calibri"/>
                <w:sz w:val="18"/>
                <w:szCs w:val="18"/>
              </w:rPr>
              <w:t>19,358,931.35</w:t>
            </w:r>
          </w:p>
        </w:tc>
      </w:tr>
    </w:tbl>
    <w:p w:rsidR="00FD5090" w:rsidRPr="00FD5090" w:rsidRDefault="00BA25E7" w:rsidP="00FD5090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მათ</w:t>
      </w:r>
      <w:r w:rsidR="00FD5090" w:rsidRPr="00FD5090">
        <w:rPr>
          <w:rFonts w:ascii="Sylfaen" w:hAnsi="Sylfaen"/>
          <w:sz w:val="22"/>
          <w:szCs w:val="22"/>
          <w:lang w:val="ka-GE"/>
        </w:rPr>
        <w:t xml:space="preserve"> შორის ანაზღაურებული თანხის </w:t>
      </w:r>
      <w:r w:rsidR="00D23B95">
        <w:rPr>
          <w:rFonts w:ascii="Sylfaen" w:hAnsi="Sylfaen"/>
          <w:sz w:val="22"/>
          <w:szCs w:val="22"/>
          <w:lang w:val="ka-GE"/>
        </w:rPr>
        <w:t>95</w:t>
      </w:r>
      <w:r w:rsidR="00FD5090" w:rsidRPr="00FD5090">
        <w:rPr>
          <w:rFonts w:ascii="Sylfaen" w:hAnsi="Sylfaen"/>
          <w:sz w:val="22"/>
          <w:szCs w:val="22"/>
          <w:lang w:val="ka-GE"/>
        </w:rPr>
        <w:t>%</w:t>
      </w:r>
      <w:r w:rsidR="00D23B95">
        <w:rPr>
          <w:rFonts w:ascii="Sylfaen" w:hAnsi="Sylfaen"/>
          <w:sz w:val="22"/>
          <w:szCs w:val="22"/>
          <w:lang w:val="ka-GE"/>
        </w:rPr>
        <w:t>-ზე მეტი</w:t>
      </w:r>
      <w:r w:rsidR="00FD5090" w:rsidRPr="00FD5090">
        <w:rPr>
          <w:rFonts w:ascii="Sylfaen" w:hAnsi="Sylfaen"/>
          <w:sz w:val="22"/>
          <w:szCs w:val="22"/>
          <w:lang w:val="ka-GE"/>
        </w:rPr>
        <w:t xml:space="preserve"> კერძო მფლობელობაში არსებულ კლინიკებზე მოდის. </w:t>
      </w:r>
    </w:p>
    <w:p w:rsidR="004928BB" w:rsidRDefault="006C6E2B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აღნიშნული გამოწვევების დაძლევის </w:t>
      </w:r>
      <w:r w:rsidR="0016022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ერთ-ერთ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</w:t>
      </w:r>
      <w:r w:rsidR="00611E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 </w:t>
      </w:r>
      <w:r w:rsidR="00160227">
        <w:rPr>
          <w:rFonts w:ascii="Sylfaen" w:hAnsi="Sylfaen"/>
          <w:color w:val="000000" w:themeColor="text1"/>
          <w:sz w:val="22"/>
          <w:szCs w:val="22"/>
          <w:lang w:val="ka-GE"/>
        </w:rPr>
        <w:t>არასამეწარმეო</w:t>
      </w:r>
      <w:r w:rsidR="00FD50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160227">
        <w:rPr>
          <w:rFonts w:ascii="Sylfaen" w:hAnsi="Sylfaen"/>
          <w:color w:val="000000" w:themeColor="text1"/>
          <w:sz w:val="22"/>
          <w:szCs w:val="22"/>
          <w:lang w:val="ka-GE"/>
        </w:rPr>
        <w:t>(არაკომერციული) იურიდიული პირ</w:t>
      </w:r>
      <w:r w:rsidR="00611EB1">
        <w:rPr>
          <w:rFonts w:ascii="Sylfaen" w:hAnsi="Sylfaen"/>
          <w:color w:val="000000" w:themeColor="text1"/>
          <w:sz w:val="22"/>
          <w:szCs w:val="22"/>
          <w:lang w:val="ka-GE"/>
        </w:rPr>
        <w:t>ად</w:t>
      </w:r>
      <w:r w:rsidR="0016022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ან </w:t>
      </w:r>
      <w:r w:rsidR="00160227" w:rsidRPr="00160227">
        <w:rPr>
          <w:rFonts w:ascii="Sylfaen" w:hAnsi="Sylfaen"/>
          <w:color w:val="000000" w:themeColor="text1"/>
          <w:sz w:val="22"/>
          <w:szCs w:val="22"/>
          <w:lang w:val="ka-GE"/>
        </w:rPr>
        <w:t>შეზღუდული პასუხისმგებლობის საზოგადოებ</w:t>
      </w:r>
      <w:r w:rsidR="00611EB1">
        <w:rPr>
          <w:rFonts w:ascii="Sylfaen" w:hAnsi="Sylfaen"/>
          <w:color w:val="000000" w:themeColor="text1"/>
          <w:sz w:val="22"/>
          <w:szCs w:val="22"/>
          <w:lang w:val="ka-GE"/>
        </w:rPr>
        <w:t>ად</w:t>
      </w:r>
      <w:r w:rsidR="00FD50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ჩამოყალიბება</w:t>
      </w:r>
      <w:r w:rsidR="00611E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რაც შეამცირებს როგორც ადმინისტრაციულ, ისე შესყიდვის ხარჯებს. 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ორივე შემთხვევაში იურიდიული პირის დამფუძნებელი იქნება 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ორივე ფორმისთვის სახელმწიფო შესყიდვების შესახებ კანონი ერთნაირად მოქმედებს. 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ა(ა)იპ-ის შემ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ხვევაში დაფინანსების 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>შ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ესაძლო წყაროები შეიძლება იყოს სახელმწიფო ბიუჯეტი; საწევროები და შენატანები; მოგება, დამხმარე ხასიათის სამეწარმეო საქმიანობიდან, რომელიც უნდა მოხმარდეს არასამეწარმეო (არაკომერციული) იურიდიული პირის მიზნების რეალიზებას. ხოლო შპს-ის შემ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ხვევაში დაფინანსების წყარო იქნება მოგება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</w:t>
      </w:r>
      <w:r w:rsidR="004928BB" w:rsidRPr="004928BB"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 ბიუჯეტი (კაპიტალის გაზრდა, პროგრამული ასიგნებები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. კონტროლის მექანიზმები ა(ა)იპ-ის შემ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ხ</w:t>
      </w:r>
      <w:r w:rsidR="00EE4FF4">
        <w:rPr>
          <w:rFonts w:ascii="Sylfaen" w:hAnsi="Sylfaen"/>
          <w:color w:val="000000" w:themeColor="text1"/>
          <w:sz w:val="22"/>
          <w:szCs w:val="22"/>
          <w:lang w:val="ka-GE"/>
        </w:rPr>
        <w:t>ვევაში განისაზღვრება წესდებით (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>დამფუძნებელთა სამეთვალ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</w:t>
      </w:r>
      <w:r w:rsidR="004928BB" w:rsidRPr="00E8173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ურეო ორგანო და სხვა), ხოლო შპს-ის შემთხვევაში - პარტნიორთა საერთო კრება, თუ წესდებით სხვა რამ არ არის დადგენილი.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ორივე ფორმის შედარებ</w:t>
      </w:r>
      <w:r w:rsidR="004928BB">
        <w:rPr>
          <w:rFonts w:ascii="Sylfaen" w:hAnsi="Sylfaen"/>
          <w:color w:val="000000" w:themeColor="text1"/>
          <w:sz w:val="22"/>
          <w:szCs w:val="22"/>
          <w:lang w:val="ka-GE"/>
        </w:rPr>
        <w:t>ა მოცემულია ცხრილში:</w:t>
      </w:r>
    </w:p>
    <w:p w:rsidR="004C32B0" w:rsidRDefault="004C32B0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2130"/>
        <w:gridCol w:w="3081"/>
        <w:gridCol w:w="4025"/>
      </w:tblGrid>
      <w:tr w:rsidR="004928BB" w:rsidRPr="004928BB" w:rsidTr="00492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ღონისძიება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აიპ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დამფუძნებელი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</w:p>
        </w:tc>
      </w:tr>
      <w:tr w:rsidR="004928BB" w:rsidRPr="004928BB" w:rsidTr="004928B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გადაწყვეტილების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მიღება</w:t>
            </w:r>
            <w:proofErr w:type="spellEnd"/>
            <w:r>
              <w:rPr>
                <w:rFonts w:ascii="Sylfaen" w:hAnsi="Sylfaen" w:cs="Sylfaen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 დაფუძნებაზე</w:t>
            </w:r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მთავრობა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ქონების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მართვის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სააგენტო</w:t>
            </w:r>
            <w:proofErr w:type="spellEnd"/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ქონება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შესაძლებელია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მიეცეს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სარგებლობით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მთავრობის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გადაწყვეტილებით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დაფუძნდეს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ქონების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საფუძველზე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მთავრობის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გადაწყვეტილებით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მიეცეს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უსასყიდლო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სარგებლობაში</w:t>
            </w:r>
            <w:proofErr w:type="spellEnd"/>
          </w:p>
        </w:tc>
      </w:tr>
      <w:tr w:rsidR="004928BB" w:rsidRPr="004928BB" w:rsidTr="004928BB">
        <w:trPr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დაფინანსება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proofErr w:type="gram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proofErr w:type="gram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გრანტი</w:t>
            </w:r>
            <w:proofErr w:type="spellEnd"/>
            <w:proofErr w:type="gram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მოგება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დამხმარე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ხასიათის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სამეწარმეო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საქმიანობიდან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რომელიც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უნდა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მოხმარდეს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ააიპის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მიზნებს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proofErr w:type="gram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კაპიტალის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გაზრდა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პროგრამული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ასიგნებები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);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მოგება</w:t>
            </w:r>
            <w:proofErr w:type="spellEnd"/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კონტროლის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მექანიზმი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განისაზღვრება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წესდებითა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მართვაში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გადაცემის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ხელშეკრულებით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განისაზღვრება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წესდებითა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მართვაში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გადაცემის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ხელშეკრულებით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28BB" w:rsidRPr="004928BB" w:rsidTr="004928B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ლიცენზია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ნებართვა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საერთო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წესით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საერთო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წესით</w:t>
            </w:r>
            <w:proofErr w:type="spellEnd"/>
          </w:p>
        </w:tc>
      </w:tr>
      <w:tr w:rsidR="004928BB" w:rsidRPr="004928BB" w:rsidTr="00EE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spacing w:after="24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შესყიდვები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კანონი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br/>
            </w:r>
          </w:p>
        </w:tc>
      </w:tr>
      <w:tr w:rsidR="004928BB" w:rsidRPr="004928BB" w:rsidTr="004928BB">
        <w:trPr>
          <w:trHeight w:val="3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ქონების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გასხვისება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proofErr w:type="gramEnd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იპ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ქონების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გასხვისება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შესაძლებელია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გასხვისება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ემსახურება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არასამეწარმეო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არაკომერციული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საქმიანობას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ორგანიზაციულ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განვითარებას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ხელს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უწყობს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მისი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მიზნების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განხორციელებას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ემსახურება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საქველმოქმედო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მიზნებს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ზოგადად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შეზღუდული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შპს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ებისათვის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შეზღუდვები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დადგენილია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გარდაქმნა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შესაძლებელია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მხოლოდ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სსიპ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ად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რომლის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ქონებაც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შეიძლება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გადაეცეს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გარდაქმნა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შესაძლებელია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კერძო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სამართლის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იურიდიულ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პირად</w:t>
            </w:r>
            <w:proofErr w:type="spellEnd"/>
          </w:p>
        </w:tc>
      </w:tr>
      <w:tr w:rsidR="004928BB" w:rsidRPr="004928BB" w:rsidTr="0049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საფინანსო</w:t>
            </w: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ა</w:t>
            </w:r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საშემოსავლო</w:t>
            </w:r>
            <w:proofErr w:type="spellEnd"/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გადასახადი</w:t>
            </w:r>
            <w:proofErr w:type="spellEnd"/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</w:p>
        </w:tc>
      </w:tr>
      <w:tr w:rsidR="004928BB" w:rsidRPr="004928BB" w:rsidTr="0049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ბ</w:t>
            </w:r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მოგების</w:t>
            </w:r>
            <w:proofErr w:type="spellEnd"/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გადასახადი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მოგება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ნაწილდება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რეინვესტირდება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მოგება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შეიძლება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განაწილდეს</w:t>
            </w:r>
            <w:proofErr w:type="spellEnd"/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გ</w:t>
            </w:r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ქონების</w:t>
            </w:r>
            <w:proofErr w:type="spellEnd"/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გადასახადი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</w:p>
        </w:tc>
      </w:tr>
      <w:tr w:rsidR="004928BB" w:rsidRPr="004928BB" w:rsidTr="0049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დ</w:t>
            </w:r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დღგ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4928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იხდის</w:t>
            </w:r>
            <w:proofErr w:type="spellEnd"/>
          </w:p>
        </w:tc>
      </w:tr>
      <w:tr w:rsidR="004928BB" w:rsidRPr="004928BB" w:rsidTr="0049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:rsidR="004928BB" w:rsidRPr="004928BB" w:rsidRDefault="004928BB" w:rsidP="004928BB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ე</w:t>
            </w:r>
            <w:r w:rsidRPr="004928BB">
              <w:rPr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928BB">
              <w:rPr>
                <w:rFonts w:ascii="Sylfaen" w:hAnsi="Sylfaen" w:cs="Sylfaen"/>
                <w:b w:val="0"/>
                <w:color w:val="000000"/>
                <w:sz w:val="20"/>
                <w:szCs w:val="20"/>
              </w:rPr>
              <w:t>ამორტიზაცია</w:t>
            </w:r>
            <w:proofErr w:type="spellEnd"/>
          </w:p>
        </w:tc>
        <w:tc>
          <w:tcPr>
            <w:tcW w:w="1668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ერიცხება</w:t>
            </w:r>
            <w:proofErr w:type="spellEnd"/>
          </w:p>
        </w:tc>
        <w:tc>
          <w:tcPr>
            <w:tcW w:w="2179" w:type="pct"/>
            <w:hideMark/>
          </w:tcPr>
          <w:p w:rsidR="004928BB" w:rsidRPr="004928BB" w:rsidRDefault="004928BB" w:rsidP="00492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928BB">
              <w:rPr>
                <w:rFonts w:ascii="Sylfaen" w:hAnsi="Sylfaen" w:cs="Sylfaen"/>
                <w:color w:val="000000"/>
                <w:sz w:val="20"/>
                <w:szCs w:val="20"/>
              </w:rPr>
              <w:t>ერიცხება</w:t>
            </w:r>
            <w:proofErr w:type="spellEnd"/>
          </w:p>
        </w:tc>
      </w:tr>
    </w:tbl>
    <w:p w:rsidR="004928BB" w:rsidRDefault="004928BB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96D82" w:rsidRDefault="00B96D82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96D8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 მნიშვნელოვანია, რომ შპს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იძის სახელობის ცენტრალური საუნივერსიტეტო კლინიკა“ არა მარტო სახელით იწოდებოდეს საუნივერსიტეტო კლინიკად, არამედ სრულად შეესაბამებოდეს სამედიცინო დაწესებულებების კლასიფიკაციის კრიტე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რ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იუმებს (საქართველოს მინისტრის 2016 წლის 4 მარტის  N01-9/ნ ბრძანება). შესაბამისად, </w:t>
      </w:r>
      <w:r w:rsidRPr="00B96D8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იძის სახელობის ცენტრალური საუნივერსიტეტო კლინიკა“ ინდა იყოს </w:t>
      </w:r>
      <w:r w:rsidRPr="00B96D82">
        <w:rPr>
          <w:rFonts w:ascii="Sylfaen" w:hAnsi="Sylfaen"/>
          <w:color w:val="000000" w:themeColor="text1"/>
          <w:sz w:val="22"/>
          <w:szCs w:val="22"/>
          <w:lang w:val="ka-GE"/>
        </w:rPr>
        <w:t>მრავალპროფილიანი, შესაბამისი მატერიალურ-ტექნიკური ბაზის მქონე, კვალიფიციური ექიმებითა და აკადემიური პერსონალით დაკომპლექტებული სტაციო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ნარული სამედიცინო დაწესებულება. </w:t>
      </w: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C5C7B" w:rsidRDefault="00611EB1" w:rsidP="009C0884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 საკუთ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რ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ებაში არსებულ, სახელმწიფო მართვაში მყოფ კლინიკაში სხვადასხვა პროფილის სერვისებ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ან ერთად, როგ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რიცაა რეანიმაცია, ინტენსიური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ერაპია, პოსტოპერაციული და გადაუდებელი დახმარება, ზოგადი ქირურგია და თერაპია</w:t>
      </w:r>
      <w:r w:rsidR="00BC5C7B">
        <w:rPr>
          <w:rFonts w:ascii="Sylfaen" w:hAnsi="Sylfaen"/>
          <w:color w:val="000000" w:themeColor="text1"/>
          <w:sz w:val="22"/>
          <w:szCs w:val="22"/>
          <w:lang w:val="ka-GE"/>
        </w:rPr>
        <w:t>, ინფექციური სნეულებები და ა.შ.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</w:t>
      </w:r>
      <w:r w:rsidRPr="00611EB1">
        <w:rPr>
          <w:rFonts w:ascii="Sylfaen" w:hAnsi="Sylfaen"/>
          <w:color w:val="000000" w:themeColor="text1"/>
          <w:sz w:val="22"/>
          <w:szCs w:val="22"/>
          <w:lang w:val="ka-GE"/>
        </w:rPr>
        <w:t>უპრიანია პედიატრიული</w:t>
      </w:r>
      <w:r w:rsid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</w:t>
      </w:r>
      <w:r w:rsidRPr="00611EB1">
        <w:rPr>
          <w:rFonts w:ascii="Sylfaen" w:hAnsi="Sylfaen"/>
          <w:color w:val="000000" w:themeColor="text1"/>
          <w:sz w:val="22"/>
          <w:szCs w:val="22"/>
          <w:lang w:val="ka-GE"/>
        </w:rPr>
        <w:t>სერ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ვ</w:t>
      </w:r>
      <w:r w:rsidRPr="00611E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ისების განთავსება მოხდეს ცალკე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ფლიგელში/შენობაში</w:t>
      </w:r>
      <w:r w:rsidRPr="00611EB1">
        <w:rPr>
          <w:rFonts w:ascii="Sylfaen" w:hAnsi="Sylfaen"/>
          <w:color w:val="000000" w:themeColor="text1"/>
          <w:sz w:val="22"/>
          <w:szCs w:val="22"/>
          <w:lang w:val="ka-GE"/>
        </w:rPr>
        <w:t>).</w:t>
      </w:r>
      <w:r>
        <w:rPr>
          <w:rFonts w:ascii="Sylfaen" w:hAnsi="Sylfaen"/>
          <w:lang w:val="ka-GE"/>
        </w:rPr>
        <w:t xml:space="preserve"> </w:t>
      </w:r>
    </w:p>
    <w:p w:rsidR="00BC5C7B" w:rsidRDefault="00BC5C7B" w:rsidP="009C0884">
      <w:pPr>
        <w:spacing w:line="276" w:lineRule="auto"/>
        <w:jc w:val="both"/>
        <w:rPr>
          <w:rFonts w:ascii="Sylfaen" w:hAnsi="Sylfaen"/>
          <w:lang w:val="ka-GE"/>
        </w:rPr>
      </w:pPr>
    </w:p>
    <w:p w:rsidR="00BC5C7B" w:rsidRPr="00BC5C7B" w:rsidRDefault="00BC5C7B" w:rsidP="00BC5C7B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ინფექციური პროფილის მომსახურების მულტიპროფილურ ცენტრებთან კონსოლიდაციით თავიდან იქნება აცილებული არასრული და დისკრეციული სერვისების მიწოდება, ასევე მინიმუმამდე იქნება დაყვანილი  პაციენტების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 xml:space="preserve">არამიზანშეწონილი/გაუმართლებელი დაყოვნება მხოლოდ უეფექტო ხანგრძლივი მკურნალობის შემთხვევაში, რეფერალი ალტერნატიულ კლინიკაში.  </w:t>
      </w:r>
    </w:p>
    <w:p w:rsidR="00BC5C7B" w:rsidRDefault="00BC5C7B" w:rsidP="009C0884">
      <w:pPr>
        <w:spacing w:line="276" w:lineRule="auto"/>
        <w:jc w:val="both"/>
        <w:rPr>
          <w:rFonts w:ascii="Sylfaen" w:hAnsi="Sylfaen"/>
          <w:lang w:val="ka-GE"/>
        </w:rPr>
      </w:pP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ასევე მნიშვნელოვანია ისეთი სერვისების განვითარება, რომელიც ნაკლებ მიმზიდველია კერძო სექტორისთვის და რომელიც უზრუნველყოფს როგორც ხარისხის ისე, ხარჯ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ეფექტიანობის ამაღლებას. </w:t>
      </w:r>
    </w:p>
    <w:p w:rsidR="00BC5C7B" w:rsidRDefault="00BC5C7B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ერთ-ერთი ასეთია ხანგრძლივი მოვლის სერვისების განვითარება. </w:t>
      </w:r>
      <w:r w:rsidR="006661D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აღნიშნული სერვისების დეფინიცია მხოლოდ 2019 წლის თებერვალში შევიდა ჯანმრთელობის დაცვის შესახებ კანონში 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(ხანგრძლივი მოვლა </w:t>
      </w:r>
      <w:r w:rsidR="006661D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განისაზღვრება როგორც </w:t>
      </w:r>
      <w:r w:rsidR="006661DD" w:rsidRPr="006661DD">
        <w:rPr>
          <w:rFonts w:ascii="Sylfaen" w:hAnsi="Sylfaen"/>
          <w:color w:val="000000" w:themeColor="text1"/>
          <w:sz w:val="22"/>
          <w:szCs w:val="22"/>
          <w:lang w:val="ka-GE"/>
        </w:rPr>
        <w:t>მომსახურებათა ერთობლიობა, რომლის მიზანია ქრონიკული დაავადების ან/და შეზღუდული შესაძლებლობის მქონე პირის როგორც სამედიცინო, ისე არასამედიცინო საჭიროების დაკმაყოფილება, როდესაც ამ პირს ხანგრძლივად არ შეუძლია თავის მოვლა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>)</w:t>
      </w:r>
      <w:r w:rsidR="006661D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აღნიშნუ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ლთან დაკავშირებით, სოციალური მო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მ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ახურების სააგენტოს საყოველთაო ჯანდაცვის მართვის დეპარტამენტის ანალიზის</w:t>
      </w:r>
      <w:r w:rsidR="006661D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შედეგების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მიხედვით,  </w:t>
      </w:r>
      <w:r w:rsidR="006661DD">
        <w:rPr>
          <w:rFonts w:ascii="Sylfaen" w:hAnsi="Sylfaen"/>
          <w:color w:val="000000" w:themeColor="text1"/>
          <w:sz w:val="22"/>
          <w:szCs w:val="22"/>
          <w:lang w:val="ka-GE"/>
        </w:rPr>
        <w:t>გადაუდებელი სტაციონარული მომსახურება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>, რომელიც ულიმიტოა სოციალურად დაუცველებისთვის, ასაკით პენსიონერებისა და ვეტერანებისთვის, ხშირად ხდება კლინიკებისთვის პაციენტის არასაჭიროდ დაყოვნების ცდუნების მიზეზი. მიუხედავად იმისა, რომ კრიტიკული მდგომარეობების/ინტენსიური თერაპიის ტარიფები იცვლება დაყოვნების ხანგრძლივობის მიხედვით (</w:t>
      </w:r>
      <w:r w:rsidR="00D6352D" w:rsidRPr="00884F7D">
        <w:rPr>
          <w:rFonts w:ascii="Sylfaen" w:hAnsi="Sylfaen"/>
          <w:color w:val="000000" w:themeColor="text1"/>
          <w:sz w:val="22"/>
          <w:szCs w:val="22"/>
          <w:lang w:val="ka-GE"/>
        </w:rPr>
        <w:t>&lt;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>14 დღეზე, 1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5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>-21 დღე, 2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2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>-4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4</w:t>
      </w:r>
      <w:r w:rsidR="00D6352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დღე, 45 დღე და მეტი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), 2018 წელს 14 დღემდე დაყოვნებით </w:t>
      </w:r>
      <w:r w:rsidR="00884F7D" w:rsidRPr="00884F7D">
        <w:rPr>
          <w:rFonts w:ascii="Sylfaen" w:hAnsi="Sylfaen"/>
          <w:color w:val="000000" w:themeColor="text1"/>
          <w:sz w:val="22"/>
          <w:szCs w:val="22"/>
          <w:lang w:val="ka-GE"/>
        </w:rPr>
        <w:t>ინტენსიური თერაპია/რეანიმაციის ნოზოლოგიური კოდის ხარჯები დაახლოებით 50 მლნ. ლარამდეა, 14-21 დღე დაყოვნება - 18,8 მლნ ლარი</w:t>
      </w:r>
      <w:r w:rsidR="00884F7D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884F7D" w:rsidRPr="00884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22-44 დღე - 19.6 მლნ ლარი, ხოლო 45 და მეტი საწოლდღე 10.9 მლნ. ლარი. </w:t>
      </w:r>
    </w:p>
    <w:p w:rsidR="00884F7D" w:rsidRDefault="00884F7D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884F7D" w:rsidRDefault="00884F7D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84F7D">
        <w:rPr>
          <w:rFonts w:ascii="Sylfaen" w:hAnsi="Sylfaen"/>
          <w:color w:val="000000" w:themeColor="text1"/>
          <w:sz w:val="22"/>
          <w:szCs w:val="22"/>
          <w:lang w:val="ka-GE"/>
        </w:rPr>
        <w:t>მხოლოდ 45 დღეზე მეტი დაყოვნების პროგრამული კოდის ხარჯები 11 მლნ.-მდეა. ამასთან, პირველი დონის ინტენსიური მკურნალობა/მოვლის შემთხვევათა/ხარჯის ნახევარი, ხოლო მეორე დონის ინტენსიური მკურნალობა/მოვლის შემთხვევათა/ხარჯის 30%-მდე ნეონატალური ასაკის პაციენტების მომსახურებას განეკუთვნება (მათი მნიშვნელოვანი ნაწილი სახელმწიფო მზრუნველობის ქვეშ მყოფი პირებია). აქვე გასათვალისწინებელია, რომ უმეტეს შემთხვევაში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Pr="00884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გარდა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ინტენსიური თერაპია/რეანიმაციისა, </w:t>
      </w:r>
      <w:r w:rsidRPr="00884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პაციენტებს ჩატარებული აქვთ ოპერაციული მკურნალობაც. არც თუ იშვიათია შემთხვევები, როდესაც ხანდაზმულ ან/და ინოპერაბილურ პაციენტს უტარდება „რადიკალური“ ოპერაციული მკურნალობა, რასაც თან მოსდევს ინტენსიური მკურნალობა/მოვლით გახანგრძლივებული ჰოსპიტალიზაცია ან/და ლეტალური გამოსავალი. </w:t>
      </w:r>
    </w:p>
    <w:p w:rsidR="00884F7D" w:rsidRDefault="00884F7D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884F7D" w:rsidRDefault="00884F7D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აღნიშნულის თავიდან აცილებისთვის შესაძლებელია განხილულ იქნეს </w:t>
      </w:r>
      <w:r w:rsidRPr="00B96D8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იძის სახელობის ცენტრალური საუნივერსიტეტო კლინიკაში“ ხანგრძლივი მოვლის და ინკურაბელური პაციენტების პალიატიური მოვლის სერვისების განვითარება და საყოველთაო ჯანდაცვის პროგრამის ფარგლებში გლობალური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ბიუჯეტის ან სხვა, განსხვავებული მეთოდოლოგიით დაფინანსება (სელექტიური კონტრაქტირებით შესაძლოა შეირჩეს სხვა საუნივერსიტეტო</w:t>
      </w:r>
      <w:r w:rsidR="0016529F">
        <w:rPr>
          <w:rFonts w:ascii="Sylfaen" w:hAnsi="Sylfaen"/>
          <w:color w:val="000000" w:themeColor="text1"/>
          <w:sz w:val="22"/>
          <w:szCs w:val="22"/>
          <w:lang w:val="ka-GE"/>
        </w:rPr>
        <w:t>/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კლინიკებიც, მაგ. რუხის კლინიკა, გეოგრაფიული ხელმისაწვდომობის უზრუნველყოფის მიზნით).</w:t>
      </w:r>
    </w:p>
    <w:p w:rsidR="0016529F" w:rsidRDefault="0016529F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6529F" w:rsidRDefault="00CC4FA3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 სექტორ</w:t>
      </w:r>
      <w:r w:rsidR="0016529F">
        <w:rPr>
          <w:rFonts w:ascii="Sylfaen" w:hAnsi="Sylfaen"/>
          <w:color w:val="000000" w:themeColor="text1"/>
          <w:sz w:val="22"/>
          <w:szCs w:val="22"/>
          <w:lang w:val="ka-GE"/>
        </w:rPr>
        <w:t>ში ხანგრძლივი მოვლის/პალიატიური სერვისების განვითარება ხელს შე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უ</w:t>
      </w:r>
      <w:r w:rsidR="0016529F">
        <w:rPr>
          <w:rFonts w:ascii="Sylfaen" w:hAnsi="Sylfaen"/>
          <w:color w:val="000000" w:themeColor="text1"/>
          <w:sz w:val="22"/>
          <w:szCs w:val="22"/>
          <w:lang w:val="ka-GE"/>
        </w:rPr>
        <w:t>წყობს საყოველთაო ჯანდაცვის პროგრამის ფარგლებში სახელმწიფო ხარჯების ეფექტიან ხარჯვას.</w:t>
      </w:r>
    </w:p>
    <w:p w:rsidR="00651430" w:rsidRDefault="00651430" w:rsidP="00884F7D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814C94" w:rsidRDefault="00814C94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ზემოაღნიშნულიდან გამომდინარე </w:t>
      </w:r>
      <w:r w:rsidR="00D90C82">
        <w:rPr>
          <w:rFonts w:ascii="Sylfaen" w:hAnsi="Sylfaen"/>
          <w:color w:val="000000" w:themeColor="text1"/>
          <w:sz w:val="22"/>
          <w:szCs w:val="22"/>
          <w:lang w:val="ka-GE"/>
        </w:rPr>
        <w:t>მიზანშეწონილად მიგვაჩია განხორციელდეს შემდეგი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:</w:t>
      </w:r>
    </w:p>
    <w:p w:rsidR="00814C94" w:rsidRDefault="00814C94" w:rsidP="00814C9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14C94">
        <w:rPr>
          <w:rFonts w:ascii="Sylfaen" w:hAnsi="Sylfaen"/>
          <w:color w:val="000000" w:themeColor="text1"/>
          <w:sz w:val="22"/>
          <w:szCs w:val="22"/>
          <w:lang w:val="ka-GE"/>
        </w:rPr>
        <w:t>ამ ეტაპზე, ზემოაღნიშნული საავადმყოფოების განვითარების გეგმის შემუშავებამდე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Pr="00814C9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გადაიდოს 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იძის სახელობის ცენტრალური საუნივერსიტეტო კლინიკის“, შპს „თბილისის ბავშვთა ინფექციური საავადმყოფოს“ და სს „უნივერსალური სამედიცინო ცენტრის“, 30 წლიანი იჯარით მართვაში გადაცემისთვის აუქციონის გამოცხადება</w:t>
      </w:r>
    </w:p>
    <w:p w:rsidR="00884F7D" w:rsidRDefault="00BF4792" w:rsidP="00814C9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იძის სახელობის ცენტრალური საუნივერსიტეტო კლინიკის“, შპს „თბილისის ბავშვთა ინფექციური საავადმყოფოს“ და სს „უნივერსალური სამედიცინო ცენტრის“, ქონება დაუბრუნდეს სახელმწიფოს და ჩამოყალიბდეს ერთი იურიდიული პირი შპს ან ა(ა)იპ სტატუსით</w:t>
      </w:r>
    </w:p>
    <w:p w:rsidR="00BF4792" w:rsidRDefault="00BF4792" w:rsidP="00814C9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შემუშავდეს 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იძის სახელობის ცენტრალური საუნივერსიტეტო კლინიკის“, შპს „თბილისის ბავშვთა ინფექციური საავადმყოფოს“ და სს „უნივერსალური სამედიცინო ცენტრის“ განვითარების გეგმა, სადაც აქცენტი გაკეთდება შპს „აკადემიკოს ნიკოლოზ 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ყიფშ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იძის სახელობის ცენტრალური საუნივერსიტეტო კლინიკის“, როგორც საუნივერსიტეტო კლინიკის ჩამოყალიბებაზე და სახელმწიფოსთვის პრიორიტეტული სერვისების განვი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თ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არებაზე, როგორი</w:t>
      </w:r>
      <w:r w:rsidR="00CC4FA3">
        <w:rPr>
          <w:rFonts w:ascii="Sylfaen" w:hAnsi="Sylfaen"/>
          <w:color w:val="000000" w:themeColor="text1"/>
          <w:sz w:val="22"/>
          <w:szCs w:val="22"/>
          <w:lang w:val="ka-GE"/>
        </w:rPr>
        <w:t>ცაა მაგალითად სახელმწიფო სექტორ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ში ხანგრძლივი მოვლის/პალიატიური სერვისების განვითარება.</w:t>
      </w:r>
    </w:p>
    <w:p w:rsidR="00BF4792" w:rsidRDefault="00BF4792" w:rsidP="00BF4792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F4792" w:rsidRPr="00BF4792" w:rsidRDefault="00BF4792" w:rsidP="00BF4792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პატივისცემით, </w:t>
      </w:r>
    </w:p>
    <w:p w:rsidR="00884F7D" w:rsidRDefault="00884F7D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884F7D" w:rsidRDefault="00884F7D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96D82" w:rsidRDefault="00B96D82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11EB1" w:rsidRDefault="00611EB1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96D82" w:rsidRDefault="00B96D82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96D82" w:rsidRDefault="00B96D82" w:rsidP="009C0884">
      <w:pPr>
        <w:spacing w:line="276" w:lineRule="auto"/>
        <w:jc w:val="both"/>
        <w:rPr>
          <w:rFonts w:ascii="Sylfaen" w:hAnsi="Sylfaen" w:cs="Sylfaen"/>
          <w:color w:val="44546A" w:themeColor="text2"/>
          <w:lang w:val="ka-GE"/>
        </w:rPr>
      </w:pPr>
    </w:p>
    <w:p w:rsidR="00160227" w:rsidRDefault="00160227" w:rsidP="009C088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9C0884" w:rsidRPr="00166662" w:rsidRDefault="009C0884">
      <w:pPr>
        <w:rPr>
          <w:rFonts w:ascii="Sylfaen" w:hAnsi="Sylfaen"/>
          <w:lang w:val="ka-GE"/>
        </w:rPr>
      </w:pPr>
    </w:p>
    <w:sectPr w:rsidR="009C0884" w:rsidRPr="00166662" w:rsidSect="00F85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26318"/>
    <w:multiLevelType w:val="hybridMultilevel"/>
    <w:tmpl w:val="22906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84"/>
    <w:rsid w:val="00000CD7"/>
    <w:rsid w:val="00160227"/>
    <w:rsid w:val="0016529F"/>
    <w:rsid w:val="00166662"/>
    <w:rsid w:val="00183466"/>
    <w:rsid w:val="001E0EF3"/>
    <w:rsid w:val="002A3F84"/>
    <w:rsid w:val="003112B8"/>
    <w:rsid w:val="0036164A"/>
    <w:rsid w:val="0048496D"/>
    <w:rsid w:val="004928BB"/>
    <w:rsid w:val="004A7871"/>
    <w:rsid w:val="004C32B0"/>
    <w:rsid w:val="005B7D05"/>
    <w:rsid w:val="00611EB1"/>
    <w:rsid w:val="00651430"/>
    <w:rsid w:val="00665E47"/>
    <w:rsid w:val="006661DD"/>
    <w:rsid w:val="0067705E"/>
    <w:rsid w:val="006A20A4"/>
    <w:rsid w:val="006C6E2B"/>
    <w:rsid w:val="007638EA"/>
    <w:rsid w:val="007A0624"/>
    <w:rsid w:val="00814C94"/>
    <w:rsid w:val="00884F7D"/>
    <w:rsid w:val="008C25B1"/>
    <w:rsid w:val="008E0C8A"/>
    <w:rsid w:val="00961044"/>
    <w:rsid w:val="009C0884"/>
    <w:rsid w:val="00A213E8"/>
    <w:rsid w:val="00A8413E"/>
    <w:rsid w:val="00B409C4"/>
    <w:rsid w:val="00B96D82"/>
    <w:rsid w:val="00BA25E7"/>
    <w:rsid w:val="00BC5C7B"/>
    <w:rsid w:val="00BF4792"/>
    <w:rsid w:val="00C7540F"/>
    <w:rsid w:val="00C94719"/>
    <w:rsid w:val="00C97DA7"/>
    <w:rsid w:val="00CC4FA3"/>
    <w:rsid w:val="00D23B95"/>
    <w:rsid w:val="00D26BB7"/>
    <w:rsid w:val="00D52E8B"/>
    <w:rsid w:val="00D6352D"/>
    <w:rsid w:val="00D90C82"/>
    <w:rsid w:val="00E81735"/>
    <w:rsid w:val="00EE4FF4"/>
    <w:rsid w:val="00F60756"/>
    <w:rsid w:val="00F850D7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4928B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14C94"/>
    <w:pPr>
      <w:ind w:left="720"/>
      <w:contextualSpacing/>
    </w:pPr>
  </w:style>
  <w:style w:type="table" w:styleId="TableGrid">
    <w:name w:val="Table Grid"/>
    <w:basedOn w:val="TableNormal"/>
    <w:uiPriority w:val="39"/>
    <w:rsid w:val="0036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6164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4928B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14C94"/>
    <w:pPr>
      <w:ind w:left="720"/>
      <w:contextualSpacing/>
    </w:pPr>
  </w:style>
  <w:style w:type="table" w:styleId="TableGrid">
    <w:name w:val="Table Grid"/>
    <w:basedOn w:val="TableNormal"/>
    <w:uiPriority w:val="39"/>
    <w:rsid w:val="0036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6164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მაია მაღლაკელიძე-ხომერიკი</cp:lastModifiedBy>
  <cp:revision>10</cp:revision>
  <dcterms:created xsi:type="dcterms:W3CDTF">2019-08-15T09:00:00Z</dcterms:created>
  <dcterms:modified xsi:type="dcterms:W3CDTF">2019-08-15T10:03:00Z</dcterms:modified>
</cp:coreProperties>
</file>