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C17311" w:rsidRDefault="005B141E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C17311" w:rsidRDefault="00C80F69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C17311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C17311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87420D" w:rsidRPr="00C17311" w:rsidRDefault="0087420D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87420D" w:rsidRPr="00C17311" w:rsidRDefault="0087420D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87420D" w:rsidRPr="00C17311" w:rsidRDefault="00882F4F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 ატარებს ბაზრის კვლევას</w:t>
      </w:r>
      <w:r w:rsidR="00405BFA" w:rsidRPr="00C17311">
        <w:rPr>
          <w:rFonts w:ascii="Sylfaen" w:eastAsia="Times New Roman" w:hAnsi="Sylfaen" w:cs="Times New Roman"/>
          <w:sz w:val="18"/>
          <w:szCs w:val="18"/>
          <w:lang w:val="ka-GE"/>
        </w:rPr>
        <w:t>,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„დიალიზისა და თირკმლის ტრანსპლანტაციის“ სახელმწიფო პროგრამის </w:t>
      </w:r>
      <w:r w:rsidR="006C49C1" w:rsidRPr="00C17311">
        <w:rPr>
          <w:rFonts w:ascii="Sylfaen" w:eastAsia="Times New Roman" w:hAnsi="Sylfaen" w:cs="Times New Roman"/>
          <w:sz w:val="18"/>
          <w:szCs w:val="18"/>
          <w:lang w:val="ka-GE"/>
        </w:rPr>
        <w:t>(20</w:t>
      </w:r>
      <w:r w:rsidR="00D23BA8" w:rsidRPr="00C17311">
        <w:rPr>
          <w:rFonts w:ascii="Sylfaen" w:eastAsia="Times New Roman" w:hAnsi="Sylfaen" w:cs="Times New Roman"/>
          <w:sz w:val="18"/>
          <w:szCs w:val="18"/>
          <w:lang w:val="en-GB"/>
        </w:rPr>
        <w:t>20</w:t>
      </w:r>
      <w:r w:rsidR="006C49C1"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საბიუჯეტო ასიგნებები) 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ფარგლებში ჰემო</w:t>
      </w:r>
      <w:r w:rsidR="00BE52B9"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და პერიტონეულ 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დიალიზზე მყოფ </w:t>
      </w:r>
      <w:r w:rsidR="00BE52B9" w:rsidRPr="00C17311">
        <w:rPr>
          <w:rFonts w:ascii="Sylfaen" w:eastAsia="Times New Roman" w:hAnsi="Sylfaen" w:cs="Times New Roman"/>
          <w:sz w:val="18"/>
          <w:szCs w:val="18"/>
          <w:lang w:val="ka-GE"/>
        </w:rPr>
        <w:t>პაციენტთა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უზრუნველსაყოფად</w:t>
      </w:r>
      <w:r w:rsidR="00BE52B9" w:rsidRPr="00C17311">
        <w:rPr>
          <w:rFonts w:ascii="Sylfaen" w:eastAsia="Times New Roman" w:hAnsi="Sylfaen" w:cs="Times New Roman"/>
          <w:sz w:val="18"/>
          <w:szCs w:val="18"/>
          <w:lang w:val="ka-GE"/>
        </w:rPr>
        <w:t>,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სადიალიზე სახარჯი მასალის</w:t>
      </w:r>
      <w:r w:rsidR="00BE52B9" w:rsidRPr="00C17311">
        <w:rPr>
          <w:rFonts w:ascii="Sylfaen" w:eastAsia="Times New Roman" w:hAnsi="Sylfaen" w:cs="Times New Roman"/>
          <w:sz w:val="18"/>
          <w:szCs w:val="18"/>
          <w:lang w:val="ka-GE"/>
        </w:rPr>
        <w:t>ა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და </w:t>
      </w:r>
      <w:r w:rsidR="0059465F" w:rsidRPr="00C17311">
        <w:rPr>
          <w:rFonts w:ascii="Sylfaen" w:eastAsia="Times New Roman" w:hAnsi="Sylfaen" w:cs="Times New Roman"/>
          <w:sz w:val="18"/>
          <w:szCs w:val="18"/>
          <w:lang w:val="ka-GE"/>
        </w:rPr>
        <w:t>ფარმაცევტული პროდუქტის</w:t>
      </w:r>
      <w:r w:rsidR="00AE369E"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076025" w:rsidRPr="00C17311">
        <w:rPr>
          <w:rFonts w:ascii="Sylfaen" w:eastAsia="Times New Roman" w:hAnsi="Sylfaen" w:cs="Times New Roman"/>
          <w:sz w:val="18"/>
          <w:szCs w:val="18"/>
          <w:lang w:val="ka-GE"/>
        </w:rPr>
        <w:t>სახელმწიფო შესყიდვის მიზნით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. </w:t>
      </w:r>
      <w:r w:rsidR="0087420D" w:rsidRPr="00C17311"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საქონლის ჩამონათვალი, რაოდენობა და მოწოდების ვადები მოცემულია დანართებში N1, N2, N3.</w:t>
      </w:r>
    </w:p>
    <w:p w:rsidR="00882F4F" w:rsidRPr="00C17311" w:rsidRDefault="00882F4F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7420D" w:rsidRPr="00C17311" w:rsidRDefault="0087420D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D23BA8" w:rsidRPr="00C17311">
        <w:rPr>
          <w:rFonts w:ascii="Sylfaen" w:eastAsia="Times New Roman" w:hAnsi="Sylfaen" w:cs="Times New Roman"/>
          <w:sz w:val="18"/>
          <w:szCs w:val="18"/>
          <w:lang w:val="en-GB"/>
        </w:rPr>
        <w:t>9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D23BA8" w:rsidRPr="00C17311">
        <w:rPr>
          <w:rFonts w:ascii="Sylfaen" w:eastAsia="Times New Roman" w:hAnsi="Sylfaen" w:cs="Times New Roman"/>
          <w:sz w:val="18"/>
          <w:szCs w:val="18"/>
          <w:lang w:val="en-GB"/>
        </w:rPr>
        <w:t>6</w:t>
      </w: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დეკემბრის 18.00 საათამდე წარმოგვიდგინოთ შემდეგი ინფორმაცია:</w:t>
      </w:r>
    </w:p>
    <w:p w:rsidR="0087420D" w:rsidRPr="00C17311" w:rsidRDefault="0087420D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7420D" w:rsidRPr="00C17311" w:rsidRDefault="0087420D" w:rsidP="00380DDB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87420D" w:rsidRPr="00C17311" w:rsidRDefault="0087420D" w:rsidP="00380DDB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წარმოშობის ქვეყანა და მწარმოებელი;</w:t>
      </w:r>
    </w:p>
    <w:p w:rsidR="0087420D" w:rsidRPr="00C17311" w:rsidRDefault="00C70B6F" w:rsidP="00380DDB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მოწოდების პირობები და ვადები.</w:t>
      </w:r>
      <w:bookmarkStart w:id="0" w:name="_GoBack"/>
      <w:bookmarkEnd w:id="0"/>
    </w:p>
    <w:p w:rsidR="0087420D" w:rsidRPr="00C17311" w:rsidRDefault="0087420D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9A4236" w:rsidRPr="00C17311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bdatukishvili@ssa.gov.ge</w:t>
        </w:r>
      </w:hyperlink>
      <w:r w:rsidR="009A4236"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, </w:t>
      </w:r>
      <w:hyperlink r:id="rId7" w:history="1">
        <w:r w:rsidRPr="00C17311">
          <w:rPr>
            <w:rStyle w:val="Hyperlink"/>
            <w:rFonts w:ascii="Sylfaen" w:eastAsia="Times New Roman" w:hAnsi="Sylfaen" w:cs="Times New Roman"/>
            <w:sz w:val="18"/>
            <w:szCs w:val="18"/>
          </w:rPr>
          <w:t>tgogoli@ssa.gov.ge</w:t>
        </w:r>
      </w:hyperlink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წარმოადგინოთ სსიპ სოციალური მომსახურების სააგენტოში (თბილისი, წერეთლის გამზ. N144).</w:t>
      </w:r>
    </w:p>
    <w:p w:rsidR="0087420D" w:rsidRPr="00C17311" w:rsidRDefault="0087420D" w:rsidP="00380DD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7420D" w:rsidRPr="00C17311" w:rsidRDefault="0087420D" w:rsidP="00380DDB">
      <w:pPr>
        <w:ind w:firstLine="450"/>
        <w:jc w:val="both"/>
        <w:rPr>
          <w:rFonts w:ascii="Sylfaen" w:hAnsi="Sylfaen"/>
          <w:b/>
          <w:sz w:val="18"/>
          <w:szCs w:val="18"/>
          <w:lang w:val="ka-GE"/>
        </w:rPr>
      </w:pPr>
      <w:r w:rsidRPr="00C17311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CB4A98" w:rsidRPr="00C17311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sectPr w:rsidR="00CB4A98" w:rsidRPr="00C17311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62E"/>
    <w:multiLevelType w:val="hybridMultilevel"/>
    <w:tmpl w:val="CCB85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36A32"/>
    <w:rsid w:val="00044964"/>
    <w:rsid w:val="00053005"/>
    <w:rsid w:val="00076025"/>
    <w:rsid w:val="000E2F91"/>
    <w:rsid w:val="001062E3"/>
    <w:rsid w:val="00146C17"/>
    <w:rsid w:val="00166CCB"/>
    <w:rsid w:val="00184FEC"/>
    <w:rsid w:val="001A0D36"/>
    <w:rsid w:val="0021645F"/>
    <w:rsid w:val="002505EB"/>
    <w:rsid w:val="0025605E"/>
    <w:rsid w:val="002E18BC"/>
    <w:rsid w:val="00304295"/>
    <w:rsid w:val="003609AB"/>
    <w:rsid w:val="00360E59"/>
    <w:rsid w:val="00380DDB"/>
    <w:rsid w:val="003923D8"/>
    <w:rsid w:val="003A48BF"/>
    <w:rsid w:val="003F42B1"/>
    <w:rsid w:val="003F5AC1"/>
    <w:rsid w:val="00405BFA"/>
    <w:rsid w:val="004409AE"/>
    <w:rsid w:val="00457DFE"/>
    <w:rsid w:val="004911B5"/>
    <w:rsid w:val="004B2C5B"/>
    <w:rsid w:val="004E7A7D"/>
    <w:rsid w:val="00503E80"/>
    <w:rsid w:val="0053149C"/>
    <w:rsid w:val="00536990"/>
    <w:rsid w:val="00541144"/>
    <w:rsid w:val="0059465F"/>
    <w:rsid w:val="005B141E"/>
    <w:rsid w:val="005F05E1"/>
    <w:rsid w:val="006105E4"/>
    <w:rsid w:val="006975AA"/>
    <w:rsid w:val="006C49C1"/>
    <w:rsid w:val="006D578F"/>
    <w:rsid w:val="006F726D"/>
    <w:rsid w:val="00774ADD"/>
    <w:rsid w:val="007C2C23"/>
    <w:rsid w:val="007F5B25"/>
    <w:rsid w:val="008050AC"/>
    <w:rsid w:val="00806202"/>
    <w:rsid w:val="0087420D"/>
    <w:rsid w:val="00882F4F"/>
    <w:rsid w:val="0089009A"/>
    <w:rsid w:val="00911E14"/>
    <w:rsid w:val="00931838"/>
    <w:rsid w:val="00951DFC"/>
    <w:rsid w:val="009525F2"/>
    <w:rsid w:val="00960CD6"/>
    <w:rsid w:val="009A1894"/>
    <w:rsid w:val="009A4236"/>
    <w:rsid w:val="00A65B87"/>
    <w:rsid w:val="00A67C49"/>
    <w:rsid w:val="00A85E69"/>
    <w:rsid w:val="00A87C86"/>
    <w:rsid w:val="00AC3403"/>
    <w:rsid w:val="00AC6D7A"/>
    <w:rsid w:val="00AE1CC5"/>
    <w:rsid w:val="00AE369E"/>
    <w:rsid w:val="00B24F21"/>
    <w:rsid w:val="00B648DB"/>
    <w:rsid w:val="00BC42C4"/>
    <w:rsid w:val="00BE52B9"/>
    <w:rsid w:val="00BE7BF6"/>
    <w:rsid w:val="00C17311"/>
    <w:rsid w:val="00C70B6F"/>
    <w:rsid w:val="00C80F69"/>
    <w:rsid w:val="00C844D3"/>
    <w:rsid w:val="00CB4A98"/>
    <w:rsid w:val="00CC7516"/>
    <w:rsid w:val="00CE44C6"/>
    <w:rsid w:val="00D03338"/>
    <w:rsid w:val="00D23BA8"/>
    <w:rsid w:val="00D23F25"/>
    <w:rsid w:val="00D65B42"/>
    <w:rsid w:val="00D9473D"/>
    <w:rsid w:val="00DF0616"/>
    <w:rsid w:val="00DF6462"/>
    <w:rsid w:val="00E533B6"/>
    <w:rsid w:val="00EC162E"/>
    <w:rsid w:val="00F25BFC"/>
    <w:rsid w:val="00F524D8"/>
    <w:rsid w:val="00F529B4"/>
    <w:rsid w:val="00F6746E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104B"/>
  <w15:docId w15:val="{D3ACF52F-BA65-46D8-ACF9-9821784C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gogoli@ssa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54F3-B304-4DED-9BA5-B34F7EE4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4</cp:revision>
  <cp:lastPrinted>2015-11-04T07:11:00Z</cp:lastPrinted>
  <dcterms:created xsi:type="dcterms:W3CDTF">2019-12-03T12:51:00Z</dcterms:created>
  <dcterms:modified xsi:type="dcterms:W3CDTF">2019-12-03T12:51:00Z</dcterms:modified>
</cp:coreProperties>
</file>