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A23" w:rsidRDefault="00121A23" w:rsidP="00260036">
      <w:pPr>
        <w:pStyle w:val="Heading1"/>
        <w:spacing w:before="0" w:line="240" w:lineRule="auto"/>
        <w:jc w:val="both"/>
        <w:rPr>
          <w:rFonts w:ascii="Arial" w:hAnsi="Arial" w:cs="Arial"/>
          <w:color w:val="auto"/>
          <w:sz w:val="22"/>
          <w:szCs w:val="22"/>
        </w:rPr>
      </w:pPr>
      <w:r w:rsidRPr="00260036">
        <w:rPr>
          <w:rFonts w:ascii="Arial" w:hAnsi="Arial" w:cs="Arial"/>
          <w:color w:val="auto"/>
          <w:sz w:val="22"/>
          <w:szCs w:val="22"/>
        </w:rPr>
        <w:t xml:space="preserve">The Technical Report has provided sufficient </w:t>
      </w:r>
      <w:r w:rsidRPr="00260036">
        <w:rPr>
          <w:rFonts w:ascii="Arial" w:hAnsi="Arial" w:cs="Arial"/>
          <w:color w:val="auto"/>
          <w:sz w:val="22"/>
          <w:szCs w:val="22"/>
        </w:rPr>
        <w:t xml:space="preserve">reviews on how </w:t>
      </w:r>
      <w:r w:rsidRPr="00260036">
        <w:rPr>
          <w:rFonts w:ascii="Arial" w:hAnsi="Arial" w:cs="Arial"/>
          <w:color w:val="auto"/>
          <w:sz w:val="22"/>
          <w:szCs w:val="22"/>
        </w:rPr>
        <w:t xml:space="preserve">countries </w:t>
      </w:r>
      <w:r w:rsidRPr="00260036">
        <w:rPr>
          <w:rFonts w:ascii="Arial" w:hAnsi="Arial" w:cs="Arial"/>
          <w:color w:val="auto"/>
          <w:sz w:val="22"/>
          <w:szCs w:val="22"/>
        </w:rPr>
        <w:t xml:space="preserve">manage their long term care system. It is believed that such reviews will help other countries, such Indonesia, in which LTC is not yet part of the social security system. Currently, people aged 65+ consist of around 8% of the total beneficiaries of BPJS for Health. Since there is no separate system for LTC in the SSS, the cost of care of these elderly lies on BPJS for Health which count for around 16% of total </w:t>
      </w:r>
      <w:r w:rsidR="00A57BBD" w:rsidRPr="00260036">
        <w:rPr>
          <w:rFonts w:ascii="Arial" w:hAnsi="Arial" w:cs="Arial"/>
          <w:color w:val="auto"/>
          <w:sz w:val="22"/>
          <w:szCs w:val="22"/>
        </w:rPr>
        <w:t xml:space="preserve">annual </w:t>
      </w:r>
      <w:r w:rsidRPr="00260036">
        <w:rPr>
          <w:rFonts w:ascii="Arial" w:hAnsi="Arial" w:cs="Arial"/>
          <w:color w:val="auto"/>
          <w:sz w:val="22"/>
          <w:szCs w:val="22"/>
        </w:rPr>
        <w:t xml:space="preserve">health expenditure in secondary setting. </w:t>
      </w:r>
    </w:p>
    <w:p w:rsidR="00260036" w:rsidRDefault="00260036" w:rsidP="00260036"/>
    <w:p w:rsidR="006760B4" w:rsidRPr="00A27E39" w:rsidRDefault="006760B4" w:rsidP="006760B4">
      <w:pPr>
        <w:jc w:val="center"/>
        <w:rPr>
          <w:rFonts w:ascii="Arial" w:hAnsi="Arial" w:cs="Arial"/>
          <w:lang w:val="id-ID"/>
        </w:rPr>
      </w:pPr>
      <w:r w:rsidRPr="00A27E39">
        <w:rPr>
          <w:rFonts w:ascii="Arial" w:hAnsi="Arial" w:cs="Arial"/>
          <w:lang w:val="en-US"/>
        </w:rPr>
        <w:t>Table: The proportion of health expenditure of members aged 65+ of BPJS for Health</w:t>
      </w:r>
    </w:p>
    <w:tbl>
      <w:tblPr>
        <w:tblW w:w="8921" w:type="dxa"/>
        <w:tblCellMar>
          <w:left w:w="0" w:type="dxa"/>
          <w:right w:w="0" w:type="dxa"/>
        </w:tblCellMar>
        <w:tblLook w:val="0420" w:firstRow="1" w:lastRow="0" w:firstColumn="0" w:lastColumn="0" w:noHBand="0" w:noVBand="1"/>
      </w:tblPr>
      <w:tblGrid>
        <w:gridCol w:w="3781"/>
        <w:gridCol w:w="1713"/>
        <w:gridCol w:w="1713"/>
        <w:gridCol w:w="1714"/>
      </w:tblGrid>
      <w:tr w:rsidR="006760B4" w:rsidRPr="006760B4" w:rsidTr="006760B4">
        <w:trPr>
          <w:trHeight w:val="324"/>
        </w:trPr>
        <w:tc>
          <w:tcPr>
            <w:tcW w:w="3781"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6760B4" w:rsidRPr="006760B4" w:rsidRDefault="006760B4" w:rsidP="006760B4">
            <w:pPr>
              <w:spacing w:after="0" w:line="240" w:lineRule="auto"/>
              <w:rPr>
                <w:rFonts w:ascii="Arial" w:eastAsia="Times New Roman" w:hAnsi="Arial" w:cs="Arial"/>
                <w:lang w:val="id-ID" w:eastAsia="id-ID"/>
              </w:rPr>
            </w:pPr>
          </w:p>
        </w:tc>
        <w:tc>
          <w:tcPr>
            <w:tcW w:w="171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6760B4" w:rsidRPr="006760B4" w:rsidRDefault="006760B4" w:rsidP="006760B4">
            <w:pPr>
              <w:spacing w:after="0" w:line="240" w:lineRule="auto"/>
              <w:jc w:val="center"/>
              <w:rPr>
                <w:rFonts w:ascii="Arial" w:eastAsia="Times New Roman" w:hAnsi="Arial" w:cs="Arial"/>
                <w:lang w:val="id-ID" w:eastAsia="id-ID"/>
              </w:rPr>
            </w:pPr>
            <w:r w:rsidRPr="00A27E39">
              <w:rPr>
                <w:rFonts w:ascii="Arial" w:eastAsia="Times New Roman" w:hAnsi="Arial" w:cs="Arial"/>
                <w:b/>
                <w:bCs/>
                <w:color w:val="000000" w:themeColor="text1"/>
                <w:kern w:val="24"/>
                <w:lang w:val="en-US" w:eastAsia="id-ID"/>
              </w:rPr>
              <w:t xml:space="preserve">Yr </w:t>
            </w:r>
            <w:r w:rsidRPr="006760B4">
              <w:rPr>
                <w:rFonts w:ascii="Arial" w:eastAsia="Times New Roman" w:hAnsi="Arial" w:cs="Arial"/>
                <w:b/>
                <w:bCs/>
                <w:color w:val="000000" w:themeColor="text1"/>
                <w:kern w:val="24"/>
                <w:lang w:val="en-US" w:eastAsia="id-ID"/>
              </w:rPr>
              <w:t>2016</w:t>
            </w:r>
          </w:p>
        </w:tc>
        <w:tc>
          <w:tcPr>
            <w:tcW w:w="171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6760B4" w:rsidRPr="006760B4" w:rsidRDefault="006760B4" w:rsidP="006760B4">
            <w:pPr>
              <w:spacing w:after="0" w:line="240" w:lineRule="auto"/>
              <w:jc w:val="center"/>
              <w:rPr>
                <w:rFonts w:ascii="Arial" w:eastAsia="Times New Roman" w:hAnsi="Arial" w:cs="Arial"/>
                <w:lang w:val="id-ID" w:eastAsia="id-ID"/>
              </w:rPr>
            </w:pPr>
            <w:r w:rsidRPr="00A27E39">
              <w:rPr>
                <w:rFonts w:ascii="Arial" w:eastAsia="Times New Roman" w:hAnsi="Arial" w:cs="Arial"/>
                <w:b/>
                <w:bCs/>
                <w:color w:val="000000" w:themeColor="text1"/>
                <w:kern w:val="24"/>
                <w:lang w:val="en-US" w:eastAsia="id-ID"/>
              </w:rPr>
              <w:t xml:space="preserve">Yr </w:t>
            </w:r>
            <w:r w:rsidRPr="006760B4">
              <w:rPr>
                <w:rFonts w:ascii="Arial" w:eastAsia="Times New Roman" w:hAnsi="Arial" w:cs="Arial"/>
                <w:b/>
                <w:bCs/>
                <w:color w:val="000000" w:themeColor="text1"/>
                <w:kern w:val="24"/>
                <w:lang w:val="en-US" w:eastAsia="id-ID"/>
              </w:rPr>
              <w:t>2017</w:t>
            </w:r>
          </w:p>
        </w:tc>
        <w:tc>
          <w:tcPr>
            <w:tcW w:w="1714"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6760B4" w:rsidRPr="006760B4" w:rsidRDefault="006760B4" w:rsidP="006760B4">
            <w:pPr>
              <w:spacing w:after="0" w:line="240" w:lineRule="auto"/>
              <w:jc w:val="center"/>
              <w:rPr>
                <w:rFonts w:ascii="Arial" w:eastAsia="Times New Roman" w:hAnsi="Arial" w:cs="Arial"/>
                <w:lang w:val="id-ID" w:eastAsia="id-ID"/>
              </w:rPr>
            </w:pPr>
            <w:r w:rsidRPr="00A27E39">
              <w:rPr>
                <w:rFonts w:ascii="Arial" w:eastAsia="Times New Roman" w:hAnsi="Arial" w:cs="Arial"/>
                <w:b/>
                <w:bCs/>
                <w:color w:val="000000" w:themeColor="text1"/>
                <w:kern w:val="24"/>
                <w:lang w:val="en-US" w:eastAsia="id-ID"/>
              </w:rPr>
              <w:t xml:space="preserve">Yr </w:t>
            </w:r>
            <w:r w:rsidRPr="006760B4">
              <w:rPr>
                <w:rFonts w:ascii="Arial" w:eastAsia="Times New Roman" w:hAnsi="Arial" w:cs="Arial"/>
                <w:b/>
                <w:bCs/>
                <w:color w:val="000000" w:themeColor="text1"/>
                <w:kern w:val="24"/>
                <w:lang w:val="en-US" w:eastAsia="id-ID"/>
              </w:rPr>
              <w:t>2018*</w:t>
            </w:r>
          </w:p>
        </w:tc>
      </w:tr>
      <w:tr w:rsidR="006760B4" w:rsidRPr="006760B4" w:rsidTr="006760B4">
        <w:trPr>
          <w:trHeight w:val="584"/>
        </w:trPr>
        <w:tc>
          <w:tcPr>
            <w:tcW w:w="37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0B4" w:rsidRPr="006760B4" w:rsidRDefault="006760B4" w:rsidP="006760B4">
            <w:pPr>
              <w:spacing w:after="0" w:line="240" w:lineRule="auto"/>
              <w:rPr>
                <w:rFonts w:ascii="Arial" w:eastAsia="Times New Roman" w:hAnsi="Arial" w:cs="Arial"/>
                <w:lang w:val="id-ID" w:eastAsia="id-ID"/>
              </w:rPr>
            </w:pPr>
            <w:r w:rsidRPr="006760B4">
              <w:rPr>
                <w:rFonts w:ascii="Arial" w:eastAsia="Times New Roman" w:hAnsi="Arial" w:cs="Arial"/>
                <w:color w:val="000000" w:themeColor="text1"/>
                <w:kern w:val="24"/>
                <w:lang w:val="en-US" w:eastAsia="id-ID"/>
              </w:rPr>
              <w:t>Healthcare cost of members aged 65+ in secondary care per annum (in Trillion IDR)</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760B4" w:rsidRPr="006760B4" w:rsidRDefault="006760B4" w:rsidP="006760B4">
            <w:pPr>
              <w:spacing w:after="0" w:line="240" w:lineRule="auto"/>
              <w:jc w:val="right"/>
              <w:rPr>
                <w:rFonts w:ascii="Arial" w:eastAsia="Times New Roman" w:hAnsi="Arial" w:cs="Arial"/>
                <w:lang w:val="id-ID" w:eastAsia="id-ID"/>
              </w:rPr>
            </w:pPr>
            <w:r w:rsidRPr="006760B4">
              <w:rPr>
                <w:rFonts w:ascii="Arial" w:eastAsia="Times New Roman" w:hAnsi="Arial" w:cs="Arial"/>
                <w:color w:val="000000" w:themeColor="text1"/>
                <w:kern w:val="24"/>
                <w:lang w:val="en-US" w:eastAsia="id-ID"/>
              </w:rPr>
              <w:t>8.3</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760B4" w:rsidRPr="006760B4" w:rsidRDefault="006760B4" w:rsidP="006760B4">
            <w:pPr>
              <w:spacing w:after="0" w:line="240" w:lineRule="auto"/>
              <w:jc w:val="right"/>
              <w:rPr>
                <w:rFonts w:ascii="Arial" w:eastAsia="Times New Roman" w:hAnsi="Arial" w:cs="Arial"/>
                <w:lang w:val="id-ID" w:eastAsia="id-ID"/>
              </w:rPr>
            </w:pPr>
            <w:r w:rsidRPr="006760B4">
              <w:rPr>
                <w:rFonts w:ascii="Arial" w:eastAsia="Times New Roman" w:hAnsi="Arial" w:cs="Arial"/>
                <w:color w:val="000000" w:themeColor="text1"/>
                <w:kern w:val="24"/>
                <w:lang w:val="en-US" w:eastAsia="id-ID"/>
              </w:rPr>
              <w:t>10.4</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760B4" w:rsidRPr="006760B4" w:rsidRDefault="006760B4" w:rsidP="006760B4">
            <w:pPr>
              <w:spacing w:after="0" w:line="240" w:lineRule="auto"/>
              <w:jc w:val="right"/>
              <w:rPr>
                <w:rFonts w:ascii="Arial" w:eastAsia="Times New Roman" w:hAnsi="Arial" w:cs="Arial"/>
                <w:lang w:val="id-ID" w:eastAsia="id-ID"/>
              </w:rPr>
            </w:pPr>
            <w:r w:rsidRPr="006760B4">
              <w:rPr>
                <w:rFonts w:ascii="Arial" w:eastAsia="Times New Roman" w:hAnsi="Arial" w:cs="Arial"/>
                <w:color w:val="000000" w:themeColor="text1"/>
                <w:kern w:val="24"/>
                <w:lang w:val="en-US" w:eastAsia="id-ID"/>
              </w:rPr>
              <w:t>3.4</w:t>
            </w:r>
          </w:p>
        </w:tc>
      </w:tr>
      <w:tr w:rsidR="006760B4" w:rsidRPr="006760B4" w:rsidTr="006760B4">
        <w:trPr>
          <w:trHeight w:val="584"/>
        </w:trPr>
        <w:tc>
          <w:tcPr>
            <w:tcW w:w="378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0B4" w:rsidRPr="006760B4" w:rsidRDefault="006760B4" w:rsidP="006760B4">
            <w:pPr>
              <w:spacing w:after="0" w:line="240" w:lineRule="auto"/>
              <w:rPr>
                <w:rFonts w:ascii="Arial" w:eastAsia="Times New Roman" w:hAnsi="Arial" w:cs="Arial"/>
                <w:lang w:val="id-ID" w:eastAsia="id-ID"/>
              </w:rPr>
            </w:pPr>
            <w:r w:rsidRPr="006760B4">
              <w:rPr>
                <w:rFonts w:ascii="Arial" w:eastAsia="Times New Roman" w:hAnsi="Arial" w:cs="Arial"/>
                <w:color w:val="000000" w:themeColor="text1"/>
                <w:kern w:val="24"/>
                <w:lang w:val="en-US" w:eastAsia="id-ID"/>
              </w:rPr>
              <w:t>% of total cost in secondary care</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760B4" w:rsidRPr="006760B4" w:rsidRDefault="006760B4" w:rsidP="006760B4">
            <w:pPr>
              <w:spacing w:after="0" w:line="240" w:lineRule="auto"/>
              <w:jc w:val="right"/>
              <w:rPr>
                <w:rFonts w:ascii="Arial" w:eastAsia="Times New Roman" w:hAnsi="Arial" w:cs="Arial"/>
                <w:lang w:val="id-ID" w:eastAsia="id-ID"/>
              </w:rPr>
            </w:pPr>
            <w:r w:rsidRPr="006760B4">
              <w:rPr>
                <w:rFonts w:ascii="Arial" w:eastAsia="Times New Roman" w:hAnsi="Arial" w:cs="Arial"/>
                <w:color w:val="000000" w:themeColor="text1"/>
                <w:kern w:val="24"/>
                <w:lang w:val="en-US" w:eastAsia="id-ID"/>
              </w:rPr>
              <w:t>14.88%</w:t>
            </w:r>
          </w:p>
        </w:tc>
        <w:tc>
          <w:tcPr>
            <w:tcW w:w="171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760B4" w:rsidRPr="006760B4" w:rsidRDefault="006760B4" w:rsidP="006760B4">
            <w:pPr>
              <w:spacing w:after="0" w:line="240" w:lineRule="auto"/>
              <w:jc w:val="right"/>
              <w:rPr>
                <w:rFonts w:ascii="Arial" w:eastAsia="Times New Roman" w:hAnsi="Arial" w:cs="Arial"/>
                <w:lang w:val="id-ID" w:eastAsia="id-ID"/>
              </w:rPr>
            </w:pPr>
            <w:r w:rsidRPr="006760B4">
              <w:rPr>
                <w:rFonts w:ascii="Arial" w:eastAsia="Times New Roman" w:hAnsi="Arial" w:cs="Arial"/>
                <w:color w:val="000000" w:themeColor="text1"/>
                <w:kern w:val="24"/>
                <w:lang w:val="en-US" w:eastAsia="id-ID"/>
              </w:rPr>
              <w:t>14.91%</w:t>
            </w:r>
          </w:p>
        </w:tc>
        <w:tc>
          <w:tcPr>
            <w:tcW w:w="171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6760B4" w:rsidRPr="006760B4" w:rsidRDefault="006760B4" w:rsidP="006760B4">
            <w:pPr>
              <w:spacing w:after="0" w:line="240" w:lineRule="auto"/>
              <w:jc w:val="right"/>
              <w:rPr>
                <w:rFonts w:ascii="Arial" w:eastAsia="Times New Roman" w:hAnsi="Arial" w:cs="Arial"/>
                <w:lang w:val="id-ID" w:eastAsia="id-ID"/>
              </w:rPr>
            </w:pPr>
            <w:r w:rsidRPr="006760B4">
              <w:rPr>
                <w:rFonts w:ascii="Arial" w:eastAsia="Times New Roman" w:hAnsi="Arial" w:cs="Arial"/>
                <w:color w:val="000000" w:themeColor="text1"/>
                <w:kern w:val="24"/>
                <w:lang w:val="en-US" w:eastAsia="id-ID"/>
              </w:rPr>
              <w:t>16.11%</w:t>
            </w:r>
          </w:p>
        </w:tc>
      </w:tr>
    </w:tbl>
    <w:p w:rsidR="006760B4" w:rsidRDefault="006760B4" w:rsidP="00260036"/>
    <w:p w:rsidR="006760B4" w:rsidRPr="00A27E39" w:rsidRDefault="006760B4" w:rsidP="006760B4">
      <w:pPr>
        <w:rPr>
          <w:rFonts w:ascii="Arial" w:hAnsi="Arial" w:cs="Arial"/>
          <w:iCs/>
          <w:lang w:val="en-US"/>
        </w:rPr>
      </w:pPr>
      <w:r w:rsidRPr="00A27E39">
        <w:rPr>
          <w:rFonts w:ascii="Arial" w:hAnsi="Arial" w:cs="Arial"/>
          <w:iCs/>
          <w:lang w:val="en-US"/>
        </w:rPr>
        <w:t>Unit cost of out-patients care in secondary care</w:t>
      </w:r>
    </w:p>
    <w:p w:rsidR="006760B4" w:rsidRDefault="006760B4" w:rsidP="00260036">
      <w:r w:rsidRPr="006760B4">
        <w:rPr>
          <w:lang w:val="id-ID"/>
        </w:rPr>
        <w:drawing>
          <wp:inline distT="0" distB="0" distL="0" distR="0" wp14:anchorId="76CA91D6" wp14:editId="28F620B4">
            <wp:extent cx="3361609" cy="2338096"/>
            <wp:effectExtent l="0" t="0" r="0" b="508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92519" cy="2359595"/>
                    </a:xfrm>
                    <a:prstGeom prst="rect">
                      <a:avLst/>
                    </a:prstGeom>
                    <a:noFill/>
                    <a:ln>
                      <a:noFill/>
                    </a:ln>
                    <a:effectLst/>
                    <a:extLst/>
                  </pic:spPr>
                </pic:pic>
              </a:graphicData>
            </a:graphic>
          </wp:inline>
        </w:drawing>
      </w:r>
    </w:p>
    <w:p w:rsidR="00560984" w:rsidRPr="00A27E39" w:rsidRDefault="00560984" w:rsidP="00560984">
      <w:pPr>
        <w:rPr>
          <w:rFonts w:ascii="Arial" w:hAnsi="Arial" w:cs="Arial"/>
          <w:lang w:val="id-ID"/>
        </w:rPr>
      </w:pPr>
      <w:r w:rsidRPr="00A27E39">
        <w:rPr>
          <w:rFonts w:ascii="Arial" w:hAnsi="Arial" w:cs="Arial"/>
          <w:iCs/>
          <w:lang w:val="en-US"/>
        </w:rPr>
        <w:t>Unit cost of in-patients care in secondary care</w:t>
      </w:r>
    </w:p>
    <w:p w:rsidR="006760B4" w:rsidRDefault="00560984" w:rsidP="00260036">
      <w:r w:rsidRPr="00560984">
        <w:rPr>
          <w:lang w:val="id-ID"/>
        </w:rPr>
        <w:drawing>
          <wp:inline distT="0" distB="0" distL="0" distR="0" wp14:anchorId="0C4CF61D" wp14:editId="7BEC6871">
            <wp:extent cx="3381773" cy="2034936"/>
            <wp:effectExtent l="0" t="0" r="0" b="381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0765" cy="2052381"/>
                    </a:xfrm>
                    <a:prstGeom prst="rect">
                      <a:avLst/>
                    </a:prstGeom>
                    <a:noFill/>
                    <a:ln>
                      <a:noFill/>
                    </a:ln>
                    <a:effectLst/>
                    <a:extLst/>
                  </pic:spPr>
                </pic:pic>
              </a:graphicData>
            </a:graphic>
          </wp:inline>
        </w:drawing>
      </w:r>
    </w:p>
    <w:p w:rsidR="00560984" w:rsidRDefault="00560984" w:rsidP="00260036"/>
    <w:p w:rsidR="006760B4" w:rsidRPr="00260036" w:rsidRDefault="006760B4" w:rsidP="00260036"/>
    <w:p w:rsidR="00121A23" w:rsidRPr="00260036" w:rsidRDefault="00121A23" w:rsidP="00260036">
      <w:pPr>
        <w:jc w:val="both"/>
        <w:rPr>
          <w:rFonts w:ascii="Arial" w:hAnsi="Arial" w:cs="Arial"/>
        </w:rPr>
      </w:pPr>
      <w:r w:rsidRPr="00260036">
        <w:rPr>
          <w:rFonts w:ascii="Arial" w:hAnsi="Arial" w:cs="Arial"/>
        </w:rPr>
        <w:lastRenderedPageBreak/>
        <w:t>Despite not having a national LTC system, some municipalities in Indonesia offers homecare t</w:t>
      </w:r>
      <w:bookmarkStart w:id="0" w:name="_GoBack"/>
      <w:bookmarkEnd w:id="0"/>
      <w:r w:rsidRPr="00260036">
        <w:rPr>
          <w:rFonts w:ascii="Arial" w:hAnsi="Arial" w:cs="Arial"/>
        </w:rPr>
        <w:t xml:space="preserve">o their residents which varies in terms of benefits, beneficiaries and funding. </w:t>
      </w:r>
      <w:r w:rsidR="00A57BBD" w:rsidRPr="00260036">
        <w:rPr>
          <w:rFonts w:ascii="Arial" w:hAnsi="Arial" w:cs="Arial"/>
        </w:rPr>
        <w:t xml:space="preserve">There are also government-run nursing homes under the Ministry of Social Affair, however, not only the number is scarce but also their impacts on the quality of life of the elderly are little known. </w:t>
      </w:r>
    </w:p>
    <w:p w:rsidR="006B55E3" w:rsidRDefault="00A57BBD" w:rsidP="00260036">
      <w:pPr>
        <w:jc w:val="both"/>
        <w:rPr>
          <w:rFonts w:ascii="Arial" w:hAnsi="Arial" w:cs="Arial"/>
          <w:bCs/>
          <w:lang w:val="en-US"/>
        </w:rPr>
      </w:pPr>
      <w:r w:rsidRPr="00260036">
        <w:rPr>
          <w:rFonts w:ascii="Arial" w:hAnsi="Arial" w:cs="Arial"/>
        </w:rPr>
        <w:t xml:space="preserve">Having read the Technical Report, the main key take-away for Indonesia in considering LTC would not only the source and the stability of funding, but also the importance of taking small </w:t>
      </w:r>
      <w:r w:rsidR="008D3532" w:rsidRPr="00260036">
        <w:rPr>
          <w:rFonts w:ascii="Arial" w:hAnsi="Arial" w:cs="Arial"/>
        </w:rPr>
        <w:t xml:space="preserve">but responsible </w:t>
      </w:r>
      <w:r w:rsidRPr="00260036">
        <w:rPr>
          <w:rFonts w:ascii="Arial" w:hAnsi="Arial" w:cs="Arial"/>
        </w:rPr>
        <w:t>steps in deciding what benefits to cover</w:t>
      </w:r>
      <w:r w:rsidR="006B55E3" w:rsidRPr="00260036">
        <w:rPr>
          <w:rFonts w:ascii="Arial" w:hAnsi="Arial" w:cs="Arial"/>
        </w:rPr>
        <w:t>. Considering the current situation</w:t>
      </w:r>
      <w:r w:rsidR="00F27C21" w:rsidRPr="00260036">
        <w:rPr>
          <w:rFonts w:ascii="Arial" w:hAnsi="Arial" w:cs="Arial"/>
        </w:rPr>
        <w:t xml:space="preserve"> in which the government is encouraged to take not only evidence based policy but also politically correct ones</w:t>
      </w:r>
      <w:r w:rsidR="006B55E3" w:rsidRPr="00260036">
        <w:rPr>
          <w:rFonts w:ascii="Arial" w:hAnsi="Arial" w:cs="Arial"/>
        </w:rPr>
        <w:t xml:space="preserve">, Indonesia needs to consider the funding policy which </w:t>
      </w:r>
      <w:r w:rsidR="006B55E3" w:rsidRPr="00260036">
        <w:rPr>
          <w:rFonts w:ascii="Arial" w:hAnsi="Arial" w:cs="Arial"/>
          <w:lang w:val="en-US"/>
        </w:rPr>
        <w:t xml:space="preserve">moves toward a predominant reliance on </w:t>
      </w:r>
      <w:r w:rsidR="006B55E3" w:rsidRPr="00260036">
        <w:rPr>
          <w:rFonts w:ascii="Arial" w:hAnsi="Arial" w:cs="Arial"/>
          <w:bCs/>
          <w:lang w:val="en-US"/>
        </w:rPr>
        <w:t xml:space="preserve">public resources such as tax-funded </w:t>
      </w:r>
      <w:r w:rsidR="00F27C21" w:rsidRPr="00260036">
        <w:rPr>
          <w:rFonts w:ascii="Arial" w:hAnsi="Arial" w:cs="Arial"/>
          <w:bCs/>
          <w:lang w:val="en-US"/>
        </w:rPr>
        <w:t>or top-up for NHI contribution, as opposed to OOP.</w:t>
      </w:r>
    </w:p>
    <w:p w:rsidR="00EC30EB" w:rsidRPr="00EC30EB" w:rsidRDefault="00EC30EB" w:rsidP="00EC30EB">
      <w:pPr>
        <w:jc w:val="center"/>
        <w:rPr>
          <w:rFonts w:ascii="Arial" w:hAnsi="Arial" w:cs="Arial"/>
          <w:bCs/>
          <w:sz w:val="18"/>
          <w:lang w:val="en-US"/>
        </w:rPr>
      </w:pPr>
      <w:r>
        <w:rPr>
          <w:rFonts w:ascii="Arial" w:hAnsi="Arial" w:cs="Arial"/>
          <w:bCs/>
          <w:sz w:val="18"/>
          <w:lang w:val="en-US"/>
        </w:rPr>
        <w:t xml:space="preserve">Table: </w:t>
      </w:r>
      <w:r w:rsidRPr="00EC30EB">
        <w:rPr>
          <w:rFonts w:ascii="Arial" w:hAnsi="Arial" w:cs="Arial"/>
          <w:bCs/>
          <w:sz w:val="18"/>
          <w:lang w:val="en-US"/>
        </w:rPr>
        <w:t>The current contribution vs expenditure per beneficiaries per month of the Indonesian NHI scheme</w:t>
      </w:r>
    </w:p>
    <w:tbl>
      <w:tblPr>
        <w:tblW w:w="7928" w:type="dxa"/>
        <w:tblCellMar>
          <w:left w:w="0" w:type="dxa"/>
          <w:right w:w="0" w:type="dxa"/>
        </w:tblCellMar>
        <w:tblLook w:val="0420" w:firstRow="1" w:lastRow="0" w:firstColumn="0" w:lastColumn="0" w:noHBand="0" w:noVBand="1"/>
      </w:tblPr>
      <w:tblGrid>
        <w:gridCol w:w="2400"/>
        <w:gridCol w:w="1843"/>
        <w:gridCol w:w="1984"/>
        <w:gridCol w:w="1701"/>
      </w:tblGrid>
      <w:tr w:rsidR="00EC30EB" w:rsidRPr="00EC30EB" w:rsidTr="00EC30EB">
        <w:trPr>
          <w:trHeight w:val="172"/>
        </w:trPr>
        <w:tc>
          <w:tcPr>
            <w:tcW w:w="2400" w:type="dxa"/>
            <w:vMerge w:val="restar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rsidR="00EC30EB" w:rsidRPr="00EC30EB" w:rsidRDefault="00EC30EB" w:rsidP="00EC30EB">
            <w:pPr>
              <w:spacing w:after="0" w:line="240" w:lineRule="auto"/>
              <w:jc w:val="center"/>
              <w:rPr>
                <w:rFonts w:ascii="Arial" w:eastAsia="Times New Roman" w:hAnsi="Arial" w:cs="Arial"/>
                <w:szCs w:val="36"/>
                <w:lang w:val="id-ID" w:eastAsia="id-ID"/>
              </w:rPr>
            </w:pPr>
            <w:r w:rsidRPr="00EC30EB">
              <w:rPr>
                <w:rFonts w:ascii="Arial" w:eastAsia="Times New Roman" w:hAnsi="Arial" w:cs="Arial"/>
                <w:b/>
                <w:bCs/>
                <w:color w:val="000000" w:themeColor="text1"/>
                <w:kern w:val="24"/>
                <w:szCs w:val="36"/>
                <w:lang w:val="en-US" w:eastAsia="id-ID"/>
              </w:rPr>
              <w:t>Year</w:t>
            </w:r>
          </w:p>
        </w:tc>
        <w:tc>
          <w:tcPr>
            <w:tcW w:w="5528" w:type="dxa"/>
            <w:gridSpan w:val="3"/>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rsidR="00EC30EB" w:rsidRPr="00EC30EB" w:rsidRDefault="00EC30EB" w:rsidP="00EC30EB">
            <w:pPr>
              <w:spacing w:after="0" w:line="240" w:lineRule="auto"/>
              <w:jc w:val="center"/>
              <w:rPr>
                <w:rFonts w:ascii="Arial" w:eastAsia="Times New Roman" w:hAnsi="Arial" w:cs="Arial"/>
                <w:szCs w:val="36"/>
                <w:lang w:val="id-ID" w:eastAsia="id-ID"/>
              </w:rPr>
            </w:pPr>
            <w:r w:rsidRPr="00EC30EB">
              <w:rPr>
                <w:rFonts w:ascii="Arial" w:eastAsia="Times New Roman" w:hAnsi="Arial" w:cs="Arial"/>
                <w:b/>
                <w:bCs/>
                <w:color w:val="000000" w:themeColor="text1"/>
                <w:kern w:val="24"/>
                <w:szCs w:val="36"/>
                <w:lang w:val="en-US" w:eastAsia="id-ID"/>
              </w:rPr>
              <w:t>Per Beneficiaries per Month</w:t>
            </w:r>
          </w:p>
        </w:tc>
      </w:tr>
      <w:tr w:rsidR="00EC30EB" w:rsidRPr="00EC30EB" w:rsidTr="00EC30EB">
        <w:trPr>
          <w:trHeight w:val="12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EC30EB" w:rsidRPr="00EC30EB" w:rsidRDefault="00EC30EB" w:rsidP="00EC30EB">
            <w:pPr>
              <w:spacing w:after="0" w:line="240" w:lineRule="auto"/>
              <w:rPr>
                <w:rFonts w:ascii="Arial" w:eastAsia="Times New Roman" w:hAnsi="Arial" w:cs="Arial"/>
                <w:szCs w:val="36"/>
                <w:lang w:val="id-ID" w:eastAsia="id-ID"/>
              </w:rPr>
            </w:pPr>
          </w:p>
        </w:tc>
        <w:tc>
          <w:tcPr>
            <w:tcW w:w="184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rsidR="00EC30EB" w:rsidRPr="00EC30EB" w:rsidRDefault="00EC30EB" w:rsidP="00EC30EB">
            <w:pPr>
              <w:spacing w:after="0" w:line="240" w:lineRule="auto"/>
              <w:jc w:val="center"/>
              <w:rPr>
                <w:rFonts w:ascii="Arial" w:eastAsia="Times New Roman" w:hAnsi="Arial" w:cs="Arial"/>
                <w:szCs w:val="36"/>
                <w:lang w:val="id-ID" w:eastAsia="id-ID"/>
              </w:rPr>
            </w:pPr>
            <w:r w:rsidRPr="00EC30EB">
              <w:rPr>
                <w:rFonts w:ascii="Arial" w:eastAsia="Times New Roman" w:hAnsi="Arial" w:cs="Arial"/>
                <w:b/>
                <w:bCs/>
                <w:color w:val="000000" w:themeColor="text1"/>
                <w:kern w:val="24"/>
                <w:szCs w:val="36"/>
                <w:lang w:val="en-US" w:eastAsia="id-ID"/>
              </w:rPr>
              <w:t>Cost (IDR)</w:t>
            </w:r>
          </w:p>
        </w:tc>
        <w:tc>
          <w:tcPr>
            <w:tcW w:w="1984"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rsidR="00EC30EB" w:rsidRPr="00EC30EB" w:rsidRDefault="00EC30EB" w:rsidP="00EC30EB">
            <w:pPr>
              <w:spacing w:after="0" w:line="240" w:lineRule="auto"/>
              <w:jc w:val="center"/>
              <w:rPr>
                <w:rFonts w:ascii="Arial" w:eastAsia="Times New Roman" w:hAnsi="Arial" w:cs="Arial"/>
                <w:szCs w:val="36"/>
                <w:lang w:val="id-ID" w:eastAsia="id-ID"/>
              </w:rPr>
            </w:pPr>
            <w:r w:rsidRPr="00EC30EB">
              <w:rPr>
                <w:rFonts w:ascii="Arial" w:eastAsia="Times New Roman" w:hAnsi="Arial" w:cs="Arial"/>
                <w:b/>
                <w:bCs/>
                <w:color w:val="000000" w:themeColor="text1"/>
                <w:kern w:val="24"/>
                <w:szCs w:val="36"/>
                <w:lang w:val="en-US" w:eastAsia="id-ID"/>
              </w:rPr>
              <w:t>Contribution</w:t>
            </w:r>
            <w:r>
              <w:rPr>
                <w:rFonts w:ascii="Arial" w:eastAsia="Times New Roman" w:hAnsi="Arial" w:cs="Arial"/>
                <w:b/>
                <w:bCs/>
                <w:color w:val="000000" w:themeColor="text1"/>
                <w:kern w:val="24"/>
                <w:szCs w:val="36"/>
                <w:lang w:val="en-US" w:eastAsia="id-ID"/>
              </w:rPr>
              <w:t xml:space="preserve"> (IDR)</w:t>
            </w:r>
          </w:p>
        </w:tc>
        <w:tc>
          <w:tcPr>
            <w:tcW w:w="1701"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rsidR="00EC30EB" w:rsidRPr="00EC30EB" w:rsidRDefault="00EC30EB" w:rsidP="00EC30EB">
            <w:pPr>
              <w:spacing w:after="0" w:line="240" w:lineRule="auto"/>
              <w:jc w:val="center"/>
              <w:rPr>
                <w:rFonts w:ascii="Arial" w:eastAsia="Times New Roman" w:hAnsi="Arial" w:cs="Arial"/>
                <w:szCs w:val="36"/>
                <w:lang w:val="id-ID" w:eastAsia="id-ID"/>
              </w:rPr>
            </w:pPr>
            <w:r>
              <w:rPr>
                <w:rFonts w:ascii="Arial" w:eastAsia="Times New Roman" w:hAnsi="Arial" w:cs="Arial"/>
                <w:b/>
                <w:bCs/>
                <w:color w:val="000000" w:themeColor="text1"/>
                <w:kern w:val="24"/>
                <w:szCs w:val="36"/>
                <w:lang w:val="en-US" w:eastAsia="id-ID"/>
              </w:rPr>
              <w:t>D</w:t>
            </w:r>
            <w:r w:rsidRPr="00EC30EB">
              <w:rPr>
                <w:rFonts w:ascii="Arial" w:eastAsia="Times New Roman" w:hAnsi="Arial" w:cs="Arial"/>
                <w:b/>
                <w:bCs/>
                <w:color w:val="000000" w:themeColor="text1"/>
                <w:kern w:val="24"/>
                <w:szCs w:val="36"/>
                <w:lang w:val="en-US" w:eastAsia="id-ID"/>
              </w:rPr>
              <w:t>ifference</w:t>
            </w:r>
            <w:r>
              <w:rPr>
                <w:rFonts w:ascii="Arial" w:eastAsia="Times New Roman" w:hAnsi="Arial" w:cs="Arial"/>
                <w:b/>
                <w:bCs/>
                <w:color w:val="000000" w:themeColor="text1"/>
                <w:kern w:val="24"/>
                <w:szCs w:val="36"/>
                <w:lang w:val="en-US" w:eastAsia="id-ID"/>
              </w:rPr>
              <w:t xml:space="preserve"> (IDR)</w:t>
            </w:r>
          </w:p>
        </w:tc>
      </w:tr>
      <w:tr w:rsidR="00EC30EB" w:rsidRPr="00EC30EB" w:rsidTr="00EC30EB">
        <w:trPr>
          <w:trHeight w:val="584"/>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30EB" w:rsidRPr="00EC30EB" w:rsidRDefault="00EC30EB" w:rsidP="00EC30EB">
            <w:pPr>
              <w:spacing w:after="0" w:line="240" w:lineRule="auto"/>
              <w:rPr>
                <w:rFonts w:ascii="Arial" w:eastAsia="Times New Roman" w:hAnsi="Arial" w:cs="Arial"/>
                <w:szCs w:val="36"/>
                <w:lang w:val="id-ID" w:eastAsia="id-ID"/>
              </w:rPr>
            </w:pPr>
            <w:r w:rsidRPr="00EC30EB">
              <w:rPr>
                <w:rFonts w:ascii="Arial" w:eastAsia="Times New Roman" w:hAnsi="Arial" w:cs="Arial"/>
                <w:color w:val="000000" w:themeColor="text1"/>
                <w:kern w:val="24"/>
                <w:szCs w:val="36"/>
                <w:lang w:val="en-US" w:eastAsia="id-ID"/>
              </w:rPr>
              <w:t>2016</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30EB" w:rsidRPr="00EC30EB" w:rsidRDefault="00EC30EB" w:rsidP="00EC30EB">
            <w:pPr>
              <w:spacing w:after="0" w:line="240" w:lineRule="auto"/>
              <w:jc w:val="right"/>
              <w:rPr>
                <w:rFonts w:ascii="Arial" w:eastAsia="Times New Roman" w:hAnsi="Arial" w:cs="Arial"/>
                <w:szCs w:val="36"/>
                <w:lang w:val="id-ID" w:eastAsia="id-ID"/>
              </w:rPr>
            </w:pPr>
            <w:r w:rsidRPr="00EC30EB">
              <w:rPr>
                <w:rFonts w:ascii="Arial" w:eastAsia="Times New Roman" w:hAnsi="Arial" w:cs="Arial"/>
                <w:color w:val="000000" w:themeColor="text1"/>
                <w:kern w:val="24"/>
                <w:szCs w:val="36"/>
                <w:lang w:val="en-US" w:eastAsia="id-ID"/>
              </w:rPr>
              <w:t>35,802</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30EB" w:rsidRPr="00EC30EB" w:rsidRDefault="00EC30EB" w:rsidP="00EC30EB">
            <w:pPr>
              <w:spacing w:after="0" w:line="240" w:lineRule="auto"/>
              <w:jc w:val="right"/>
              <w:rPr>
                <w:rFonts w:ascii="Arial" w:eastAsia="Times New Roman" w:hAnsi="Arial" w:cs="Arial"/>
                <w:szCs w:val="36"/>
                <w:lang w:val="id-ID" w:eastAsia="id-ID"/>
              </w:rPr>
            </w:pPr>
            <w:r w:rsidRPr="00EC30EB">
              <w:rPr>
                <w:rFonts w:ascii="Arial" w:eastAsia="Times New Roman" w:hAnsi="Arial" w:cs="Arial"/>
                <w:color w:val="000000" w:themeColor="text1"/>
                <w:kern w:val="24"/>
                <w:szCs w:val="36"/>
                <w:lang w:val="en-US" w:eastAsia="id-ID"/>
              </w:rPr>
              <w:t>33,776</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30EB" w:rsidRPr="00EC30EB" w:rsidRDefault="00EC30EB" w:rsidP="00EC30EB">
            <w:pPr>
              <w:spacing w:after="0" w:line="240" w:lineRule="auto"/>
              <w:jc w:val="right"/>
              <w:rPr>
                <w:rFonts w:ascii="Arial" w:eastAsia="Times New Roman" w:hAnsi="Arial" w:cs="Arial"/>
                <w:szCs w:val="36"/>
                <w:lang w:val="id-ID" w:eastAsia="id-ID"/>
              </w:rPr>
            </w:pPr>
            <w:r w:rsidRPr="00EC30EB">
              <w:rPr>
                <w:rFonts w:ascii="Arial" w:eastAsia="Times New Roman" w:hAnsi="Arial" w:cs="Arial"/>
                <w:color w:val="FF0000"/>
                <w:kern w:val="24"/>
                <w:szCs w:val="36"/>
                <w:lang w:val="en-US" w:eastAsia="id-ID"/>
              </w:rPr>
              <w:t>-2,026</w:t>
            </w:r>
          </w:p>
        </w:tc>
      </w:tr>
      <w:tr w:rsidR="00EC30EB" w:rsidRPr="00EC30EB" w:rsidTr="00EC30EB">
        <w:trPr>
          <w:trHeight w:val="584"/>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30EB" w:rsidRPr="00EC30EB" w:rsidRDefault="00EC30EB" w:rsidP="00EC30EB">
            <w:pPr>
              <w:spacing w:after="0" w:line="240" w:lineRule="auto"/>
              <w:rPr>
                <w:rFonts w:ascii="Arial" w:eastAsia="Times New Roman" w:hAnsi="Arial" w:cs="Arial"/>
                <w:szCs w:val="36"/>
                <w:lang w:val="id-ID" w:eastAsia="id-ID"/>
              </w:rPr>
            </w:pPr>
            <w:r w:rsidRPr="00EC30EB">
              <w:rPr>
                <w:rFonts w:ascii="Arial" w:eastAsia="Times New Roman" w:hAnsi="Arial" w:cs="Arial"/>
                <w:color w:val="000000" w:themeColor="text1"/>
                <w:kern w:val="24"/>
                <w:szCs w:val="36"/>
                <w:lang w:val="en-US" w:eastAsia="id-ID"/>
              </w:rPr>
              <w:t>2017</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30EB" w:rsidRPr="00EC30EB" w:rsidRDefault="00EC30EB" w:rsidP="00EC30EB">
            <w:pPr>
              <w:spacing w:after="0" w:line="240" w:lineRule="auto"/>
              <w:jc w:val="right"/>
              <w:rPr>
                <w:rFonts w:ascii="Arial" w:eastAsia="Times New Roman" w:hAnsi="Arial" w:cs="Arial"/>
                <w:szCs w:val="36"/>
                <w:lang w:val="id-ID" w:eastAsia="id-ID"/>
              </w:rPr>
            </w:pPr>
            <w:r w:rsidRPr="00EC30EB">
              <w:rPr>
                <w:rFonts w:ascii="Arial" w:eastAsia="Times New Roman" w:hAnsi="Arial" w:cs="Arial"/>
                <w:color w:val="000000" w:themeColor="text1"/>
                <w:kern w:val="24"/>
                <w:szCs w:val="36"/>
                <w:lang w:val="en-US" w:eastAsia="id-ID"/>
              </w:rPr>
              <w:t>39,744</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30EB" w:rsidRPr="00EC30EB" w:rsidRDefault="00EC30EB" w:rsidP="00EC30EB">
            <w:pPr>
              <w:spacing w:after="0" w:line="240" w:lineRule="auto"/>
              <w:jc w:val="right"/>
              <w:rPr>
                <w:rFonts w:ascii="Arial" w:eastAsia="Times New Roman" w:hAnsi="Arial" w:cs="Arial"/>
                <w:szCs w:val="36"/>
                <w:lang w:val="id-ID" w:eastAsia="id-ID"/>
              </w:rPr>
            </w:pPr>
            <w:r w:rsidRPr="00EC30EB">
              <w:rPr>
                <w:rFonts w:ascii="Arial" w:eastAsia="Times New Roman" w:hAnsi="Arial" w:cs="Arial"/>
                <w:color w:val="000000" w:themeColor="text1"/>
                <w:kern w:val="24"/>
                <w:szCs w:val="36"/>
                <w:lang w:val="en-US" w:eastAsia="id-ID"/>
              </w:rPr>
              <w:t>34,119</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30EB" w:rsidRPr="00EC30EB" w:rsidRDefault="00EC30EB" w:rsidP="00EC30EB">
            <w:pPr>
              <w:spacing w:after="0" w:line="240" w:lineRule="auto"/>
              <w:jc w:val="right"/>
              <w:rPr>
                <w:rFonts w:ascii="Arial" w:eastAsia="Times New Roman" w:hAnsi="Arial" w:cs="Arial"/>
                <w:szCs w:val="36"/>
                <w:lang w:val="id-ID" w:eastAsia="id-ID"/>
              </w:rPr>
            </w:pPr>
            <w:r w:rsidRPr="00EC30EB">
              <w:rPr>
                <w:rFonts w:ascii="Arial" w:eastAsia="Times New Roman" w:hAnsi="Arial" w:cs="Arial"/>
                <w:color w:val="FF0000"/>
                <w:kern w:val="24"/>
                <w:szCs w:val="36"/>
                <w:lang w:val="en-US" w:eastAsia="id-ID"/>
              </w:rPr>
              <w:t>-5,625</w:t>
            </w:r>
          </w:p>
        </w:tc>
      </w:tr>
      <w:tr w:rsidR="00EC30EB" w:rsidRPr="00EC30EB" w:rsidTr="00EC30EB">
        <w:trPr>
          <w:trHeight w:val="20"/>
        </w:trPr>
        <w:tc>
          <w:tcPr>
            <w:tcW w:w="2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30EB" w:rsidRPr="00EC30EB" w:rsidRDefault="00EC30EB" w:rsidP="00EC30EB">
            <w:pPr>
              <w:spacing w:after="0" w:line="240" w:lineRule="auto"/>
              <w:rPr>
                <w:rFonts w:ascii="Arial" w:eastAsia="Times New Roman" w:hAnsi="Arial" w:cs="Arial"/>
                <w:szCs w:val="36"/>
                <w:lang w:val="id-ID" w:eastAsia="id-ID"/>
              </w:rPr>
            </w:pPr>
            <w:r w:rsidRPr="00EC30EB">
              <w:rPr>
                <w:rFonts w:ascii="Arial" w:eastAsia="Times New Roman" w:hAnsi="Arial" w:cs="Arial"/>
                <w:color w:val="000000" w:themeColor="text1"/>
                <w:kern w:val="24"/>
                <w:szCs w:val="36"/>
                <w:lang w:val="en-US" w:eastAsia="id-ID"/>
              </w:rPr>
              <w:t>2018</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30EB" w:rsidRPr="00EC30EB" w:rsidRDefault="00EC30EB" w:rsidP="00EC30EB">
            <w:pPr>
              <w:spacing w:after="0" w:line="240" w:lineRule="auto"/>
              <w:jc w:val="right"/>
              <w:rPr>
                <w:rFonts w:ascii="Arial" w:eastAsia="Times New Roman" w:hAnsi="Arial" w:cs="Arial"/>
                <w:szCs w:val="36"/>
                <w:lang w:val="id-ID" w:eastAsia="id-ID"/>
              </w:rPr>
            </w:pPr>
            <w:r w:rsidRPr="00EC30EB">
              <w:rPr>
                <w:rFonts w:ascii="Arial" w:eastAsia="Times New Roman" w:hAnsi="Arial" w:cs="Arial"/>
                <w:color w:val="000000" w:themeColor="text1"/>
                <w:kern w:val="24"/>
                <w:szCs w:val="36"/>
                <w:lang w:val="en-US" w:eastAsia="id-ID"/>
              </w:rPr>
              <w:t>43,241</w:t>
            </w:r>
          </w:p>
        </w:tc>
        <w:tc>
          <w:tcPr>
            <w:tcW w:w="198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30EB" w:rsidRPr="00EC30EB" w:rsidRDefault="00EC30EB" w:rsidP="00EC30EB">
            <w:pPr>
              <w:spacing w:after="0" w:line="240" w:lineRule="auto"/>
              <w:jc w:val="right"/>
              <w:rPr>
                <w:rFonts w:ascii="Arial" w:eastAsia="Times New Roman" w:hAnsi="Arial" w:cs="Arial"/>
                <w:szCs w:val="36"/>
                <w:lang w:val="id-ID" w:eastAsia="id-ID"/>
              </w:rPr>
            </w:pPr>
            <w:r w:rsidRPr="00EC30EB">
              <w:rPr>
                <w:rFonts w:ascii="Arial" w:eastAsia="Times New Roman" w:hAnsi="Arial" w:cs="Arial"/>
                <w:color w:val="000000" w:themeColor="text1"/>
                <w:kern w:val="24"/>
                <w:szCs w:val="36"/>
                <w:lang w:val="en-US" w:eastAsia="id-ID"/>
              </w:rPr>
              <w:t>35,771</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EC30EB" w:rsidRPr="00EC30EB" w:rsidRDefault="00EC30EB" w:rsidP="00EC30EB">
            <w:pPr>
              <w:spacing w:after="0" w:line="240" w:lineRule="auto"/>
              <w:jc w:val="right"/>
              <w:rPr>
                <w:rFonts w:ascii="Arial" w:eastAsia="Times New Roman" w:hAnsi="Arial" w:cs="Arial"/>
                <w:szCs w:val="36"/>
                <w:lang w:val="id-ID" w:eastAsia="id-ID"/>
              </w:rPr>
            </w:pPr>
            <w:r w:rsidRPr="00EC30EB">
              <w:rPr>
                <w:rFonts w:ascii="Arial" w:eastAsia="Times New Roman" w:hAnsi="Arial" w:cs="Arial"/>
                <w:color w:val="FF0000"/>
                <w:kern w:val="24"/>
                <w:szCs w:val="36"/>
                <w:lang w:val="en-US" w:eastAsia="id-ID"/>
              </w:rPr>
              <w:t>-7,470</w:t>
            </w:r>
          </w:p>
        </w:tc>
      </w:tr>
    </w:tbl>
    <w:p w:rsidR="00EC30EB" w:rsidRPr="00260036" w:rsidRDefault="00EC30EB" w:rsidP="00260036">
      <w:pPr>
        <w:jc w:val="both"/>
        <w:rPr>
          <w:rFonts w:ascii="Arial" w:hAnsi="Arial" w:cs="Arial"/>
        </w:rPr>
      </w:pPr>
      <w:r>
        <w:rPr>
          <w:rFonts w:ascii="Arial" w:hAnsi="Arial" w:cs="Arial"/>
        </w:rPr>
        <w:t xml:space="preserve">Note: </w:t>
      </w:r>
      <w:r w:rsidRPr="00EC30EB">
        <w:rPr>
          <w:rFonts w:ascii="Arial" w:hAnsi="Arial" w:cs="Arial"/>
        </w:rPr>
        <w:t>current</w:t>
      </w:r>
      <w:r>
        <w:rPr>
          <w:rFonts w:ascii="Arial" w:hAnsi="Arial" w:cs="Arial"/>
        </w:rPr>
        <w:t xml:space="preserve"> exchange rate 1 USD = IDR 14,228 per March 22, 2019</w:t>
      </w:r>
    </w:p>
    <w:p w:rsidR="006B55E3" w:rsidRPr="00260036" w:rsidRDefault="008D3532" w:rsidP="00260036">
      <w:pPr>
        <w:jc w:val="both"/>
        <w:rPr>
          <w:rFonts w:ascii="Arial" w:hAnsi="Arial" w:cs="Arial"/>
        </w:rPr>
      </w:pPr>
      <w:r w:rsidRPr="00260036">
        <w:rPr>
          <w:rFonts w:ascii="Arial" w:hAnsi="Arial" w:cs="Arial"/>
        </w:rPr>
        <w:t xml:space="preserve">There is also a challenging step to collaborate with other stakeholders which currently involve in the LTC and to </w:t>
      </w:r>
      <w:r w:rsidR="006B55E3" w:rsidRPr="00260036">
        <w:rPr>
          <w:rFonts w:ascii="Arial" w:hAnsi="Arial" w:cs="Arial"/>
        </w:rPr>
        <w:t>find the most effective way to increase access a</w:t>
      </w:r>
      <w:r w:rsidR="006E4929">
        <w:rPr>
          <w:rFonts w:ascii="Arial" w:hAnsi="Arial" w:cs="Arial"/>
        </w:rPr>
        <w:t xml:space="preserve">nd quality without compromising </w:t>
      </w:r>
      <w:r w:rsidR="006B55E3" w:rsidRPr="00260036">
        <w:rPr>
          <w:rFonts w:ascii="Arial" w:hAnsi="Arial" w:cs="Arial"/>
        </w:rPr>
        <w:t xml:space="preserve">budget. </w:t>
      </w:r>
    </w:p>
    <w:p w:rsidR="006B55E3" w:rsidRPr="00260036" w:rsidRDefault="006B55E3" w:rsidP="00260036">
      <w:pPr>
        <w:jc w:val="both"/>
        <w:rPr>
          <w:rFonts w:ascii="Arial" w:hAnsi="Arial" w:cs="Arial"/>
        </w:rPr>
      </w:pPr>
    </w:p>
    <w:p w:rsidR="00A57BBD" w:rsidRPr="00260036" w:rsidRDefault="00A57BBD" w:rsidP="00260036">
      <w:pPr>
        <w:jc w:val="both"/>
        <w:rPr>
          <w:rFonts w:ascii="Arial" w:hAnsi="Arial" w:cs="Arial"/>
        </w:rPr>
      </w:pPr>
    </w:p>
    <w:p w:rsidR="004B01AF" w:rsidRPr="00260036" w:rsidRDefault="004B01AF" w:rsidP="00260036">
      <w:pPr>
        <w:jc w:val="both"/>
        <w:rPr>
          <w:rFonts w:ascii="Arial" w:hAnsi="Arial" w:cs="Arial"/>
        </w:rPr>
      </w:pPr>
    </w:p>
    <w:sectPr w:rsidR="004B01AF" w:rsidRPr="00260036" w:rsidSect="000A2E18">
      <w:headerReference w:type="even" r:id="rId6"/>
      <w:headerReference w:type="default" r:id="rId7"/>
      <w:footerReference w:type="default" r:id="rId8"/>
      <w:pgSz w:w="11906" w:h="16838"/>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Vialog LT Light">
    <w:altName w:val="Vialog LT Com"/>
    <w:charset w:val="00"/>
    <w:family w:val="auto"/>
    <w:pitch w:val="variable"/>
    <w:sig w:usb0="00000003" w:usb1="00000040" w:usb2="00000000" w:usb3="00000000" w:csb0="00000001" w:csb1="00000000"/>
  </w:font>
  <w:font w:name="Vialog LT Com Light">
    <w:altName w:val="Corbel"/>
    <w:charset w:val="00"/>
    <w:family w:val="swiss"/>
    <w:pitch w:val="variable"/>
    <w:sig w:usb0="00000001" w:usb1="5000204A" w:usb2="00000000" w:usb3="00000000" w:csb0="0000019B" w:csb1="00000000"/>
  </w:font>
  <w:font w:name="Helvetica-Obliq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059" w:rsidRDefault="0059499F" w:rsidP="00C858FA">
    <w:pPr>
      <w:pStyle w:val="Footer"/>
      <w:rPr>
        <w:rFonts w:ascii="Vialog LT Light" w:hAnsi="Vialog LT Light"/>
        <w:lang w:val="fr-CH"/>
      </w:rPr>
    </w:pPr>
    <w:r>
      <w:rPr>
        <w:rFonts w:ascii="Vialog LT Light" w:hAnsi="Vialog LT Light"/>
        <w:noProof/>
        <w:lang w:val="id-ID" w:eastAsia="id-ID"/>
      </w:rPr>
      <mc:AlternateContent>
        <mc:Choice Requires="wps">
          <w:drawing>
            <wp:anchor distT="0" distB="0" distL="114300" distR="114300" simplePos="0" relativeHeight="251659264" behindDoc="0" locked="0" layoutInCell="1" allowOverlap="1" wp14:anchorId="65CFF503" wp14:editId="75F75173">
              <wp:simplePos x="0" y="0"/>
              <wp:positionH relativeFrom="page">
                <wp:posOffset>900430</wp:posOffset>
              </wp:positionH>
              <wp:positionV relativeFrom="paragraph">
                <wp:posOffset>107950</wp:posOffset>
              </wp:positionV>
              <wp:extent cx="5760000" cy="0"/>
              <wp:effectExtent l="0" t="0" r="1270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02240A" id="Straight Connector 2"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0.9pt,8.5pt" to="524.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" strokecolor="#7f7f7f [1612]" strokeweight=".5pt">
              <v:stroke joinstyle="miter"/>
              <w10:wrap anchorx="page"/>
            </v:line>
          </w:pict>
        </mc:Fallback>
      </mc:AlternateContent>
    </w:r>
  </w:p>
  <w:p w:rsidR="00CB0059" w:rsidRPr="003D307F" w:rsidRDefault="0059499F" w:rsidP="00CB1B46">
    <w:pPr>
      <w:pStyle w:val="Footer"/>
      <w:jc w:val="center"/>
      <w:rPr>
        <w:sz w:val="28"/>
        <w:szCs w:val="28"/>
      </w:rPr>
    </w:pPr>
    <w:r w:rsidRPr="00CB1B46">
      <w:rPr>
        <w:rFonts w:ascii="Helvetica-Oblique" w:hAnsi="Helvetica-Oblique" w:cs="Helvetica-Oblique"/>
        <w:i/>
        <w:iCs/>
        <w:color w:val="808080"/>
        <w:sz w:val="24"/>
        <w:szCs w:val="24"/>
      </w:rPr>
      <w:t>ISSA’s Technical Commission on Health Medical Care and Sickness Insurance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059" w:rsidRPr="00F97218" w:rsidRDefault="0059499F" w:rsidP="00C1186F">
    <w:pPr>
      <w:pStyle w:val="Headers"/>
      <w:rPr>
        <w:lang w:val="en-GB"/>
      </w:rPr>
    </w:pPr>
    <w:r>
      <w:rPr>
        <w:lang w:val="en-GB"/>
      </w:rPr>
      <w:t>World Social Security Forum, Brussels</w:t>
    </w:r>
    <w:r w:rsidRPr="00F97218">
      <w:rPr>
        <w:lang w:val="en-GB"/>
      </w:rPr>
      <w:t xml:space="preserve">, </w:t>
    </w:r>
    <w:r>
      <w:rPr>
        <w:lang w:val="en-GB"/>
      </w:rPr>
      <w:t>2019</w:t>
    </w:r>
    <w:sdt>
      <w:sdtPr>
        <w:id w:val="2074545596"/>
        <w:docPartObj>
          <w:docPartGallery w:val="Page Numbers (Margins)"/>
          <w:docPartUnique/>
        </w:docPartObj>
      </w:sdtPr>
      <w:sdtEndPr/>
      <w:sdtContent>
        <w:r>
          <w:rPr>
            <w:noProof/>
            <w:lang w:val="id-ID" w:eastAsia="id-ID"/>
          </w:rPr>
          <mc:AlternateContent>
            <mc:Choice Requires="wps">
              <w:drawing>
                <wp:anchor distT="0" distB="0" distL="114300" distR="114300" simplePos="0" relativeHeight="251661312" behindDoc="0" locked="0" layoutInCell="0" allowOverlap="1" wp14:anchorId="22B37C43" wp14:editId="5AB2CA57">
                  <wp:simplePos x="0" y="0"/>
                  <wp:positionH relativeFrom="leftMargin">
                    <wp:align>left</wp:align>
                  </wp:positionH>
                  <wp:positionV relativeFrom="margin">
                    <wp:align>center</wp:align>
                  </wp:positionV>
                  <wp:extent cx="727710" cy="329565"/>
                  <wp:effectExtent l="0"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0059" w:rsidRDefault="0059499F">
                              <w:pPr>
                                <w:pBdr>
                                  <w:bottom w:val="single" w:sz="4" w:space="1" w:color="auto"/>
                                </w:pBdr>
                                <w:jc w:val="right"/>
                              </w:pPr>
                              <w:r>
                                <w:fldChar w:fldCharType="begin"/>
                              </w:r>
                              <w:r>
                                <w:instrText xml:space="preserve"> PAGE   \* MERGEFORMAT </w:instrText>
                              </w:r>
                              <w:r>
                                <w:fldChar w:fldCharType="separate"/>
                              </w:r>
                              <w:r>
                                <w:rPr>
                                  <w:noProof/>
                                </w:rPr>
                                <w:t>6</w:t>
                              </w:r>
                              <w:r>
                                <w:rPr>
                                  <w:noProof/>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22B37C43" id="Rectangle 6" o:spid="_x0000_s1026" style="position:absolute;left:0;text-align:left;margin-left:0;margin-top:0;width:57.3pt;height:25.95pt;z-index:251661312;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" o:allowincell="f" stroked="f">
                  <v:textbox>
                    <w:txbxContent>
                      <w:p w:rsidR="00CB0059" w:rsidRDefault="0059499F">
                        <w:pPr>
                          <w:pBdr>
                            <w:bottom w:val="single" w:sz="4" w:space="1" w:color="auto"/>
                          </w:pBdr>
                          <w:jc w:val="right"/>
                        </w:pPr>
                        <w:r>
                          <w:fldChar w:fldCharType="begin"/>
                        </w:r>
                        <w:r>
                          <w:instrText xml:space="preserve"> PAGE   \* MERGEFORMAT </w:instrText>
                        </w:r>
                        <w:r>
                          <w:fldChar w:fldCharType="separate"/>
                        </w:r>
                        <w:r>
                          <w:rPr>
                            <w:noProof/>
                          </w:rPr>
                          <w:t>6</w:t>
                        </w:r>
                        <w:r>
                          <w:rPr>
                            <w:noProof/>
                          </w:rPr>
                          <w:fldChar w:fldCharType="end"/>
                        </w:r>
                      </w:p>
                    </w:txbxContent>
                  </v:textbox>
                  <w10:wrap anchorx="margin" anchory="margin"/>
                </v:rect>
              </w:pict>
            </mc:Fallback>
          </mc:AlternateContent>
        </w:r>
      </w:sdtContent>
    </w:sdt>
  </w:p>
  <w:p w:rsidR="00CB0059" w:rsidRPr="00CB1B46" w:rsidRDefault="0059499F" w:rsidP="004E614F">
    <w:pPr>
      <w:pStyle w:val="Footer"/>
      <w:rPr>
        <w:rFonts w:ascii="Vialog LT Com Light" w:hAnsi="Vialog LT Com Light"/>
        <w:i/>
        <w:color w:val="808080" w:themeColor="background1" w:themeShade="80"/>
      </w:rPr>
    </w:pPr>
    <w:r>
      <w:rPr>
        <w:rFonts w:ascii="Vialog LT Light" w:hAnsi="Vialog LT Light"/>
        <w:noProof/>
        <w:lang w:val="id-ID" w:eastAsia="id-ID"/>
      </w:rPr>
      <mc:AlternateContent>
        <mc:Choice Requires="wps">
          <w:drawing>
            <wp:anchor distT="0" distB="0" distL="114300" distR="114300" simplePos="0" relativeHeight="251663360" behindDoc="0" locked="0" layoutInCell="1" allowOverlap="1" wp14:anchorId="180947B2" wp14:editId="37103435">
              <wp:simplePos x="0" y="0"/>
              <wp:positionH relativeFrom="page">
                <wp:posOffset>900430</wp:posOffset>
              </wp:positionH>
              <wp:positionV relativeFrom="paragraph">
                <wp:posOffset>71755</wp:posOffset>
              </wp:positionV>
              <wp:extent cx="5760000" cy="0"/>
              <wp:effectExtent l="0" t="0" r="12700" b="19050"/>
              <wp:wrapNone/>
              <wp:docPr id="10" name="Straight Connector 10"/>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1116AE" id="Straight Connector 10"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0.9pt,5.65pt" to="524.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" strokecolor="#7f7f7f [1612]" strokeweight=".5pt">
              <v:stroke joinstyle="miter"/>
              <w10:wrap anchorx="page"/>
            </v:line>
          </w:pict>
        </mc:Fallback>
      </mc:AlternateContent>
    </w:r>
  </w:p>
  <w:p w:rsidR="00CB0059" w:rsidRDefault="005949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059" w:rsidRPr="00C93E10" w:rsidRDefault="0059499F" w:rsidP="00A121E5">
    <w:pPr>
      <w:pStyle w:val="Headers"/>
      <w:jc w:val="right"/>
      <w:rPr>
        <w:lang w:val="en-GB"/>
      </w:rPr>
    </w:pPr>
    <w:r>
      <w:rPr>
        <w:lang w:val="en-GB"/>
      </w:rPr>
      <w:t xml:space="preserve">Technical Report on Aging-in-place and Long-term care </w:t>
    </w:r>
  </w:p>
  <w:p w:rsidR="00CB0059" w:rsidRPr="00CB1B46" w:rsidRDefault="0059499F" w:rsidP="00CB1B46">
    <w:pPr>
      <w:pStyle w:val="Footer"/>
      <w:rPr>
        <w:rFonts w:ascii="Vialog LT Com Light" w:hAnsi="Vialog LT Com Light"/>
        <w:i/>
        <w:color w:val="808080" w:themeColor="background1" w:themeShade="80"/>
      </w:rPr>
    </w:pPr>
    <w:r>
      <w:rPr>
        <w:rFonts w:ascii="Vialog LT Light" w:hAnsi="Vialog LT Light"/>
        <w:noProof/>
        <w:lang w:val="id-ID" w:eastAsia="id-ID"/>
      </w:rPr>
      <mc:AlternateContent>
        <mc:Choice Requires="wps">
          <w:drawing>
            <wp:anchor distT="0" distB="0" distL="114300" distR="114300" simplePos="0" relativeHeight="251662336" behindDoc="0" locked="0" layoutInCell="1" allowOverlap="1" wp14:anchorId="03AFA61B" wp14:editId="04840CEA">
              <wp:simplePos x="0" y="0"/>
              <wp:positionH relativeFrom="page">
                <wp:posOffset>900430</wp:posOffset>
              </wp:positionH>
              <wp:positionV relativeFrom="paragraph">
                <wp:posOffset>71755</wp:posOffset>
              </wp:positionV>
              <wp:extent cx="5760000" cy="0"/>
              <wp:effectExtent l="0" t="0" r="12700" b="19050"/>
              <wp:wrapNone/>
              <wp:docPr id="8" name="Straight Connector 8"/>
              <wp:cNvGraphicFramePr/>
              <a:graphic xmlns:a="http://schemas.openxmlformats.org/drawingml/2006/main">
                <a:graphicData uri="http://schemas.microsoft.com/office/word/2010/wordprocessingShape">
                  <wps:wsp>
                    <wps:cNvCnPr/>
                    <wps:spPr>
                      <a:xfrm>
                        <a:off x="0" y="0"/>
                        <a:ext cx="5760000" cy="0"/>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89EBEF" id="Straight Connector 8"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70.9pt,5.65pt" to="524.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" strokecolor="#7f7f7f [1612]" strokeweight=".5pt">
              <v:stroke joinstyle="miter"/>
              <w10:wrap anchorx="page"/>
            </v:line>
          </w:pict>
        </mc:Fallback>
      </mc:AlternateContent>
    </w:r>
    <w:sdt>
      <w:sdtPr>
        <w:id w:val="696125659"/>
        <w:docPartObj>
          <w:docPartGallery w:val="Page Numbers (Margins)"/>
          <w:docPartUnique/>
        </w:docPartObj>
      </w:sdtPr>
      <w:sdtEndPr/>
      <w:sdtContent>
        <w:r>
          <w:rPr>
            <w:noProof/>
            <w:lang w:val="id-ID" w:eastAsia="id-ID"/>
          </w:rPr>
          <mc:AlternateContent>
            <mc:Choice Requires="wps">
              <w:drawing>
                <wp:anchor distT="0" distB="0" distL="114300" distR="114300" simplePos="0" relativeHeight="251660288" behindDoc="0" locked="0" layoutInCell="0" allowOverlap="1" wp14:anchorId="58F01BD6" wp14:editId="0E68CEBE">
                  <wp:simplePos x="0" y="0"/>
                  <wp:positionH relativeFrom="rightMargin">
                    <wp:align>right</wp:align>
                  </wp:positionH>
                  <wp:positionV relativeFrom="margin">
                    <wp:align>center</wp:align>
                  </wp:positionV>
                  <wp:extent cx="727710" cy="329565"/>
                  <wp:effectExtent l="0" t="0" r="0" b="381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0059" w:rsidRPr="00CB1B46" w:rsidRDefault="0059499F">
                              <w:pPr>
                                <w:pBdr>
                                  <w:bottom w:val="single" w:sz="4" w:space="1" w:color="auto"/>
                                </w:pBdr>
                                <w:rPr>
                                  <w:rFonts w:asciiTheme="majorBidi" w:hAnsiTheme="majorBidi" w:cstheme="majorBidi"/>
                                </w:rPr>
                              </w:pPr>
                              <w:r w:rsidRPr="00CB1B46">
                                <w:rPr>
                                  <w:rFonts w:asciiTheme="majorBidi" w:hAnsiTheme="majorBidi" w:cstheme="majorBidi"/>
                                </w:rPr>
                                <w:fldChar w:fldCharType="begin"/>
                              </w:r>
                              <w:r w:rsidRPr="00CB1B46">
                                <w:rPr>
                                  <w:rFonts w:asciiTheme="majorBidi" w:hAnsiTheme="majorBidi" w:cstheme="majorBidi"/>
                                </w:rPr>
                                <w:instrText xml:space="preserve"> PAGE   \* MERGEFORMAT </w:instrText>
                              </w:r>
                              <w:r w:rsidRPr="00CB1B46">
                                <w:rPr>
                                  <w:rFonts w:asciiTheme="majorBidi" w:hAnsiTheme="majorBidi" w:cstheme="majorBidi"/>
                                </w:rPr>
                                <w:fldChar w:fldCharType="separate"/>
                              </w:r>
                              <w:r w:rsidR="006E4929">
                                <w:rPr>
                                  <w:rFonts w:asciiTheme="majorBidi" w:hAnsiTheme="majorBidi" w:cstheme="majorBidi"/>
                                  <w:noProof/>
                                </w:rPr>
                                <w:t>2</w:t>
                              </w:r>
                              <w:r w:rsidRPr="00CB1B46">
                                <w:rPr>
                                  <w:rFonts w:asciiTheme="majorBidi" w:hAnsiTheme="majorBidi" w:cstheme="majorBidi"/>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8F01BD6" id="Rectangle 5" o:spid="_x0000_s1027"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" o:allowincell="f" stroked="f">
                  <v:textbox>
                    <w:txbxContent>
                      <w:p w:rsidR="00CB0059" w:rsidRPr="00CB1B46" w:rsidRDefault="0059499F">
                        <w:pPr>
                          <w:pBdr>
                            <w:bottom w:val="single" w:sz="4" w:space="1" w:color="auto"/>
                          </w:pBdr>
                          <w:rPr>
                            <w:rFonts w:asciiTheme="majorBidi" w:hAnsiTheme="majorBidi" w:cstheme="majorBidi"/>
                          </w:rPr>
                        </w:pPr>
                        <w:r w:rsidRPr="00CB1B46">
                          <w:rPr>
                            <w:rFonts w:asciiTheme="majorBidi" w:hAnsiTheme="majorBidi" w:cstheme="majorBidi"/>
                          </w:rPr>
                          <w:fldChar w:fldCharType="begin"/>
                        </w:r>
                        <w:r w:rsidRPr="00CB1B46">
                          <w:rPr>
                            <w:rFonts w:asciiTheme="majorBidi" w:hAnsiTheme="majorBidi" w:cstheme="majorBidi"/>
                          </w:rPr>
                          <w:instrText xml:space="preserve"> PAGE   \* MERGEFORMAT </w:instrText>
                        </w:r>
                        <w:r w:rsidRPr="00CB1B46">
                          <w:rPr>
                            <w:rFonts w:asciiTheme="majorBidi" w:hAnsiTheme="majorBidi" w:cstheme="majorBidi"/>
                          </w:rPr>
                          <w:fldChar w:fldCharType="separate"/>
                        </w:r>
                        <w:r w:rsidR="006E4929">
                          <w:rPr>
                            <w:rFonts w:asciiTheme="majorBidi" w:hAnsiTheme="majorBidi" w:cstheme="majorBidi"/>
                            <w:noProof/>
                          </w:rPr>
                          <w:t>2</w:t>
                        </w:r>
                        <w:r w:rsidRPr="00CB1B46">
                          <w:rPr>
                            <w:rFonts w:asciiTheme="majorBidi" w:hAnsiTheme="majorBidi" w:cstheme="majorBidi"/>
                            <w:noProof/>
                          </w:rPr>
                          <w:fldChar w:fldCharType="end"/>
                        </w:r>
                      </w:p>
                    </w:txbxContent>
                  </v:textbox>
                  <w10:wrap anchorx="margin" anchory="margin"/>
                </v:rect>
              </w:pict>
            </mc:Fallback>
          </mc:AlternateConten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23"/>
    <w:rsid w:val="00121A23"/>
    <w:rsid w:val="00260036"/>
    <w:rsid w:val="004B01AF"/>
    <w:rsid w:val="00560984"/>
    <w:rsid w:val="0059499F"/>
    <w:rsid w:val="006760B4"/>
    <w:rsid w:val="006B55E3"/>
    <w:rsid w:val="006E4929"/>
    <w:rsid w:val="008D3532"/>
    <w:rsid w:val="00A27E39"/>
    <w:rsid w:val="00A57BBD"/>
    <w:rsid w:val="00EC30EB"/>
    <w:rsid w:val="00F27C2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BB0110-58CE-487C-9A5E-E20F8BBEA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A23"/>
    <w:rPr>
      <w:rFonts w:eastAsiaTheme="minorEastAsia"/>
      <w:lang w:val="en-GB" w:eastAsia="zh-CN"/>
    </w:rPr>
  </w:style>
  <w:style w:type="paragraph" w:styleId="Heading1">
    <w:name w:val="heading 1"/>
    <w:basedOn w:val="Normal"/>
    <w:next w:val="Normal"/>
    <w:link w:val="Heading1Char"/>
    <w:uiPriority w:val="9"/>
    <w:qFormat/>
    <w:rsid w:val="00121A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A23"/>
    <w:rPr>
      <w:rFonts w:asciiTheme="majorHAnsi" w:eastAsiaTheme="majorEastAsia" w:hAnsiTheme="majorHAnsi" w:cstheme="majorBidi"/>
      <w:color w:val="2E74B5" w:themeColor="accent1" w:themeShade="BF"/>
      <w:sz w:val="32"/>
      <w:szCs w:val="32"/>
      <w:lang w:val="en-GB" w:eastAsia="zh-CN"/>
    </w:rPr>
  </w:style>
  <w:style w:type="paragraph" w:styleId="Header">
    <w:name w:val="header"/>
    <w:basedOn w:val="Normal"/>
    <w:link w:val="HeaderChar"/>
    <w:uiPriority w:val="99"/>
    <w:unhideWhenUsed/>
    <w:rsid w:val="00121A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A23"/>
    <w:rPr>
      <w:rFonts w:eastAsiaTheme="minorEastAsia"/>
      <w:lang w:val="en-GB" w:eastAsia="zh-CN"/>
    </w:rPr>
  </w:style>
  <w:style w:type="paragraph" w:styleId="Footer">
    <w:name w:val="footer"/>
    <w:basedOn w:val="Normal"/>
    <w:link w:val="FooterChar"/>
    <w:uiPriority w:val="99"/>
    <w:unhideWhenUsed/>
    <w:rsid w:val="00121A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A23"/>
    <w:rPr>
      <w:rFonts w:eastAsiaTheme="minorEastAsia"/>
      <w:lang w:val="en-GB" w:eastAsia="zh-CN"/>
    </w:rPr>
  </w:style>
  <w:style w:type="paragraph" w:customStyle="1" w:styleId="Headers">
    <w:name w:val="Headers"/>
    <w:basedOn w:val="Header"/>
    <w:qFormat/>
    <w:rsid w:val="00121A23"/>
    <w:pPr>
      <w:jc w:val="both"/>
    </w:pPr>
    <w:rPr>
      <w:rFonts w:ascii="Arial" w:eastAsiaTheme="minorHAnsi" w:hAnsi="Arial"/>
      <w:color w:val="808080" w:themeColor="background1" w:themeShade="80"/>
      <w:sz w:val="20"/>
      <w:lang w:val="fr-CH"/>
    </w:rPr>
  </w:style>
  <w:style w:type="paragraph" w:styleId="NormalWeb">
    <w:name w:val="Normal (Web)"/>
    <w:basedOn w:val="Normal"/>
    <w:uiPriority w:val="99"/>
    <w:semiHidden/>
    <w:unhideWhenUsed/>
    <w:rsid w:val="006760B4"/>
    <w:pPr>
      <w:spacing w:before="100" w:beforeAutospacing="1" w:after="100" w:afterAutospacing="1" w:line="240" w:lineRule="auto"/>
    </w:pPr>
    <w:rPr>
      <w:rFonts w:ascii="Times New Roman" w:eastAsia="Times New Roman" w:hAnsi="Times New Roman" w:cs="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53743">
      <w:bodyDiv w:val="1"/>
      <w:marLeft w:val="0"/>
      <w:marRight w:val="0"/>
      <w:marTop w:val="0"/>
      <w:marBottom w:val="0"/>
      <w:divBdr>
        <w:top w:val="none" w:sz="0" w:space="0" w:color="auto"/>
        <w:left w:val="none" w:sz="0" w:space="0" w:color="auto"/>
        <w:bottom w:val="none" w:sz="0" w:space="0" w:color="auto"/>
        <w:right w:val="none" w:sz="0" w:space="0" w:color="auto"/>
      </w:divBdr>
    </w:div>
    <w:div w:id="346373202">
      <w:bodyDiv w:val="1"/>
      <w:marLeft w:val="0"/>
      <w:marRight w:val="0"/>
      <w:marTop w:val="0"/>
      <w:marBottom w:val="0"/>
      <w:divBdr>
        <w:top w:val="none" w:sz="0" w:space="0" w:color="auto"/>
        <w:left w:val="none" w:sz="0" w:space="0" w:color="auto"/>
        <w:bottom w:val="none" w:sz="0" w:space="0" w:color="auto"/>
        <w:right w:val="none" w:sz="0" w:space="0" w:color="auto"/>
      </w:divBdr>
    </w:div>
    <w:div w:id="349332997">
      <w:bodyDiv w:val="1"/>
      <w:marLeft w:val="0"/>
      <w:marRight w:val="0"/>
      <w:marTop w:val="0"/>
      <w:marBottom w:val="0"/>
      <w:divBdr>
        <w:top w:val="none" w:sz="0" w:space="0" w:color="auto"/>
        <w:left w:val="none" w:sz="0" w:space="0" w:color="auto"/>
        <w:bottom w:val="none" w:sz="0" w:space="0" w:color="auto"/>
        <w:right w:val="none" w:sz="0" w:space="0" w:color="auto"/>
      </w:divBdr>
    </w:div>
    <w:div w:id="524170701">
      <w:bodyDiv w:val="1"/>
      <w:marLeft w:val="0"/>
      <w:marRight w:val="0"/>
      <w:marTop w:val="0"/>
      <w:marBottom w:val="0"/>
      <w:divBdr>
        <w:top w:val="none" w:sz="0" w:space="0" w:color="auto"/>
        <w:left w:val="none" w:sz="0" w:space="0" w:color="auto"/>
        <w:bottom w:val="none" w:sz="0" w:space="0" w:color="auto"/>
        <w:right w:val="none" w:sz="0" w:space="0" w:color="auto"/>
      </w:divBdr>
    </w:div>
    <w:div w:id="1184779593">
      <w:bodyDiv w:val="1"/>
      <w:marLeft w:val="0"/>
      <w:marRight w:val="0"/>
      <w:marTop w:val="0"/>
      <w:marBottom w:val="0"/>
      <w:divBdr>
        <w:top w:val="none" w:sz="0" w:space="0" w:color="auto"/>
        <w:left w:val="none" w:sz="0" w:space="0" w:color="auto"/>
        <w:bottom w:val="none" w:sz="0" w:space="0" w:color="auto"/>
        <w:right w:val="none" w:sz="0" w:space="0" w:color="auto"/>
      </w:divBdr>
    </w:div>
    <w:div w:id="1495073658">
      <w:bodyDiv w:val="1"/>
      <w:marLeft w:val="0"/>
      <w:marRight w:val="0"/>
      <w:marTop w:val="0"/>
      <w:marBottom w:val="0"/>
      <w:divBdr>
        <w:top w:val="none" w:sz="0" w:space="0" w:color="auto"/>
        <w:left w:val="none" w:sz="0" w:space="0" w:color="auto"/>
        <w:bottom w:val="none" w:sz="0" w:space="0" w:color="auto"/>
        <w:right w:val="none" w:sz="0" w:space="0" w:color="auto"/>
      </w:divBdr>
    </w:div>
    <w:div w:id="174517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 Haryati Denawati</dc:creator>
  <cp:keywords/>
  <dc:description/>
  <cp:lastModifiedBy>Tati Haryati Denawati</cp:lastModifiedBy>
  <cp:revision>2</cp:revision>
  <dcterms:created xsi:type="dcterms:W3CDTF">2019-03-22T10:36:00Z</dcterms:created>
  <dcterms:modified xsi:type="dcterms:W3CDTF">2019-03-22T10:36:00Z</dcterms:modified>
</cp:coreProperties>
</file>