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12F60" w14:textId="77777777" w:rsidR="00E05E10" w:rsidRPr="00F50F60" w:rsidRDefault="00893D2B" w:rsidP="00CA401C">
      <w:pPr>
        <w:spacing w:after="120" w:line="240" w:lineRule="auto"/>
        <w:jc w:val="center"/>
        <w:rPr>
          <w:rFonts w:ascii="Sylfaen" w:eastAsia="Times New Roman" w:hAnsi="Sylfaen" w:cs="Sylfaen"/>
          <w:lang w:val="ka-GE"/>
        </w:rPr>
      </w:pPr>
      <w:r w:rsidRPr="00F50F60">
        <w:rPr>
          <w:rFonts w:ascii="Sylfaen" w:eastAsia="Times New Roman" w:hAnsi="Sylfaen" w:cs="Sylfaen"/>
          <w:lang w:val="ka-GE"/>
        </w:rPr>
        <w:t xml:space="preserve">ქრონიკული დაავადებების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 სამუშაო ჯგუფის შეხვედრის </w:t>
      </w:r>
    </w:p>
    <w:p w14:paraId="4F661A74" w14:textId="464120B9" w:rsidR="00893D2B" w:rsidRPr="00F50F60" w:rsidRDefault="0032614E" w:rsidP="00CA401C">
      <w:pPr>
        <w:spacing w:after="120" w:line="240" w:lineRule="auto"/>
        <w:jc w:val="center"/>
        <w:rPr>
          <w:rFonts w:ascii="Sylfaen" w:eastAsia="Times New Roman" w:hAnsi="Sylfaen" w:cs="Sylfaen"/>
        </w:rPr>
      </w:pPr>
      <w:r w:rsidRPr="00F50F60">
        <w:rPr>
          <w:rFonts w:ascii="Sylfaen" w:eastAsia="Times New Roman" w:hAnsi="Sylfaen" w:cs="Sylfaen"/>
          <w:b/>
          <w:lang w:val="ka-GE"/>
        </w:rPr>
        <w:t>ოქმი N</w:t>
      </w:r>
      <w:r w:rsidRPr="00F50F60">
        <w:rPr>
          <w:rFonts w:ascii="Sylfaen" w:eastAsia="Times New Roman" w:hAnsi="Sylfaen" w:cs="Sylfaen"/>
          <w:b/>
        </w:rPr>
        <w:t>5</w:t>
      </w:r>
    </w:p>
    <w:p w14:paraId="1B11A6F0" w14:textId="77777777" w:rsidR="00893D2B" w:rsidRPr="00F50F60" w:rsidRDefault="00893D2B" w:rsidP="00CA401C">
      <w:pPr>
        <w:spacing w:after="120" w:line="240" w:lineRule="auto"/>
        <w:jc w:val="center"/>
        <w:rPr>
          <w:rFonts w:ascii="Sylfaen" w:eastAsia="Times New Roman" w:hAnsi="Sylfaen" w:cs="Sylfaen"/>
          <w:lang w:val="ka-GE"/>
        </w:rPr>
      </w:pPr>
    </w:p>
    <w:p w14:paraId="0F3E1404" w14:textId="06C1CCE0" w:rsidR="00893D2B" w:rsidRPr="00F50F60" w:rsidRDefault="008D1159" w:rsidP="00CA401C">
      <w:pPr>
        <w:spacing w:after="120" w:line="240" w:lineRule="auto"/>
        <w:jc w:val="center"/>
        <w:rPr>
          <w:rFonts w:ascii="Sylfaen" w:eastAsia="Times New Roman" w:hAnsi="Sylfaen" w:cs="Sylfaen"/>
          <w:lang w:val="ka-GE"/>
        </w:rPr>
      </w:pPr>
      <w:r w:rsidRPr="00F50F60">
        <w:rPr>
          <w:rFonts w:ascii="Sylfaen" w:eastAsia="Times New Roman" w:hAnsi="Sylfaen" w:cs="Sylfaen"/>
          <w:lang w:val="ka-GE"/>
        </w:rPr>
        <w:t>2</w:t>
      </w:r>
      <w:r w:rsidRPr="00F50F60">
        <w:rPr>
          <w:rFonts w:ascii="Sylfaen" w:eastAsia="Times New Roman" w:hAnsi="Sylfaen" w:cs="Sylfaen"/>
        </w:rPr>
        <w:t>0</w:t>
      </w:r>
      <w:r w:rsidR="004C1720" w:rsidRPr="00F50F60">
        <w:rPr>
          <w:rFonts w:ascii="Sylfaen" w:eastAsia="Times New Roman" w:hAnsi="Sylfaen" w:cs="Sylfaen"/>
        </w:rPr>
        <w:t>.</w:t>
      </w:r>
      <w:r w:rsidR="00893D2B" w:rsidRPr="00F50F60">
        <w:rPr>
          <w:rFonts w:ascii="Sylfaen" w:eastAsia="Times New Roman" w:hAnsi="Sylfaen" w:cs="Sylfaen"/>
          <w:lang w:val="ka-GE"/>
        </w:rPr>
        <w:t>1</w:t>
      </w:r>
      <w:r w:rsidRPr="00F50F60">
        <w:rPr>
          <w:rFonts w:ascii="Sylfaen" w:eastAsia="Times New Roman" w:hAnsi="Sylfaen" w:cs="Sylfaen"/>
        </w:rPr>
        <w:t>1</w:t>
      </w:r>
      <w:r w:rsidR="00893D2B" w:rsidRPr="00F50F60">
        <w:rPr>
          <w:rFonts w:ascii="Sylfaen" w:eastAsia="Times New Roman" w:hAnsi="Sylfaen" w:cs="Sylfaen"/>
          <w:lang w:val="ka-GE"/>
        </w:rPr>
        <w:t>.2018წ</w:t>
      </w:r>
    </w:p>
    <w:p w14:paraId="5B929439" w14:textId="77777777" w:rsidR="00893D2B" w:rsidRPr="00F50F60" w:rsidRDefault="00893D2B" w:rsidP="00CA401C">
      <w:pPr>
        <w:spacing w:after="120" w:line="240" w:lineRule="auto"/>
        <w:jc w:val="both"/>
        <w:rPr>
          <w:rFonts w:ascii="Sylfaen" w:eastAsia="Times New Roman" w:hAnsi="Sylfaen" w:cs="Sylfaen"/>
          <w:lang w:val="ka-GE"/>
        </w:rPr>
      </w:pPr>
    </w:p>
    <w:p w14:paraId="1907D4A1" w14:textId="60F45CF1" w:rsidR="00A61F63" w:rsidRPr="00F50F60" w:rsidRDefault="00893D2B" w:rsidP="00CA401C">
      <w:pPr>
        <w:spacing w:after="120" w:line="240" w:lineRule="auto"/>
        <w:jc w:val="both"/>
        <w:rPr>
          <w:rFonts w:ascii="Sylfaen" w:eastAsia="Times New Roman" w:hAnsi="Sylfaen" w:cs="Sylfaen"/>
          <w:lang w:val="ka-GE"/>
        </w:rPr>
      </w:pPr>
      <w:r w:rsidRPr="00F50F60">
        <w:rPr>
          <w:rFonts w:ascii="Sylfaen" w:eastAsia="Times New Roman" w:hAnsi="Sylfaen" w:cs="Sylfaen"/>
          <w:lang w:val="ka-GE"/>
        </w:rPr>
        <w:t xml:space="preserve">ქრონიკული დავადებების სამკურნალო მედიკამენტებით უზრუნველყოფის სახელმწიფო პროგრამის </w:t>
      </w:r>
      <w:r w:rsidR="00A61F63" w:rsidRPr="00F50F60">
        <w:rPr>
          <w:rFonts w:ascii="Sylfaen" w:eastAsia="Times New Roman" w:hAnsi="Sylfaen" w:cs="Sylfaen"/>
          <w:lang w:val="ka-GE"/>
        </w:rPr>
        <w:t>გაუმჯობესების</w:t>
      </w:r>
      <w:r w:rsidRPr="00F50F60">
        <w:rPr>
          <w:rFonts w:ascii="Sylfaen" w:eastAsia="Times New Roman" w:hAnsi="Sylfaen" w:cs="Sylfaen"/>
          <w:lang w:val="ka-GE"/>
        </w:rPr>
        <w:t xml:space="preserve"> მიზნით</w:t>
      </w:r>
      <w:r w:rsidRPr="00F50F60">
        <w:rPr>
          <w:rFonts w:ascii="Sylfaen" w:hAnsi="Sylfaen" w:cs="Sylfaen"/>
          <w:lang w:val="ka-GE"/>
        </w:rPr>
        <w:t>,</w:t>
      </w:r>
      <w:r w:rsidRPr="00F50F60">
        <w:rPr>
          <w:rFonts w:ascii="Sylfaen" w:eastAsia="Times New Roman" w:hAnsi="Sylfaen" w:cs="Sylfaen"/>
          <w:lang w:val="ka-GE"/>
        </w:rPr>
        <w:t xml:space="preserve"> </w:t>
      </w:r>
      <w:r w:rsidR="00A61F63" w:rsidRPr="00F50F60">
        <w:rPr>
          <w:rFonts w:ascii="Sylfaen" w:eastAsia="Times New Roman" w:hAnsi="Sylfaen" w:cs="Sylfaen"/>
          <w:lang w:val="ka-GE"/>
        </w:rPr>
        <w:t>გაიმართა შეხვედრა სამუშაო ჯგუფის ფორმატში</w:t>
      </w:r>
      <w:r w:rsidRPr="00F50F60">
        <w:rPr>
          <w:rFonts w:ascii="Sylfaen" w:eastAsia="Times New Roman" w:hAnsi="Sylfaen" w:cs="Sylfaen"/>
          <w:lang w:val="ka-GE"/>
        </w:rPr>
        <w:t>, რომელშიც მონაწილეობ</w:t>
      </w:r>
      <w:r w:rsidR="00A61F63" w:rsidRPr="00F50F60">
        <w:rPr>
          <w:rFonts w:ascii="Sylfaen" w:eastAsia="Times New Roman" w:hAnsi="Sylfaen" w:cs="Sylfaen"/>
          <w:lang w:val="ka-GE"/>
        </w:rPr>
        <w:t>დნ</w:t>
      </w:r>
      <w:r w:rsidRPr="00F50F60">
        <w:rPr>
          <w:rFonts w:ascii="Sylfaen" w:eastAsia="Times New Roman" w:hAnsi="Sylfaen" w:cs="Sylfaen"/>
          <w:lang w:val="ka-GE"/>
        </w:rPr>
        <w:t>ენ მინისტრის მოადგილე მაია ლაგვილავა</w:t>
      </w:r>
      <w:r w:rsidR="00A61F63" w:rsidRPr="00F50F60">
        <w:rPr>
          <w:rFonts w:ascii="Sylfaen" w:eastAsia="Times New Roman" w:hAnsi="Sylfaen" w:cs="Sylfaen"/>
          <w:lang w:val="ka-GE"/>
        </w:rPr>
        <w:t>,</w:t>
      </w:r>
      <w:r w:rsidRPr="00F50F60">
        <w:rPr>
          <w:rFonts w:ascii="Sylfaen" w:eastAsia="Times New Roman" w:hAnsi="Sylfaen" w:cs="Sylfaen"/>
          <w:lang w:val="ka-GE"/>
        </w:rPr>
        <w:t xml:space="preserve"> მინისტრის მრჩევ</w:t>
      </w:r>
      <w:r w:rsidR="008D1159" w:rsidRPr="00F50F60">
        <w:rPr>
          <w:rFonts w:ascii="Sylfaen" w:eastAsia="Times New Roman" w:hAnsi="Sylfaen" w:cs="Sylfaen"/>
          <w:lang w:val="ka-GE"/>
        </w:rPr>
        <w:t>ე</w:t>
      </w:r>
      <w:r w:rsidRPr="00F50F60">
        <w:rPr>
          <w:rFonts w:ascii="Sylfaen" w:eastAsia="Times New Roman" w:hAnsi="Sylfaen" w:cs="Sylfaen"/>
          <w:lang w:val="ka-GE"/>
        </w:rPr>
        <w:t>ლი ლაშა ნიკოლაძე, სა</w:t>
      </w:r>
      <w:r w:rsidR="00A61F63" w:rsidRPr="00F50F60">
        <w:rPr>
          <w:rFonts w:ascii="Sylfaen" w:eastAsia="Times New Roman" w:hAnsi="Sylfaen" w:cs="Sylfaen"/>
          <w:lang w:val="ka-GE"/>
        </w:rPr>
        <w:t>მინისტროს ჯანმრთელობის დაცვის (</w:t>
      </w:r>
      <w:r w:rsidR="008D1159" w:rsidRPr="00F50F60">
        <w:rPr>
          <w:rFonts w:ascii="Sylfaen" w:eastAsia="Times New Roman" w:hAnsi="Sylfaen" w:cs="Sylfaen"/>
          <w:lang w:val="ka-GE"/>
        </w:rPr>
        <w:t>მარინა დარახველიძე, ლელა წოწორია</w:t>
      </w:r>
      <w:r w:rsidRPr="00F50F60">
        <w:rPr>
          <w:rFonts w:ascii="Sylfaen" w:eastAsia="Times New Roman" w:hAnsi="Sylfaen" w:cs="Sylfaen"/>
          <w:lang w:val="ka-GE"/>
        </w:rPr>
        <w:t>), ეკონომიკური (ნოე ქინქლაძე)</w:t>
      </w:r>
      <w:r w:rsidR="008D1159" w:rsidRPr="00F50F60">
        <w:rPr>
          <w:rFonts w:ascii="Sylfaen" w:eastAsia="Times New Roman" w:hAnsi="Sylfaen" w:cs="Sylfaen"/>
          <w:lang w:val="ka-GE"/>
        </w:rPr>
        <w:t xml:space="preserve"> დეპარტამენტების</w:t>
      </w:r>
      <w:r w:rsidRPr="00F50F60">
        <w:rPr>
          <w:rFonts w:ascii="Sylfaen" w:eastAsia="Times New Roman" w:hAnsi="Sylfaen" w:cs="Sylfaen"/>
          <w:lang w:val="ka-GE"/>
        </w:rPr>
        <w:t>, სსიპ სოციალური მომსახურების (თამაზ მოდებაძე, თენგიზ აბაზაძე, ბესიკ დათუკიშვილი, ირ</w:t>
      </w:r>
      <w:r w:rsidR="00A61F63" w:rsidRPr="00F50F60">
        <w:rPr>
          <w:rFonts w:ascii="Sylfaen" w:eastAsia="Times New Roman" w:hAnsi="Sylfaen" w:cs="Sylfaen"/>
          <w:lang w:val="ka-GE"/>
        </w:rPr>
        <w:t xml:space="preserve">ინა გობეჯიშვილი) </w:t>
      </w:r>
      <w:r w:rsidR="008D1159" w:rsidRPr="00F50F60">
        <w:rPr>
          <w:rFonts w:ascii="Sylfaen" w:eastAsia="Times New Roman" w:hAnsi="Sylfaen" w:cs="Sylfaen"/>
          <w:lang w:val="ka-GE"/>
        </w:rPr>
        <w:t xml:space="preserve">და სსიპ სამედიცინო საქმიანობის სახელმწიფო რეგულირების (ციცინო კობახიძე) სააგენტოების </w:t>
      </w:r>
      <w:r w:rsidR="00A61F63" w:rsidRPr="00F50F60">
        <w:rPr>
          <w:rFonts w:ascii="Sylfaen" w:eastAsia="Times New Roman" w:hAnsi="Sylfaen" w:cs="Sylfaen"/>
          <w:lang w:val="ka-GE"/>
        </w:rPr>
        <w:t>თანამშრომლები.</w:t>
      </w:r>
      <w:r w:rsidR="008D1159" w:rsidRPr="00F50F60">
        <w:rPr>
          <w:rFonts w:ascii="Sylfaen" w:eastAsia="Times New Roman" w:hAnsi="Sylfaen" w:cs="Sylfaen"/>
          <w:lang w:val="ka-GE"/>
        </w:rPr>
        <w:t xml:space="preserve"> </w:t>
      </w:r>
    </w:p>
    <w:p w14:paraId="08D8D88E" w14:textId="77777777" w:rsidR="00A61F63" w:rsidRPr="00F50F60" w:rsidRDefault="00A61F63" w:rsidP="00CA401C">
      <w:pPr>
        <w:spacing w:after="120" w:line="240" w:lineRule="auto"/>
        <w:jc w:val="both"/>
        <w:rPr>
          <w:rFonts w:ascii="Sylfaen" w:eastAsia="Times New Roman" w:hAnsi="Sylfaen" w:cs="Sylfaen"/>
          <w:lang w:val="ka-GE"/>
        </w:rPr>
      </w:pPr>
    </w:p>
    <w:p w14:paraId="214D4672" w14:textId="2D0D16D7" w:rsidR="00893D2B" w:rsidRPr="00F50F60" w:rsidRDefault="00A61F63" w:rsidP="00CA401C">
      <w:pPr>
        <w:spacing w:after="120" w:line="240" w:lineRule="auto"/>
        <w:jc w:val="both"/>
        <w:rPr>
          <w:rFonts w:ascii="Sylfaen" w:eastAsia="Times New Roman" w:hAnsi="Sylfaen" w:cs="Sylfaen"/>
          <w:lang w:val="ka-GE"/>
        </w:rPr>
      </w:pPr>
      <w:r w:rsidRPr="00F50F60">
        <w:rPr>
          <w:rFonts w:ascii="Sylfaen" w:eastAsia="Times New Roman" w:hAnsi="Sylfaen" w:cs="Sylfaen"/>
          <w:lang w:val="ka-GE"/>
        </w:rPr>
        <w:t xml:space="preserve">შეხვედრაზე განხილულ იქნა </w:t>
      </w:r>
      <w:r w:rsidR="00090ADE" w:rsidRPr="00F50F60">
        <w:rPr>
          <w:rFonts w:ascii="Sylfaen" w:eastAsia="Times New Roman" w:hAnsi="Sylfaen" w:cs="Sylfaen"/>
          <w:lang w:val="ka-GE"/>
        </w:rPr>
        <w:t xml:space="preserve">სააგენტოს მიერ დასმული </w:t>
      </w:r>
      <w:r w:rsidR="00C2580D" w:rsidRPr="00F50F60">
        <w:rPr>
          <w:rFonts w:ascii="Sylfaen" w:eastAsia="Times New Roman" w:hAnsi="Sylfaen" w:cs="Sylfaen"/>
          <w:lang w:val="ka-GE"/>
        </w:rPr>
        <w:t>რამდენიმე საკითხი, რომლებიც საჭიროებს გადაწყვეტას შესაძლო უმოკლეს ვადაში, რათა შესაძლებელი გახდეს სატენდერო პროცედურების დაწყება</w:t>
      </w:r>
      <w:r w:rsidR="00CA401C" w:rsidRPr="00F50F60">
        <w:rPr>
          <w:rFonts w:ascii="Sylfaen" w:eastAsia="Times New Roman" w:hAnsi="Sylfaen" w:cs="Sylfaen"/>
          <w:lang w:val="ka-GE"/>
        </w:rPr>
        <w:t>:</w:t>
      </w:r>
      <w:r w:rsidR="00C2580D" w:rsidRPr="00F50F60">
        <w:rPr>
          <w:rFonts w:ascii="Sylfaen" w:eastAsia="Times New Roman" w:hAnsi="Sylfaen" w:cs="Sylfaen"/>
          <w:lang w:val="ka-GE"/>
        </w:rPr>
        <w:t xml:space="preserve"> </w:t>
      </w:r>
    </w:p>
    <w:p w14:paraId="31B1EDC0" w14:textId="77777777" w:rsidR="008D1159" w:rsidRPr="00F50F60" w:rsidRDefault="008D1159" w:rsidP="00CA401C">
      <w:pPr>
        <w:spacing w:after="120" w:line="240" w:lineRule="auto"/>
        <w:jc w:val="both"/>
        <w:rPr>
          <w:rFonts w:ascii="Sylfaen" w:eastAsia="Times New Roman" w:hAnsi="Sylfaen" w:cs="Sylfaen"/>
          <w:lang w:val="ka-GE"/>
        </w:rPr>
      </w:pPr>
    </w:p>
    <w:p w14:paraId="65A9C012" w14:textId="097EBA7B" w:rsidR="008D1159" w:rsidRPr="00F50F60" w:rsidRDefault="008D1159" w:rsidP="00CA401C">
      <w:pPr>
        <w:spacing w:after="120" w:line="240" w:lineRule="auto"/>
        <w:jc w:val="both"/>
        <w:rPr>
          <w:rFonts w:ascii="Sylfaen" w:hAnsi="Sylfaen" w:cs="Tahoma"/>
          <w:color w:val="000000"/>
        </w:rPr>
      </w:pPr>
      <w:r w:rsidRPr="00F50F60">
        <w:rPr>
          <w:rFonts w:ascii="Sylfaen" w:hAnsi="Sylfaen"/>
          <w:b/>
          <w:bCs/>
          <w:i/>
          <w:iCs/>
          <w:color w:val="000000"/>
          <w:lang w:val="ka-GE"/>
        </w:rPr>
        <w:t>1. „</w:t>
      </w:r>
      <w:r w:rsidRPr="00F50F60">
        <w:rPr>
          <w:rFonts w:ascii="Sylfaen" w:hAnsi="Sylfaen"/>
          <w:b/>
          <w:bCs/>
          <w:i/>
          <w:iCs/>
          <w:color w:val="000000"/>
        </w:rPr>
        <w:t>S</w:t>
      </w:r>
      <w:r w:rsidRPr="00F50F60">
        <w:rPr>
          <w:rFonts w:ascii="Sylfaen" w:hAnsi="Sylfaen"/>
          <w:b/>
          <w:bCs/>
          <w:i/>
          <w:iCs/>
          <w:color w:val="000000"/>
          <w:lang w:val="ka-GE"/>
        </w:rPr>
        <w:t xml:space="preserve">almeterol+fluticasone“-ის შესყიდვასთან დაკავშირებით </w:t>
      </w:r>
    </w:p>
    <w:p w14:paraId="3C3A5106" w14:textId="2CCD8D4A" w:rsidR="008D1159" w:rsidRPr="00F50F60" w:rsidRDefault="008D1159" w:rsidP="00CA401C">
      <w:pPr>
        <w:spacing w:after="120" w:line="240" w:lineRule="auto"/>
        <w:jc w:val="both"/>
        <w:rPr>
          <w:rFonts w:ascii="Sylfaen" w:hAnsi="Sylfaen" w:cs="Tahoma"/>
          <w:color w:val="000000"/>
        </w:rPr>
      </w:pPr>
      <w:r w:rsidRPr="00F50F60">
        <w:rPr>
          <w:rFonts w:ascii="Sylfaen" w:hAnsi="Sylfaen"/>
          <w:color w:val="000000"/>
          <w:lang w:val="ka-GE"/>
        </w:rPr>
        <w:t xml:space="preserve">სააგენტოს დავალებული ჰქონდა 5 084 ერთეული 250 მკგ-დოზიანი „salmeterol+fluticasone“-ის და 20 332 ერთეული 500მკგ-დოზიანი „salmeterol+fluticasone“-ის შესყიდვა. ბაზრის კვლევის შედეგად, შემოთავაზება </w:t>
      </w:r>
      <w:r w:rsidR="00F50F60">
        <w:rPr>
          <w:rFonts w:ascii="Sylfaen" w:hAnsi="Sylfaen"/>
          <w:color w:val="000000"/>
          <w:lang w:val="ka-GE"/>
        </w:rPr>
        <w:t>მიღებული იქნა</w:t>
      </w:r>
      <w:r w:rsidRPr="00F50F60">
        <w:rPr>
          <w:rFonts w:ascii="Sylfaen" w:hAnsi="Sylfaen"/>
          <w:color w:val="000000"/>
          <w:lang w:val="ka-GE"/>
        </w:rPr>
        <w:t xml:space="preserve"> მხოლოდ შპს </w:t>
      </w:r>
      <w:r w:rsidR="00DE33E6" w:rsidRPr="00F50F60">
        <w:rPr>
          <w:rFonts w:ascii="Sylfaen" w:hAnsi="Sylfaen"/>
          <w:color w:val="000000"/>
        </w:rPr>
        <w:t>,,</w:t>
      </w:r>
      <w:r w:rsidRPr="00F50F60">
        <w:rPr>
          <w:rFonts w:ascii="Sylfaen" w:hAnsi="Sylfaen"/>
          <w:color w:val="000000"/>
          <w:lang w:val="ka-GE"/>
        </w:rPr>
        <w:t>პსპ ფარმასგან</w:t>
      </w:r>
      <w:r w:rsidR="00DE33E6" w:rsidRPr="00F50F60">
        <w:rPr>
          <w:rFonts w:ascii="Sylfaen" w:hAnsi="Sylfaen"/>
          <w:color w:val="000000"/>
        </w:rPr>
        <w:t>”</w:t>
      </w:r>
      <w:r w:rsidRPr="00F50F60">
        <w:rPr>
          <w:rFonts w:ascii="Sylfaen" w:hAnsi="Sylfaen"/>
          <w:color w:val="000000"/>
          <w:lang w:val="ka-GE"/>
        </w:rPr>
        <w:t>, რომელ</w:t>
      </w:r>
      <w:r w:rsidR="00C2580D" w:rsidRPr="00F50F60">
        <w:rPr>
          <w:rFonts w:ascii="Sylfaen" w:hAnsi="Sylfaen"/>
          <w:color w:val="000000"/>
          <w:lang w:val="ka-GE"/>
        </w:rPr>
        <w:t>მა</w:t>
      </w:r>
      <w:r w:rsidRPr="00F50F60">
        <w:rPr>
          <w:rFonts w:ascii="Sylfaen" w:hAnsi="Sylfaen"/>
          <w:color w:val="000000"/>
          <w:lang w:val="ka-GE"/>
        </w:rPr>
        <w:t xml:space="preserve">ც დააფიქსირა, რომ 2018 წლის განმავლობაში შეუძლია მოგვაწოდოს 5 084 ერთეული 250 მკგ დოზიანი „salmeterol+fluticasone“ და მხოლოდ 10 000 ერთეული 500მკგ-დოზიანი „salmeterol+fluticasone“ (წარმოშობის ქვეყანა - გერმანია). რაც შეეხება 10 332 ერთეულ მედიკამენტს, მისი მოწოდება შეუძლიათ მხოლოდ 2019 წლის აპრილში. </w:t>
      </w:r>
      <w:r w:rsidR="00090ADE" w:rsidRPr="00F50F60">
        <w:rPr>
          <w:rFonts w:ascii="Sylfaen" w:hAnsi="Sylfaen"/>
          <w:color w:val="000000"/>
          <w:lang w:val="ka-GE"/>
        </w:rPr>
        <w:t>სააგენტო</w:t>
      </w:r>
      <w:r w:rsidR="001F79F5" w:rsidRPr="00F50F60">
        <w:rPr>
          <w:rFonts w:ascii="Sylfaen" w:hAnsi="Sylfaen"/>
          <w:color w:val="000000"/>
          <w:lang w:val="ka-GE"/>
        </w:rPr>
        <w:t>ს</w:t>
      </w:r>
      <w:r w:rsidR="00090ADE" w:rsidRPr="00F50F60">
        <w:rPr>
          <w:rFonts w:ascii="Sylfaen" w:hAnsi="Sylfaen"/>
          <w:color w:val="000000"/>
          <w:lang w:val="ka-GE"/>
        </w:rPr>
        <w:t xml:space="preserve"> </w:t>
      </w:r>
      <w:r w:rsidRPr="00F50F60">
        <w:rPr>
          <w:rFonts w:ascii="Sylfaen" w:hAnsi="Sylfaen"/>
          <w:color w:val="000000"/>
          <w:lang w:val="ka-GE"/>
        </w:rPr>
        <w:t>მიზანშეწონილად მი</w:t>
      </w:r>
      <w:r w:rsidR="001F79F5" w:rsidRPr="00F50F60">
        <w:rPr>
          <w:rFonts w:ascii="Sylfaen" w:hAnsi="Sylfaen"/>
          <w:color w:val="000000"/>
          <w:lang w:val="ka-GE"/>
        </w:rPr>
        <w:t>აჩნია</w:t>
      </w:r>
      <w:r w:rsidRPr="00F50F60">
        <w:rPr>
          <w:rFonts w:ascii="Sylfaen" w:hAnsi="Sylfaen"/>
          <w:color w:val="000000"/>
          <w:lang w:val="ka-GE"/>
        </w:rPr>
        <w:t>, მიმდინარე წელს შესყიდული იქნეს:</w:t>
      </w:r>
    </w:p>
    <w:p w14:paraId="6F3D1934" w14:textId="77777777" w:rsidR="002073D9" w:rsidRPr="00F50F60" w:rsidRDefault="008D1159" w:rsidP="00CA401C">
      <w:pPr>
        <w:pStyle w:val="ListParagraph"/>
        <w:numPr>
          <w:ilvl w:val="0"/>
          <w:numId w:val="23"/>
        </w:numPr>
        <w:spacing w:after="120" w:line="240" w:lineRule="auto"/>
        <w:jc w:val="both"/>
        <w:rPr>
          <w:rFonts w:ascii="Sylfaen" w:hAnsi="Sylfaen" w:cs="Tahoma"/>
          <w:color w:val="000000"/>
          <w:lang w:val="ka-GE"/>
        </w:rPr>
      </w:pPr>
      <w:r w:rsidRPr="00F50F60">
        <w:rPr>
          <w:rFonts w:ascii="Sylfaen" w:hAnsi="Sylfaen"/>
          <w:color w:val="000000"/>
          <w:lang w:val="ka-GE"/>
        </w:rPr>
        <w:t>„salmeterol+fluticasone“ 250 მკგ-დოზიანი  – 5 084 (ხუთი ათას ოთხმოცდაოთხი) ერთეული;</w:t>
      </w:r>
    </w:p>
    <w:p w14:paraId="5B6AEE11" w14:textId="15FCD9F4" w:rsidR="008D1159" w:rsidRPr="00F50F60" w:rsidRDefault="008D1159" w:rsidP="00CA401C">
      <w:pPr>
        <w:pStyle w:val="ListParagraph"/>
        <w:numPr>
          <w:ilvl w:val="0"/>
          <w:numId w:val="23"/>
        </w:numPr>
        <w:spacing w:after="120" w:line="240" w:lineRule="auto"/>
        <w:jc w:val="both"/>
        <w:rPr>
          <w:rFonts w:ascii="Sylfaen" w:hAnsi="Sylfaen" w:cs="Tahoma"/>
          <w:color w:val="000000"/>
          <w:lang w:val="ka-GE"/>
        </w:rPr>
      </w:pPr>
      <w:r w:rsidRPr="00F50F60">
        <w:rPr>
          <w:rFonts w:ascii="Sylfaen" w:hAnsi="Sylfaen"/>
          <w:color w:val="000000"/>
          <w:lang w:val="ka-GE"/>
        </w:rPr>
        <w:t xml:space="preserve">„salmeterol+fluticasone“ 500მკგ-დოზიანი  – 10 000 (ათი ათასი) ერთეული. </w:t>
      </w:r>
    </w:p>
    <w:p w14:paraId="34FED74C" w14:textId="33A7A181" w:rsidR="008D1159" w:rsidRPr="00F50F60" w:rsidRDefault="008D1159" w:rsidP="00CA401C">
      <w:pPr>
        <w:spacing w:after="120" w:line="240" w:lineRule="auto"/>
        <w:jc w:val="both"/>
        <w:rPr>
          <w:rFonts w:ascii="Sylfaen" w:hAnsi="Sylfaen" w:cs="Tahoma"/>
          <w:color w:val="000000"/>
          <w:lang w:val="ka-GE"/>
        </w:rPr>
      </w:pPr>
      <w:r w:rsidRPr="00F50F60">
        <w:rPr>
          <w:rFonts w:ascii="Sylfaen" w:hAnsi="Sylfaen"/>
          <w:color w:val="000000"/>
          <w:lang w:val="ka-GE"/>
        </w:rPr>
        <w:t>აღნიშნული მოცემულობის გათვალისწინებით, ბაზრის კვლევის შედეგების შესაბამისად, 2018 წელს შესასყიდი საქონლის სავარაუდო მაქსიმალური ღირებულება იქნება 852 520 ლარი.</w:t>
      </w:r>
    </w:p>
    <w:p w14:paraId="20421513" w14:textId="77777777" w:rsidR="002073D9" w:rsidRPr="00F50F60" w:rsidRDefault="002073D9" w:rsidP="00CA401C">
      <w:pPr>
        <w:spacing w:after="120" w:line="240" w:lineRule="auto"/>
        <w:jc w:val="both"/>
        <w:rPr>
          <w:rFonts w:ascii="Sylfaen" w:hAnsi="Sylfaen"/>
          <w:b/>
          <w:bCs/>
          <w:i/>
          <w:iCs/>
          <w:color w:val="000000"/>
          <w:lang w:val="ka-GE"/>
        </w:rPr>
      </w:pPr>
    </w:p>
    <w:p w14:paraId="222F2C8E" w14:textId="77777777" w:rsidR="002073D9" w:rsidRPr="00F50F60" w:rsidRDefault="002073D9" w:rsidP="00CA401C">
      <w:pPr>
        <w:spacing w:after="120" w:line="240" w:lineRule="auto"/>
        <w:jc w:val="both"/>
        <w:rPr>
          <w:rFonts w:ascii="Sylfaen" w:hAnsi="Sylfaen"/>
          <w:b/>
          <w:bCs/>
          <w:i/>
          <w:iCs/>
          <w:color w:val="000000"/>
          <w:lang w:val="ka-GE"/>
        </w:rPr>
      </w:pPr>
    </w:p>
    <w:p w14:paraId="2F964199" w14:textId="06CD1556" w:rsidR="008D1159" w:rsidRPr="00F50F60" w:rsidRDefault="008D1159" w:rsidP="00CA401C">
      <w:pPr>
        <w:spacing w:after="120" w:line="240" w:lineRule="auto"/>
        <w:jc w:val="both"/>
        <w:rPr>
          <w:rFonts w:ascii="Sylfaen" w:hAnsi="Sylfaen" w:cs="Tahoma"/>
          <w:color w:val="000000"/>
        </w:rPr>
      </w:pPr>
      <w:r w:rsidRPr="00F50F60">
        <w:rPr>
          <w:rFonts w:ascii="Sylfaen" w:hAnsi="Sylfaen"/>
          <w:b/>
          <w:bCs/>
          <w:i/>
          <w:iCs/>
          <w:color w:val="000000"/>
          <w:lang w:val="ka-GE"/>
        </w:rPr>
        <w:lastRenderedPageBreak/>
        <w:t>2. „Gliclazide“-ს შესყიდვასთან დაკავშირებით</w:t>
      </w:r>
    </w:p>
    <w:p w14:paraId="325F63E6" w14:textId="2B387444" w:rsidR="008D1159" w:rsidRPr="00F50F60" w:rsidRDefault="008D1159" w:rsidP="00CA401C">
      <w:pPr>
        <w:spacing w:after="120" w:line="240" w:lineRule="auto"/>
        <w:jc w:val="both"/>
        <w:rPr>
          <w:rFonts w:ascii="Sylfaen" w:hAnsi="Sylfaen" w:cs="Tahoma"/>
          <w:color w:val="000000"/>
        </w:rPr>
      </w:pPr>
      <w:r w:rsidRPr="00F50F60">
        <w:rPr>
          <w:rFonts w:ascii="Sylfaen" w:hAnsi="Sylfaen"/>
          <w:color w:val="000000"/>
          <w:lang w:val="ka-GE"/>
        </w:rPr>
        <w:t>სს „გეფას“ ტენდერში შემოთავაზებული ჰქონდა ფარმაცევტული პროდუქტი „გლიკლაზიდი აპო“ (წარმოშობის ქვეყანა - კანადა). სატენდერო დოკუმენტაციით, სამკურნალო საშუალების ვარგისიანობის ვადა განსაზღვრული იყო: პირველი მოწოდება - არანაკლებ 12 თვე, ხოლო დარჩენილი ეტაპ(ებ)ი - არანაკლებ 18 თვისა (დასაშვებია მთლიანი რაოდენობის ერთ ეტაპად მიღება, თუ სამკურნალო საშუალების ვარგისიანობის ვადა მოწოდების მომენტისათვის იქნება 24 თვეზე მეტი). ამასთან, სს „გეფამ“ წარმოადგინა მედიკამენტი, რომლის ვარგისიანობის ვადა შეადგენდა 16 თვეს. ამდენად, ტენდერი დასრულდა უარყოფითი შედეგით. აღნიშნულის შემდგომ, სს „გეფამ“ მოგვმართა შემდეგი თხოვნით: „გლიკლაზიდი აპო“-ს მაქსიმალური ვარგისიანობის ვადა აქვს 18 თვე წარმოებიდან, იმისათვის რომ შევძლოთ მონაწილეობის მიღება ტენდერში და კონკურენტული გარემოს შექმნა, მოგმართავთ თხოვნით ტენდერში გავითვალისწინოთ, რომ ვადა იყოს 12-16 თვე.“</w:t>
      </w:r>
    </w:p>
    <w:p w14:paraId="108835D1" w14:textId="2E53E322" w:rsidR="008D1159" w:rsidRPr="00F50F60" w:rsidRDefault="008D1159" w:rsidP="00CA401C">
      <w:pPr>
        <w:spacing w:after="120" w:line="240" w:lineRule="auto"/>
        <w:jc w:val="both"/>
        <w:rPr>
          <w:rFonts w:ascii="Sylfaen" w:hAnsi="Sylfaen" w:cs="Tahoma"/>
          <w:color w:val="000000"/>
        </w:rPr>
      </w:pPr>
    </w:p>
    <w:p w14:paraId="54853C6F" w14:textId="77777777" w:rsidR="008D1159" w:rsidRPr="00F50F60" w:rsidRDefault="008D1159" w:rsidP="00CA401C">
      <w:pPr>
        <w:spacing w:after="120" w:line="240" w:lineRule="auto"/>
        <w:jc w:val="both"/>
        <w:rPr>
          <w:rFonts w:ascii="Sylfaen" w:hAnsi="Sylfaen" w:cs="Tahoma"/>
          <w:color w:val="000000"/>
        </w:rPr>
      </w:pPr>
      <w:r w:rsidRPr="00F50F60">
        <w:rPr>
          <w:rFonts w:ascii="Sylfaen" w:hAnsi="Sylfaen"/>
          <w:b/>
          <w:bCs/>
          <w:i/>
          <w:iCs/>
          <w:color w:val="000000"/>
          <w:lang w:val="ka-GE"/>
        </w:rPr>
        <w:t xml:space="preserve">3. ზოგიერთი სხვა ფარმაცევტული პროდუქტის შეყიდვასთან დაკავშირებით. </w:t>
      </w:r>
    </w:p>
    <w:p w14:paraId="166C604B" w14:textId="77777777" w:rsidR="008D1159" w:rsidRPr="00F50F60" w:rsidRDefault="008D1159" w:rsidP="00CA401C">
      <w:pPr>
        <w:spacing w:after="120" w:line="240" w:lineRule="auto"/>
        <w:jc w:val="both"/>
        <w:rPr>
          <w:rFonts w:ascii="Sylfaen" w:hAnsi="Sylfaen" w:cs="Tahoma"/>
          <w:color w:val="000000"/>
        </w:rPr>
      </w:pPr>
      <w:r w:rsidRPr="00F50F60">
        <w:rPr>
          <w:rFonts w:ascii="Sylfaen" w:hAnsi="Sylfaen"/>
          <w:color w:val="000000"/>
          <w:lang w:val="ka-GE"/>
        </w:rPr>
        <w:t>ელექტრონული ტენდერების უშედეგო დასრულებისთანავე, სააგენტომ გამოაცხადა ბაზრის ხელახალი კვლევა, რომელშიც შპს „პსპ ფარმას“ მიერ, ზოგიერთ მედიკამენტზე, დაფიქსირებული იქნა მნიშვნელოვნად გაზრდილი ფასები. კერძოდ:</w:t>
      </w:r>
    </w:p>
    <w:p w14:paraId="56B6DB49" w14:textId="77777777" w:rsidR="008D1159" w:rsidRPr="00F50F60" w:rsidRDefault="008D1159" w:rsidP="00CA401C">
      <w:pPr>
        <w:spacing w:after="120" w:line="240" w:lineRule="auto"/>
        <w:jc w:val="both"/>
        <w:rPr>
          <w:rFonts w:ascii="Sylfaen" w:hAnsi="Sylfaen" w:cs="Tahoma"/>
          <w:color w:val="000000"/>
        </w:rPr>
      </w:pPr>
      <w:r w:rsidRPr="00F50F60">
        <w:rPr>
          <w:rFonts w:ascii="Sylfaen" w:hAnsi="Sylfaen"/>
          <w:color w:val="000000"/>
          <w:lang w:val="ka-GE"/>
        </w:rPr>
        <w:t>„Perindopril/Amlodipine“ - ფასი მომატებულია 27.77%-ით;</w:t>
      </w:r>
    </w:p>
    <w:p w14:paraId="400768A5" w14:textId="77777777" w:rsidR="008D1159" w:rsidRPr="00F50F60" w:rsidRDefault="008D1159" w:rsidP="00CA401C">
      <w:pPr>
        <w:spacing w:after="120" w:line="240" w:lineRule="auto"/>
        <w:jc w:val="both"/>
        <w:rPr>
          <w:rFonts w:ascii="Sylfaen" w:hAnsi="Sylfaen" w:cs="Tahoma"/>
          <w:color w:val="000000"/>
        </w:rPr>
      </w:pPr>
      <w:r w:rsidRPr="00F50F60">
        <w:rPr>
          <w:rFonts w:ascii="Sylfaen" w:hAnsi="Sylfaen"/>
          <w:color w:val="000000"/>
          <w:lang w:val="ka-GE"/>
        </w:rPr>
        <w:t>„Bisoprolol“ – 25%;</w:t>
      </w:r>
    </w:p>
    <w:p w14:paraId="774655B5" w14:textId="77777777" w:rsidR="008D1159" w:rsidRPr="00F50F60" w:rsidRDefault="008D1159" w:rsidP="00CA401C">
      <w:pPr>
        <w:spacing w:after="120" w:line="240" w:lineRule="auto"/>
        <w:jc w:val="both"/>
        <w:rPr>
          <w:rFonts w:ascii="Sylfaen" w:hAnsi="Sylfaen" w:cs="Tahoma"/>
          <w:color w:val="000000"/>
        </w:rPr>
      </w:pPr>
      <w:r w:rsidRPr="00F50F60">
        <w:rPr>
          <w:rFonts w:ascii="Sylfaen" w:hAnsi="Sylfaen"/>
          <w:color w:val="000000"/>
          <w:lang w:val="ka-GE"/>
        </w:rPr>
        <w:t>„Perindopril/Indapamide“ – 28%;</w:t>
      </w:r>
    </w:p>
    <w:p w14:paraId="5FFD5359" w14:textId="233E6BAE" w:rsidR="008607CD" w:rsidRPr="00F50F60" w:rsidRDefault="008D1159" w:rsidP="008607CD">
      <w:pPr>
        <w:spacing w:after="120" w:line="240" w:lineRule="auto"/>
        <w:jc w:val="both"/>
        <w:rPr>
          <w:rFonts w:ascii="Sylfaen" w:hAnsi="Sylfaen"/>
          <w:lang w:val="ka-GE"/>
        </w:rPr>
      </w:pPr>
      <w:r w:rsidRPr="00F50F60">
        <w:rPr>
          <w:rFonts w:ascii="Sylfaen" w:hAnsi="Sylfaen"/>
          <w:color w:val="000000"/>
          <w:lang w:val="ka-GE"/>
        </w:rPr>
        <w:t xml:space="preserve">„Clopidogrel“ – </w:t>
      </w:r>
      <w:r w:rsidR="008607CD" w:rsidRPr="00F50F60">
        <w:rPr>
          <w:rFonts w:ascii="Sylfaen" w:hAnsi="Sylfaen"/>
          <w:color w:val="000000"/>
          <w:lang w:val="ka-GE"/>
        </w:rPr>
        <w:t xml:space="preserve">319% (დღეის მდგომარეობით დარჩენილია 1,5 თვის მარაგი, რომელიც გადანაწილებულია ქვეყნის მასშტაბით 84 აფთიაქში. ცენტრალური ბაზა სრულად ამოწურულია); </w:t>
      </w:r>
    </w:p>
    <w:p w14:paraId="14C2DA16" w14:textId="1235434E" w:rsidR="008607CD" w:rsidRPr="00F50F60" w:rsidRDefault="008D1159" w:rsidP="008607CD">
      <w:pPr>
        <w:spacing w:after="120" w:line="240" w:lineRule="auto"/>
        <w:jc w:val="both"/>
        <w:rPr>
          <w:rFonts w:ascii="Sylfaen" w:hAnsi="Sylfaen"/>
          <w:lang w:val="ka-GE"/>
        </w:rPr>
      </w:pPr>
      <w:r w:rsidRPr="00F50F60">
        <w:rPr>
          <w:rFonts w:ascii="Sylfaen" w:hAnsi="Sylfaen"/>
          <w:color w:val="000000"/>
          <w:lang w:val="ka-GE"/>
        </w:rPr>
        <w:t xml:space="preserve">„Atorvastatin“ 20 მგ - </w:t>
      </w:r>
      <w:r w:rsidR="003A50C1" w:rsidRPr="00F50F60">
        <w:rPr>
          <w:rFonts w:ascii="Sylfaen" w:hAnsi="Sylfaen"/>
          <w:color w:val="FF0000"/>
          <w:lang w:val="ka-GE"/>
        </w:rPr>
        <w:t>355.56</w:t>
      </w:r>
      <w:r w:rsidRPr="00F50F60">
        <w:rPr>
          <w:rFonts w:ascii="Sylfaen" w:hAnsi="Sylfaen"/>
          <w:color w:val="000000"/>
          <w:lang w:val="ka-GE"/>
        </w:rPr>
        <w:t>%</w:t>
      </w:r>
      <w:r w:rsidR="008607CD" w:rsidRPr="00F50F60">
        <w:rPr>
          <w:rFonts w:ascii="Sylfaen" w:hAnsi="Sylfaen"/>
          <w:color w:val="000000"/>
          <w:lang w:val="ka-GE"/>
        </w:rPr>
        <w:t xml:space="preserve"> (</w:t>
      </w:r>
      <w:r w:rsidR="008607CD" w:rsidRPr="00F50F60">
        <w:rPr>
          <w:rFonts w:ascii="Sylfaen" w:hAnsi="Sylfaen"/>
          <w:lang w:val="ka-GE"/>
        </w:rPr>
        <w:t>10მგ ატორვასტატინის 2,228,130 ტაბ. ხელშეკრულების გაფორმების პროცესშია. 20მგ ატორვასტატინის ოქტომბრის ხარჯვამ შეადგინა 164,491 ტაბ. შესაბამისად, 10მგ ატორვასტატინზე გადაანგარიშებით, თვის საშუალო ხარჯვა იქნება 328,982 ტაბ.).</w:t>
      </w:r>
    </w:p>
    <w:p w14:paraId="62619F50" w14:textId="67B2E185" w:rsidR="008607CD" w:rsidRPr="00F50F60" w:rsidRDefault="00DE33E6" w:rsidP="008607CD">
      <w:pPr>
        <w:spacing w:after="120" w:line="240" w:lineRule="auto"/>
        <w:jc w:val="both"/>
        <w:rPr>
          <w:rFonts w:ascii="Sylfaen" w:hAnsi="Sylfaen" w:cs="Tahoma"/>
          <w:color w:val="000000"/>
        </w:rPr>
      </w:pPr>
      <w:r w:rsidRPr="00F50F60">
        <w:rPr>
          <w:rFonts w:ascii="Sylfaen" w:hAnsi="Sylfaen"/>
          <w:color w:val="000000"/>
          <w:lang w:val="ka-GE"/>
        </w:rPr>
        <w:t xml:space="preserve">ამგვარად, ზემოაღნიშნულ მედიკამენტებთან მიმართებით, </w:t>
      </w:r>
      <w:r w:rsidR="008607CD" w:rsidRPr="00F50F60">
        <w:rPr>
          <w:rFonts w:ascii="Sylfaen" w:hAnsi="Sylfaen"/>
          <w:color w:val="000000"/>
          <w:lang w:val="ka-GE"/>
        </w:rPr>
        <w:t xml:space="preserve">სახეზეა ფასების </w:t>
      </w:r>
      <w:r w:rsidRPr="00F50F60">
        <w:rPr>
          <w:rFonts w:ascii="Sylfaen" w:hAnsi="Sylfaen"/>
          <w:color w:val="000000"/>
          <w:lang w:val="ka-GE"/>
        </w:rPr>
        <w:t xml:space="preserve">სარძგნობი </w:t>
      </w:r>
      <w:r w:rsidR="008607CD" w:rsidRPr="00F50F60">
        <w:rPr>
          <w:rFonts w:ascii="Sylfaen" w:hAnsi="Sylfaen"/>
          <w:color w:val="000000"/>
          <w:lang w:val="ka-GE"/>
        </w:rPr>
        <w:t>ზრდა</w:t>
      </w:r>
      <w:r w:rsidRPr="00F50F60">
        <w:rPr>
          <w:rFonts w:ascii="Sylfaen" w:hAnsi="Sylfaen"/>
          <w:color w:val="000000"/>
        </w:rPr>
        <w:t xml:space="preserve">. </w:t>
      </w:r>
      <w:r w:rsidRPr="00F50F60">
        <w:rPr>
          <w:rFonts w:ascii="Sylfaen" w:hAnsi="Sylfaen"/>
          <w:color w:val="000000"/>
          <w:lang w:val="ka-GE"/>
        </w:rPr>
        <w:t>შესაბამისად,</w:t>
      </w:r>
      <w:r w:rsidR="008607CD" w:rsidRPr="00F50F60">
        <w:rPr>
          <w:rFonts w:ascii="Sylfaen" w:hAnsi="Sylfaen"/>
          <w:color w:val="000000"/>
          <w:lang w:val="ka-GE"/>
        </w:rPr>
        <w:t xml:space="preserve"> ხომ არ იქნებოდა მიზანშეწონილი, ალტერნატივის სახით, განხილულ იქნეს ა(ა)იპ „პარტნიორობა ხელმისაწვდომი ჯანდაცვისათვის“ ექსპერტების მიერ წარმოდგენილი </w:t>
      </w:r>
      <w:r w:rsidR="008607CD" w:rsidRPr="00F50F60">
        <w:rPr>
          <w:rFonts w:ascii="Sylfaen" w:hAnsi="Sylfaen"/>
          <w:b/>
          <w:bCs/>
          <w:i/>
          <w:iCs/>
          <w:color w:val="000000"/>
          <w:lang w:val="ka-GE"/>
        </w:rPr>
        <w:t>ამავე ჯგუფის</w:t>
      </w:r>
      <w:r w:rsidR="008607CD" w:rsidRPr="00F50F60">
        <w:rPr>
          <w:rFonts w:ascii="Sylfaen" w:hAnsi="Sylfaen"/>
          <w:color w:val="000000"/>
          <w:lang w:val="ka-GE"/>
        </w:rPr>
        <w:t xml:space="preserve"> სხვა ფარმაცევტული პროდუქტის შესყიდვის საკითხი? </w:t>
      </w:r>
      <w:r w:rsidRPr="00F50F60">
        <w:rPr>
          <w:rFonts w:ascii="Sylfaen" w:hAnsi="Sylfaen"/>
          <w:color w:val="000000"/>
          <w:lang w:val="ka-GE"/>
        </w:rPr>
        <w:t xml:space="preserve">ან, </w:t>
      </w:r>
      <w:r w:rsidR="008607CD" w:rsidRPr="00F50F60">
        <w:rPr>
          <w:rFonts w:ascii="Sylfaen" w:hAnsi="Sylfaen"/>
          <w:color w:val="000000"/>
          <w:lang w:val="ka-GE"/>
        </w:rPr>
        <w:t>თუ ეს</w:t>
      </w:r>
      <w:r w:rsidRPr="00F50F60">
        <w:rPr>
          <w:rFonts w:ascii="Sylfaen" w:hAnsi="Sylfaen"/>
          <w:color w:val="000000"/>
          <w:lang w:val="ka-GE"/>
        </w:rPr>
        <w:t xml:space="preserve"> წინადადება</w:t>
      </w:r>
      <w:r w:rsidR="008607CD" w:rsidRPr="00F50F60">
        <w:rPr>
          <w:rFonts w:ascii="Sylfaen" w:hAnsi="Sylfaen"/>
          <w:color w:val="000000"/>
          <w:lang w:val="ka-GE"/>
        </w:rPr>
        <w:t xml:space="preserve"> არ იქნება მისაღები, სააგენტო</w:t>
      </w:r>
      <w:r w:rsidR="00E05E10" w:rsidRPr="00F50F60">
        <w:rPr>
          <w:rFonts w:ascii="Sylfaen" w:hAnsi="Sylfaen"/>
          <w:color w:val="000000"/>
          <w:lang w:val="ka-GE"/>
        </w:rPr>
        <w:t>ს შეუძლია</w:t>
      </w:r>
      <w:r w:rsidR="008607CD" w:rsidRPr="00F50F60">
        <w:rPr>
          <w:rFonts w:ascii="Sylfaen" w:hAnsi="Sylfaen"/>
          <w:color w:val="000000"/>
          <w:lang w:val="ka-GE"/>
        </w:rPr>
        <w:t xml:space="preserve"> გამოაცხად</w:t>
      </w:r>
      <w:r w:rsidR="00E05E10" w:rsidRPr="00F50F60">
        <w:rPr>
          <w:rFonts w:ascii="Sylfaen" w:hAnsi="Sylfaen"/>
          <w:color w:val="000000"/>
          <w:lang w:val="ka-GE"/>
        </w:rPr>
        <w:t>ო</w:t>
      </w:r>
      <w:r w:rsidR="008607CD" w:rsidRPr="00F50F60">
        <w:rPr>
          <w:rFonts w:ascii="Sylfaen" w:hAnsi="Sylfaen"/>
          <w:color w:val="000000"/>
          <w:lang w:val="ka-GE"/>
        </w:rPr>
        <w:t>ს ელექტრონულ</w:t>
      </w:r>
      <w:r w:rsidR="00E05E10" w:rsidRPr="00F50F60">
        <w:rPr>
          <w:rFonts w:ascii="Sylfaen" w:hAnsi="Sylfaen"/>
          <w:color w:val="000000"/>
          <w:lang w:val="ka-GE"/>
        </w:rPr>
        <w:t>ი</w:t>
      </w:r>
      <w:r w:rsidR="008607CD" w:rsidRPr="00F50F60">
        <w:rPr>
          <w:rFonts w:ascii="Sylfaen" w:hAnsi="Sylfaen"/>
          <w:color w:val="000000"/>
          <w:lang w:val="ka-GE"/>
        </w:rPr>
        <w:t xml:space="preserve"> ტენდერებ</w:t>
      </w:r>
      <w:r w:rsidR="00E05E10" w:rsidRPr="00F50F60">
        <w:rPr>
          <w:rFonts w:ascii="Sylfaen" w:hAnsi="Sylfaen"/>
          <w:color w:val="000000"/>
          <w:lang w:val="ka-GE"/>
        </w:rPr>
        <w:t>ი</w:t>
      </w:r>
      <w:r w:rsidR="008607CD" w:rsidRPr="00F50F60">
        <w:rPr>
          <w:rFonts w:ascii="Sylfaen" w:hAnsi="Sylfaen"/>
          <w:color w:val="000000"/>
          <w:lang w:val="ka-GE"/>
        </w:rPr>
        <w:t xml:space="preserve">, ზემოთ ჩამოთვლილ მედიკამენტებზე, ბაზრის კვლევაში დაფიქსირებული მინიმალური ფას(ებ)ის შესაბამისად. </w:t>
      </w:r>
    </w:p>
    <w:p w14:paraId="5D300044" w14:textId="77777777" w:rsidR="008607CD" w:rsidRPr="00F50F60" w:rsidRDefault="008607CD" w:rsidP="00CA401C">
      <w:pPr>
        <w:spacing w:after="120" w:line="240" w:lineRule="auto"/>
        <w:jc w:val="both"/>
        <w:rPr>
          <w:rFonts w:ascii="Sylfaen" w:hAnsi="Sylfaen" w:cs="Tahoma"/>
          <w:b/>
          <w:i/>
          <w:color w:val="000000"/>
          <w:lang w:val="ka-GE"/>
        </w:rPr>
      </w:pPr>
      <w:r w:rsidRPr="00F50F60">
        <w:rPr>
          <w:rFonts w:ascii="Sylfaen" w:hAnsi="Sylfaen"/>
          <w:b/>
          <w:i/>
          <w:color w:val="000000"/>
          <w:lang w:val="ka-GE"/>
        </w:rPr>
        <w:t xml:space="preserve">4. </w:t>
      </w:r>
      <w:r w:rsidRPr="00F50F60">
        <w:rPr>
          <w:rFonts w:ascii="Sylfaen" w:hAnsi="Sylfaen"/>
          <w:b/>
          <w:i/>
          <w:lang w:val="ka-GE"/>
        </w:rPr>
        <w:t xml:space="preserve">პროგრამის ფარგლებში დამატებული ახალი მედიკამენტების მოწოდება  </w:t>
      </w:r>
    </w:p>
    <w:p w14:paraId="1DFC3F97" w14:textId="26933BA5" w:rsidR="001E5E9F" w:rsidRPr="00F50F60" w:rsidRDefault="008607CD" w:rsidP="006369CD">
      <w:pPr>
        <w:spacing w:after="120" w:line="240" w:lineRule="auto"/>
        <w:jc w:val="both"/>
        <w:rPr>
          <w:rFonts w:ascii="Sylfaen" w:eastAsia="Times New Roman" w:hAnsi="Sylfaen" w:cs="Sylfaen"/>
          <w:highlight w:val="yellow"/>
          <w:lang w:val="ka-GE"/>
        </w:rPr>
      </w:pPr>
      <w:r w:rsidRPr="00F50F60">
        <w:rPr>
          <w:rFonts w:ascii="Sylfaen" w:hAnsi="Sylfaen"/>
          <w:lang w:val="ka-GE"/>
        </w:rPr>
        <w:t xml:space="preserve">პირველ ეტაპზე ხდება </w:t>
      </w:r>
      <w:r w:rsidR="00380DB1" w:rsidRPr="00F50F60">
        <w:rPr>
          <w:rFonts w:ascii="Sylfaen" w:hAnsi="Sylfaen"/>
          <w:lang w:val="ka-GE"/>
        </w:rPr>
        <w:t xml:space="preserve">პროგრამის ფარგლებში დამატებული ახალი მედიკამენტების </w:t>
      </w:r>
      <w:r w:rsidRPr="00F50F60">
        <w:rPr>
          <w:rFonts w:ascii="Sylfaen" w:hAnsi="Sylfaen"/>
          <w:lang w:val="ka-GE"/>
        </w:rPr>
        <w:t xml:space="preserve">10%-ის </w:t>
      </w:r>
      <w:r w:rsidR="00380DB1" w:rsidRPr="00F50F60">
        <w:rPr>
          <w:rFonts w:ascii="Sylfaen" w:hAnsi="Sylfaen"/>
          <w:lang w:val="ka-GE"/>
        </w:rPr>
        <w:t xml:space="preserve">მოწოდება, </w:t>
      </w:r>
      <w:r w:rsidRPr="00F50F60">
        <w:rPr>
          <w:rFonts w:ascii="Sylfaen" w:hAnsi="Sylfaen"/>
          <w:lang w:val="ka-GE"/>
        </w:rPr>
        <w:t xml:space="preserve">ხოლო შემდეგ მედიკამენტების მოწოდება ხორციელდება </w:t>
      </w:r>
      <w:r w:rsidR="00380DB1" w:rsidRPr="00F50F60">
        <w:rPr>
          <w:rFonts w:ascii="Sylfaen" w:hAnsi="Sylfaen"/>
          <w:lang w:val="ka-GE"/>
        </w:rPr>
        <w:t>ეტაპობრივად</w:t>
      </w:r>
      <w:r w:rsidRPr="00F50F60">
        <w:rPr>
          <w:rFonts w:ascii="Sylfaen" w:hAnsi="Sylfaen"/>
          <w:lang w:val="ka-GE"/>
        </w:rPr>
        <w:t>,</w:t>
      </w:r>
      <w:r w:rsidR="00380DB1" w:rsidRPr="00F50F60">
        <w:rPr>
          <w:rFonts w:ascii="Sylfaen" w:hAnsi="Sylfaen"/>
          <w:lang w:val="ka-GE"/>
        </w:rPr>
        <w:t xml:space="preserve"> ხარჯვის გათვალისწინებით. ვინაიდან წლის ბოლომდე არ გვეცოდინება </w:t>
      </w:r>
      <w:r w:rsidR="00380DB1" w:rsidRPr="00F50F60">
        <w:rPr>
          <w:rFonts w:ascii="Sylfaen" w:hAnsi="Sylfaen"/>
          <w:lang w:val="ka-GE"/>
        </w:rPr>
        <w:lastRenderedPageBreak/>
        <w:t>მედიკამ</w:t>
      </w:r>
      <w:r w:rsidR="00DE33E6" w:rsidRPr="00F50F60">
        <w:rPr>
          <w:rFonts w:ascii="Sylfaen" w:hAnsi="Sylfaen"/>
          <w:lang w:val="ka-GE"/>
        </w:rPr>
        <w:t>ე</w:t>
      </w:r>
      <w:r w:rsidR="00380DB1" w:rsidRPr="00F50F60">
        <w:rPr>
          <w:rFonts w:ascii="Sylfaen" w:hAnsi="Sylfaen"/>
          <w:lang w:val="ka-GE"/>
        </w:rPr>
        <w:t xml:space="preserve">ნტების ხარჯვა, ხომ არ </w:t>
      </w:r>
      <w:r w:rsidRPr="00F50F60">
        <w:rPr>
          <w:rFonts w:ascii="Sylfaen" w:hAnsi="Sylfaen"/>
          <w:lang w:val="ka-GE"/>
        </w:rPr>
        <w:t>ს</w:t>
      </w:r>
      <w:r w:rsidR="00380DB1" w:rsidRPr="00F50F60">
        <w:rPr>
          <w:rFonts w:ascii="Sylfaen" w:hAnsi="Sylfaen"/>
          <w:lang w:val="ka-GE"/>
        </w:rPr>
        <w:t>ჯობია მედიკამ</w:t>
      </w:r>
      <w:r w:rsidR="006369CD" w:rsidRPr="00F50F60">
        <w:rPr>
          <w:rFonts w:ascii="Sylfaen" w:hAnsi="Sylfaen"/>
          <w:lang w:val="ka-GE"/>
        </w:rPr>
        <w:t>ენ</w:t>
      </w:r>
      <w:r w:rsidR="00380DB1" w:rsidRPr="00F50F60">
        <w:rPr>
          <w:rFonts w:ascii="Sylfaen" w:hAnsi="Sylfaen"/>
          <w:lang w:val="ka-GE"/>
        </w:rPr>
        <w:t>ტების სრული რაოდენობა მივიღოთ ერთი მოწოდებით მედიკამ</w:t>
      </w:r>
      <w:r w:rsidR="00DE33E6" w:rsidRPr="00F50F60">
        <w:rPr>
          <w:rFonts w:ascii="Sylfaen" w:hAnsi="Sylfaen"/>
          <w:lang w:val="ka-GE"/>
        </w:rPr>
        <w:t>ე</w:t>
      </w:r>
      <w:r w:rsidR="00380DB1" w:rsidRPr="00F50F60">
        <w:rPr>
          <w:rFonts w:ascii="Sylfaen" w:hAnsi="Sylfaen"/>
          <w:lang w:val="ka-GE"/>
        </w:rPr>
        <w:t>ნტის ვარგისიანობის 18 თვიანი ვადის გათვალისწინებით</w:t>
      </w:r>
      <w:r w:rsidRPr="00F50F60">
        <w:rPr>
          <w:rFonts w:ascii="Sylfaen" w:hAnsi="Sylfaen"/>
          <w:lang w:val="ka-GE"/>
        </w:rPr>
        <w:t>?</w:t>
      </w:r>
    </w:p>
    <w:p w14:paraId="54D765DD" w14:textId="77777777" w:rsidR="006369CD" w:rsidRPr="00F50F60" w:rsidRDefault="006369CD" w:rsidP="006369CD">
      <w:pPr>
        <w:spacing w:after="120" w:line="240" w:lineRule="auto"/>
        <w:jc w:val="both"/>
        <w:rPr>
          <w:rFonts w:ascii="Sylfaen" w:eastAsia="Times New Roman" w:hAnsi="Sylfaen" w:cs="Sylfaen"/>
          <w:highlight w:val="yellow"/>
          <w:lang w:val="ka-GE"/>
        </w:rPr>
      </w:pPr>
    </w:p>
    <w:p w14:paraId="0709578F" w14:textId="2E8DD60C" w:rsidR="001F79F5" w:rsidRPr="00F50F60" w:rsidRDefault="001F79F5" w:rsidP="006369CD">
      <w:pPr>
        <w:spacing w:after="120" w:line="240" w:lineRule="auto"/>
        <w:jc w:val="both"/>
        <w:rPr>
          <w:rFonts w:ascii="Sylfaen" w:hAnsi="Sylfaen"/>
          <w:b/>
          <w:lang w:val="ka-GE"/>
        </w:rPr>
      </w:pPr>
      <w:r w:rsidRPr="00F50F60">
        <w:rPr>
          <w:rFonts w:ascii="Sylfaen" w:hAnsi="Sylfaen"/>
          <w:b/>
          <w:lang w:val="ka-GE"/>
        </w:rPr>
        <w:t xml:space="preserve">ზემოაღნიშნულ საკითხების </w:t>
      </w:r>
      <w:r w:rsidR="006369CD" w:rsidRPr="00F50F60">
        <w:rPr>
          <w:rFonts w:ascii="Sylfaen" w:hAnsi="Sylfaen"/>
          <w:b/>
          <w:lang w:val="ka-GE"/>
        </w:rPr>
        <w:t>განხილვ</w:t>
      </w:r>
      <w:r w:rsidRPr="00F50F60">
        <w:rPr>
          <w:rFonts w:ascii="Sylfaen" w:hAnsi="Sylfaen"/>
          <w:b/>
          <w:lang w:val="ka-GE"/>
        </w:rPr>
        <w:t>ის შედეგად, სამუშაო ჯგუფი შეჯერდა შემდეგ საკითხებზე:</w:t>
      </w:r>
    </w:p>
    <w:p w14:paraId="2AAB1858" w14:textId="1FCABAB0" w:rsidR="002073D9" w:rsidRPr="00F50F60" w:rsidRDefault="003020C3" w:rsidP="005D568C">
      <w:pPr>
        <w:pStyle w:val="ListParagraph"/>
        <w:numPr>
          <w:ilvl w:val="0"/>
          <w:numId w:val="25"/>
        </w:numPr>
        <w:spacing w:after="120" w:line="240" w:lineRule="auto"/>
        <w:jc w:val="both"/>
        <w:rPr>
          <w:rFonts w:ascii="Sylfaen" w:hAnsi="Sylfaen"/>
          <w:b/>
          <w:bCs/>
          <w:iCs/>
          <w:color w:val="000000"/>
          <w:lang w:val="ka-GE"/>
        </w:rPr>
      </w:pPr>
      <w:r w:rsidRPr="00F50F60">
        <w:rPr>
          <w:rFonts w:ascii="Sylfaen" w:hAnsi="Sylfaen"/>
          <w:b/>
          <w:bCs/>
          <w:iCs/>
          <w:color w:val="000000"/>
          <w:lang w:val="ka-GE"/>
        </w:rPr>
        <w:t>„</w:t>
      </w:r>
      <w:r w:rsidRPr="00F50F60">
        <w:rPr>
          <w:rFonts w:ascii="Sylfaen" w:hAnsi="Sylfaen"/>
          <w:b/>
          <w:bCs/>
          <w:iCs/>
          <w:color w:val="000000"/>
        </w:rPr>
        <w:t>S</w:t>
      </w:r>
      <w:r w:rsidRPr="00F50F60">
        <w:rPr>
          <w:rFonts w:ascii="Sylfaen" w:hAnsi="Sylfaen"/>
          <w:b/>
          <w:bCs/>
          <w:iCs/>
          <w:color w:val="000000"/>
          <w:lang w:val="ka-GE"/>
        </w:rPr>
        <w:t xml:space="preserve">almeterol+fluticasone“-ის შესყიდვასთან დაკავშირებით - </w:t>
      </w:r>
      <w:r w:rsidR="001F79F5" w:rsidRPr="00F50F60">
        <w:rPr>
          <w:rFonts w:ascii="Sylfaen" w:hAnsi="Sylfaen"/>
          <w:b/>
          <w:bCs/>
          <w:iCs/>
          <w:color w:val="000000"/>
          <w:lang w:val="ka-GE"/>
        </w:rPr>
        <w:t>მიმდინარე წელს შესყიდულ იქნეს</w:t>
      </w:r>
      <w:r w:rsidR="002073D9" w:rsidRPr="00F50F60">
        <w:rPr>
          <w:rFonts w:ascii="Sylfaen" w:hAnsi="Sylfaen"/>
          <w:b/>
          <w:bCs/>
          <w:iCs/>
          <w:color w:val="000000"/>
          <w:lang w:val="ka-GE"/>
        </w:rPr>
        <w:t>:</w:t>
      </w:r>
    </w:p>
    <w:p w14:paraId="1D650E52" w14:textId="77777777" w:rsidR="002073D9" w:rsidRPr="00F50F60" w:rsidRDefault="001F79F5" w:rsidP="00CA401C">
      <w:pPr>
        <w:pStyle w:val="ListParagraph"/>
        <w:numPr>
          <w:ilvl w:val="0"/>
          <w:numId w:val="24"/>
        </w:numPr>
        <w:spacing w:after="120" w:line="240" w:lineRule="auto"/>
        <w:jc w:val="both"/>
        <w:rPr>
          <w:rFonts w:ascii="Sylfaen" w:hAnsi="Sylfaen"/>
          <w:b/>
          <w:bCs/>
          <w:iCs/>
          <w:color w:val="000000"/>
          <w:lang w:val="ka-GE"/>
        </w:rPr>
      </w:pPr>
      <w:r w:rsidRPr="00F50F60">
        <w:rPr>
          <w:rFonts w:ascii="Sylfaen" w:hAnsi="Sylfaen"/>
          <w:color w:val="000000"/>
          <w:lang w:val="ka-GE"/>
        </w:rPr>
        <w:t>„salmeterol+fluticasone“ 250 მკგ-დოზიანი  – 5 084 (ხუთი ათას ოთხმოცდაოთხი) ერთეული;</w:t>
      </w:r>
    </w:p>
    <w:p w14:paraId="7AE22496" w14:textId="48E3331C" w:rsidR="001F79F5" w:rsidRPr="00F50F60" w:rsidRDefault="001F79F5" w:rsidP="00CA401C">
      <w:pPr>
        <w:pStyle w:val="ListParagraph"/>
        <w:numPr>
          <w:ilvl w:val="0"/>
          <w:numId w:val="24"/>
        </w:numPr>
        <w:spacing w:after="120" w:line="240" w:lineRule="auto"/>
        <w:jc w:val="both"/>
        <w:rPr>
          <w:rFonts w:ascii="Sylfaen" w:hAnsi="Sylfaen"/>
          <w:b/>
          <w:bCs/>
          <w:iCs/>
          <w:color w:val="000000"/>
          <w:lang w:val="ka-GE"/>
        </w:rPr>
      </w:pPr>
      <w:r w:rsidRPr="00F50F60">
        <w:rPr>
          <w:rFonts w:ascii="Sylfaen" w:hAnsi="Sylfaen"/>
          <w:color w:val="000000"/>
          <w:lang w:val="ka-GE"/>
        </w:rPr>
        <w:t xml:space="preserve">„salmeterol+fluticasone“ 500მკგ-დოზიანი  – 10 000 (ათი ათასი) ერთეული. </w:t>
      </w:r>
    </w:p>
    <w:p w14:paraId="7BF9ACCB" w14:textId="77777777" w:rsidR="002073D9" w:rsidRPr="00F50F60" w:rsidRDefault="002073D9" w:rsidP="002073D9">
      <w:pPr>
        <w:pStyle w:val="ListParagraph"/>
        <w:spacing w:after="120" w:line="240" w:lineRule="auto"/>
        <w:jc w:val="both"/>
        <w:rPr>
          <w:rFonts w:ascii="Sylfaen" w:hAnsi="Sylfaen"/>
          <w:b/>
          <w:bCs/>
          <w:iCs/>
          <w:color w:val="000000"/>
          <w:lang w:val="ka-GE"/>
        </w:rPr>
      </w:pPr>
    </w:p>
    <w:p w14:paraId="3A1BC619" w14:textId="77777777" w:rsidR="005D568C" w:rsidRPr="00F50F60" w:rsidRDefault="001F79F5" w:rsidP="005D568C">
      <w:pPr>
        <w:pStyle w:val="ListParagraph"/>
        <w:numPr>
          <w:ilvl w:val="0"/>
          <w:numId w:val="25"/>
        </w:numPr>
        <w:spacing w:after="360" w:line="240" w:lineRule="auto"/>
        <w:jc w:val="both"/>
        <w:rPr>
          <w:rFonts w:ascii="Sylfaen" w:hAnsi="Sylfaen"/>
          <w:b/>
          <w:bCs/>
          <w:iCs/>
          <w:color w:val="000000"/>
          <w:lang w:val="ka-GE"/>
        </w:rPr>
      </w:pPr>
      <w:r w:rsidRPr="00F50F60">
        <w:rPr>
          <w:rFonts w:ascii="Sylfaen" w:hAnsi="Sylfaen"/>
          <w:b/>
          <w:bCs/>
          <w:iCs/>
          <w:color w:val="000000"/>
          <w:lang w:val="ka-GE"/>
        </w:rPr>
        <w:t>„Gliclazide“-</w:t>
      </w:r>
      <w:r w:rsidRPr="00F50F60">
        <w:rPr>
          <w:rFonts w:ascii="Sylfaen" w:hAnsi="Sylfaen"/>
          <w:bCs/>
          <w:iCs/>
          <w:color w:val="000000"/>
          <w:lang w:val="ka-GE"/>
        </w:rPr>
        <w:t xml:space="preserve">ს </w:t>
      </w:r>
      <w:r w:rsidR="0063262D" w:rsidRPr="00F50F60">
        <w:rPr>
          <w:rFonts w:ascii="Sylfaen" w:hAnsi="Sylfaen"/>
          <w:bCs/>
          <w:iCs/>
          <w:color w:val="000000"/>
          <w:lang w:val="ka-GE"/>
        </w:rPr>
        <w:t xml:space="preserve">ვარგისიანობის ვადა </w:t>
      </w:r>
      <w:r w:rsidRPr="00F50F60">
        <w:rPr>
          <w:rFonts w:ascii="Sylfaen" w:hAnsi="Sylfaen"/>
          <w:bCs/>
          <w:iCs/>
          <w:color w:val="000000"/>
          <w:lang w:val="ka-GE"/>
        </w:rPr>
        <w:t>სატენდერო დოკუმენტაციით, გან</w:t>
      </w:r>
      <w:r w:rsidR="003020C3" w:rsidRPr="00F50F60">
        <w:rPr>
          <w:rFonts w:ascii="Sylfaen" w:hAnsi="Sylfaen"/>
          <w:bCs/>
          <w:iCs/>
          <w:color w:val="000000"/>
          <w:lang w:val="ka-GE"/>
        </w:rPr>
        <w:t>ი</w:t>
      </w:r>
      <w:r w:rsidRPr="00F50F60">
        <w:rPr>
          <w:rFonts w:ascii="Sylfaen" w:hAnsi="Sylfaen"/>
          <w:bCs/>
          <w:iCs/>
          <w:color w:val="000000"/>
          <w:lang w:val="ka-GE"/>
        </w:rPr>
        <w:t>საზღვრ</w:t>
      </w:r>
      <w:r w:rsidR="003020C3" w:rsidRPr="00F50F60">
        <w:rPr>
          <w:rFonts w:ascii="Sylfaen" w:hAnsi="Sylfaen"/>
          <w:bCs/>
          <w:iCs/>
          <w:color w:val="000000"/>
          <w:lang w:val="ka-GE"/>
        </w:rPr>
        <w:t>ოს</w:t>
      </w:r>
      <w:r w:rsidRPr="00F50F60">
        <w:rPr>
          <w:rFonts w:ascii="Sylfaen" w:hAnsi="Sylfaen"/>
          <w:bCs/>
          <w:iCs/>
          <w:color w:val="000000"/>
          <w:lang w:val="ka-GE"/>
        </w:rPr>
        <w:t>: პირველი მოწოდება - არა ნაკლებ 12 თვე, ხოლო დარჩენილი ეტაპ(ებ)ი - არა ნაკლებ 1</w:t>
      </w:r>
      <w:r w:rsidR="003020C3" w:rsidRPr="00F50F60">
        <w:rPr>
          <w:rFonts w:ascii="Sylfaen" w:hAnsi="Sylfaen"/>
          <w:bCs/>
          <w:iCs/>
          <w:color w:val="000000"/>
          <w:lang w:val="ka-GE"/>
        </w:rPr>
        <w:t>6</w:t>
      </w:r>
      <w:r w:rsidRPr="00F50F60">
        <w:rPr>
          <w:rFonts w:ascii="Sylfaen" w:hAnsi="Sylfaen"/>
          <w:bCs/>
          <w:iCs/>
          <w:color w:val="000000"/>
          <w:lang w:val="ka-GE"/>
        </w:rPr>
        <w:t xml:space="preserve"> თვისა</w:t>
      </w:r>
      <w:r w:rsidR="003020C3" w:rsidRPr="00F50F60">
        <w:rPr>
          <w:rFonts w:ascii="Sylfaen" w:hAnsi="Sylfaen"/>
          <w:bCs/>
          <w:iCs/>
          <w:color w:val="000000"/>
          <w:lang w:val="ka-GE"/>
        </w:rPr>
        <w:t>.</w:t>
      </w:r>
    </w:p>
    <w:p w14:paraId="2169516F" w14:textId="77777777" w:rsidR="000B747F" w:rsidRPr="00F50F60" w:rsidRDefault="000B747F" w:rsidP="000B747F">
      <w:pPr>
        <w:pStyle w:val="ListParagraph"/>
        <w:spacing w:after="360" w:line="240" w:lineRule="auto"/>
        <w:ind w:left="360"/>
        <w:jc w:val="both"/>
        <w:rPr>
          <w:rFonts w:ascii="Sylfaen" w:hAnsi="Sylfaen"/>
          <w:b/>
          <w:bCs/>
          <w:iCs/>
          <w:color w:val="000000"/>
          <w:lang w:val="ka-GE"/>
        </w:rPr>
      </w:pPr>
    </w:p>
    <w:p w14:paraId="3D2F2693" w14:textId="40864407" w:rsidR="00E34D84" w:rsidRPr="00F50F60" w:rsidRDefault="001F79F5" w:rsidP="00E05E10">
      <w:pPr>
        <w:pStyle w:val="ListParagraph"/>
        <w:numPr>
          <w:ilvl w:val="0"/>
          <w:numId w:val="25"/>
        </w:numPr>
        <w:spacing w:after="360" w:line="240" w:lineRule="auto"/>
        <w:jc w:val="both"/>
        <w:rPr>
          <w:rFonts w:ascii="Sylfaen" w:hAnsi="Sylfaen"/>
          <w:lang w:val="ka-GE"/>
        </w:rPr>
      </w:pPr>
      <w:r w:rsidRPr="00F50F60">
        <w:rPr>
          <w:rFonts w:ascii="Sylfaen" w:hAnsi="Sylfaen"/>
          <w:b/>
          <w:bCs/>
          <w:iCs/>
          <w:color w:val="000000"/>
          <w:lang w:val="ka-GE"/>
        </w:rPr>
        <w:t>„Perindopril/Amlodipine“</w:t>
      </w:r>
      <w:r w:rsidR="003020C3" w:rsidRPr="00F50F60">
        <w:rPr>
          <w:rFonts w:ascii="Sylfaen" w:hAnsi="Sylfaen"/>
          <w:b/>
          <w:bCs/>
          <w:iCs/>
          <w:color w:val="000000"/>
          <w:lang w:val="ka-GE"/>
        </w:rPr>
        <w:t xml:space="preserve">, </w:t>
      </w:r>
      <w:r w:rsidRPr="00F50F60">
        <w:rPr>
          <w:rFonts w:ascii="Sylfaen" w:hAnsi="Sylfaen"/>
          <w:b/>
          <w:bCs/>
          <w:iCs/>
          <w:color w:val="000000"/>
          <w:lang w:val="ka-GE"/>
        </w:rPr>
        <w:t>„Bisoprolol“</w:t>
      </w:r>
      <w:r w:rsidR="002073D9" w:rsidRPr="00F50F60">
        <w:rPr>
          <w:rFonts w:ascii="Sylfaen" w:hAnsi="Sylfaen"/>
          <w:b/>
          <w:bCs/>
          <w:iCs/>
          <w:color w:val="000000"/>
          <w:lang w:val="ka-GE"/>
        </w:rPr>
        <w:t>,</w:t>
      </w:r>
      <w:r w:rsidR="003020C3" w:rsidRPr="00F50F60">
        <w:rPr>
          <w:rFonts w:ascii="Sylfaen" w:hAnsi="Sylfaen"/>
          <w:b/>
          <w:bCs/>
          <w:iCs/>
          <w:color w:val="000000"/>
          <w:lang w:val="ka-GE"/>
        </w:rPr>
        <w:t xml:space="preserve"> </w:t>
      </w:r>
      <w:r w:rsidRPr="00F50F60">
        <w:rPr>
          <w:rFonts w:ascii="Sylfaen" w:hAnsi="Sylfaen"/>
          <w:b/>
          <w:bCs/>
          <w:iCs/>
          <w:color w:val="000000"/>
          <w:lang w:val="ka-GE"/>
        </w:rPr>
        <w:t>„Perindopril/Indapamide“</w:t>
      </w:r>
      <w:r w:rsidR="002073D9" w:rsidRPr="00F50F60">
        <w:rPr>
          <w:rFonts w:ascii="Sylfaen" w:hAnsi="Sylfaen"/>
          <w:b/>
          <w:bCs/>
          <w:iCs/>
          <w:color w:val="000000"/>
          <w:lang w:val="ka-GE"/>
        </w:rPr>
        <w:t xml:space="preserve"> </w:t>
      </w:r>
      <w:r w:rsidR="00E34D84" w:rsidRPr="00F50F60">
        <w:rPr>
          <w:rFonts w:ascii="Sylfaen" w:hAnsi="Sylfaen"/>
          <w:bCs/>
          <w:iCs/>
          <w:color w:val="000000"/>
          <w:lang w:val="ka-GE"/>
        </w:rPr>
        <w:t xml:space="preserve">, </w:t>
      </w:r>
      <w:r w:rsidRPr="00F50F60">
        <w:rPr>
          <w:rFonts w:ascii="Sylfaen" w:hAnsi="Sylfaen"/>
          <w:b/>
          <w:bCs/>
          <w:iCs/>
          <w:color w:val="000000"/>
          <w:lang w:val="ka-GE"/>
        </w:rPr>
        <w:t>„Clopidogrel“</w:t>
      </w:r>
      <w:r w:rsidR="002073D9" w:rsidRPr="00F50F60">
        <w:rPr>
          <w:rFonts w:ascii="Sylfaen" w:hAnsi="Sylfaen"/>
          <w:b/>
          <w:bCs/>
          <w:iCs/>
          <w:color w:val="000000"/>
          <w:lang w:val="ka-GE"/>
        </w:rPr>
        <w:t xml:space="preserve"> </w:t>
      </w:r>
      <w:r w:rsidR="00E34D84" w:rsidRPr="00F50F60">
        <w:rPr>
          <w:rFonts w:ascii="Sylfaen" w:hAnsi="Sylfaen"/>
          <w:lang w:val="ka-GE"/>
        </w:rPr>
        <w:t xml:space="preserve">, </w:t>
      </w:r>
      <w:r w:rsidRPr="00F50F60">
        <w:rPr>
          <w:rFonts w:ascii="Sylfaen" w:hAnsi="Sylfaen"/>
          <w:b/>
          <w:bCs/>
          <w:iCs/>
          <w:color w:val="000000"/>
          <w:lang w:val="ka-GE"/>
        </w:rPr>
        <w:t xml:space="preserve">„Atorvastatin“ 20 მგ - </w:t>
      </w:r>
      <w:r w:rsidR="00E34D84" w:rsidRPr="00F50F60">
        <w:rPr>
          <w:rFonts w:ascii="Sylfaen" w:hAnsi="Sylfaen"/>
          <w:bCs/>
          <w:iCs/>
          <w:color w:val="000000"/>
          <w:lang w:val="ka-GE"/>
        </w:rPr>
        <w:t xml:space="preserve">სსიპ სოციალური მომსახურების სააგენტოს ეთხოვოს, წერილობით მიმართოს </w:t>
      </w:r>
      <w:commentRangeStart w:id="0"/>
      <w:r w:rsidR="00E34D84" w:rsidRPr="00F50F60">
        <w:rPr>
          <w:rFonts w:ascii="Sylfaen" w:hAnsi="Sylfaen"/>
          <w:bCs/>
          <w:iCs/>
          <w:color w:val="000000"/>
          <w:lang w:val="ka-GE"/>
        </w:rPr>
        <w:t xml:space="preserve">პოტენციურ მომწოდებლებს, </w:t>
      </w:r>
      <w:commentRangeEnd w:id="0"/>
      <w:r w:rsidR="00F50F60">
        <w:rPr>
          <w:rStyle w:val="CommentReference"/>
        </w:rPr>
        <w:commentReference w:id="0"/>
      </w:r>
      <w:r w:rsidR="00E34D84" w:rsidRPr="00F50F60">
        <w:rPr>
          <w:rFonts w:ascii="Sylfaen" w:hAnsi="Sylfaen"/>
          <w:bCs/>
          <w:iCs/>
          <w:color w:val="000000"/>
          <w:lang w:val="ka-GE"/>
        </w:rPr>
        <w:t>რათა მაქსიმალურად შემჭიდროვებულ ვადებში, მათ მიერ წარმოდგენილ იქნას</w:t>
      </w:r>
      <w:r w:rsidR="00B866C6" w:rsidRPr="00F50F60">
        <w:rPr>
          <w:rFonts w:ascii="Sylfaen" w:hAnsi="Sylfaen"/>
          <w:bCs/>
          <w:iCs/>
          <w:color w:val="000000"/>
          <w:lang w:val="ka-GE"/>
        </w:rPr>
        <w:t>: ა)</w:t>
      </w:r>
      <w:r w:rsidR="00E34D84" w:rsidRPr="00F50F60">
        <w:rPr>
          <w:rFonts w:ascii="Sylfaen" w:hAnsi="Sylfaen"/>
          <w:bCs/>
          <w:iCs/>
          <w:color w:val="000000"/>
          <w:lang w:val="ka-GE"/>
        </w:rPr>
        <w:t xml:space="preserve"> განმარტება</w:t>
      </w:r>
      <w:r w:rsidR="006369CD" w:rsidRPr="00F50F60">
        <w:rPr>
          <w:rFonts w:ascii="Sylfaen" w:hAnsi="Sylfaen"/>
          <w:bCs/>
          <w:iCs/>
          <w:color w:val="000000"/>
          <w:lang w:val="ka-GE"/>
        </w:rPr>
        <w:t>,</w:t>
      </w:r>
      <w:r w:rsidR="00E34D84" w:rsidRPr="00F50F60">
        <w:rPr>
          <w:rFonts w:ascii="Sylfaen" w:hAnsi="Sylfaen"/>
          <w:bCs/>
          <w:iCs/>
          <w:color w:val="000000"/>
          <w:lang w:val="ka-GE"/>
        </w:rPr>
        <w:t xml:space="preserve"> დროის მოკლე პერიოდში ზემოაღნიშნულ პროგრამულ მედიკამენტებზე ფასების საგრძნობ</w:t>
      </w:r>
      <w:r w:rsidR="00B866C6" w:rsidRPr="00F50F60">
        <w:rPr>
          <w:rFonts w:ascii="Sylfaen" w:hAnsi="Sylfaen"/>
          <w:bCs/>
          <w:iCs/>
          <w:color w:val="000000"/>
          <w:lang w:val="ka-GE"/>
        </w:rPr>
        <w:t>ი</w:t>
      </w:r>
      <w:r w:rsidR="00E34D84" w:rsidRPr="00F50F60">
        <w:rPr>
          <w:rFonts w:ascii="Sylfaen" w:hAnsi="Sylfaen"/>
          <w:bCs/>
          <w:iCs/>
          <w:color w:val="000000"/>
          <w:lang w:val="ka-GE"/>
        </w:rPr>
        <w:t xml:space="preserve"> ზრდის გამომწვევ მიზეზებთან დაკავშირებით</w:t>
      </w:r>
      <w:r w:rsidR="00B866C6" w:rsidRPr="00F50F60">
        <w:rPr>
          <w:rFonts w:ascii="Sylfaen" w:hAnsi="Sylfaen"/>
          <w:bCs/>
          <w:iCs/>
          <w:color w:val="000000"/>
          <w:lang w:val="ka-GE"/>
        </w:rPr>
        <w:t>; ბ)</w:t>
      </w:r>
      <w:r w:rsidR="00E34D84" w:rsidRPr="00F50F60">
        <w:rPr>
          <w:rFonts w:ascii="Sylfaen" w:hAnsi="Sylfaen"/>
          <w:bCs/>
          <w:iCs/>
          <w:color w:val="000000"/>
          <w:lang w:val="ka-GE"/>
        </w:rPr>
        <w:t xml:space="preserve"> წინადადებები/მოსაზრებები ამავე ფარმაცევტულ პროდუქტთან მიმართებით შესაძლო ფასდათმობაზე.</w:t>
      </w:r>
    </w:p>
    <w:p w14:paraId="733EA26C" w14:textId="67769A2F" w:rsidR="000B747F" w:rsidRPr="00F50F60" w:rsidRDefault="00E34D84" w:rsidP="006369CD">
      <w:pPr>
        <w:pStyle w:val="ListParagraph"/>
        <w:spacing w:after="360" w:line="240" w:lineRule="auto"/>
        <w:ind w:left="360"/>
        <w:jc w:val="both"/>
        <w:rPr>
          <w:rFonts w:ascii="Sylfaen" w:hAnsi="Sylfaen"/>
          <w:lang w:val="ka-GE"/>
        </w:rPr>
      </w:pPr>
      <w:r w:rsidRPr="00F50F60">
        <w:rPr>
          <w:rFonts w:ascii="Sylfaen" w:hAnsi="Sylfaen"/>
          <w:bCs/>
          <w:iCs/>
          <w:color w:val="000000"/>
          <w:lang w:val="ka-GE"/>
        </w:rPr>
        <w:t xml:space="preserve"> </w:t>
      </w:r>
    </w:p>
    <w:p w14:paraId="1C5A63F9" w14:textId="4C05FE40" w:rsidR="001760F3" w:rsidRPr="00F50F60" w:rsidRDefault="000B747F" w:rsidP="000B747F">
      <w:pPr>
        <w:pStyle w:val="ListParagraph"/>
        <w:numPr>
          <w:ilvl w:val="0"/>
          <w:numId w:val="25"/>
        </w:numPr>
        <w:spacing w:after="360" w:line="240" w:lineRule="auto"/>
        <w:jc w:val="both"/>
        <w:rPr>
          <w:rFonts w:ascii="Sylfaen" w:hAnsi="Sylfaen"/>
          <w:b/>
          <w:bCs/>
          <w:iCs/>
          <w:color w:val="000000"/>
          <w:lang w:val="ka-GE"/>
        </w:rPr>
      </w:pPr>
      <w:r w:rsidRPr="00F50F60">
        <w:rPr>
          <w:rFonts w:ascii="Sylfaen" w:hAnsi="Sylfaen"/>
          <w:lang w:val="ka-GE"/>
        </w:rPr>
        <w:t xml:space="preserve">სააგენტომ </w:t>
      </w:r>
      <w:r w:rsidR="005D568C" w:rsidRPr="00F50F60">
        <w:rPr>
          <w:rFonts w:ascii="Sylfaen" w:hAnsi="Sylfaen"/>
          <w:lang w:val="ka-GE"/>
        </w:rPr>
        <w:t>პროგრამის ფარგლებში დამატებული ახალი მედიკამენტებ</w:t>
      </w:r>
      <w:r w:rsidRPr="00F50F60">
        <w:rPr>
          <w:rFonts w:ascii="Sylfaen" w:hAnsi="Sylfaen"/>
          <w:lang w:val="ka-GE"/>
        </w:rPr>
        <w:t xml:space="preserve">ი მიიღოს </w:t>
      </w:r>
      <w:r w:rsidR="005D568C" w:rsidRPr="00F50F60">
        <w:rPr>
          <w:rFonts w:ascii="Sylfaen" w:hAnsi="Sylfaen"/>
          <w:lang w:val="ka-GE"/>
        </w:rPr>
        <w:t>ერთი მოწოდებით</w:t>
      </w:r>
      <w:r w:rsidRPr="00F50F60">
        <w:rPr>
          <w:rFonts w:ascii="Sylfaen" w:hAnsi="Sylfaen"/>
          <w:lang w:val="ka-GE"/>
        </w:rPr>
        <w:t>,</w:t>
      </w:r>
      <w:r w:rsidR="005D568C" w:rsidRPr="00F50F60">
        <w:rPr>
          <w:rFonts w:ascii="Sylfaen" w:hAnsi="Sylfaen"/>
          <w:lang w:val="ka-GE"/>
        </w:rPr>
        <w:t xml:space="preserve"> მედიკამ</w:t>
      </w:r>
      <w:r w:rsidR="00E34D84" w:rsidRPr="00F50F60">
        <w:rPr>
          <w:rFonts w:ascii="Sylfaen" w:hAnsi="Sylfaen"/>
          <w:lang w:val="ka-GE"/>
        </w:rPr>
        <w:t>ე</w:t>
      </w:r>
      <w:r w:rsidR="005D568C" w:rsidRPr="00F50F60">
        <w:rPr>
          <w:rFonts w:ascii="Sylfaen" w:hAnsi="Sylfaen"/>
          <w:lang w:val="ka-GE"/>
        </w:rPr>
        <w:t>ნტის ვარგისიანობის 18 თვიანი ვადის გათვალისწინებით</w:t>
      </w:r>
      <w:r w:rsidRPr="00F50F60">
        <w:rPr>
          <w:rFonts w:ascii="Sylfaen" w:hAnsi="Sylfaen"/>
          <w:lang w:val="ka-GE"/>
        </w:rPr>
        <w:t>.</w:t>
      </w:r>
    </w:p>
    <w:p w14:paraId="57173AF7" w14:textId="03F21D1B" w:rsidR="00BB393A" w:rsidRPr="00F50F60" w:rsidRDefault="00BB393A" w:rsidP="001760F3">
      <w:pPr>
        <w:pStyle w:val="ListParagraph"/>
        <w:spacing w:after="360" w:line="240" w:lineRule="auto"/>
        <w:ind w:left="360"/>
        <w:jc w:val="both"/>
        <w:rPr>
          <w:rFonts w:ascii="Sylfaen" w:hAnsi="Sylfaen"/>
          <w:b/>
          <w:bCs/>
          <w:iCs/>
          <w:color w:val="000000"/>
          <w:lang w:val="ka-GE"/>
        </w:rPr>
      </w:pPr>
    </w:p>
    <w:p w14:paraId="7A533C25" w14:textId="5A82EC8F" w:rsidR="00E34D84" w:rsidRPr="00F50F60" w:rsidRDefault="00E34D84" w:rsidP="001760F3">
      <w:pPr>
        <w:pStyle w:val="ListParagraph"/>
        <w:spacing w:after="360" w:line="240" w:lineRule="auto"/>
        <w:ind w:left="360"/>
        <w:jc w:val="both"/>
        <w:rPr>
          <w:rFonts w:ascii="Sylfaen" w:hAnsi="Sylfaen"/>
          <w:bCs/>
          <w:iCs/>
          <w:color w:val="000000"/>
          <w:lang w:val="ka-GE"/>
        </w:rPr>
      </w:pPr>
      <w:r w:rsidRPr="00F50F60">
        <w:rPr>
          <w:rFonts w:ascii="Sylfaen" w:hAnsi="Sylfaen"/>
          <w:bCs/>
          <w:iCs/>
          <w:color w:val="000000"/>
          <w:lang w:val="ka-GE"/>
        </w:rPr>
        <w:t>ოქმი შედგენილია ერთ ეგზემპლარად 4 ფურცელზე.</w:t>
      </w:r>
      <w:bookmarkStart w:id="1" w:name="_GoBack"/>
      <w:bookmarkEnd w:id="1"/>
    </w:p>
    <w:p w14:paraId="29EB528A" w14:textId="21DA846E" w:rsidR="00800A62" w:rsidRPr="00F50F60" w:rsidRDefault="00800A62" w:rsidP="00CA401C">
      <w:pPr>
        <w:spacing w:after="120" w:line="240" w:lineRule="auto"/>
        <w:jc w:val="both"/>
        <w:rPr>
          <w:rFonts w:ascii="Sylfaen" w:hAnsi="Sylfaen" w:cs="Sylfaen"/>
          <w:lang w:val="ka-GE"/>
        </w:rPr>
      </w:pPr>
      <w:r w:rsidRPr="00F50F60">
        <w:rPr>
          <w:rFonts w:ascii="Sylfaen" w:hAnsi="Sylfaen" w:cs="Sylfaen"/>
          <w:lang w:val="ka-GE"/>
        </w:rPr>
        <w:t>მ. ლაგვილავა</w:t>
      </w:r>
    </w:p>
    <w:p w14:paraId="2F1FAC3B" w14:textId="77777777" w:rsidR="00800A62" w:rsidRPr="00F50F60" w:rsidRDefault="00800A62" w:rsidP="00CA401C">
      <w:pPr>
        <w:spacing w:after="120" w:line="240" w:lineRule="auto"/>
        <w:jc w:val="both"/>
        <w:rPr>
          <w:rFonts w:ascii="Sylfaen" w:hAnsi="Sylfaen" w:cs="Sylfaen"/>
          <w:lang w:val="ka-GE"/>
        </w:rPr>
      </w:pPr>
    </w:p>
    <w:p w14:paraId="06CD5BDF" w14:textId="6BBA0403" w:rsidR="001D4B73" w:rsidRPr="00F50F60" w:rsidRDefault="001D4B73" w:rsidP="00CA401C">
      <w:pPr>
        <w:spacing w:after="120" w:line="240" w:lineRule="auto"/>
        <w:jc w:val="both"/>
        <w:rPr>
          <w:rFonts w:ascii="Sylfaen" w:hAnsi="Sylfaen" w:cs="Sylfaen"/>
          <w:lang w:val="ka-GE"/>
        </w:rPr>
      </w:pPr>
      <w:r w:rsidRPr="00F50F60">
        <w:rPr>
          <w:rFonts w:ascii="Sylfaen" w:hAnsi="Sylfaen" w:cs="Sylfaen"/>
          <w:lang w:val="ka-GE"/>
        </w:rPr>
        <w:t>მ.</w:t>
      </w:r>
      <w:r w:rsidR="00E34D84" w:rsidRPr="00F50F60">
        <w:rPr>
          <w:rFonts w:ascii="Sylfaen" w:hAnsi="Sylfaen" w:cs="Sylfaen"/>
          <w:lang w:val="ka-GE"/>
        </w:rPr>
        <w:t xml:space="preserve"> </w:t>
      </w:r>
      <w:r w:rsidRPr="00F50F60">
        <w:rPr>
          <w:rFonts w:ascii="Sylfaen" w:hAnsi="Sylfaen" w:cs="Sylfaen"/>
          <w:lang w:val="ka-GE"/>
        </w:rPr>
        <w:t>დარახველიძე</w:t>
      </w:r>
    </w:p>
    <w:p w14:paraId="2AE56FEA" w14:textId="77777777" w:rsidR="001D4B73" w:rsidRPr="00F50F60" w:rsidRDefault="001D4B73" w:rsidP="00CA401C">
      <w:pPr>
        <w:spacing w:after="120" w:line="240" w:lineRule="auto"/>
        <w:jc w:val="both"/>
        <w:rPr>
          <w:rFonts w:ascii="Sylfaen" w:hAnsi="Sylfaen" w:cs="Sylfaen"/>
          <w:lang w:val="ka-GE"/>
        </w:rPr>
      </w:pPr>
    </w:p>
    <w:p w14:paraId="66C99F09" w14:textId="0F4A27CC" w:rsidR="00800A62" w:rsidRPr="00F50F60" w:rsidRDefault="00800A62" w:rsidP="00CA401C">
      <w:pPr>
        <w:spacing w:after="120" w:line="240" w:lineRule="auto"/>
        <w:jc w:val="both"/>
        <w:rPr>
          <w:rFonts w:ascii="Sylfaen" w:hAnsi="Sylfaen" w:cs="Sylfaen"/>
          <w:lang w:val="ka-GE"/>
        </w:rPr>
      </w:pPr>
      <w:r w:rsidRPr="00F50F60">
        <w:rPr>
          <w:rFonts w:ascii="Sylfaen" w:hAnsi="Sylfaen" w:cs="Sylfaen"/>
          <w:lang w:val="ka-GE"/>
        </w:rPr>
        <w:t>ნ. ქინქლაძე</w:t>
      </w:r>
    </w:p>
    <w:p w14:paraId="5D52A80B" w14:textId="77777777" w:rsidR="00800A62" w:rsidRPr="00F50F60" w:rsidRDefault="00800A62" w:rsidP="00CA401C">
      <w:pPr>
        <w:spacing w:after="120" w:line="240" w:lineRule="auto"/>
        <w:jc w:val="both"/>
        <w:rPr>
          <w:rFonts w:ascii="Sylfaen" w:hAnsi="Sylfaen" w:cs="Sylfaen"/>
          <w:lang w:val="ka-GE"/>
        </w:rPr>
      </w:pPr>
    </w:p>
    <w:p w14:paraId="5FE70D2F" w14:textId="47059BEA" w:rsidR="00800A62" w:rsidRPr="00F50F60" w:rsidRDefault="00800A62" w:rsidP="00CA401C">
      <w:pPr>
        <w:spacing w:after="120" w:line="240" w:lineRule="auto"/>
        <w:jc w:val="both"/>
        <w:rPr>
          <w:rFonts w:ascii="Sylfaen" w:hAnsi="Sylfaen" w:cs="Sylfaen"/>
          <w:lang w:val="ka-GE"/>
        </w:rPr>
      </w:pPr>
      <w:r w:rsidRPr="00F50F60">
        <w:rPr>
          <w:rFonts w:ascii="Sylfaen" w:hAnsi="Sylfaen" w:cs="Sylfaen"/>
          <w:lang w:val="ka-GE"/>
        </w:rPr>
        <w:t>ლ. ნიკოლაძე</w:t>
      </w:r>
    </w:p>
    <w:p w14:paraId="3D3B4BC1" w14:textId="77777777" w:rsidR="00800A62" w:rsidRPr="00F50F60" w:rsidRDefault="00800A62" w:rsidP="00CA401C">
      <w:pPr>
        <w:spacing w:after="120" w:line="240" w:lineRule="auto"/>
        <w:jc w:val="both"/>
        <w:rPr>
          <w:rFonts w:ascii="Sylfaen" w:hAnsi="Sylfaen" w:cs="Sylfaen"/>
        </w:rPr>
      </w:pPr>
    </w:p>
    <w:p w14:paraId="72DB008D" w14:textId="6B14A407" w:rsidR="00800A62" w:rsidRPr="00F50F60" w:rsidRDefault="00800A62" w:rsidP="00CA401C">
      <w:pPr>
        <w:spacing w:after="120" w:line="240" w:lineRule="auto"/>
        <w:jc w:val="both"/>
        <w:rPr>
          <w:rFonts w:ascii="Sylfaen" w:hAnsi="Sylfaen" w:cs="Sylfaen"/>
          <w:lang w:val="ka-GE"/>
        </w:rPr>
      </w:pPr>
      <w:r w:rsidRPr="00F50F60">
        <w:rPr>
          <w:rFonts w:ascii="Sylfaen" w:hAnsi="Sylfaen" w:cs="Sylfaen"/>
          <w:lang w:val="ka-GE"/>
        </w:rPr>
        <w:lastRenderedPageBreak/>
        <w:t>თ. აბაზაძე</w:t>
      </w:r>
    </w:p>
    <w:p w14:paraId="11E59EF3" w14:textId="77777777" w:rsidR="00800A62" w:rsidRPr="00F50F60" w:rsidRDefault="00800A62" w:rsidP="00CA401C">
      <w:pPr>
        <w:spacing w:after="120" w:line="240" w:lineRule="auto"/>
        <w:jc w:val="both"/>
        <w:rPr>
          <w:rFonts w:ascii="Sylfaen" w:hAnsi="Sylfaen" w:cs="Sylfaen"/>
          <w:lang w:val="ka-GE"/>
        </w:rPr>
      </w:pPr>
    </w:p>
    <w:p w14:paraId="56B10E04" w14:textId="310F943D" w:rsidR="00800A62" w:rsidRPr="00F50F60" w:rsidRDefault="00800A62" w:rsidP="00CA401C">
      <w:pPr>
        <w:spacing w:after="120" w:line="240" w:lineRule="auto"/>
        <w:jc w:val="both"/>
        <w:rPr>
          <w:rFonts w:ascii="Sylfaen" w:hAnsi="Sylfaen" w:cs="Sylfaen"/>
          <w:lang w:val="ka-GE"/>
        </w:rPr>
      </w:pPr>
      <w:r w:rsidRPr="00F50F60">
        <w:rPr>
          <w:rFonts w:ascii="Sylfaen" w:hAnsi="Sylfaen" w:cs="Sylfaen"/>
          <w:lang w:val="ka-GE"/>
        </w:rPr>
        <w:t>თ. მოდებაძე</w:t>
      </w:r>
    </w:p>
    <w:p w14:paraId="3DB6B855" w14:textId="77777777" w:rsidR="00800A62" w:rsidRPr="00F50F60" w:rsidRDefault="00800A62" w:rsidP="00CA401C">
      <w:pPr>
        <w:spacing w:after="120" w:line="240" w:lineRule="auto"/>
        <w:jc w:val="both"/>
        <w:rPr>
          <w:rFonts w:ascii="Sylfaen" w:hAnsi="Sylfaen" w:cs="Sylfaen"/>
          <w:lang w:val="ka-GE"/>
        </w:rPr>
      </w:pPr>
    </w:p>
    <w:p w14:paraId="6173A5C3" w14:textId="25CA7C5B" w:rsidR="00800A62" w:rsidRPr="00F50F60" w:rsidRDefault="00800A62" w:rsidP="00CA401C">
      <w:pPr>
        <w:spacing w:after="120" w:line="240" w:lineRule="auto"/>
        <w:jc w:val="both"/>
        <w:rPr>
          <w:rFonts w:ascii="Sylfaen" w:hAnsi="Sylfaen" w:cs="Sylfaen"/>
          <w:lang w:val="ka-GE"/>
        </w:rPr>
      </w:pPr>
      <w:r w:rsidRPr="00F50F60">
        <w:rPr>
          <w:rFonts w:ascii="Sylfaen" w:hAnsi="Sylfaen" w:cs="Sylfaen"/>
          <w:lang w:val="ka-GE"/>
        </w:rPr>
        <w:t>ბ. დათუკიშვილი</w:t>
      </w:r>
    </w:p>
    <w:p w14:paraId="641182FA" w14:textId="77777777" w:rsidR="00800A62" w:rsidRPr="00F50F60" w:rsidRDefault="00800A62" w:rsidP="00CA401C">
      <w:pPr>
        <w:spacing w:after="120" w:line="240" w:lineRule="auto"/>
        <w:jc w:val="both"/>
        <w:rPr>
          <w:rFonts w:ascii="Sylfaen" w:hAnsi="Sylfaen" w:cs="Sylfaen"/>
          <w:lang w:val="ka-GE"/>
        </w:rPr>
      </w:pPr>
    </w:p>
    <w:p w14:paraId="3C61E637" w14:textId="77777777" w:rsidR="00800A62" w:rsidRPr="00F50F60" w:rsidRDefault="00800A62" w:rsidP="00CA401C">
      <w:pPr>
        <w:spacing w:after="120" w:line="240" w:lineRule="auto"/>
        <w:jc w:val="both"/>
        <w:rPr>
          <w:rFonts w:ascii="Sylfaen" w:hAnsi="Sylfaen" w:cs="Sylfaen"/>
          <w:lang w:val="ka-GE"/>
        </w:rPr>
      </w:pPr>
      <w:r w:rsidRPr="00F50F60">
        <w:rPr>
          <w:rFonts w:ascii="Sylfaen" w:hAnsi="Sylfaen" w:cs="Sylfaen"/>
          <w:lang w:val="ka-GE"/>
        </w:rPr>
        <w:t>ი. გობეჯიშვილი</w:t>
      </w:r>
    </w:p>
    <w:p w14:paraId="3F031D54" w14:textId="77777777" w:rsidR="001D4B73" w:rsidRPr="00F50F60" w:rsidRDefault="001D4B73" w:rsidP="00CA401C">
      <w:pPr>
        <w:spacing w:after="120" w:line="240" w:lineRule="auto"/>
        <w:jc w:val="both"/>
        <w:rPr>
          <w:rFonts w:ascii="Sylfaen" w:hAnsi="Sylfaen" w:cs="Sylfaen"/>
          <w:lang w:val="ka-GE"/>
        </w:rPr>
      </w:pPr>
    </w:p>
    <w:p w14:paraId="7588F7A1" w14:textId="280A00EA" w:rsidR="001D4B73" w:rsidRPr="00F50F60" w:rsidRDefault="001D4B73" w:rsidP="00CA401C">
      <w:pPr>
        <w:spacing w:after="120" w:line="240" w:lineRule="auto"/>
        <w:jc w:val="both"/>
        <w:rPr>
          <w:rFonts w:ascii="Sylfaen" w:hAnsi="Sylfaen" w:cs="Sylfaen"/>
          <w:lang w:val="ka-GE"/>
        </w:rPr>
      </w:pPr>
      <w:r w:rsidRPr="00F50F60">
        <w:rPr>
          <w:rFonts w:ascii="Sylfaen" w:hAnsi="Sylfaen" w:cs="Sylfaen"/>
          <w:lang w:val="ka-GE"/>
        </w:rPr>
        <w:t>ც. კობახიძე</w:t>
      </w:r>
    </w:p>
    <w:p w14:paraId="2290CCB5" w14:textId="77777777" w:rsidR="001D4B73" w:rsidRPr="00F50F60" w:rsidRDefault="001D4B73" w:rsidP="00CA401C">
      <w:pPr>
        <w:spacing w:after="120" w:line="240" w:lineRule="auto"/>
        <w:jc w:val="both"/>
        <w:rPr>
          <w:rFonts w:ascii="Sylfaen" w:hAnsi="Sylfaen" w:cs="Sylfaen"/>
          <w:lang w:val="ka-GE"/>
        </w:rPr>
      </w:pPr>
    </w:p>
    <w:p w14:paraId="22D1DD96" w14:textId="5D3FEF9B" w:rsidR="001D4B73" w:rsidRPr="00F50F60" w:rsidRDefault="001D4B73" w:rsidP="00CA401C">
      <w:pPr>
        <w:spacing w:after="120" w:line="240" w:lineRule="auto"/>
        <w:jc w:val="both"/>
        <w:rPr>
          <w:rFonts w:ascii="Sylfaen" w:hAnsi="Sylfaen" w:cs="Sylfaen"/>
          <w:lang w:val="ka-GE"/>
        </w:rPr>
      </w:pPr>
      <w:r w:rsidRPr="00F50F60">
        <w:rPr>
          <w:rFonts w:ascii="Sylfaen" w:hAnsi="Sylfaen" w:cs="Sylfaen"/>
          <w:lang w:val="ka-GE"/>
        </w:rPr>
        <w:t>ლ. წოწორია</w:t>
      </w:r>
    </w:p>
    <w:p w14:paraId="3991B769" w14:textId="77777777" w:rsidR="00DA7389" w:rsidRPr="00F50F60" w:rsidRDefault="00DA7389" w:rsidP="00CA401C">
      <w:pPr>
        <w:spacing w:after="120" w:line="240" w:lineRule="auto"/>
        <w:jc w:val="both"/>
        <w:rPr>
          <w:rFonts w:ascii="Sylfaen" w:hAnsi="Sylfaen" w:cs="Sylfaen"/>
          <w:lang w:val="ka-GE"/>
        </w:rPr>
      </w:pPr>
    </w:p>
    <w:p w14:paraId="3F60911C" w14:textId="77777777" w:rsidR="00800A62" w:rsidRPr="00F50F60" w:rsidRDefault="00800A62" w:rsidP="00CA401C">
      <w:pPr>
        <w:spacing w:after="120" w:line="240" w:lineRule="auto"/>
        <w:rPr>
          <w:rFonts w:ascii="Sylfaen" w:hAnsi="Sylfaen"/>
          <w:lang w:val="ka-GE"/>
        </w:rPr>
      </w:pPr>
    </w:p>
    <w:p w14:paraId="36B98C1A" w14:textId="77777777" w:rsidR="00800A62" w:rsidRPr="00F50F60" w:rsidRDefault="00800A62" w:rsidP="00CA401C">
      <w:pPr>
        <w:spacing w:after="120" w:line="240" w:lineRule="auto"/>
        <w:jc w:val="both"/>
        <w:rPr>
          <w:rFonts w:ascii="Sylfaen" w:hAnsi="Sylfaen"/>
          <w:lang w:val="ka-GE"/>
        </w:rPr>
      </w:pPr>
    </w:p>
    <w:sectPr w:rsidR="00800A62" w:rsidRPr="00F50F60" w:rsidSect="00DA7389">
      <w:pgSz w:w="15840" w:h="12240" w:orient="landscape"/>
      <w:pgMar w:top="1276" w:right="1440" w:bottom="851" w:left="993"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esik Datukishvili" w:date="2018-11-27T19:58:00Z" w:initials="BD">
    <w:p w14:paraId="1FF7C6E7" w14:textId="27D8CD81" w:rsidR="00F50F60" w:rsidRPr="00F50F60" w:rsidRDefault="00F50F60">
      <w:pPr>
        <w:pStyle w:val="CommentText"/>
        <w:rPr>
          <w:rFonts w:ascii="Sylfaen" w:hAnsi="Sylfaen"/>
          <w:lang w:val="ka-GE"/>
        </w:rPr>
      </w:pPr>
      <w:r>
        <w:rPr>
          <w:rStyle w:val="CommentReference"/>
        </w:rPr>
        <w:annotationRef/>
      </w:r>
      <w:r>
        <w:rPr>
          <w:rFonts w:ascii="Sylfaen" w:hAnsi="Sylfaen"/>
          <w:lang w:val="ka-GE"/>
        </w:rPr>
        <w:t>ეკა, აქ საუბარი იყო უშუალოდ „პსპ ფარმაზე“, ვინაიდან მათ ჰქონდათ დაფიქსირებული ყველაზე დაბალი ფასი და ეს ფასი ზემოაღნიშნული პროცენტული მაჩვენებლებით მაღალი იყო წინა ტენდერებში მათ მიერ შემოთავაზებულზე. შესაბამისად, სხვა მიმწოდებლებისთვის აღარ მიგვიმართავს.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F7C6E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AC1E0" w14:textId="77777777" w:rsidR="0068362F" w:rsidRDefault="0068362F" w:rsidP="00DE33E6">
      <w:pPr>
        <w:spacing w:after="0" w:line="240" w:lineRule="auto"/>
      </w:pPr>
      <w:r>
        <w:separator/>
      </w:r>
    </w:p>
  </w:endnote>
  <w:endnote w:type="continuationSeparator" w:id="0">
    <w:p w14:paraId="48718F73" w14:textId="77777777" w:rsidR="0068362F" w:rsidRDefault="0068362F" w:rsidP="00DE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A57AD" w14:textId="77777777" w:rsidR="0068362F" w:rsidRDefault="0068362F" w:rsidP="00DE33E6">
      <w:pPr>
        <w:spacing w:after="0" w:line="240" w:lineRule="auto"/>
      </w:pPr>
      <w:r>
        <w:separator/>
      </w:r>
    </w:p>
  </w:footnote>
  <w:footnote w:type="continuationSeparator" w:id="0">
    <w:p w14:paraId="5A907924" w14:textId="77777777" w:rsidR="0068362F" w:rsidRDefault="0068362F" w:rsidP="00DE3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56ED"/>
    <w:multiLevelType w:val="hybridMultilevel"/>
    <w:tmpl w:val="E9D2E4B2"/>
    <w:lvl w:ilvl="0" w:tplc="E35A7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64967"/>
    <w:multiLevelType w:val="hybridMultilevel"/>
    <w:tmpl w:val="8138BF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40A7"/>
    <w:multiLevelType w:val="hybridMultilevel"/>
    <w:tmpl w:val="178C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165E7"/>
    <w:multiLevelType w:val="hybridMultilevel"/>
    <w:tmpl w:val="33769E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C095EDD"/>
    <w:multiLevelType w:val="hybridMultilevel"/>
    <w:tmpl w:val="22743E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545BE"/>
    <w:multiLevelType w:val="hybridMultilevel"/>
    <w:tmpl w:val="8258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E0FF6"/>
    <w:multiLevelType w:val="hybridMultilevel"/>
    <w:tmpl w:val="2FB4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51815"/>
    <w:multiLevelType w:val="hybridMultilevel"/>
    <w:tmpl w:val="144E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33E23"/>
    <w:multiLevelType w:val="hybridMultilevel"/>
    <w:tmpl w:val="F642F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9290B"/>
    <w:multiLevelType w:val="hybridMultilevel"/>
    <w:tmpl w:val="8454F9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53C12"/>
    <w:multiLevelType w:val="hybridMultilevel"/>
    <w:tmpl w:val="B2F61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CE5637"/>
    <w:multiLevelType w:val="hybridMultilevel"/>
    <w:tmpl w:val="9B626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D2FD3"/>
    <w:multiLevelType w:val="hybridMultilevel"/>
    <w:tmpl w:val="E406685E"/>
    <w:lvl w:ilvl="0" w:tplc="04090001">
      <w:start w:val="1"/>
      <w:numFmt w:val="bullet"/>
      <w:lvlText w:val=""/>
      <w:lvlJc w:val="left"/>
      <w:pPr>
        <w:ind w:left="2460" w:hanging="24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BD4618"/>
    <w:multiLevelType w:val="hybridMultilevel"/>
    <w:tmpl w:val="E2A6A27A"/>
    <w:lvl w:ilvl="0" w:tplc="F3FC8ACA">
      <w:numFmt w:val="bullet"/>
      <w:lvlText w:val="•"/>
      <w:lvlJc w:val="left"/>
      <w:pPr>
        <w:ind w:left="2460" w:hanging="2460"/>
      </w:pPr>
      <w:rPr>
        <w:rFonts w:ascii="Sylfaen" w:eastAsiaTheme="minorHAnsi"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0D1758"/>
    <w:multiLevelType w:val="hybridMultilevel"/>
    <w:tmpl w:val="7530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43DBC"/>
    <w:multiLevelType w:val="hybridMultilevel"/>
    <w:tmpl w:val="06D6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C68EB"/>
    <w:multiLevelType w:val="hybridMultilevel"/>
    <w:tmpl w:val="0472D284"/>
    <w:lvl w:ilvl="0" w:tplc="D6B2F240">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61066"/>
    <w:multiLevelType w:val="hybridMultilevel"/>
    <w:tmpl w:val="7FE8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C5251"/>
    <w:multiLevelType w:val="hybridMultilevel"/>
    <w:tmpl w:val="8698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82D7B"/>
    <w:multiLevelType w:val="hybridMultilevel"/>
    <w:tmpl w:val="6D4EA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E70B34"/>
    <w:multiLevelType w:val="hybridMultilevel"/>
    <w:tmpl w:val="72E08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F03EC"/>
    <w:multiLevelType w:val="hybridMultilevel"/>
    <w:tmpl w:val="69F67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11C7B"/>
    <w:multiLevelType w:val="hybridMultilevel"/>
    <w:tmpl w:val="8F9E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85D63"/>
    <w:multiLevelType w:val="hybridMultilevel"/>
    <w:tmpl w:val="B6E624E2"/>
    <w:lvl w:ilvl="0" w:tplc="368644B2">
      <w:start w:val="1"/>
      <w:numFmt w:val="bullet"/>
      <w:lvlText w:val=""/>
      <w:lvlJc w:val="left"/>
      <w:pPr>
        <w:tabs>
          <w:tab w:val="num" w:pos="720"/>
        </w:tabs>
        <w:ind w:left="720" w:hanging="360"/>
      </w:pPr>
      <w:rPr>
        <w:rFonts w:ascii="Wingdings 2" w:hAnsi="Wingdings 2" w:hint="default"/>
      </w:rPr>
    </w:lvl>
    <w:lvl w:ilvl="1" w:tplc="DD661032" w:tentative="1">
      <w:start w:val="1"/>
      <w:numFmt w:val="bullet"/>
      <w:lvlText w:val=""/>
      <w:lvlJc w:val="left"/>
      <w:pPr>
        <w:tabs>
          <w:tab w:val="num" w:pos="1440"/>
        </w:tabs>
        <w:ind w:left="1440" w:hanging="360"/>
      </w:pPr>
      <w:rPr>
        <w:rFonts w:ascii="Wingdings 2" w:hAnsi="Wingdings 2" w:hint="default"/>
      </w:rPr>
    </w:lvl>
    <w:lvl w:ilvl="2" w:tplc="8F483D18" w:tentative="1">
      <w:start w:val="1"/>
      <w:numFmt w:val="bullet"/>
      <w:lvlText w:val=""/>
      <w:lvlJc w:val="left"/>
      <w:pPr>
        <w:tabs>
          <w:tab w:val="num" w:pos="2160"/>
        </w:tabs>
        <w:ind w:left="2160" w:hanging="360"/>
      </w:pPr>
      <w:rPr>
        <w:rFonts w:ascii="Wingdings 2" w:hAnsi="Wingdings 2" w:hint="default"/>
      </w:rPr>
    </w:lvl>
    <w:lvl w:ilvl="3" w:tplc="351274AE" w:tentative="1">
      <w:start w:val="1"/>
      <w:numFmt w:val="bullet"/>
      <w:lvlText w:val=""/>
      <w:lvlJc w:val="left"/>
      <w:pPr>
        <w:tabs>
          <w:tab w:val="num" w:pos="2880"/>
        </w:tabs>
        <w:ind w:left="2880" w:hanging="360"/>
      </w:pPr>
      <w:rPr>
        <w:rFonts w:ascii="Wingdings 2" w:hAnsi="Wingdings 2" w:hint="default"/>
      </w:rPr>
    </w:lvl>
    <w:lvl w:ilvl="4" w:tplc="D6865096" w:tentative="1">
      <w:start w:val="1"/>
      <w:numFmt w:val="bullet"/>
      <w:lvlText w:val=""/>
      <w:lvlJc w:val="left"/>
      <w:pPr>
        <w:tabs>
          <w:tab w:val="num" w:pos="3600"/>
        </w:tabs>
        <w:ind w:left="3600" w:hanging="360"/>
      </w:pPr>
      <w:rPr>
        <w:rFonts w:ascii="Wingdings 2" w:hAnsi="Wingdings 2" w:hint="default"/>
      </w:rPr>
    </w:lvl>
    <w:lvl w:ilvl="5" w:tplc="0EBCBA30" w:tentative="1">
      <w:start w:val="1"/>
      <w:numFmt w:val="bullet"/>
      <w:lvlText w:val=""/>
      <w:lvlJc w:val="left"/>
      <w:pPr>
        <w:tabs>
          <w:tab w:val="num" w:pos="4320"/>
        </w:tabs>
        <w:ind w:left="4320" w:hanging="360"/>
      </w:pPr>
      <w:rPr>
        <w:rFonts w:ascii="Wingdings 2" w:hAnsi="Wingdings 2" w:hint="default"/>
      </w:rPr>
    </w:lvl>
    <w:lvl w:ilvl="6" w:tplc="57B8B1A0" w:tentative="1">
      <w:start w:val="1"/>
      <w:numFmt w:val="bullet"/>
      <w:lvlText w:val=""/>
      <w:lvlJc w:val="left"/>
      <w:pPr>
        <w:tabs>
          <w:tab w:val="num" w:pos="5040"/>
        </w:tabs>
        <w:ind w:left="5040" w:hanging="360"/>
      </w:pPr>
      <w:rPr>
        <w:rFonts w:ascii="Wingdings 2" w:hAnsi="Wingdings 2" w:hint="default"/>
      </w:rPr>
    </w:lvl>
    <w:lvl w:ilvl="7" w:tplc="DC7C3F34" w:tentative="1">
      <w:start w:val="1"/>
      <w:numFmt w:val="bullet"/>
      <w:lvlText w:val=""/>
      <w:lvlJc w:val="left"/>
      <w:pPr>
        <w:tabs>
          <w:tab w:val="num" w:pos="5760"/>
        </w:tabs>
        <w:ind w:left="5760" w:hanging="360"/>
      </w:pPr>
      <w:rPr>
        <w:rFonts w:ascii="Wingdings 2" w:hAnsi="Wingdings 2" w:hint="default"/>
      </w:rPr>
    </w:lvl>
    <w:lvl w:ilvl="8" w:tplc="09B0E8FE"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5AC57AB8"/>
    <w:multiLevelType w:val="hybridMultilevel"/>
    <w:tmpl w:val="7A80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90FE6"/>
    <w:multiLevelType w:val="hybridMultilevel"/>
    <w:tmpl w:val="43A2EC44"/>
    <w:lvl w:ilvl="0" w:tplc="69F8EBF4">
      <w:start w:val="1"/>
      <w:numFmt w:val="bullet"/>
      <w:lvlText w:val=""/>
      <w:lvlJc w:val="left"/>
      <w:pPr>
        <w:tabs>
          <w:tab w:val="num" w:pos="720"/>
        </w:tabs>
        <w:ind w:left="720" w:hanging="360"/>
      </w:pPr>
      <w:rPr>
        <w:rFonts w:ascii="Wingdings 2" w:hAnsi="Wingdings 2" w:hint="default"/>
      </w:rPr>
    </w:lvl>
    <w:lvl w:ilvl="1" w:tplc="6F662D68" w:tentative="1">
      <w:start w:val="1"/>
      <w:numFmt w:val="bullet"/>
      <w:lvlText w:val=""/>
      <w:lvlJc w:val="left"/>
      <w:pPr>
        <w:tabs>
          <w:tab w:val="num" w:pos="1440"/>
        </w:tabs>
        <w:ind w:left="1440" w:hanging="360"/>
      </w:pPr>
      <w:rPr>
        <w:rFonts w:ascii="Wingdings 2" w:hAnsi="Wingdings 2" w:hint="default"/>
      </w:rPr>
    </w:lvl>
    <w:lvl w:ilvl="2" w:tplc="5E845912" w:tentative="1">
      <w:start w:val="1"/>
      <w:numFmt w:val="bullet"/>
      <w:lvlText w:val=""/>
      <w:lvlJc w:val="left"/>
      <w:pPr>
        <w:tabs>
          <w:tab w:val="num" w:pos="2160"/>
        </w:tabs>
        <w:ind w:left="2160" w:hanging="360"/>
      </w:pPr>
      <w:rPr>
        <w:rFonts w:ascii="Wingdings 2" w:hAnsi="Wingdings 2" w:hint="default"/>
      </w:rPr>
    </w:lvl>
    <w:lvl w:ilvl="3" w:tplc="5A9EEA66" w:tentative="1">
      <w:start w:val="1"/>
      <w:numFmt w:val="bullet"/>
      <w:lvlText w:val=""/>
      <w:lvlJc w:val="left"/>
      <w:pPr>
        <w:tabs>
          <w:tab w:val="num" w:pos="2880"/>
        </w:tabs>
        <w:ind w:left="2880" w:hanging="360"/>
      </w:pPr>
      <w:rPr>
        <w:rFonts w:ascii="Wingdings 2" w:hAnsi="Wingdings 2" w:hint="default"/>
      </w:rPr>
    </w:lvl>
    <w:lvl w:ilvl="4" w:tplc="E996BEE2" w:tentative="1">
      <w:start w:val="1"/>
      <w:numFmt w:val="bullet"/>
      <w:lvlText w:val=""/>
      <w:lvlJc w:val="left"/>
      <w:pPr>
        <w:tabs>
          <w:tab w:val="num" w:pos="3600"/>
        </w:tabs>
        <w:ind w:left="3600" w:hanging="360"/>
      </w:pPr>
      <w:rPr>
        <w:rFonts w:ascii="Wingdings 2" w:hAnsi="Wingdings 2" w:hint="default"/>
      </w:rPr>
    </w:lvl>
    <w:lvl w:ilvl="5" w:tplc="6630A88C" w:tentative="1">
      <w:start w:val="1"/>
      <w:numFmt w:val="bullet"/>
      <w:lvlText w:val=""/>
      <w:lvlJc w:val="left"/>
      <w:pPr>
        <w:tabs>
          <w:tab w:val="num" w:pos="4320"/>
        </w:tabs>
        <w:ind w:left="4320" w:hanging="360"/>
      </w:pPr>
      <w:rPr>
        <w:rFonts w:ascii="Wingdings 2" w:hAnsi="Wingdings 2" w:hint="default"/>
      </w:rPr>
    </w:lvl>
    <w:lvl w:ilvl="6" w:tplc="80AE1DC8" w:tentative="1">
      <w:start w:val="1"/>
      <w:numFmt w:val="bullet"/>
      <w:lvlText w:val=""/>
      <w:lvlJc w:val="left"/>
      <w:pPr>
        <w:tabs>
          <w:tab w:val="num" w:pos="5040"/>
        </w:tabs>
        <w:ind w:left="5040" w:hanging="360"/>
      </w:pPr>
      <w:rPr>
        <w:rFonts w:ascii="Wingdings 2" w:hAnsi="Wingdings 2" w:hint="default"/>
      </w:rPr>
    </w:lvl>
    <w:lvl w:ilvl="7" w:tplc="D0BC62C0" w:tentative="1">
      <w:start w:val="1"/>
      <w:numFmt w:val="bullet"/>
      <w:lvlText w:val=""/>
      <w:lvlJc w:val="left"/>
      <w:pPr>
        <w:tabs>
          <w:tab w:val="num" w:pos="5760"/>
        </w:tabs>
        <w:ind w:left="5760" w:hanging="360"/>
      </w:pPr>
      <w:rPr>
        <w:rFonts w:ascii="Wingdings 2" w:hAnsi="Wingdings 2" w:hint="default"/>
      </w:rPr>
    </w:lvl>
    <w:lvl w:ilvl="8" w:tplc="E892EC2A"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6BFB5C78"/>
    <w:multiLevelType w:val="hybridMultilevel"/>
    <w:tmpl w:val="4FCCBF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D761755"/>
    <w:multiLevelType w:val="hybridMultilevel"/>
    <w:tmpl w:val="AC9E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FC5634"/>
    <w:multiLevelType w:val="hybridMultilevel"/>
    <w:tmpl w:val="AF04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D7483"/>
    <w:multiLevelType w:val="hybridMultilevel"/>
    <w:tmpl w:val="12DCEC8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CEA6859"/>
    <w:multiLevelType w:val="hybridMultilevel"/>
    <w:tmpl w:val="EBCE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3"/>
  </w:num>
  <w:num w:numId="4">
    <w:abstractNumId w:val="18"/>
  </w:num>
  <w:num w:numId="5">
    <w:abstractNumId w:val="5"/>
  </w:num>
  <w:num w:numId="6">
    <w:abstractNumId w:val="17"/>
  </w:num>
  <w:num w:numId="7">
    <w:abstractNumId w:val="13"/>
  </w:num>
  <w:num w:numId="8">
    <w:abstractNumId w:val="12"/>
  </w:num>
  <w:num w:numId="9">
    <w:abstractNumId w:val="4"/>
  </w:num>
  <w:num w:numId="10">
    <w:abstractNumId w:val="29"/>
  </w:num>
  <w:num w:numId="11">
    <w:abstractNumId w:val="22"/>
  </w:num>
  <w:num w:numId="12">
    <w:abstractNumId w:val="30"/>
  </w:num>
  <w:num w:numId="13">
    <w:abstractNumId w:val="6"/>
  </w:num>
  <w:num w:numId="14">
    <w:abstractNumId w:val="28"/>
  </w:num>
  <w:num w:numId="15">
    <w:abstractNumId w:val="24"/>
  </w:num>
  <w:num w:numId="16">
    <w:abstractNumId w:val="27"/>
  </w:num>
  <w:num w:numId="17">
    <w:abstractNumId w:val="7"/>
  </w:num>
  <w:num w:numId="18">
    <w:abstractNumId w:val="14"/>
  </w:num>
  <w:num w:numId="19">
    <w:abstractNumId w:val="2"/>
  </w:num>
  <w:num w:numId="20">
    <w:abstractNumId w:val="3"/>
  </w:num>
  <w:num w:numId="21">
    <w:abstractNumId w:val="26"/>
  </w:num>
  <w:num w:numId="22">
    <w:abstractNumId w:val="8"/>
  </w:num>
  <w:num w:numId="23">
    <w:abstractNumId w:val="1"/>
  </w:num>
  <w:num w:numId="24">
    <w:abstractNumId w:val="9"/>
  </w:num>
  <w:num w:numId="25">
    <w:abstractNumId w:val="19"/>
  </w:num>
  <w:num w:numId="26">
    <w:abstractNumId w:val="21"/>
  </w:num>
  <w:num w:numId="27">
    <w:abstractNumId w:val="15"/>
  </w:num>
  <w:num w:numId="28">
    <w:abstractNumId w:val="11"/>
  </w:num>
  <w:num w:numId="29">
    <w:abstractNumId w:val="0"/>
  </w:num>
  <w:num w:numId="30">
    <w:abstractNumId w:val="2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sik Datukishvili">
    <w15:presenceInfo w15:providerId="AD" w15:userId="S-1-5-21-814208047-3971608839-2166339660-6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EE"/>
    <w:rsid w:val="0002381A"/>
    <w:rsid w:val="00073B8D"/>
    <w:rsid w:val="00081AE5"/>
    <w:rsid w:val="00090ADE"/>
    <w:rsid w:val="000B747F"/>
    <w:rsid w:val="001008E5"/>
    <w:rsid w:val="001760F3"/>
    <w:rsid w:val="001D3843"/>
    <w:rsid w:val="001D4B73"/>
    <w:rsid w:val="001E5E9F"/>
    <w:rsid w:val="001F79F5"/>
    <w:rsid w:val="002073D9"/>
    <w:rsid w:val="00251055"/>
    <w:rsid w:val="00287D22"/>
    <w:rsid w:val="00294B73"/>
    <w:rsid w:val="002A0EAA"/>
    <w:rsid w:val="002A1321"/>
    <w:rsid w:val="002A482D"/>
    <w:rsid w:val="002B2E80"/>
    <w:rsid w:val="003020C3"/>
    <w:rsid w:val="0030446E"/>
    <w:rsid w:val="00321105"/>
    <w:rsid w:val="0032614E"/>
    <w:rsid w:val="00335147"/>
    <w:rsid w:val="0036176A"/>
    <w:rsid w:val="0036570F"/>
    <w:rsid w:val="00370521"/>
    <w:rsid w:val="00380DB1"/>
    <w:rsid w:val="0038300C"/>
    <w:rsid w:val="003A50C1"/>
    <w:rsid w:val="00480668"/>
    <w:rsid w:val="0049547B"/>
    <w:rsid w:val="004A0C0F"/>
    <w:rsid w:val="004C1720"/>
    <w:rsid w:val="004D4EF3"/>
    <w:rsid w:val="0055753C"/>
    <w:rsid w:val="00567D53"/>
    <w:rsid w:val="005D568C"/>
    <w:rsid w:val="0062290C"/>
    <w:rsid w:val="0063262D"/>
    <w:rsid w:val="006369CD"/>
    <w:rsid w:val="00660FDF"/>
    <w:rsid w:val="00663112"/>
    <w:rsid w:val="0068362F"/>
    <w:rsid w:val="007048BF"/>
    <w:rsid w:val="0075629C"/>
    <w:rsid w:val="00763D9F"/>
    <w:rsid w:val="00790618"/>
    <w:rsid w:val="007B216C"/>
    <w:rsid w:val="007F23A7"/>
    <w:rsid w:val="007F3DEA"/>
    <w:rsid w:val="00800A62"/>
    <w:rsid w:val="00806584"/>
    <w:rsid w:val="008339AF"/>
    <w:rsid w:val="0084359A"/>
    <w:rsid w:val="008607CD"/>
    <w:rsid w:val="00881068"/>
    <w:rsid w:val="00893D2B"/>
    <w:rsid w:val="008A61B1"/>
    <w:rsid w:val="008C0827"/>
    <w:rsid w:val="008C5851"/>
    <w:rsid w:val="008D1159"/>
    <w:rsid w:val="00903EF1"/>
    <w:rsid w:val="009754C8"/>
    <w:rsid w:val="00986FD5"/>
    <w:rsid w:val="009D54CF"/>
    <w:rsid w:val="00A058E2"/>
    <w:rsid w:val="00A104C1"/>
    <w:rsid w:val="00A3418E"/>
    <w:rsid w:val="00A61F63"/>
    <w:rsid w:val="00AC0EAF"/>
    <w:rsid w:val="00AC79A9"/>
    <w:rsid w:val="00AD4F78"/>
    <w:rsid w:val="00AE31AB"/>
    <w:rsid w:val="00AE75BA"/>
    <w:rsid w:val="00B866C6"/>
    <w:rsid w:val="00B9519B"/>
    <w:rsid w:val="00BA66D3"/>
    <w:rsid w:val="00BB393A"/>
    <w:rsid w:val="00BD6526"/>
    <w:rsid w:val="00BF3A73"/>
    <w:rsid w:val="00C03FDF"/>
    <w:rsid w:val="00C2580D"/>
    <w:rsid w:val="00CA401C"/>
    <w:rsid w:val="00CD50EE"/>
    <w:rsid w:val="00D27AE6"/>
    <w:rsid w:val="00D454DD"/>
    <w:rsid w:val="00DA7389"/>
    <w:rsid w:val="00DB468C"/>
    <w:rsid w:val="00DD55B9"/>
    <w:rsid w:val="00DE33E6"/>
    <w:rsid w:val="00E05E10"/>
    <w:rsid w:val="00E3315E"/>
    <w:rsid w:val="00E338D7"/>
    <w:rsid w:val="00E34D84"/>
    <w:rsid w:val="00E603A5"/>
    <w:rsid w:val="00EA12F5"/>
    <w:rsid w:val="00EA41BA"/>
    <w:rsid w:val="00EE234A"/>
    <w:rsid w:val="00EF167E"/>
    <w:rsid w:val="00F115BC"/>
    <w:rsid w:val="00F30DE5"/>
    <w:rsid w:val="00F50F60"/>
    <w:rsid w:val="00F7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995E7"/>
  <w15:docId w15:val="{F06200A5-66A8-416D-887D-D62AC639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4DD"/>
    <w:pPr>
      <w:ind w:left="720"/>
      <w:contextualSpacing/>
    </w:pPr>
  </w:style>
  <w:style w:type="character" w:styleId="CommentReference">
    <w:name w:val="annotation reference"/>
    <w:basedOn w:val="DefaultParagraphFont"/>
    <w:uiPriority w:val="99"/>
    <w:semiHidden/>
    <w:unhideWhenUsed/>
    <w:rsid w:val="00073B8D"/>
    <w:rPr>
      <w:sz w:val="16"/>
      <w:szCs w:val="16"/>
    </w:rPr>
  </w:style>
  <w:style w:type="paragraph" w:styleId="CommentText">
    <w:name w:val="annotation text"/>
    <w:basedOn w:val="Normal"/>
    <w:link w:val="CommentTextChar"/>
    <w:uiPriority w:val="99"/>
    <w:semiHidden/>
    <w:unhideWhenUsed/>
    <w:rsid w:val="00073B8D"/>
    <w:pPr>
      <w:spacing w:line="240" w:lineRule="auto"/>
    </w:pPr>
    <w:rPr>
      <w:sz w:val="20"/>
      <w:szCs w:val="20"/>
    </w:rPr>
  </w:style>
  <w:style w:type="character" w:customStyle="1" w:styleId="CommentTextChar">
    <w:name w:val="Comment Text Char"/>
    <w:basedOn w:val="DefaultParagraphFont"/>
    <w:link w:val="CommentText"/>
    <w:uiPriority w:val="99"/>
    <w:semiHidden/>
    <w:rsid w:val="00073B8D"/>
    <w:rPr>
      <w:sz w:val="20"/>
      <w:szCs w:val="20"/>
    </w:rPr>
  </w:style>
  <w:style w:type="paragraph" w:styleId="CommentSubject">
    <w:name w:val="annotation subject"/>
    <w:basedOn w:val="CommentText"/>
    <w:next w:val="CommentText"/>
    <w:link w:val="CommentSubjectChar"/>
    <w:uiPriority w:val="99"/>
    <w:semiHidden/>
    <w:unhideWhenUsed/>
    <w:rsid w:val="00073B8D"/>
    <w:rPr>
      <w:b/>
      <w:bCs/>
    </w:rPr>
  </w:style>
  <w:style w:type="character" w:customStyle="1" w:styleId="CommentSubjectChar">
    <w:name w:val="Comment Subject Char"/>
    <w:basedOn w:val="CommentTextChar"/>
    <w:link w:val="CommentSubject"/>
    <w:uiPriority w:val="99"/>
    <w:semiHidden/>
    <w:rsid w:val="00073B8D"/>
    <w:rPr>
      <w:b/>
      <w:bCs/>
      <w:sz w:val="20"/>
      <w:szCs w:val="20"/>
    </w:rPr>
  </w:style>
  <w:style w:type="paragraph" w:styleId="BalloonText">
    <w:name w:val="Balloon Text"/>
    <w:basedOn w:val="Normal"/>
    <w:link w:val="BalloonTextChar"/>
    <w:uiPriority w:val="99"/>
    <w:semiHidden/>
    <w:unhideWhenUsed/>
    <w:rsid w:val="00073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8D"/>
    <w:rPr>
      <w:rFonts w:ascii="Segoe UI" w:hAnsi="Segoe UI" w:cs="Segoe UI"/>
      <w:sz w:val="18"/>
      <w:szCs w:val="18"/>
    </w:rPr>
  </w:style>
  <w:style w:type="table" w:styleId="TableGrid">
    <w:name w:val="Table Grid"/>
    <w:basedOn w:val="TableNormal"/>
    <w:uiPriority w:val="39"/>
    <w:rsid w:val="00E3315E"/>
    <w:pPr>
      <w:spacing w:after="0" w:line="240" w:lineRule="auto"/>
    </w:pPr>
    <w:rPr>
      <w:rFonts w:ascii="Sylfaen" w:hAnsi="Sylfa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1321"/>
    <w:pPr>
      <w:spacing w:after="0" w:line="240" w:lineRule="auto"/>
    </w:pPr>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DE33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33E6"/>
    <w:rPr>
      <w:sz w:val="20"/>
      <w:szCs w:val="20"/>
    </w:rPr>
  </w:style>
  <w:style w:type="character" w:styleId="EndnoteReference">
    <w:name w:val="endnote reference"/>
    <w:basedOn w:val="DefaultParagraphFont"/>
    <w:uiPriority w:val="99"/>
    <w:semiHidden/>
    <w:unhideWhenUsed/>
    <w:rsid w:val="00DE33E6"/>
    <w:rPr>
      <w:vertAlign w:val="superscript"/>
    </w:rPr>
  </w:style>
  <w:style w:type="paragraph" w:styleId="Header">
    <w:name w:val="header"/>
    <w:basedOn w:val="Normal"/>
    <w:link w:val="HeaderChar"/>
    <w:uiPriority w:val="99"/>
    <w:unhideWhenUsed/>
    <w:rsid w:val="00E05E10"/>
    <w:pPr>
      <w:tabs>
        <w:tab w:val="center" w:pos="4844"/>
        <w:tab w:val="right" w:pos="9689"/>
      </w:tabs>
      <w:spacing w:after="0" w:line="240" w:lineRule="auto"/>
    </w:pPr>
  </w:style>
  <w:style w:type="character" w:customStyle="1" w:styleId="HeaderChar">
    <w:name w:val="Header Char"/>
    <w:basedOn w:val="DefaultParagraphFont"/>
    <w:link w:val="Header"/>
    <w:uiPriority w:val="99"/>
    <w:rsid w:val="00E05E10"/>
  </w:style>
  <w:style w:type="paragraph" w:styleId="Footer">
    <w:name w:val="footer"/>
    <w:basedOn w:val="Normal"/>
    <w:link w:val="FooterChar"/>
    <w:uiPriority w:val="99"/>
    <w:unhideWhenUsed/>
    <w:rsid w:val="00E05E10"/>
    <w:pPr>
      <w:tabs>
        <w:tab w:val="center" w:pos="4844"/>
        <w:tab w:val="right" w:pos="9689"/>
      </w:tabs>
      <w:spacing w:after="0" w:line="240" w:lineRule="auto"/>
    </w:pPr>
  </w:style>
  <w:style w:type="character" w:customStyle="1" w:styleId="FooterChar">
    <w:name w:val="Footer Char"/>
    <w:basedOn w:val="DefaultParagraphFont"/>
    <w:link w:val="Footer"/>
    <w:uiPriority w:val="99"/>
    <w:rsid w:val="00E0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76097">
      <w:bodyDiv w:val="1"/>
      <w:marLeft w:val="0"/>
      <w:marRight w:val="0"/>
      <w:marTop w:val="0"/>
      <w:marBottom w:val="0"/>
      <w:divBdr>
        <w:top w:val="none" w:sz="0" w:space="0" w:color="auto"/>
        <w:left w:val="none" w:sz="0" w:space="0" w:color="auto"/>
        <w:bottom w:val="none" w:sz="0" w:space="0" w:color="auto"/>
        <w:right w:val="none" w:sz="0" w:space="0" w:color="auto"/>
      </w:divBdr>
    </w:div>
    <w:div w:id="325132860">
      <w:bodyDiv w:val="1"/>
      <w:marLeft w:val="0"/>
      <w:marRight w:val="0"/>
      <w:marTop w:val="0"/>
      <w:marBottom w:val="0"/>
      <w:divBdr>
        <w:top w:val="none" w:sz="0" w:space="0" w:color="auto"/>
        <w:left w:val="none" w:sz="0" w:space="0" w:color="auto"/>
        <w:bottom w:val="none" w:sz="0" w:space="0" w:color="auto"/>
        <w:right w:val="none" w:sz="0" w:space="0" w:color="auto"/>
      </w:divBdr>
    </w:div>
    <w:div w:id="436364845">
      <w:bodyDiv w:val="1"/>
      <w:marLeft w:val="0"/>
      <w:marRight w:val="0"/>
      <w:marTop w:val="0"/>
      <w:marBottom w:val="0"/>
      <w:divBdr>
        <w:top w:val="none" w:sz="0" w:space="0" w:color="auto"/>
        <w:left w:val="none" w:sz="0" w:space="0" w:color="auto"/>
        <w:bottom w:val="none" w:sz="0" w:space="0" w:color="auto"/>
        <w:right w:val="none" w:sz="0" w:space="0" w:color="auto"/>
      </w:divBdr>
      <w:divsChild>
        <w:div w:id="828057684">
          <w:marLeft w:val="0"/>
          <w:marRight w:val="0"/>
          <w:marTop w:val="280"/>
          <w:marBottom w:val="280"/>
          <w:divBdr>
            <w:top w:val="none" w:sz="0" w:space="0" w:color="auto"/>
            <w:left w:val="none" w:sz="0" w:space="0" w:color="auto"/>
            <w:bottom w:val="none" w:sz="0" w:space="0" w:color="auto"/>
            <w:right w:val="none" w:sz="0" w:space="0" w:color="auto"/>
          </w:divBdr>
        </w:div>
        <w:div w:id="1002859866">
          <w:marLeft w:val="0"/>
          <w:marRight w:val="0"/>
          <w:marTop w:val="280"/>
          <w:marBottom w:val="280"/>
          <w:divBdr>
            <w:top w:val="none" w:sz="0" w:space="0" w:color="auto"/>
            <w:left w:val="none" w:sz="0" w:space="0" w:color="auto"/>
            <w:bottom w:val="none" w:sz="0" w:space="0" w:color="auto"/>
            <w:right w:val="none" w:sz="0" w:space="0" w:color="auto"/>
          </w:divBdr>
        </w:div>
        <w:div w:id="1097289219">
          <w:marLeft w:val="1080"/>
          <w:marRight w:val="0"/>
          <w:marTop w:val="280"/>
          <w:marBottom w:val="280"/>
          <w:divBdr>
            <w:top w:val="none" w:sz="0" w:space="0" w:color="auto"/>
            <w:left w:val="none" w:sz="0" w:space="0" w:color="auto"/>
            <w:bottom w:val="none" w:sz="0" w:space="0" w:color="auto"/>
            <w:right w:val="none" w:sz="0" w:space="0" w:color="auto"/>
          </w:divBdr>
        </w:div>
        <w:div w:id="1992170861">
          <w:marLeft w:val="1080"/>
          <w:marRight w:val="0"/>
          <w:marTop w:val="280"/>
          <w:marBottom w:val="280"/>
          <w:divBdr>
            <w:top w:val="none" w:sz="0" w:space="0" w:color="auto"/>
            <w:left w:val="none" w:sz="0" w:space="0" w:color="auto"/>
            <w:bottom w:val="none" w:sz="0" w:space="0" w:color="auto"/>
            <w:right w:val="none" w:sz="0" w:space="0" w:color="auto"/>
          </w:divBdr>
        </w:div>
        <w:div w:id="1942909436">
          <w:marLeft w:val="1080"/>
          <w:marRight w:val="0"/>
          <w:marTop w:val="280"/>
          <w:marBottom w:val="280"/>
          <w:divBdr>
            <w:top w:val="none" w:sz="0" w:space="0" w:color="auto"/>
            <w:left w:val="none" w:sz="0" w:space="0" w:color="auto"/>
            <w:bottom w:val="none" w:sz="0" w:space="0" w:color="auto"/>
            <w:right w:val="none" w:sz="0" w:space="0" w:color="auto"/>
          </w:divBdr>
        </w:div>
        <w:div w:id="2122335090">
          <w:marLeft w:val="1080"/>
          <w:marRight w:val="0"/>
          <w:marTop w:val="280"/>
          <w:marBottom w:val="280"/>
          <w:divBdr>
            <w:top w:val="none" w:sz="0" w:space="0" w:color="auto"/>
            <w:left w:val="none" w:sz="0" w:space="0" w:color="auto"/>
            <w:bottom w:val="none" w:sz="0" w:space="0" w:color="auto"/>
            <w:right w:val="none" w:sz="0" w:space="0" w:color="auto"/>
          </w:divBdr>
        </w:div>
        <w:div w:id="2071266467">
          <w:marLeft w:val="1080"/>
          <w:marRight w:val="0"/>
          <w:marTop w:val="280"/>
          <w:marBottom w:val="280"/>
          <w:divBdr>
            <w:top w:val="none" w:sz="0" w:space="0" w:color="auto"/>
            <w:left w:val="none" w:sz="0" w:space="0" w:color="auto"/>
            <w:bottom w:val="none" w:sz="0" w:space="0" w:color="auto"/>
            <w:right w:val="none" w:sz="0" w:space="0" w:color="auto"/>
          </w:divBdr>
        </w:div>
        <w:div w:id="1807549977">
          <w:marLeft w:val="1080"/>
          <w:marRight w:val="0"/>
          <w:marTop w:val="280"/>
          <w:marBottom w:val="280"/>
          <w:divBdr>
            <w:top w:val="none" w:sz="0" w:space="0" w:color="auto"/>
            <w:left w:val="none" w:sz="0" w:space="0" w:color="auto"/>
            <w:bottom w:val="none" w:sz="0" w:space="0" w:color="auto"/>
            <w:right w:val="none" w:sz="0" w:space="0" w:color="auto"/>
          </w:divBdr>
        </w:div>
        <w:div w:id="2101901704">
          <w:marLeft w:val="1080"/>
          <w:marRight w:val="0"/>
          <w:marTop w:val="280"/>
          <w:marBottom w:val="280"/>
          <w:divBdr>
            <w:top w:val="none" w:sz="0" w:space="0" w:color="auto"/>
            <w:left w:val="none" w:sz="0" w:space="0" w:color="auto"/>
            <w:bottom w:val="none" w:sz="0" w:space="0" w:color="auto"/>
            <w:right w:val="none" w:sz="0" w:space="0" w:color="auto"/>
          </w:divBdr>
        </w:div>
        <w:div w:id="1889686904">
          <w:marLeft w:val="1080"/>
          <w:marRight w:val="0"/>
          <w:marTop w:val="280"/>
          <w:marBottom w:val="280"/>
          <w:divBdr>
            <w:top w:val="none" w:sz="0" w:space="0" w:color="auto"/>
            <w:left w:val="none" w:sz="0" w:space="0" w:color="auto"/>
            <w:bottom w:val="none" w:sz="0" w:space="0" w:color="auto"/>
            <w:right w:val="none" w:sz="0" w:space="0" w:color="auto"/>
          </w:divBdr>
        </w:div>
        <w:div w:id="1851749251">
          <w:marLeft w:val="1080"/>
          <w:marRight w:val="0"/>
          <w:marTop w:val="280"/>
          <w:marBottom w:val="280"/>
          <w:divBdr>
            <w:top w:val="none" w:sz="0" w:space="0" w:color="auto"/>
            <w:left w:val="none" w:sz="0" w:space="0" w:color="auto"/>
            <w:bottom w:val="none" w:sz="0" w:space="0" w:color="auto"/>
            <w:right w:val="none" w:sz="0" w:space="0" w:color="auto"/>
          </w:divBdr>
        </w:div>
        <w:div w:id="330331160">
          <w:marLeft w:val="1080"/>
          <w:marRight w:val="0"/>
          <w:marTop w:val="280"/>
          <w:marBottom w:val="280"/>
          <w:divBdr>
            <w:top w:val="none" w:sz="0" w:space="0" w:color="auto"/>
            <w:left w:val="none" w:sz="0" w:space="0" w:color="auto"/>
            <w:bottom w:val="none" w:sz="0" w:space="0" w:color="auto"/>
            <w:right w:val="none" w:sz="0" w:space="0" w:color="auto"/>
          </w:divBdr>
        </w:div>
        <w:div w:id="1414468526">
          <w:marLeft w:val="1080"/>
          <w:marRight w:val="0"/>
          <w:marTop w:val="0"/>
          <w:marBottom w:val="0"/>
          <w:divBdr>
            <w:top w:val="none" w:sz="0" w:space="0" w:color="auto"/>
            <w:left w:val="none" w:sz="0" w:space="0" w:color="auto"/>
            <w:bottom w:val="none" w:sz="0" w:space="0" w:color="auto"/>
            <w:right w:val="none" w:sz="0" w:space="0" w:color="auto"/>
          </w:divBdr>
        </w:div>
      </w:divsChild>
    </w:div>
    <w:div w:id="681666142">
      <w:bodyDiv w:val="1"/>
      <w:marLeft w:val="0"/>
      <w:marRight w:val="0"/>
      <w:marTop w:val="0"/>
      <w:marBottom w:val="0"/>
      <w:divBdr>
        <w:top w:val="none" w:sz="0" w:space="0" w:color="auto"/>
        <w:left w:val="none" w:sz="0" w:space="0" w:color="auto"/>
        <w:bottom w:val="none" w:sz="0" w:space="0" w:color="auto"/>
        <w:right w:val="none" w:sz="0" w:space="0" w:color="auto"/>
      </w:divBdr>
      <w:divsChild>
        <w:div w:id="505365406">
          <w:marLeft w:val="432"/>
          <w:marRight w:val="0"/>
          <w:marTop w:val="115"/>
          <w:marBottom w:val="0"/>
          <w:divBdr>
            <w:top w:val="none" w:sz="0" w:space="0" w:color="auto"/>
            <w:left w:val="none" w:sz="0" w:space="0" w:color="auto"/>
            <w:bottom w:val="none" w:sz="0" w:space="0" w:color="auto"/>
            <w:right w:val="none" w:sz="0" w:space="0" w:color="auto"/>
          </w:divBdr>
        </w:div>
      </w:divsChild>
    </w:div>
    <w:div w:id="696078786">
      <w:bodyDiv w:val="1"/>
      <w:marLeft w:val="0"/>
      <w:marRight w:val="0"/>
      <w:marTop w:val="0"/>
      <w:marBottom w:val="0"/>
      <w:divBdr>
        <w:top w:val="none" w:sz="0" w:space="0" w:color="auto"/>
        <w:left w:val="none" w:sz="0" w:space="0" w:color="auto"/>
        <w:bottom w:val="none" w:sz="0" w:space="0" w:color="auto"/>
        <w:right w:val="none" w:sz="0" w:space="0" w:color="auto"/>
      </w:divBdr>
    </w:div>
    <w:div w:id="856426807">
      <w:bodyDiv w:val="1"/>
      <w:marLeft w:val="0"/>
      <w:marRight w:val="0"/>
      <w:marTop w:val="0"/>
      <w:marBottom w:val="0"/>
      <w:divBdr>
        <w:top w:val="none" w:sz="0" w:space="0" w:color="auto"/>
        <w:left w:val="none" w:sz="0" w:space="0" w:color="auto"/>
        <w:bottom w:val="none" w:sz="0" w:space="0" w:color="auto"/>
        <w:right w:val="none" w:sz="0" w:space="0" w:color="auto"/>
      </w:divBdr>
    </w:div>
    <w:div w:id="912934343">
      <w:bodyDiv w:val="1"/>
      <w:marLeft w:val="0"/>
      <w:marRight w:val="0"/>
      <w:marTop w:val="0"/>
      <w:marBottom w:val="0"/>
      <w:divBdr>
        <w:top w:val="none" w:sz="0" w:space="0" w:color="auto"/>
        <w:left w:val="none" w:sz="0" w:space="0" w:color="auto"/>
        <w:bottom w:val="none" w:sz="0" w:space="0" w:color="auto"/>
        <w:right w:val="none" w:sz="0" w:space="0" w:color="auto"/>
      </w:divBdr>
    </w:div>
    <w:div w:id="1206285725">
      <w:bodyDiv w:val="1"/>
      <w:marLeft w:val="0"/>
      <w:marRight w:val="0"/>
      <w:marTop w:val="0"/>
      <w:marBottom w:val="0"/>
      <w:divBdr>
        <w:top w:val="none" w:sz="0" w:space="0" w:color="auto"/>
        <w:left w:val="none" w:sz="0" w:space="0" w:color="auto"/>
        <w:bottom w:val="none" w:sz="0" w:space="0" w:color="auto"/>
        <w:right w:val="none" w:sz="0" w:space="0" w:color="auto"/>
      </w:divBdr>
    </w:div>
    <w:div w:id="1392537982">
      <w:bodyDiv w:val="1"/>
      <w:marLeft w:val="0"/>
      <w:marRight w:val="0"/>
      <w:marTop w:val="0"/>
      <w:marBottom w:val="0"/>
      <w:divBdr>
        <w:top w:val="none" w:sz="0" w:space="0" w:color="auto"/>
        <w:left w:val="none" w:sz="0" w:space="0" w:color="auto"/>
        <w:bottom w:val="none" w:sz="0" w:space="0" w:color="auto"/>
        <w:right w:val="none" w:sz="0" w:space="0" w:color="auto"/>
      </w:divBdr>
    </w:div>
    <w:div w:id="1480807346">
      <w:bodyDiv w:val="1"/>
      <w:marLeft w:val="0"/>
      <w:marRight w:val="0"/>
      <w:marTop w:val="0"/>
      <w:marBottom w:val="0"/>
      <w:divBdr>
        <w:top w:val="none" w:sz="0" w:space="0" w:color="auto"/>
        <w:left w:val="none" w:sz="0" w:space="0" w:color="auto"/>
        <w:bottom w:val="none" w:sz="0" w:space="0" w:color="auto"/>
        <w:right w:val="none" w:sz="0" w:space="0" w:color="auto"/>
      </w:divBdr>
    </w:div>
    <w:div w:id="2070952145">
      <w:bodyDiv w:val="1"/>
      <w:marLeft w:val="0"/>
      <w:marRight w:val="0"/>
      <w:marTop w:val="0"/>
      <w:marBottom w:val="0"/>
      <w:divBdr>
        <w:top w:val="none" w:sz="0" w:space="0" w:color="auto"/>
        <w:left w:val="none" w:sz="0" w:space="0" w:color="auto"/>
        <w:bottom w:val="none" w:sz="0" w:space="0" w:color="auto"/>
        <w:right w:val="none" w:sz="0" w:space="0" w:color="auto"/>
      </w:divBdr>
      <w:divsChild>
        <w:div w:id="33309180">
          <w:marLeft w:val="432"/>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E3E4C-0A07-4630-9D39-844081D4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Besik Datukishvili</cp:lastModifiedBy>
  <cp:revision>2</cp:revision>
  <cp:lastPrinted>2018-11-21T07:49:00Z</cp:lastPrinted>
  <dcterms:created xsi:type="dcterms:W3CDTF">2018-11-27T16:00:00Z</dcterms:created>
  <dcterms:modified xsi:type="dcterms:W3CDTF">2018-11-27T16:00:00Z</dcterms:modified>
</cp:coreProperties>
</file>