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0900CD" w:rsidRDefault="005B141E" w:rsidP="00D60C1A">
      <w:pPr>
        <w:jc w:val="both"/>
        <w:rPr>
          <w:rFonts w:ascii="Sylfaen" w:hAnsi="Sylfaen"/>
          <w:sz w:val="18"/>
          <w:szCs w:val="18"/>
          <w:lang w:val="ka-GE"/>
        </w:rPr>
      </w:pPr>
      <w:r w:rsidRPr="000900CD">
        <w:rPr>
          <w:rFonts w:ascii="Sylfaen" w:hAnsi="Sylfae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0900CD">
        <w:rPr>
          <w:rFonts w:ascii="Sylfaen" w:hAnsi="Sylfaen"/>
          <w:sz w:val="18"/>
          <w:szCs w:val="18"/>
          <w:lang w:val="ka-GE"/>
        </w:rPr>
        <w:t xml:space="preserve"> აცხადებს ბაზრის </w:t>
      </w:r>
      <w:r w:rsidR="008E7DAD" w:rsidRPr="000900CD">
        <w:rPr>
          <w:rFonts w:ascii="Sylfaen" w:hAnsi="Sylfae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3E61D4" w:rsidRPr="000900CD">
        <w:rPr>
          <w:rFonts w:ascii="Sylfaen" w:hAnsi="Sylfaen"/>
          <w:sz w:val="18"/>
          <w:szCs w:val="18"/>
          <w:lang w:val="ka-GE"/>
        </w:rPr>
        <w:t>ფარმაცევტული პროდუქტის - „Salmeterol Xinafoate, Fluticasone Propionate“-ის</w:t>
      </w:r>
      <w:r w:rsidR="00560BA6" w:rsidRPr="000900CD">
        <w:rPr>
          <w:rFonts w:ascii="Sylfaen" w:hAnsi="Sylfaen"/>
          <w:sz w:val="18"/>
          <w:szCs w:val="18"/>
          <w:lang w:val="ka-GE"/>
        </w:rPr>
        <w:t xml:space="preserve"> </w:t>
      </w:r>
      <w:r w:rsidR="004C7AD3" w:rsidRPr="000900CD">
        <w:rPr>
          <w:rFonts w:ascii="Sylfaen" w:hAnsi="Sylfaen"/>
          <w:sz w:val="18"/>
          <w:szCs w:val="18"/>
          <w:lang w:val="ka-GE"/>
        </w:rPr>
        <w:t>შესყიდვის</w:t>
      </w:r>
      <w:r w:rsidR="00A85E69" w:rsidRPr="000900CD">
        <w:rPr>
          <w:rFonts w:ascii="Sylfaen" w:hAnsi="Sylfae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E73B96">
        <w:rPr>
          <w:rFonts w:ascii="Sylfaen" w:eastAsia="Times New Roman" w:hAnsi="Sylfaen" w:cs="Times New Roman"/>
          <w:sz w:val="18"/>
          <w:szCs w:val="18"/>
        </w:rPr>
        <w:t xml:space="preserve">2 </w:t>
      </w:r>
      <w:r w:rsidR="00E73B96">
        <w:rPr>
          <w:rFonts w:ascii="Sylfaen" w:eastAsia="Times New Roman" w:hAnsi="Sylfaen" w:cs="Times New Roman"/>
          <w:sz w:val="18"/>
          <w:szCs w:val="18"/>
          <w:lang w:val="ka-GE"/>
        </w:rPr>
        <w:t>ნოემბრის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>6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8C5DA2">
        <w:rPr>
          <w:rFonts w:ascii="Sylfaen" w:eastAsia="Times New Roman" w:hAnsi="Sylfaen" w:cs="Times New Roman"/>
          <w:b/>
          <w:sz w:val="18"/>
          <w:szCs w:val="18"/>
          <w:lang w:val="ka-GE"/>
        </w:rPr>
        <w:t>16  ნოემბრისა</w:t>
      </w:r>
      <w:bookmarkStart w:id="0" w:name="_GoBack"/>
      <w:bookmarkEnd w:id="0"/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185C77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900CD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3EA2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90DC6"/>
    <w:rsid w:val="00297DEF"/>
    <w:rsid w:val="002D5CF7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E61D4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5115E"/>
    <w:rsid w:val="00863EB1"/>
    <w:rsid w:val="008B41C4"/>
    <w:rsid w:val="008C5DA2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73B96"/>
    <w:rsid w:val="00EA194D"/>
    <w:rsid w:val="00EB0343"/>
    <w:rsid w:val="00EC162E"/>
    <w:rsid w:val="00F25BFC"/>
    <w:rsid w:val="00F36D13"/>
    <w:rsid w:val="00F524D8"/>
    <w:rsid w:val="00F64228"/>
    <w:rsid w:val="00F6746E"/>
    <w:rsid w:val="00FC12FA"/>
    <w:rsid w:val="00FC7D97"/>
    <w:rsid w:val="00FD01A2"/>
    <w:rsid w:val="00FF28CA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045C-9316-44AB-AEC4-F6CAA4D8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7</cp:revision>
  <cp:lastPrinted>2015-11-04T07:11:00Z</cp:lastPrinted>
  <dcterms:created xsi:type="dcterms:W3CDTF">2018-10-31T11:07:00Z</dcterms:created>
  <dcterms:modified xsi:type="dcterms:W3CDTF">2018-10-31T11:09:00Z</dcterms:modified>
</cp:coreProperties>
</file>