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C2" w:rsidRPr="00525DBC" w:rsidRDefault="000067C2" w:rsidP="000067C2">
      <w:pPr>
        <w:pStyle w:val="Heading2"/>
        <w:jc w:val="center"/>
        <w:rPr>
          <w:color w:val="365F91" w:themeColor="accent1" w:themeShade="BF"/>
          <w:lang w:val="ka-GE"/>
        </w:rPr>
      </w:pPr>
      <w:r w:rsidRPr="00525DBC">
        <w:rPr>
          <w:rFonts w:ascii="Sylfaen" w:hAnsi="Sylfaen" w:cs="Sylfaen"/>
          <w:color w:val="365F91" w:themeColor="accent1" w:themeShade="BF"/>
          <w:lang w:val="ka-GE"/>
        </w:rPr>
        <w:t>შიდა</w:t>
      </w:r>
      <w:r w:rsidRPr="00525DBC">
        <w:rPr>
          <w:color w:val="365F91" w:themeColor="accent1" w:themeShade="BF"/>
          <w:lang w:val="ka-GE"/>
        </w:rPr>
        <w:t xml:space="preserve"> </w:t>
      </w:r>
      <w:r w:rsidRPr="00525DBC">
        <w:rPr>
          <w:rFonts w:ascii="Sylfaen" w:hAnsi="Sylfaen" w:cs="Sylfaen"/>
          <w:color w:val="365F91" w:themeColor="accent1" w:themeShade="BF"/>
          <w:lang w:val="ka-GE"/>
        </w:rPr>
        <w:t>აუდიტის</w:t>
      </w:r>
      <w:r w:rsidRPr="00525DBC">
        <w:rPr>
          <w:color w:val="365F91" w:themeColor="accent1" w:themeShade="BF"/>
          <w:lang w:val="ka-GE"/>
        </w:rPr>
        <w:t xml:space="preserve"> </w:t>
      </w:r>
      <w:r w:rsidRPr="00525DBC">
        <w:rPr>
          <w:rFonts w:ascii="Sylfaen" w:hAnsi="Sylfaen" w:cs="Sylfaen"/>
          <w:color w:val="365F91" w:themeColor="accent1" w:themeShade="BF"/>
          <w:lang w:val="ka-GE"/>
        </w:rPr>
        <w:t>დეპარტამენტის</w:t>
      </w:r>
    </w:p>
    <w:p w:rsidR="000067C2" w:rsidRPr="00525DBC" w:rsidRDefault="00850C7E" w:rsidP="000067C2">
      <w:pPr>
        <w:pStyle w:val="Heading2"/>
        <w:jc w:val="center"/>
        <w:rPr>
          <w:color w:val="365F91" w:themeColor="accent1" w:themeShade="BF"/>
          <w:lang w:val="ka-GE"/>
        </w:rPr>
      </w:pPr>
      <w:r w:rsidRPr="00525DBC">
        <w:rPr>
          <w:color w:val="365F91" w:themeColor="accent1" w:themeShade="BF"/>
          <w:lang w:val="ka-GE"/>
        </w:rPr>
        <w:t>20</w:t>
      </w:r>
      <w:r w:rsidR="00342AA6">
        <w:rPr>
          <w:rFonts w:ascii="Sylfaen" w:hAnsi="Sylfaen"/>
          <w:color w:val="365F91" w:themeColor="accent1" w:themeShade="BF"/>
          <w:lang w:val="ka-GE"/>
        </w:rPr>
        <w:t>20</w:t>
      </w:r>
      <w:r w:rsidR="000067C2" w:rsidRPr="00525DBC">
        <w:rPr>
          <w:color w:val="365F91" w:themeColor="accent1" w:themeShade="BF"/>
          <w:lang w:val="ka-GE"/>
        </w:rPr>
        <w:t xml:space="preserve"> </w:t>
      </w:r>
      <w:r w:rsidR="000067C2" w:rsidRPr="00525DBC">
        <w:rPr>
          <w:rFonts w:ascii="Sylfaen" w:hAnsi="Sylfaen" w:cs="Sylfaen"/>
          <w:color w:val="365F91" w:themeColor="accent1" w:themeShade="BF"/>
          <w:lang w:val="ka-GE"/>
        </w:rPr>
        <w:t>წლის</w:t>
      </w:r>
      <w:r w:rsidR="00D65649" w:rsidRPr="00525DBC">
        <w:rPr>
          <w:rFonts w:ascii="Sylfaen" w:hAnsi="Sylfaen" w:cs="Sylfaen"/>
          <w:color w:val="365F91" w:themeColor="accent1" w:themeShade="BF"/>
          <w:lang w:val="ka-GE"/>
        </w:rPr>
        <w:t xml:space="preserve"> </w:t>
      </w:r>
      <w:r w:rsidR="000067C2" w:rsidRPr="00525DBC">
        <w:rPr>
          <w:rFonts w:ascii="Sylfaen" w:hAnsi="Sylfaen" w:cs="Sylfaen"/>
          <w:color w:val="365F91" w:themeColor="accent1" w:themeShade="BF"/>
          <w:lang w:val="ka-GE"/>
        </w:rPr>
        <w:t>წლიური</w:t>
      </w:r>
      <w:r w:rsidR="000067C2" w:rsidRPr="00525DBC">
        <w:rPr>
          <w:color w:val="365F91" w:themeColor="accent1" w:themeShade="BF"/>
          <w:lang w:val="ka-GE"/>
        </w:rPr>
        <w:t xml:space="preserve"> </w:t>
      </w:r>
      <w:r w:rsidR="000067C2" w:rsidRPr="00525DBC">
        <w:rPr>
          <w:rFonts w:ascii="Sylfaen" w:hAnsi="Sylfaen" w:cs="Sylfaen"/>
          <w:color w:val="365F91" w:themeColor="accent1" w:themeShade="BF"/>
          <w:lang w:val="ka-GE"/>
        </w:rPr>
        <w:t>გეგმა</w:t>
      </w:r>
    </w:p>
    <w:p w:rsidR="008E16B3" w:rsidRPr="00525DBC" w:rsidRDefault="008E16B3" w:rsidP="008E16B3">
      <w:pPr>
        <w:pStyle w:val="Heading2"/>
        <w:numPr>
          <w:ilvl w:val="0"/>
          <w:numId w:val="3"/>
        </w:numPr>
        <w:ind w:left="0" w:firstLine="0"/>
        <w:rPr>
          <w:rFonts w:ascii="Sylfaen" w:hAnsi="Sylfaen" w:cs="Sylfaen"/>
          <w:color w:val="365F91" w:themeColor="accent1" w:themeShade="BF"/>
          <w:lang w:val="ka-GE"/>
        </w:rPr>
      </w:pPr>
      <w:r w:rsidRPr="00525DBC">
        <w:rPr>
          <w:rFonts w:ascii="Sylfaen" w:hAnsi="Sylfaen" w:cs="Sylfaen"/>
          <w:color w:val="365F91" w:themeColor="accent1" w:themeShade="BF"/>
          <w:lang w:val="ka-GE"/>
        </w:rPr>
        <w:t>შესავალი</w:t>
      </w:r>
    </w:p>
    <w:p w:rsidR="008E16B3" w:rsidRPr="00525DBC" w:rsidRDefault="00B100A4" w:rsidP="00CE1F11">
      <w:pPr>
        <w:spacing w:before="240" w:after="0"/>
        <w:jc w:val="both"/>
        <w:rPr>
          <w:rFonts w:ascii="Sylfaen" w:hAnsi="Sylfaen"/>
          <w:lang w:val="ka-GE"/>
        </w:rPr>
      </w:pPr>
      <w:r w:rsidRPr="00525DBC">
        <w:rPr>
          <w:rFonts w:ascii="Sylfaen" w:hAnsi="Sylfaen"/>
          <w:lang w:val="ka-GE"/>
        </w:rPr>
        <w:t xml:space="preserve">საქართველოს </w:t>
      </w:r>
      <w:r w:rsidR="005077EE" w:rsidRPr="00525DBC">
        <w:rPr>
          <w:rFonts w:ascii="Sylfaen" w:hAnsi="Sylfaen"/>
          <w:lang w:val="ka-GE"/>
        </w:rPr>
        <w:t xml:space="preserve">ოკუპირებული ტერიტორიებიდან დევნილთა, </w:t>
      </w:r>
      <w:r w:rsidRPr="00525DBC">
        <w:rPr>
          <w:rFonts w:ascii="Sylfaen" w:hAnsi="Sylfaen"/>
          <w:lang w:val="ka-GE"/>
        </w:rPr>
        <w:t xml:space="preserve">შრომის, ჯანმრთელობისა და სოციალური დაცვის სამინისტროს (შემდგომში - სამინისტრო) </w:t>
      </w:r>
      <w:r w:rsidR="00D0240D" w:rsidRPr="00525DBC">
        <w:rPr>
          <w:rFonts w:ascii="Sylfaen" w:hAnsi="Sylfaen"/>
          <w:lang w:val="ka-GE"/>
        </w:rPr>
        <w:t>შიდა აუდიტის დეპარტამენტის</w:t>
      </w:r>
      <w:r w:rsidRPr="00525DBC">
        <w:rPr>
          <w:rFonts w:ascii="Sylfaen" w:hAnsi="Sylfaen"/>
          <w:lang w:val="ka-GE"/>
        </w:rPr>
        <w:t xml:space="preserve"> (შემდგომში - დეპარტამენტი)</w:t>
      </w:r>
      <w:r w:rsidR="00D0240D" w:rsidRPr="00525DBC">
        <w:rPr>
          <w:rFonts w:ascii="Sylfaen" w:hAnsi="Sylfaen"/>
          <w:lang w:val="ka-GE"/>
        </w:rPr>
        <w:t xml:space="preserve"> </w:t>
      </w:r>
      <w:r w:rsidR="00553E7F" w:rsidRPr="00525DBC">
        <w:rPr>
          <w:rFonts w:ascii="Sylfaen" w:hAnsi="Sylfaen"/>
          <w:lang w:val="ka-GE"/>
        </w:rPr>
        <w:t>20</w:t>
      </w:r>
      <w:r w:rsidR="00342AA6">
        <w:rPr>
          <w:rFonts w:ascii="Sylfaen" w:hAnsi="Sylfaen"/>
          <w:lang w:val="ka-GE"/>
        </w:rPr>
        <w:t>20</w:t>
      </w:r>
      <w:r w:rsidR="00553E7F" w:rsidRPr="00525DBC">
        <w:rPr>
          <w:rFonts w:ascii="Sylfaen" w:hAnsi="Sylfaen"/>
          <w:lang w:val="ka-GE"/>
        </w:rPr>
        <w:t xml:space="preserve"> </w:t>
      </w:r>
      <w:r w:rsidR="00D0240D" w:rsidRPr="00525DBC">
        <w:rPr>
          <w:rFonts w:ascii="Sylfaen" w:hAnsi="Sylfaen"/>
          <w:lang w:val="ka-GE"/>
        </w:rPr>
        <w:t xml:space="preserve">წლის წლიური გეგმა შემუშავებულია </w:t>
      </w:r>
      <w:r w:rsidR="00F11EE1" w:rsidRPr="00525DBC">
        <w:rPr>
          <w:rFonts w:ascii="Sylfaen" w:hAnsi="Sylfaen"/>
          <w:lang w:val="ka-GE"/>
        </w:rPr>
        <w:t>„</w:t>
      </w:r>
      <w:r w:rsidR="00D0240D" w:rsidRPr="00525DBC">
        <w:rPr>
          <w:rFonts w:ascii="Sylfaen" w:hAnsi="Sylfaen"/>
          <w:lang w:val="ka-GE"/>
        </w:rPr>
        <w:t>სახელმწიფო შიდა ფინანსური კონტროლის შესახებ</w:t>
      </w:r>
      <w:r w:rsidR="00F11EE1" w:rsidRPr="00525DBC">
        <w:rPr>
          <w:rFonts w:ascii="Sylfaen" w:hAnsi="Sylfaen"/>
          <w:lang w:val="ka-GE"/>
        </w:rPr>
        <w:t>“</w:t>
      </w:r>
      <w:r w:rsidR="00D0240D" w:rsidRPr="00525DBC">
        <w:rPr>
          <w:rFonts w:ascii="Sylfaen" w:hAnsi="Sylfaen"/>
          <w:lang w:val="ka-GE"/>
        </w:rPr>
        <w:t xml:space="preserve"> და </w:t>
      </w:r>
      <w:r w:rsidR="00F11EE1" w:rsidRPr="00525DBC">
        <w:rPr>
          <w:rFonts w:ascii="Sylfaen" w:hAnsi="Sylfaen"/>
          <w:lang w:val="ka-GE"/>
        </w:rPr>
        <w:t>„</w:t>
      </w:r>
      <w:r w:rsidR="00D0240D" w:rsidRPr="00525DBC">
        <w:rPr>
          <w:rFonts w:ascii="Sylfaen" w:hAnsi="Sylfaen"/>
          <w:lang w:val="ka-GE"/>
        </w:rPr>
        <w:t>საჯარო სამსახურის შესახებ</w:t>
      </w:r>
      <w:r w:rsidR="00F11EE1" w:rsidRPr="00525DBC">
        <w:rPr>
          <w:rFonts w:ascii="Sylfaen" w:hAnsi="Sylfaen"/>
          <w:lang w:val="ka-GE"/>
        </w:rPr>
        <w:t>“</w:t>
      </w:r>
      <w:r w:rsidR="00D0240D" w:rsidRPr="00525DBC">
        <w:rPr>
          <w:rFonts w:ascii="Sylfaen" w:hAnsi="Sylfaen"/>
          <w:lang w:val="ka-GE"/>
        </w:rPr>
        <w:t xml:space="preserve"> საქართველოს კანონების მოთხოვნათა გათვალისწინებით.</w:t>
      </w:r>
    </w:p>
    <w:p w:rsidR="00F455CA" w:rsidRPr="00525DBC" w:rsidRDefault="00D0240D" w:rsidP="00EE28C1">
      <w:pPr>
        <w:spacing w:before="240" w:after="0"/>
        <w:jc w:val="both"/>
        <w:rPr>
          <w:rFonts w:ascii="Sylfaen" w:hAnsi="Sylfaen"/>
          <w:lang w:val="ka-GE"/>
        </w:rPr>
      </w:pPr>
      <w:r w:rsidRPr="00525DBC">
        <w:rPr>
          <w:rFonts w:ascii="Sylfaen" w:hAnsi="Sylfaen"/>
          <w:lang w:val="ka-GE"/>
        </w:rPr>
        <w:t>დეპარტამენტი</w:t>
      </w:r>
      <w:r w:rsidR="00F455CA" w:rsidRPr="00525DBC">
        <w:rPr>
          <w:rFonts w:ascii="Sylfaen" w:hAnsi="Sylfaen"/>
          <w:lang w:val="ka-GE"/>
        </w:rPr>
        <w:t xml:space="preserve"> </w:t>
      </w:r>
      <w:r w:rsidR="005077EE" w:rsidRPr="00525DBC">
        <w:rPr>
          <w:rFonts w:ascii="Sylfaen" w:hAnsi="Sylfaen"/>
          <w:lang w:val="ka-GE"/>
        </w:rPr>
        <w:t>და</w:t>
      </w:r>
      <w:r w:rsidR="00F455CA" w:rsidRPr="00525DBC">
        <w:rPr>
          <w:rFonts w:ascii="Sylfaen" w:hAnsi="Sylfaen"/>
          <w:lang w:val="ka-GE"/>
        </w:rPr>
        <w:t>გეგმილ პერიოდში კვლავ გააგრძელებს</w:t>
      </w:r>
      <w:r w:rsidR="00EE28C1" w:rsidRPr="00525DBC">
        <w:rPr>
          <w:rFonts w:ascii="Sylfaen" w:hAnsi="Sylfaen"/>
          <w:lang w:val="ka-GE"/>
        </w:rPr>
        <w:t xml:space="preserve"> ერთი მხრივ,</w:t>
      </w:r>
      <w:r w:rsidR="00F455CA" w:rsidRPr="00525DBC">
        <w:rPr>
          <w:rFonts w:ascii="Sylfaen" w:hAnsi="Sylfaen"/>
          <w:lang w:val="ka-GE"/>
        </w:rPr>
        <w:t xml:space="preserve"> სახელმწიფო აუდიტის სამსახურსა და</w:t>
      </w:r>
      <w:r w:rsidR="00EE28C1" w:rsidRPr="00525DBC">
        <w:rPr>
          <w:rFonts w:ascii="Sylfaen" w:hAnsi="Sylfaen"/>
          <w:lang w:val="ka-GE"/>
        </w:rPr>
        <w:t xml:space="preserve"> მეორე მხრივ,</w:t>
      </w:r>
      <w:r w:rsidR="00F455CA" w:rsidRPr="00525DBC">
        <w:rPr>
          <w:rFonts w:ascii="Sylfaen" w:hAnsi="Sylfaen"/>
          <w:lang w:val="ka-GE"/>
        </w:rPr>
        <w:t xml:space="preserve"> სამინისტროს ცენტრალურ აპარატს, ასევე, სამინისტროს სახელმწიფო კონტროლს დაქვემდებარებულ საჯარო სამართლის იურიდიულ პირებს შორის ურთიერთობის კოორდინაციას, რაც კიდევ უფრო ეფექტურს გახდის </w:t>
      </w:r>
      <w:r w:rsidR="00C82630">
        <w:rPr>
          <w:rFonts w:ascii="Sylfaen" w:hAnsi="Sylfaen"/>
          <w:lang w:val="ka-GE"/>
        </w:rPr>
        <w:t>უწყებებ</w:t>
      </w:r>
      <w:r w:rsidR="00EE28C1" w:rsidRPr="00525DBC">
        <w:rPr>
          <w:rFonts w:ascii="Sylfaen" w:hAnsi="Sylfaen"/>
          <w:lang w:val="ka-GE"/>
        </w:rPr>
        <w:t>ს შორის თანამშრომლობასა და საქმიანობის გაუმჯობესების მიზნით გაცემული რეკომენდაციების შესრულებას.</w:t>
      </w:r>
    </w:p>
    <w:p w:rsidR="005077EE" w:rsidRPr="00525DBC" w:rsidRDefault="005077EE" w:rsidP="00EE28C1">
      <w:pPr>
        <w:spacing w:before="240" w:after="0"/>
        <w:jc w:val="both"/>
        <w:rPr>
          <w:rFonts w:ascii="Sylfaen" w:hAnsi="Sylfaen"/>
          <w:lang w:val="ka-GE"/>
        </w:rPr>
      </w:pPr>
      <w:r w:rsidRPr="00525DBC">
        <w:rPr>
          <w:rFonts w:ascii="Sylfaen" w:hAnsi="Sylfaen"/>
          <w:lang w:val="ka-GE"/>
        </w:rPr>
        <w:t>დეპარტამენტისთვის ერთ-ერთ პრიორიტეტულ მიმართულებას, ასევე, წარმოადგენს ანტიკორუფციული სამოქმედო გეგმის შესრულების კოორდინაცია და ურთიერთობა ანტიკორუფციული საბჭოს სამდივნოსთან.</w:t>
      </w:r>
    </w:p>
    <w:p w:rsidR="005077EE" w:rsidRPr="00525DBC" w:rsidRDefault="005077EE" w:rsidP="00EE28C1">
      <w:pPr>
        <w:spacing w:before="240" w:after="0"/>
        <w:jc w:val="both"/>
        <w:rPr>
          <w:rFonts w:ascii="Sylfaen" w:hAnsi="Sylfaen"/>
          <w:lang w:val="ka-GE"/>
        </w:rPr>
      </w:pPr>
      <w:r w:rsidRPr="00525DBC">
        <w:rPr>
          <w:rFonts w:ascii="Sylfaen" w:hAnsi="Sylfaen"/>
          <w:lang w:val="ka-GE"/>
        </w:rPr>
        <w:t>დეპარტამენტის მიერ შესასწავლი კონკრეტული საკითხები შეირჩა რისკების შეფასების საფუძველზე, დეპარტამენტის რესურსების/შესაძლებლობების გათ</w:t>
      </w:r>
      <w:r w:rsidR="00C843CF">
        <w:rPr>
          <w:rFonts w:ascii="Sylfaen" w:hAnsi="Sylfaen"/>
          <w:lang w:val="ka-GE"/>
        </w:rPr>
        <w:t>ვ</w:t>
      </w:r>
      <w:r w:rsidRPr="00525DBC">
        <w:rPr>
          <w:rFonts w:ascii="Sylfaen" w:hAnsi="Sylfaen"/>
          <w:lang w:val="ka-GE"/>
        </w:rPr>
        <w:t>ალისწინებით.</w:t>
      </w:r>
    </w:p>
    <w:p w:rsidR="00300D20" w:rsidRPr="00525DBC" w:rsidRDefault="00300D20" w:rsidP="00B100A4">
      <w:pPr>
        <w:pStyle w:val="Heading2"/>
        <w:numPr>
          <w:ilvl w:val="0"/>
          <w:numId w:val="3"/>
        </w:numPr>
        <w:rPr>
          <w:rFonts w:ascii="Sylfaen" w:hAnsi="Sylfaen" w:cs="Sylfaen"/>
          <w:lang w:val="ka-GE"/>
        </w:rPr>
      </w:pPr>
      <w:r w:rsidRPr="00525DBC">
        <w:rPr>
          <w:rFonts w:ascii="Sylfaen" w:hAnsi="Sylfaen" w:cs="Sylfaen"/>
          <w:lang w:val="ka-GE"/>
        </w:rPr>
        <w:t>ძირითადი საკითხები</w:t>
      </w:r>
    </w:p>
    <w:tbl>
      <w:tblPr>
        <w:tblW w:w="954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40"/>
        <w:gridCol w:w="487"/>
        <w:gridCol w:w="4216"/>
        <w:gridCol w:w="1687"/>
        <w:gridCol w:w="1269"/>
        <w:gridCol w:w="1341"/>
      </w:tblGrid>
      <w:tr w:rsidR="005A6023" w:rsidRPr="00525DBC" w:rsidTr="00665603">
        <w:trPr>
          <w:trHeight w:val="60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023" w:rsidRPr="00525DBC" w:rsidRDefault="005A6023" w:rsidP="005A6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525DBC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>N</w:t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023" w:rsidRPr="00525DBC" w:rsidRDefault="005A6023" w:rsidP="005A6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525DBC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საკითხი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23" w:rsidRPr="00525DBC" w:rsidRDefault="005A6023" w:rsidP="005A6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525DBC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შესრულების</w:t>
            </w:r>
            <w:r w:rsidRPr="00525DBC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 xml:space="preserve"> </w:t>
            </w:r>
            <w:r w:rsidRPr="00525DBC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პერიოდი</w:t>
            </w:r>
          </w:p>
        </w:tc>
      </w:tr>
      <w:tr w:rsidR="00EE28C1" w:rsidRPr="00525DBC" w:rsidTr="00665603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28C1" w:rsidRPr="00525DBC" w:rsidRDefault="00342AA6" w:rsidP="00346B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C1" w:rsidRPr="00525DBC" w:rsidRDefault="00EE28C1" w:rsidP="00346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525DBC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8C1" w:rsidRPr="00525DBC" w:rsidRDefault="00EE28C1" w:rsidP="00346B6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525DBC">
              <w:rPr>
                <w:rFonts w:ascii="Sylfaen" w:eastAsia="Times New Roman" w:hAnsi="Sylfaen" w:cs="Calibri"/>
                <w:color w:val="000000"/>
                <w:lang w:val="ka-GE"/>
              </w:rPr>
              <w:t>სახელმწიფო აუდიტის სამსახურსა და სამინისტროს ცენტრალურ აპარატს, ასევე, სამინისტროს სახელმწიფო კონტროლს დაქვემდებარებულ საჯარო სამართლის იურიდიულ პირებს შორის ურთიერთობის კოორდინაცია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C1" w:rsidRPr="00525DBC" w:rsidRDefault="00EE28C1" w:rsidP="00346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525DBC">
              <w:rPr>
                <w:rFonts w:ascii="Sylfaen" w:eastAsia="Times New Roman" w:hAnsi="Sylfaen" w:cs="Sylfaen"/>
                <w:color w:val="000000"/>
                <w:lang w:val="ka-GE"/>
              </w:rPr>
              <w:t>წლის განმავლობაში</w:t>
            </w:r>
          </w:p>
        </w:tc>
      </w:tr>
      <w:tr w:rsidR="005A6023" w:rsidRPr="00525DBC" w:rsidTr="0066560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023" w:rsidRPr="00525DBC" w:rsidRDefault="00342AA6" w:rsidP="005A602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023" w:rsidRPr="00525DBC" w:rsidRDefault="005A6023" w:rsidP="005A6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525DBC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023" w:rsidRPr="00525DBC" w:rsidRDefault="0009411D" w:rsidP="0009411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525DBC">
              <w:rPr>
                <w:rFonts w:ascii="Sylfaen" w:eastAsia="Times New Roman" w:hAnsi="Sylfaen" w:cs="Calibri"/>
                <w:color w:val="000000"/>
                <w:lang w:val="ka-GE"/>
              </w:rPr>
              <w:t xml:space="preserve">ანტიკორუფციული საბჭოს სამდივნოსა და სამინისტროს სისტემის დაწესებულებებს შორის ურთიერთობის კოორდინაცია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23" w:rsidRPr="00525DBC" w:rsidRDefault="005A6023" w:rsidP="005A6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525DBC">
              <w:rPr>
                <w:rFonts w:ascii="Sylfaen" w:eastAsia="Times New Roman" w:hAnsi="Sylfaen" w:cs="Sylfaen"/>
                <w:color w:val="000000"/>
                <w:lang w:val="ka-GE"/>
              </w:rPr>
              <w:t>წლის</w:t>
            </w:r>
            <w:r w:rsidRPr="00525DBC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525DBC">
              <w:rPr>
                <w:rFonts w:ascii="Sylfaen" w:eastAsia="Times New Roman" w:hAnsi="Sylfaen" w:cs="Sylfaen"/>
                <w:color w:val="000000"/>
                <w:lang w:val="ka-GE"/>
              </w:rPr>
              <w:t>განმავლობაში</w:t>
            </w:r>
          </w:p>
        </w:tc>
      </w:tr>
      <w:tr w:rsidR="00241A62" w:rsidRPr="00525DBC" w:rsidTr="0066560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1A62" w:rsidRPr="00525DBC" w:rsidRDefault="00342AA6" w:rsidP="005A602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A62" w:rsidRPr="00525DBC" w:rsidRDefault="00241A62" w:rsidP="005A6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  <w:tc>
          <w:tcPr>
            <w:tcW w:w="5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1A62" w:rsidRPr="00525DBC" w:rsidRDefault="00241A62" w:rsidP="00275A6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525DBC">
              <w:rPr>
                <w:rFonts w:ascii="Sylfaen" w:eastAsia="Times New Roman" w:hAnsi="Sylfaen" w:cs="Calibri"/>
                <w:color w:val="000000"/>
                <w:lang w:val="ka-GE"/>
              </w:rPr>
              <w:t>201</w:t>
            </w:r>
            <w:r w:rsidR="00275A6E">
              <w:rPr>
                <w:rFonts w:ascii="Sylfaen" w:eastAsia="Times New Roman" w:hAnsi="Sylfaen" w:cs="Calibri"/>
                <w:color w:val="000000"/>
                <w:lang w:val="ka-GE"/>
              </w:rPr>
              <w:t>9</w:t>
            </w:r>
            <w:r w:rsidRPr="00525DBC">
              <w:rPr>
                <w:rFonts w:ascii="Sylfaen" w:eastAsia="Times New Roman" w:hAnsi="Sylfaen" w:cs="Calibri"/>
                <w:color w:val="000000"/>
                <w:lang w:val="ka-GE"/>
              </w:rPr>
              <w:t xml:space="preserve"> წელს გაცემული რეკომენდაციების მონიტორინგი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A62" w:rsidRPr="00525DBC" w:rsidRDefault="00241A62" w:rsidP="005A602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525DBC">
              <w:rPr>
                <w:rFonts w:ascii="Sylfaen" w:eastAsia="Times New Roman" w:hAnsi="Sylfaen" w:cs="Sylfaen"/>
                <w:color w:val="000000"/>
                <w:lang w:val="ka-GE"/>
              </w:rPr>
              <w:t>წლის</w:t>
            </w:r>
            <w:r w:rsidRPr="00525DBC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525DBC">
              <w:rPr>
                <w:rFonts w:ascii="Sylfaen" w:eastAsia="Times New Roman" w:hAnsi="Sylfaen" w:cs="Sylfaen"/>
                <w:color w:val="000000"/>
                <w:lang w:val="ka-GE"/>
              </w:rPr>
              <w:t>განმავლობაში</w:t>
            </w:r>
          </w:p>
        </w:tc>
      </w:tr>
      <w:tr w:rsidR="00CE1F11" w:rsidRPr="00525DBC" w:rsidTr="00665603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23" w:rsidRPr="00525DBC" w:rsidRDefault="005A6023" w:rsidP="005A6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23" w:rsidRPr="00525DBC" w:rsidRDefault="005A6023" w:rsidP="005A6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11" w:rsidRPr="00525DBC" w:rsidRDefault="00CE1F11" w:rsidP="00B100A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23" w:rsidRPr="00525DBC" w:rsidRDefault="005A6023" w:rsidP="00B10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23" w:rsidRPr="00525DBC" w:rsidRDefault="005A6023" w:rsidP="005A6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23" w:rsidRPr="00525DBC" w:rsidRDefault="005A6023" w:rsidP="005A6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</w:tr>
      <w:tr w:rsidR="00CE1F11" w:rsidRPr="00525DBC" w:rsidTr="00665603">
        <w:trPr>
          <w:trHeight w:val="1237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F11" w:rsidRPr="00525DBC" w:rsidRDefault="00CE1F11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 w:rsidRPr="00525DBC">
              <w:rPr>
                <w:rFonts w:ascii="Sylfae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F11" w:rsidRPr="00525DBC" w:rsidRDefault="00CE1F11" w:rsidP="00B100A4">
            <w:pPr>
              <w:spacing w:line="240" w:lineRule="auto"/>
              <w:jc w:val="center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 w:rsidRPr="00525DBC">
              <w:rPr>
                <w:rFonts w:ascii="Sylfaen" w:hAnsi="Sylfaen" w:cs="Calibri"/>
                <w:b/>
                <w:bCs/>
                <w:color w:val="000000"/>
                <w:lang w:val="ka-GE"/>
              </w:rPr>
              <w:t>შიდა აუდიტორული შემოწმ</w:t>
            </w:r>
            <w:bookmarkStart w:id="0" w:name="_GoBack"/>
            <w:bookmarkEnd w:id="0"/>
            <w:r w:rsidRPr="00525DBC">
              <w:rPr>
                <w:rFonts w:ascii="Sylfaen" w:hAnsi="Sylfaen" w:cs="Calibri"/>
                <w:b/>
                <w:bCs/>
                <w:color w:val="000000"/>
                <w:lang w:val="ka-GE"/>
              </w:rPr>
              <w:t>ება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F11" w:rsidRPr="00525DBC" w:rsidRDefault="00CE1F11" w:rsidP="00B100A4">
            <w:pPr>
              <w:spacing w:line="240" w:lineRule="auto"/>
              <w:jc w:val="center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 w:rsidRPr="00525DBC">
              <w:rPr>
                <w:rFonts w:ascii="Sylfaen" w:hAnsi="Sylfaen" w:cs="Calibri"/>
                <w:b/>
                <w:bCs/>
                <w:color w:val="000000"/>
                <w:lang w:val="ka-GE"/>
              </w:rPr>
              <w:t>შიდა აუდიტის სახე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F11" w:rsidRPr="00525DBC" w:rsidRDefault="009047E0" w:rsidP="009047E0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 w:rsidRPr="00525DBC">
              <w:rPr>
                <w:rFonts w:ascii="Sylfaen" w:hAnsi="Sylfaen" w:cs="Calibri"/>
                <w:b/>
                <w:bCs/>
                <w:color w:val="000000"/>
                <w:lang w:val="ka-GE"/>
              </w:rPr>
              <w:t xml:space="preserve">აუდიტს დაქვემდებარებული </w:t>
            </w:r>
            <w:r w:rsidR="00CE1F11" w:rsidRPr="00525DBC">
              <w:rPr>
                <w:rFonts w:ascii="Sylfaen" w:hAnsi="Sylfaen" w:cs="Calibri"/>
                <w:b/>
                <w:bCs/>
                <w:color w:val="000000"/>
                <w:lang w:val="ka-GE"/>
              </w:rPr>
              <w:t xml:space="preserve"> პერიოდი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F11" w:rsidRPr="00525DBC" w:rsidRDefault="00CE1F11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 w:rsidRPr="00525DBC">
              <w:rPr>
                <w:rFonts w:ascii="Sylfaen" w:hAnsi="Sylfaen" w:cs="Calibri"/>
                <w:b/>
                <w:bCs/>
                <w:color w:val="000000"/>
                <w:lang w:val="ka-GE"/>
              </w:rPr>
              <w:t>შიდა აუდიტორთა რაოდენობა</w:t>
            </w:r>
          </w:p>
        </w:tc>
      </w:tr>
      <w:tr w:rsidR="00CE1F11" w:rsidRPr="003823B0" w:rsidTr="00665603">
        <w:trPr>
          <w:trHeight w:val="174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11" w:rsidRPr="00525DBC" w:rsidRDefault="00342AA6">
            <w:pPr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F11" w:rsidRPr="00525DBC" w:rsidRDefault="00525DBC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 w:rsidRPr="00525DBC">
              <w:rPr>
                <w:rFonts w:ascii="Sylfaen" w:hAnsi="Sylfaen" w:cs="Calibri"/>
                <w:b/>
                <w:bCs/>
                <w:color w:val="000000"/>
                <w:lang w:val="ka-GE"/>
              </w:rPr>
              <w:t>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F11" w:rsidRPr="003823B0" w:rsidRDefault="003823B0" w:rsidP="00B100A4">
            <w:pPr>
              <w:spacing w:line="240" w:lineRule="auto"/>
              <w:rPr>
                <w:rFonts w:ascii="Sylfaen" w:hAnsi="Sylfaen" w:cs="Calibri"/>
                <w:color w:val="000000"/>
                <w:lang w:val="ka-GE"/>
              </w:rPr>
            </w:pPr>
            <w:r w:rsidRPr="003823B0">
              <w:rPr>
                <w:rFonts w:ascii="Sylfaen" w:hAnsi="Sylfaen" w:cs="Calibri"/>
                <w:color w:val="000000"/>
                <w:lang w:val="ka-GE"/>
              </w:rPr>
              <w:t>სსიპ-სოციალური მომსახურების სააგენტოს მიერ მედიკამენტებისა  და  საკვები დანამატების სახელმწიფო შესყიდვები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F11" w:rsidRPr="003823B0" w:rsidRDefault="003823B0" w:rsidP="003823B0">
            <w:pPr>
              <w:spacing w:line="240" w:lineRule="auto"/>
              <w:rPr>
                <w:rFonts w:ascii="Calibri" w:hAnsi="Calibri" w:cs="Calibri"/>
                <w:color w:val="000000"/>
                <w:lang w:val="ka-GE"/>
              </w:rPr>
            </w:pPr>
            <w:r w:rsidRPr="003823B0">
              <w:rPr>
                <w:rFonts w:ascii="Sylfaen" w:hAnsi="Sylfaen" w:cs="Calibri"/>
                <w:color w:val="000000"/>
                <w:lang w:val="ka-GE"/>
              </w:rPr>
              <w:t>ფინანსური და შესაბამისობის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F11" w:rsidRPr="003823B0" w:rsidRDefault="003823B0" w:rsidP="009D6E33">
            <w:pPr>
              <w:jc w:val="center"/>
              <w:rPr>
                <w:rFonts w:ascii="Calibri" w:hAnsi="Calibri" w:cs="Calibri"/>
                <w:color w:val="000000"/>
                <w:lang w:val="ka-GE"/>
              </w:rPr>
            </w:pPr>
            <w:r w:rsidRPr="003823B0">
              <w:rPr>
                <w:rFonts w:ascii="Sylfaen" w:hAnsi="Sylfaen" w:cs="Calibri"/>
                <w:color w:val="000000"/>
                <w:lang w:val="ka-GE"/>
              </w:rPr>
              <w:t>2018-2020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F11" w:rsidRPr="003823B0" w:rsidRDefault="003823B0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3823B0">
              <w:rPr>
                <w:rFonts w:ascii="Sylfaen" w:hAnsi="Sylfaen" w:cs="Calibri"/>
                <w:color w:val="000000"/>
                <w:lang w:val="ka-GE"/>
              </w:rPr>
              <w:t>1</w:t>
            </w:r>
          </w:p>
        </w:tc>
      </w:tr>
      <w:tr w:rsidR="003823B0" w:rsidRPr="003823B0" w:rsidTr="00665603">
        <w:trPr>
          <w:trHeight w:val="9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B0" w:rsidRPr="00525DBC" w:rsidRDefault="003823B0" w:rsidP="003823B0">
            <w:pPr>
              <w:rPr>
                <w:rFonts w:ascii="Calibri" w:hAnsi="Calibri" w:cs="Calibri"/>
                <w:b/>
                <w:bCs/>
                <w:color w:val="000000"/>
                <w:lang w:val="ka-GE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3B0" w:rsidRDefault="003823B0" w:rsidP="003823B0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2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3B0" w:rsidRPr="003823B0" w:rsidRDefault="003823B0" w:rsidP="003823B0">
            <w:pPr>
              <w:spacing w:line="240" w:lineRule="auto"/>
              <w:rPr>
                <w:rFonts w:ascii="Sylfaen" w:hAnsi="Sylfaen" w:cs="Calibri"/>
                <w:color w:val="000000"/>
                <w:lang w:val="ka-GE"/>
              </w:rPr>
            </w:pPr>
            <w:r w:rsidRPr="003823B0">
              <w:rPr>
                <w:rFonts w:ascii="Sylfaen" w:hAnsi="Sylfaen" w:cs="Sylfaen"/>
                <w:color w:val="000000"/>
              </w:rPr>
              <w:t>სოციალური</w:t>
            </w:r>
            <w:r w:rsidRPr="003823B0">
              <w:rPr>
                <w:rFonts w:ascii="Calibri" w:hAnsi="Calibri" w:cs="Calibri"/>
                <w:color w:val="000000"/>
              </w:rPr>
              <w:t xml:space="preserve"> </w:t>
            </w:r>
            <w:r w:rsidR="000F671F">
              <w:rPr>
                <w:rFonts w:ascii="Sylfaen" w:hAnsi="Sylfaen" w:cs="Calibri"/>
                <w:color w:val="000000"/>
                <w:lang w:val="ka-GE"/>
              </w:rPr>
              <w:t xml:space="preserve">დაცვის სახელმწიფო </w:t>
            </w:r>
            <w:r w:rsidRPr="003823B0">
              <w:rPr>
                <w:rFonts w:ascii="Sylfaen" w:hAnsi="Sylfaen" w:cs="Sylfaen"/>
                <w:color w:val="000000"/>
              </w:rPr>
              <w:t>პროგრამები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3B0" w:rsidRPr="003823B0" w:rsidRDefault="003823B0" w:rsidP="003823B0">
            <w:pPr>
              <w:spacing w:line="24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3823B0">
              <w:rPr>
                <w:rFonts w:ascii="Sylfaen" w:hAnsi="Sylfaen" w:cs="Calibri"/>
                <w:color w:val="000000"/>
                <w:lang w:val="ka-GE"/>
              </w:rPr>
              <w:t>სისტემური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3B0" w:rsidRPr="003823B0" w:rsidRDefault="003823B0" w:rsidP="003823B0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3823B0">
              <w:rPr>
                <w:rFonts w:ascii="Calibri" w:hAnsi="Calibri" w:cs="Calibri"/>
                <w:color w:val="000000"/>
              </w:rPr>
              <w:t>2019-2020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3B0" w:rsidRPr="003823B0" w:rsidRDefault="003823B0" w:rsidP="003823B0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3823B0">
              <w:rPr>
                <w:rFonts w:ascii="Sylfaen" w:hAnsi="Sylfaen" w:cs="Calibri"/>
                <w:color w:val="000000"/>
                <w:lang w:val="ka-GE"/>
              </w:rPr>
              <w:t>1</w:t>
            </w:r>
          </w:p>
        </w:tc>
      </w:tr>
      <w:tr w:rsidR="003823B0" w:rsidRPr="003823B0" w:rsidTr="00665603">
        <w:trPr>
          <w:trHeight w:val="9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B0" w:rsidRPr="00525DBC" w:rsidRDefault="003823B0" w:rsidP="003823B0">
            <w:pPr>
              <w:rPr>
                <w:rFonts w:ascii="Calibri" w:hAnsi="Calibri" w:cs="Calibri"/>
                <w:b/>
                <w:bCs/>
                <w:color w:val="000000"/>
                <w:lang w:val="ka-GE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3B0" w:rsidRDefault="003823B0" w:rsidP="003823B0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3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3B0" w:rsidRPr="003823B0" w:rsidRDefault="003823B0" w:rsidP="003823B0">
            <w:pPr>
              <w:spacing w:line="240" w:lineRule="auto"/>
              <w:rPr>
                <w:rFonts w:ascii="Sylfaen" w:hAnsi="Sylfaen" w:cs="Calibri"/>
                <w:color w:val="000000"/>
                <w:lang w:val="ka-GE"/>
              </w:rPr>
            </w:pPr>
            <w:r w:rsidRPr="003823B0">
              <w:rPr>
                <w:rFonts w:ascii="Sylfaen" w:hAnsi="Sylfaen" w:cs="Sylfaen"/>
                <w:color w:val="000000"/>
              </w:rPr>
              <w:t>ჯან</w:t>
            </w:r>
            <w:r w:rsidRPr="003823B0">
              <w:rPr>
                <w:rFonts w:ascii="Sylfaen" w:hAnsi="Sylfaen" w:cs="Sylfaen"/>
                <w:color w:val="000000"/>
                <w:lang w:val="ka-GE"/>
              </w:rPr>
              <w:t xml:space="preserve">მრთელობის </w:t>
            </w:r>
            <w:r w:rsidRPr="003823B0">
              <w:rPr>
                <w:rFonts w:ascii="Sylfaen" w:hAnsi="Sylfaen" w:cs="Sylfaen"/>
                <w:color w:val="000000"/>
              </w:rPr>
              <w:t>დაცვის</w:t>
            </w:r>
            <w:r w:rsidRPr="003823B0">
              <w:rPr>
                <w:rFonts w:ascii="Calibri" w:hAnsi="Calibri" w:cs="Calibri"/>
                <w:color w:val="000000"/>
              </w:rPr>
              <w:t xml:space="preserve"> </w:t>
            </w:r>
            <w:r w:rsidR="000F671F">
              <w:rPr>
                <w:rFonts w:ascii="Sylfaen" w:hAnsi="Sylfaen" w:cs="Calibri"/>
                <w:color w:val="000000"/>
                <w:lang w:val="ka-GE"/>
              </w:rPr>
              <w:t xml:space="preserve">სახელმწიფო </w:t>
            </w:r>
            <w:r w:rsidRPr="003823B0">
              <w:rPr>
                <w:rFonts w:ascii="Calibri" w:hAnsi="Calibri" w:cs="Calibri"/>
                <w:color w:val="000000"/>
              </w:rPr>
              <w:t>(</w:t>
            </w:r>
            <w:r w:rsidRPr="003823B0">
              <w:rPr>
                <w:rFonts w:ascii="Sylfaen" w:hAnsi="Sylfaen" w:cs="Sylfaen"/>
                <w:color w:val="000000"/>
              </w:rPr>
              <w:t>ვერტიკალური</w:t>
            </w:r>
            <w:r w:rsidRPr="003823B0">
              <w:rPr>
                <w:rFonts w:ascii="Calibri" w:hAnsi="Calibri" w:cs="Calibri"/>
                <w:color w:val="000000"/>
              </w:rPr>
              <w:t xml:space="preserve">) </w:t>
            </w:r>
            <w:r w:rsidRPr="003823B0">
              <w:rPr>
                <w:rFonts w:ascii="Sylfaen" w:hAnsi="Sylfaen" w:cs="Sylfaen"/>
                <w:color w:val="000000"/>
              </w:rPr>
              <w:t>პროგრამები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3B0" w:rsidRPr="003823B0" w:rsidRDefault="003823B0" w:rsidP="003823B0">
            <w:pPr>
              <w:spacing w:line="24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3823B0">
              <w:rPr>
                <w:rFonts w:ascii="Sylfaen" w:hAnsi="Sylfaen" w:cs="Calibri"/>
                <w:color w:val="000000"/>
                <w:lang w:val="ka-GE"/>
              </w:rPr>
              <w:t>სისტემური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3B0" w:rsidRPr="003823B0" w:rsidRDefault="003823B0" w:rsidP="003823B0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3823B0">
              <w:rPr>
                <w:rFonts w:ascii="Calibri" w:hAnsi="Calibri" w:cs="Calibri"/>
                <w:color w:val="000000"/>
              </w:rPr>
              <w:t>2019-2020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3B0" w:rsidRPr="003823B0" w:rsidRDefault="003823B0" w:rsidP="003823B0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3823B0">
              <w:rPr>
                <w:rFonts w:ascii="Sylfaen" w:hAnsi="Sylfaen" w:cs="Calibri"/>
                <w:color w:val="000000"/>
                <w:lang w:val="ka-GE"/>
              </w:rPr>
              <w:t>1</w:t>
            </w:r>
          </w:p>
        </w:tc>
      </w:tr>
      <w:tr w:rsidR="003823B0" w:rsidRPr="003823B0" w:rsidTr="00665603">
        <w:trPr>
          <w:trHeight w:val="9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B0" w:rsidRPr="00525DBC" w:rsidRDefault="003823B0" w:rsidP="003823B0">
            <w:pPr>
              <w:rPr>
                <w:rFonts w:ascii="Calibri" w:hAnsi="Calibri" w:cs="Calibri"/>
                <w:b/>
                <w:bCs/>
                <w:color w:val="000000"/>
                <w:lang w:val="ka-GE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3B0" w:rsidRPr="00551CB6" w:rsidRDefault="003823B0" w:rsidP="003823B0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4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3B0" w:rsidRPr="00665603" w:rsidRDefault="00665603" w:rsidP="003823B0">
            <w:pPr>
              <w:spacing w:line="240" w:lineRule="auto"/>
              <w:rPr>
                <w:rFonts w:ascii="Sylfaen" w:eastAsia="Times New Roman" w:hAnsi="Sylfaen" w:cs="Sylfaen"/>
                <w:b/>
                <w:bCs/>
                <w:noProof/>
              </w:rPr>
            </w:pPr>
            <w:r w:rsidRPr="00665603">
              <w:rPr>
                <w:rFonts w:ascii="Sylfaen" w:hAnsi="Sylfaen" w:cs="Sylfaen"/>
                <w:color w:val="000000"/>
              </w:rPr>
              <w:t>სოციალური რეაბილიტაციისა და ბავშვზე ზრუნვის</w:t>
            </w:r>
            <w:r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  <w:r w:rsidRPr="00665603">
              <w:rPr>
                <w:rFonts w:ascii="Sylfaen" w:hAnsi="Sylfaen" w:cs="Sylfaen"/>
                <w:color w:val="000000"/>
              </w:rPr>
              <w:t>სახელმწიფო პროგრამა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603" w:rsidRDefault="00665603" w:rsidP="003823B0">
            <w:pPr>
              <w:spacing w:line="24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</w:p>
          <w:p w:rsidR="003823B0" w:rsidRPr="003823B0" w:rsidRDefault="00665603" w:rsidP="003823B0">
            <w:pPr>
              <w:spacing w:line="24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665603">
              <w:rPr>
                <w:rFonts w:ascii="Sylfaen" w:hAnsi="Sylfaen" w:cs="Calibri"/>
                <w:color w:val="000000"/>
                <w:lang w:val="ka-GE"/>
              </w:rPr>
              <w:t>შესაბამისობის                                             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3B0" w:rsidRPr="003823B0" w:rsidRDefault="00665603" w:rsidP="003823B0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2019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3B0" w:rsidRPr="003823B0" w:rsidRDefault="00665603" w:rsidP="003823B0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1</w:t>
            </w:r>
          </w:p>
        </w:tc>
      </w:tr>
      <w:tr w:rsidR="003823B0" w:rsidRPr="00525DBC" w:rsidTr="00665603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3B0" w:rsidRPr="00525DBC" w:rsidRDefault="003823B0" w:rsidP="0038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3B0" w:rsidRPr="00525DBC" w:rsidRDefault="003823B0" w:rsidP="0038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3B0" w:rsidRPr="00525DBC" w:rsidRDefault="003823B0" w:rsidP="0038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3B0" w:rsidRPr="00525DBC" w:rsidRDefault="003823B0" w:rsidP="0038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3B0" w:rsidRPr="00525DBC" w:rsidRDefault="003823B0" w:rsidP="0038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3B0" w:rsidRPr="00525DBC" w:rsidRDefault="003823B0" w:rsidP="0038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</w:tr>
      <w:tr w:rsidR="003823B0" w:rsidRPr="00525DBC" w:rsidTr="00665603">
        <w:trPr>
          <w:trHeight w:val="5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3B0" w:rsidRPr="00525DBC" w:rsidRDefault="003823B0" w:rsidP="0038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525DBC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3B0" w:rsidRPr="00525DBC" w:rsidRDefault="003823B0" w:rsidP="0038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525DBC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ინსპექტირება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3B0" w:rsidRPr="00525DBC" w:rsidRDefault="003823B0" w:rsidP="0038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525DBC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შესრულების</w:t>
            </w:r>
            <w:r w:rsidRPr="00525DBC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 xml:space="preserve"> </w:t>
            </w:r>
            <w:r w:rsidRPr="00525DBC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ვადა</w:t>
            </w:r>
          </w:p>
        </w:tc>
      </w:tr>
      <w:tr w:rsidR="003823B0" w:rsidRPr="00525DBC" w:rsidTr="00665603">
        <w:trPr>
          <w:trHeight w:val="5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3B0" w:rsidRPr="003823B0" w:rsidRDefault="003823B0" w:rsidP="003823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</w:t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23B0" w:rsidRPr="00525DBC" w:rsidRDefault="003823B0" w:rsidP="003823B0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  <w:r w:rsidRPr="00525DBC">
              <w:rPr>
                <w:rFonts w:ascii="Sylfaen" w:eastAsia="Times New Roman" w:hAnsi="Sylfaen" w:cs="Calibri"/>
                <w:color w:val="000000"/>
                <w:lang w:val="ka-GE"/>
              </w:rPr>
              <w:t>სამინისტროსა და სამინისტროს სისტემის თანამშრომელთა მიერ სამსახურებრივი გადაცდომის ფაქტებისა და სხვა მართლსაწინააღმდეგო ქმედებათა შესახებ საჩივარ-განცხადებების შესწავლა, სამსახურებრივი შემოწმების ჩატარება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3B0" w:rsidRPr="00525DBC" w:rsidRDefault="003823B0" w:rsidP="003823B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525DBC">
              <w:rPr>
                <w:rFonts w:ascii="Sylfaen" w:eastAsia="Times New Roman" w:hAnsi="Sylfaen" w:cs="Sylfaen"/>
                <w:color w:val="000000"/>
                <w:lang w:val="ka-GE"/>
              </w:rPr>
              <w:t>კანონმდებლობით განსაზღვრულ ვადებში</w:t>
            </w:r>
          </w:p>
          <w:p w:rsidR="003823B0" w:rsidRPr="00525DBC" w:rsidRDefault="003823B0" w:rsidP="003823B0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</w:tbl>
    <w:p w:rsidR="003823B0" w:rsidRPr="00525DBC" w:rsidRDefault="003823B0">
      <w:pPr>
        <w:rPr>
          <w:rFonts w:ascii="Sylfaen" w:hAnsi="Sylfaen"/>
          <w:sz w:val="24"/>
          <w:szCs w:val="24"/>
          <w:lang w:val="ka-GE"/>
        </w:rPr>
      </w:pPr>
    </w:p>
    <w:sectPr w:rsidR="003823B0" w:rsidRPr="00525DBC" w:rsidSect="00D51D8A">
      <w:headerReference w:type="default" r:id="rId8"/>
      <w:footerReference w:type="default" r:id="rId9"/>
      <w:pgSz w:w="11909" w:h="16834" w:code="9"/>
      <w:pgMar w:top="1138" w:right="1138" w:bottom="1138" w:left="1138" w:header="720" w:footer="5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851" w:rsidRDefault="00D17851" w:rsidP="000067C2">
      <w:pPr>
        <w:spacing w:after="0" w:line="240" w:lineRule="auto"/>
      </w:pPr>
      <w:r>
        <w:separator/>
      </w:r>
    </w:p>
  </w:endnote>
  <w:endnote w:type="continuationSeparator" w:id="0">
    <w:p w:rsidR="00D17851" w:rsidRDefault="00D17851" w:rsidP="00006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649" w:rsidRDefault="00D65649">
    <w:pPr>
      <w:pStyle w:val="Footer"/>
      <w:jc w:val="right"/>
    </w:pPr>
  </w:p>
  <w:p w:rsidR="00D65649" w:rsidRDefault="00D65649" w:rsidP="00D65649">
    <w:pPr>
      <w:pStyle w:val="Footer"/>
      <w:jc w:val="right"/>
      <w:rPr>
        <w:noProof/>
      </w:rPr>
    </w:pPr>
    <w:r w:rsidRPr="00D65649">
      <w:rPr>
        <w:rFonts w:ascii="Sylfaen" w:hAnsi="Sylfaen"/>
        <w:b/>
        <w:i/>
        <w:color w:val="215868" w:themeColor="accent5" w:themeShade="80"/>
        <w:sz w:val="18"/>
        <w:szCs w:val="18"/>
        <w:lang w:val="ka-GE"/>
      </w:rPr>
      <w:t>20</w:t>
    </w:r>
    <w:r w:rsidR="00275A6E">
      <w:rPr>
        <w:rFonts w:ascii="Sylfaen" w:hAnsi="Sylfaen"/>
        <w:b/>
        <w:i/>
        <w:color w:val="215868" w:themeColor="accent5" w:themeShade="80"/>
        <w:sz w:val="18"/>
        <w:szCs w:val="18"/>
        <w:lang w:val="ka-GE"/>
      </w:rPr>
      <w:t>20</w:t>
    </w:r>
    <w:r w:rsidRPr="00D65649">
      <w:rPr>
        <w:rFonts w:ascii="Sylfaen" w:hAnsi="Sylfaen"/>
        <w:b/>
        <w:i/>
        <w:color w:val="215868" w:themeColor="accent5" w:themeShade="80"/>
        <w:sz w:val="18"/>
        <w:szCs w:val="18"/>
        <w:lang w:val="ka-GE"/>
      </w:rPr>
      <w:t xml:space="preserve"> წლის წლიური გეგმა</w:t>
    </w:r>
    <w:r w:rsidRPr="00D65649">
      <w:rPr>
        <w:color w:val="215868" w:themeColor="accent5" w:themeShade="80"/>
      </w:rPr>
      <w:t xml:space="preserve"> </w:t>
    </w:r>
    <w:sdt>
      <w:sdtPr>
        <w:rPr>
          <w:color w:val="215868" w:themeColor="accent5" w:themeShade="80"/>
        </w:rPr>
        <w:id w:val="2100135258"/>
        <w:docPartObj>
          <w:docPartGallery w:val="Page Numbers (Bottom of Page)"/>
          <w:docPartUnique/>
        </w:docPartObj>
      </w:sdtPr>
      <w:sdtEndPr>
        <w:rPr>
          <w:noProof/>
          <w:color w:val="auto"/>
        </w:rPr>
      </w:sdtEndPr>
      <w:sdtContent>
        <w:r>
          <w:rPr>
            <w:rFonts w:ascii="Sylfaen" w:hAnsi="Sylfaen"/>
            <w:lang w:val="ka-GE"/>
          </w:rPr>
          <w:tab/>
        </w:r>
        <w:r>
          <w:rPr>
            <w:rFonts w:ascii="Sylfaen" w:hAnsi="Sylfaen"/>
            <w:lang w:val="ka-GE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594F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D65649" w:rsidRPr="00D65649" w:rsidRDefault="00D65649">
    <w:pPr>
      <w:pStyle w:val="Footer"/>
      <w:rPr>
        <w:rFonts w:ascii="Sylfaen" w:hAnsi="Sylfaen"/>
        <w:b/>
        <w:i/>
        <w:color w:val="215868" w:themeColor="accent5" w:themeShade="80"/>
        <w:sz w:val="18"/>
        <w:szCs w:val="18"/>
        <w:lang w:val="ka-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851" w:rsidRDefault="00D17851" w:rsidP="000067C2">
      <w:pPr>
        <w:spacing w:after="0" w:line="240" w:lineRule="auto"/>
      </w:pPr>
      <w:r>
        <w:separator/>
      </w:r>
    </w:p>
  </w:footnote>
  <w:footnote w:type="continuationSeparator" w:id="0">
    <w:p w:rsidR="00D17851" w:rsidRDefault="00D17851" w:rsidP="00006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712" w:rsidRDefault="00D65649" w:rsidP="00D65649">
    <w:pPr>
      <w:pStyle w:val="Header"/>
      <w:tabs>
        <w:tab w:val="clear" w:pos="4844"/>
        <w:tab w:val="clear" w:pos="9689"/>
        <w:tab w:val="center" w:pos="0"/>
        <w:tab w:val="right" w:pos="9720"/>
      </w:tabs>
      <w:jc w:val="right"/>
      <w:rPr>
        <w:rFonts w:ascii="Sylfaen" w:hAnsi="Sylfaen"/>
        <w:b/>
        <w:i/>
        <w:color w:val="215868" w:themeColor="accent5" w:themeShade="80"/>
        <w:sz w:val="18"/>
        <w:szCs w:val="18"/>
        <w:lang w:val="ka-GE"/>
      </w:rPr>
    </w:pPr>
    <w:r w:rsidRPr="00D65649">
      <w:rPr>
        <w:b/>
        <w:noProof/>
        <w:color w:val="215868" w:themeColor="accent5" w:themeShade="80"/>
        <w:sz w:val="18"/>
        <w:szCs w:val="18"/>
      </w:rPr>
      <w:drawing>
        <wp:anchor distT="0" distB="0" distL="114300" distR="114300" simplePos="0" relativeHeight="251659264" behindDoc="0" locked="0" layoutInCell="1" allowOverlap="1" wp14:anchorId="68D94424" wp14:editId="721804BF">
          <wp:simplePos x="0" y="0"/>
          <wp:positionH relativeFrom="column">
            <wp:posOffset>86995</wp:posOffset>
          </wp:positionH>
          <wp:positionV relativeFrom="paragraph">
            <wp:posOffset>-200025</wp:posOffset>
          </wp:positionV>
          <wp:extent cx="790575" cy="627976"/>
          <wp:effectExtent l="0" t="0" r="0" b="1270"/>
          <wp:wrapNone/>
          <wp:docPr id="1" name="Picture 1" descr="C:\Users\esharadze\AppData\Local\Microsoft\Windows\Temporary Internet Files\Content.Outlook\1DC5ZXC0\Captur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sharadze\AppData\Local\Microsoft\Windows\Temporary Internet Files\Content.Outlook\1DC5ZXC0\Captur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788" cy="63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5649">
      <w:rPr>
        <w:rFonts w:ascii="Sylfaen" w:hAnsi="Sylfaen"/>
        <w:b/>
        <w:i/>
        <w:color w:val="215868" w:themeColor="accent5" w:themeShade="80"/>
        <w:sz w:val="18"/>
        <w:szCs w:val="18"/>
        <w:lang w:val="ka-GE"/>
      </w:rPr>
      <w:t xml:space="preserve">საქართველოს </w:t>
    </w:r>
    <w:r w:rsidR="006A3712">
      <w:rPr>
        <w:rFonts w:ascii="Sylfaen" w:hAnsi="Sylfaen"/>
        <w:b/>
        <w:i/>
        <w:color w:val="215868" w:themeColor="accent5" w:themeShade="80"/>
        <w:sz w:val="18"/>
        <w:szCs w:val="18"/>
        <w:lang w:val="ka-GE"/>
      </w:rPr>
      <w:t xml:space="preserve">ოკუპირებული ტერიტორიებიდან </w:t>
    </w:r>
  </w:p>
  <w:p w:rsidR="00D65649" w:rsidRPr="00D65649" w:rsidRDefault="006A3712" w:rsidP="00D65649">
    <w:pPr>
      <w:pStyle w:val="Header"/>
      <w:tabs>
        <w:tab w:val="clear" w:pos="4844"/>
        <w:tab w:val="clear" w:pos="9689"/>
        <w:tab w:val="center" w:pos="0"/>
        <w:tab w:val="right" w:pos="9720"/>
      </w:tabs>
      <w:jc w:val="right"/>
      <w:rPr>
        <w:rFonts w:ascii="Sylfaen" w:hAnsi="Sylfaen"/>
        <w:b/>
        <w:i/>
        <w:color w:val="215868" w:themeColor="accent5" w:themeShade="80"/>
        <w:sz w:val="18"/>
        <w:szCs w:val="18"/>
        <w:lang w:val="ka-GE"/>
      </w:rPr>
    </w:pPr>
    <w:r>
      <w:rPr>
        <w:rFonts w:ascii="Sylfaen" w:hAnsi="Sylfaen"/>
        <w:b/>
        <w:i/>
        <w:color w:val="215868" w:themeColor="accent5" w:themeShade="80"/>
        <w:sz w:val="18"/>
        <w:szCs w:val="18"/>
        <w:lang w:val="ka-GE"/>
      </w:rPr>
      <w:t xml:space="preserve">დევნილთა, </w:t>
    </w:r>
    <w:r w:rsidR="00D65649" w:rsidRPr="00D65649">
      <w:rPr>
        <w:rFonts w:ascii="Sylfaen" w:hAnsi="Sylfaen"/>
        <w:b/>
        <w:i/>
        <w:color w:val="215868" w:themeColor="accent5" w:themeShade="80"/>
        <w:sz w:val="18"/>
        <w:szCs w:val="18"/>
        <w:lang w:val="ka-GE"/>
      </w:rPr>
      <w:t>შრომის, ჯანმრთელობისა და</w:t>
    </w:r>
  </w:p>
  <w:p w:rsidR="00D65649" w:rsidRDefault="00D65649" w:rsidP="00D65649">
    <w:pPr>
      <w:pStyle w:val="Header"/>
      <w:jc w:val="right"/>
      <w:rPr>
        <w:rFonts w:ascii="Sylfaen" w:hAnsi="Sylfaen"/>
        <w:b/>
        <w:i/>
        <w:color w:val="215868" w:themeColor="accent5" w:themeShade="80"/>
        <w:sz w:val="18"/>
        <w:szCs w:val="18"/>
        <w:lang w:val="ka-GE"/>
      </w:rPr>
    </w:pPr>
    <w:r w:rsidRPr="00D65649">
      <w:rPr>
        <w:rFonts w:ascii="Sylfaen" w:hAnsi="Sylfaen"/>
        <w:b/>
        <w:i/>
        <w:color w:val="215868" w:themeColor="accent5" w:themeShade="80"/>
        <w:sz w:val="18"/>
        <w:szCs w:val="18"/>
        <w:lang w:val="ka-GE"/>
      </w:rPr>
      <w:t xml:space="preserve">    სოციალური დაცვის სამინისტრო</w:t>
    </w:r>
    <w:r>
      <w:rPr>
        <w:rFonts w:ascii="Sylfaen" w:hAnsi="Sylfaen"/>
        <w:b/>
        <w:i/>
        <w:color w:val="215868" w:themeColor="accent5" w:themeShade="80"/>
        <w:sz w:val="18"/>
        <w:szCs w:val="18"/>
        <w:lang w:val="ka-GE"/>
      </w:rPr>
      <w:t>ს</w:t>
    </w:r>
  </w:p>
  <w:p w:rsidR="00D65649" w:rsidRPr="00D65649" w:rsidRDefault="00D65649" w:rsidP="00D65649">
    <w:pPr>
      <w:pStyle w:val="Header"/>
      <w:jc w:val="right"/>
      <w:rPr>
        <w:rFonts w:ascii="Sylfaen" w:hAnsi="Sylfaen"/>
        <w:b/>
        <w:i/>
        <w:color w:val="215868" w:themeColor="accent5" w:themeShade="80"/>
        <w:sz w:val="18"/>
        <w:szCs w:val="18"/>
        <w:lang w:val="ka-GE"/>
      </w:rPr>
    </w:pPr>
    <w:r>
      <w:rPr>
        <w:rFonts w:ascii="Sylfaen" w:hAnsi="Sylfaen"/>
        <w:b/>
        <w:i/>
        <w:color w:val="215868" w:themeColor="accent5" w:themeShade="80"/>
        <w:sz w:val="18"/>
        <w:szCs w:val="18"/>
        <w:lang w:val="ka-GE"/>
      </w:rPr>
      <w:t>შიდა აუდიტის დეპარტამენტი</w:t>
    </w:r>
  </w:p>
  <w:p w:rsidR="000067C2" w:rsidRPr="00D65649" w:rsidRDefault="000067C2" w:rsidP="00D656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21B4B"/>
    <w:multiLevelType w:val="hybridMultilevel"/>
    <w:tmpl w:val="B4E2B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71660"/>
    <w:multiLevelType w:val="hybridMultilevel"/>
    <w:tmpl w:val="24BEF53E"/>
    <w:lvl w:ilvl="0" w:tplc="0409000B">
      <w:start w:val="1"/>
      <w:numFmt w:val="bullet"/>
      <w:lvlText w:val=""/>
      <w:lvlJc w:val="left"/>
      <w:pPr>
        <w:ind w:left="7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" w15:restartNumberingAfterBreak="0">
    <w:nsid w:val="2B453103"/>
    <w:multiLevelType w:val="hybridMultilevel"/>
    <w:tmpl w:val="FCE0CE9C"/>
    <w:lvl w:ilvl="0" w:tplc="AF98E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34"/>
    <w:rsid w:val="000067C2"/>
    <w:rsid w:val="00020D7E"/>
    <w:rsid w:val="00052111"/>
    <w:rsid w:val="0009411D"/>
    <w:rsid w:val="000C3E83"/>
    <w:rsid w:val="000C6554"/>
    <w:rsid w:val="000C7B42"/>
    <w:rsid w:val="000F671F"/>
    <w:rsid w:val="00104E1F"/>
    <w:rsid w:val="001219FF"/>
    <w:rsid w:val="001A1759"/>
    <w:rsid w:val="001A5B97"/>
    <w:rsid w:val="001A6039"/>
    <w:rsid w:val="00207372"/>
    <w:rsid w:val="00231A13"/>
    <w:rsid w:val="00241A62"/>
    <w:rsid w:val="002521B1"/>
    <w:rsid w:val="00252BFF"/>
    <w:rsid w:val="00275A6E"/>
    <w:rsid w:val="002832A8"/>
    <w:rsid w:val="00285A43"/>
    <w:rsid w:val="002A3830"/>
    <w:rsid w:val="002D69B0"/>
    <w:rsid w:val="00300D20"/>
    <w:rsid w:val="00342AA6"/>
    <w:rsid w:val="003823B0"/>
    <w:rsid w:val="003C1AC6"/>
    <w:rsid w:val="00453F2C"/>
    <w:rsid w:val="00481C6F"/>
    <w:rsid w:val="004B4339"/>
    <w:rsid w:val="004C5398"/>
    <w:rsid w:val="005077EE"/>
    <w:rsid w:val="00510282"/>
    <w:rsid w:val="00525DBC"/>
    <w:rsid w:val="00532D38"/>
    <w:rsid w:val="00551CB6"/>
    <w:rsid w:val="00553E7F"/>
    <w:rsid w:val="005553F7"/>
    <w:rsid w:val="005605D0"/>
    <w:rsid w:val="005A6023"/>
    <w:rsid w:val="005C589A"/>
    <w:rsid w:val="006252C9"/>
    <w:rsid w:val="006537D1"/>
    <w:rsid w:val="006557F7"/>
    <w:rsid w:val="00665603"/>
    <w:rsid w:val="0067633E"/>
    <w:rsid w:val="006A3712"/>
    <w:rsid w:val="006E583F"/>
    <w:rsid w:val="006F363E"/>
    <w:rsid w:val="00710434"/>
    <w:rsid w:val="00726C84"/>
    <w:rsid w:val="00751C32"/>
    <w:rsid w:val="007A72C4"/>
    <w:rsid w:val="00807170"/>
    <w:rsid w:val="00850C7E"/>
    <w:rsid w:val="0088007A"/>
    <w:rsid w:val="0089647E"/>
    <w:rsid w:val="008D31FC"/>
    <w:rsid w:val="008E16B3"/>
    <w:rsid w:val="009047E0"/>
    <w:rsid w:val="00954428"/>
    <w:rsid w:val="00970254"/>
    <w:rsid w:val="009B3ABD"/>
    <w:rsid w:val="009B594F"/>
    <w:rsid w:val="009D6E33"/>
    <w:rsid w:val="009E0E9A"/>
    <w:rsid w:val="00A2606D"/>
    <w:rsid w:val="00A65C99"/>
    <w:rsid w:val="00A930B8"/>
    <w:rsid w:val="00AC3CE3"/>
    <w:rsid w:val="00AC59BC"/>
    <w:rsid w:val="00AD6067"/>
    <w:rsid w:val="00AE1D18"/>
    <w:rsid w:val="00B100A4"/>
    <w:rsid w:val="00B21540"/>
    <w:rsid w:val="00B87EA7"/>
    <w:rsid w:val="00BA288B"/>
    <w:rsid w:val="00BB60DC"/>
    <w:rsid w:val="00BF1875"/>
    <w:rsid w:val="00BF5477"/>
    <w:rsid w:val="00BF59BC"/>
    <w:rsid w:val="00C03C04"/>
    <w:rsid w:val="00C13503"/>
    <w:rsid w:val="00C234CE"/>
    <w:rsid w:val="00C82630"/>
    <w:rsid w:val="00C843CF"/>
    <w:rsid w:val="00CB2DEC"/>
    <w:rsid w:val="00CE1F11"/>
    <w:rsid w:val="00CE6423"/>
    <w:rsid w:val="00D0240D"/>
    <w:rsid w:val="00D17851"/>
    <w:rsid w:val="00D24E70"/>
    <w:rsid w:val="00D51D8A"/>
    <w:rsid w:val="00D57A98"/>
    <w:rsid w:val="00D65649"/>
    <w:rsid w:val="00D72778"/>
    <w:rsid w:val="00DC1D29"/>
    <w:rsid w:val="00EA7621"/>
    <w:rsid w:val="00EE03F6"/>
    <w:rsid w:val="00EE28C1"/>
    <w:rsid w:val="00F11EE1"/>
    <w:rsid w:val="00F13D0A"/>
    <w:rsid w:val="00F170B0"/>
    <w:rsid w:val="00F455CA"/>
    <w:rsid w:val="00F85440"/>
    <w:rsid w:val="00FB21C7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390E8E-8C04-458B-926C-A89C9390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34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187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234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234CE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067C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7C2"/>
  </w:style>
  <w:style w:type="paragraph" w:styleId="Footer">
    <w:name w:val="footer"/>
    <w:basedOn w:val="Normal"/>
    <w:link w:val="FooterChar"/>
    <w:uiPriority w:val="99"/>
    <w:unhideWhenUsed/>
    <w:rsid w:val="000067C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7C2"/>
  </w:style>
  <w:style w:type="paragraph" w:styleId="BalloonText">
    <w:name w:val="Balloon Text"/>
    <w:basedOn w:val="Normal"/>
    <w:link w:val="BalloonTextChar"/>
    <w:uiPriority w:val="99"/>
    <w:semiHidden/>
    <w:unhideWhenUsed/>
    <w:rsid w:val="00006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1DC8B-F0E9-4DB3-AB14-7EE6070A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საქართველოს შრომის, ჯანმრთელობისა და სოციალური დაცვის სამინისტრო</vt:lpstr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საქართველოს შრომის, ჯანმრთელობისა და სოციალური დაცვის სამინისტრო</dc:title>
  <dc:creator>Eka Sharadze</dc:creator>
  <cp:lastModifiedBy>Kakhaber Dzimistarishvili</cp:lastModifiedBy>
  <cp:revision>2</cp:revision>
  <cp:lastPrinted>2018-02-01T08:21:00Z</cp:lastPrinted>
  <dcterms:created xsi:type="dcterms:W3CDTF">2020-03-12T05:49:00Z</dcterms:created>
  <dcterms:modified xsi:type="dcterms:W3CDTF">2020-03-12T05:49:00Z</dcterms:modified>
</cp:coreProperties>
</file>