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4DC9E" w14:textId="7B1E667D" w:rsidR="0053593B" w:rsidRPr="008B415B" w:rsidRDefault="00134C85" w:rsidP="00BF57A1">
      <w:pPr>
        <w:rPr>
          <w:rFonts w:asciiTheme="majorBidi" w:eastAsia="Times New Roman" w:hAnsiTheme="majorBidi" w:cstheme="majorBidi"/>
          <w:sz w:val="24"/>
          <w:szCs w:val="24"/>
          <w:highlight w:val="yellow"/>
        </w:rPr>
      </w:pPr>
      <w:r w:rsidRPr="008B415B">
        <w:rPr>
          <w:rFonts w:asciiTheme="majorBidi" w:hAnsiTheme="majorBidi" w:cstheme="majorBidi"/>
          <w:sz w:val="24"/>
          <w:szCs w:val="24"/>
          <w:highlight w:val="yellow"/>
        </w:rPr>
        <w:t>The Seventy-second World Health Assembly, having considered the report</w:t>
      </w:r>
      <w:r w:rsidR="006130A2" w:rsidRPr="008B415B">
        <w:rPr>
          <w:rFonts w:asciiTheme="majorBidi" w:hAnsiTheme="majorBidi" w:cstheme="majorBidi"/>
          <w:sz w:val="24"/>
          <w:szCs w:val="24"/>
          <w:highlight w:val="yellow"/>
        </w:rPr>
        <w:t xml:space="preserve"> </w:t>
      </w:r>
      <w:r w:rsidRPr="008B415B">
        <w:rPr>
          <w:rFonts w:asciiTheme="majorBidi" w:hAnsiTheme="majorBidi" w:cstheme="majorBidi"/>
          <w:sz w:val="24"/>
          <w:szCs w:val="24"/>
          <w:highlight w:val="yellow"/>
        </w:rPr>
        <w:t>on implementation of decision WHA71(11) (2018),</w:t>
      </w:r>
      <w:r w:rsidR="00A21AA0" w:rsidRPr="008B415B">
        <w:rPr>
          <w:rStyle w:val="FootnoteReference"/>
          <w:rFonts w:asciiTheme="majorBidi" w:hAnsiTheme="majorBidi" w:cstheme="majorBidi"/>
          <w:sz w:val="24"/>
          <w:szCs w:val="24"/>
          <w:highlight w:val="yellow"/>
        </w:rPr>
        <w:t xml:space="preserve"> </w:t>
      </w:r>
      <w:r w:rsidR="00A21AA0" w:rsidRPr="008B415B">
        <w:rPr>
          <w:rStyle w:val="FootnoteReference"/>
          <w:rFonts w:asciiTheme="majorBidi" w:hAnsiTheme="majorBidi" w:cstheme="majorBidi"/>
          <w:sz w:val="24"/>
          <w:szCs w:val="24"/>
          <w:highlight w:val="yellow"/>
        </w:rPr>
        <w:footnoteReference w:id="1"/>
      </w:r>
      <w:r w:rsidR="00A21AA0" w:rsidRPr="008B415B">
        <w:rPr>
          <w:rFonts w:asciiTheme="majorBidi" w:hAnsiTheme="majorBidi" w:cstheme="majorBidi"/>
          <w:sz w:val="24"/>
          <w:szCs w:val="24"/>
          <w:highlight w:val="yellow"/>
        </w:rPr>
        <w:t xml:space="preserve"> </w:t>
      </w:r>
      <w:r w:rsidR="00A21AA0" w:rsidRPr="008B415B">
        <w:rPr>
          <w:rFonts w:asciiTheme="majorBidi" w:hAnsiTheme="majorBidi" w:cstheme="majorBidi"/>
          <w:spacing w:val="-19"/>
          <w:sz w:val="24"/>
          <w:szCs w:val="24"/>
          <w:highlight w:val="yellow"/>
        </w:rPr>
        <w:t>and taking note of the PIP Advisory Group’s recommendations to the Director-General,</w:t>
      </w:r>
      <w:r w:rsidR="00A21AA0" w:rsidRPr="008B415B">
        <w:rPr>
          <w:rStyle w:val="FootnoteReference"/>
          <w:rFonts w:asciiTheme="majorBidi" w:hAnsiTheme="majorBidi" w:cstheme="majorBidi"/>
          <w:sz w:val="24"/>
          <w:szCs w:val="24"/>
          <w:highlight w:val="yellow"/>
        </w:rPr>
        <w:t xml:space="preserve"> </w:t>
      </w:r>
      <w:r w:rsidR="00A21AA0" w:rsidRPr="008B415B">
        <w:rPr>
          <w:rStyle w:val="FootnoteReference"/>
          <w:rFonts w:asciiTheme="majorBidi" w:hAnsiTheme="majorBidi" w:cstheme="majorBidi"/>
          <w:sz w:val="24"/>
          <w:szCs w:val="24"/>
          <w:highlight w:val="yellow"/>
        </w:rPr>
        <w:footnoteReference w:id="2"/>
      </w:r>
      <w:r w:rsidR="00A21AA0" w:rsidRPr="008B415B">
        <w:rPr>
          <w:rFonts w:asciiTheme="majorBidi" w:hAnsiTheme="majorBidi" w:cstheme="majorBidi"/>
          <w:spacing w:val="-19"/>
          <w:sz w:val="24"/>
          <w:szCs w:val="24"/>
          <w:highlight w:val="yellow"/>
        </w:rPr>
        <w:t xml:space="preserve"> </w:t>
      </w:r>
      <w:r w:rsidRPr="008B415B">
        <w:rPr>
          <w:rFonts w:asciiTheme="majorBidi" w:hAnsiTheme="majorBidi" w:cstheme="majorBidi"/>
          <w:sz w:val="24"/>
          <w:szCs w:val="24"/>
          <w:highlight w:val="yellow"/>
        </w:rPr>
        <w:t>decided:</w:t>
      </w:r>
    </w:p>
    <w:p w14:paraId="46A4DC9F" w14:textId="77777777" w:rsidR="0053593B" w:rsidRPr="008B415B" w:rsidRDefault="0053593B">
      <w:pPr>
        <w:spacing w:before="3"/>
        <w:rPr>
          <w:rFonts w:asciiTheme="majorBidi" w:eastAsia="Times New Roman" w:hAnsiTheme="majorBidi" w:cstheme="majorBidi"/>
          <w:sz w:val="24"/>
          <w:szCs w:val="24"/>
          <w:highlight w:val="yellow"/>
        </w:rPr>
      </w:pPr>
    </w:p>
    <w:p w14:paraId="2C4FD0E6" w14:textId="1ADD84B1" w:rsidR="00DE702D" w:rsidRPr="008B415B" w:rsidRDefault="00134C85" w:rsidP="00567CEA">
      <w:pPr>
        <w:rPr>
          <w:rFonts w:asciiTheme="majorBidi" w:hAnsiTheme="majorBidi" w:cstheme="majorBidi"/>
          <w:sz w:val="24"/>
          <w:szCs w:val="24"/>
        </w:rPr>
      </w:pPr>
      <w:r w:rsidRPr="008B415B">
        <w:rPr>
          <w:rFonts w:asciiTheme="majorBidi" w:hAnsiTheme="majorBidi" w:cstheme="majorBidi"/>
          <w:sz w:val="24"/>
          <w:szCs w:val="24"/>
          <w:highlight w:val="yellow"/>
        </w:rPr>
        <w:t xml:space="preserve">OP (1) </w:t>
      </w:r>
      <w:r w:rsidR="00D1336B" w:rsidRPr="008B415B">
        <w:rPr>
          <w:rFonts w:asciiTheme="majorBidi" w:hAnsiTheme="majorBidi" w:cstheme="majorBidi"/>
          <w:sz w:val="24"/>
          <w:szCs w:val="24"/>
          <w:highlight w:val="yellow"/>
        </w:rPr>
        <w:t>to</w:t>
      </w:r>
      <w:r w:rsidRPr="008B415B">
        <w:rPr>
          <w:rFonts w:asciiTheme="majorBidi" w:hAnsiTheme="majorBidi" w:cstheme="majorBidi"/>
          <w:sz w:val="24"/>
          <w:szCs w:val="24"/>
          <w:highlight w:val="yellow"/>
        </w:rPr>
        <w:t xml:space="preserve"> request the Director-General:</w:t>
      </w:r>
    </w:p>
    <w:p w14:paraId="5C22D488" w14:textId="56820088" w:rsidR="00DB1C23" w:rsidRPr="00302FA4" w:rsidRDefault="00616F5A" w:rsidP="009C0729">
      <w:pPr>
        <w:pStyle w:val="ListParagraph"/>
        <w:spacing w:before="100" w:beforeAutospacing="1" w:after="100" w:afterAutospacing="1"/>
        <w:ind w:left="1256"/>
        <w:rPr>
          <w:rFonts w:asciiTheme="majorBidi" w:hAnsiTheme="majorBidi" w:cstheme="majorBidi"/>
          <w:sz w:val="24"/>
          <w:szCs w:val="24"/>
          <w:highlight w:val="yellow"/>
          <w:lang w:val="en-GB"/>
        </w:rPr>
      </w:pPr>
      <w:r w:rsidRPr="008B415B">
        <w:rPr>
          <w:rFonts w:asciiTheme="majorBidi" w:hAnsiTheme="majorBidi" w:cstheme="majorBidi"/>
          <w:b/>
          <w:bCs/>
          <w:sz w:val="24"/>
          <w:szCs w:val="24"/>
          <w:highlight w:val="yellow"/>
          <w:lang w:val="en-GB"/>
        </w:rPr>
        <w:t>(a)</w:t>
      </w:r>
      <w:r w:rsidR="003B783A" w:rsidRPr="008B415B">
        <w:rPr>
          <w:rFonts w:asciiTheme="majorBidi" w:hAnsiTheme="majorBidi" w:cstheme="majorBidi"/>
          <w:sz w:val="24"/>
          <w:szCs w:val="24"/>
          <w:highlight w:val="yellow"/>
          <w:lang w:val="en-GB"/>
        </w:rPr>
        <w:t xml:space="preserve"> to work with the Global Influenza Surveillance and Response System (GISRS) and other partners, such as Other Authorized Laboratories and relevant institutions, to collect, analyse, and present data on influenza virus sharing in a way that enables </w:t>
      </w:r>
      <w:r w:rsidR="003B783A" w:rsidRPr="00302FA4">
        <w:rPr>
          <w:rFonts w:asciiTheme="majorBidi" w:hAnsiTheme="majorBidi" w:cstheme="majorBidi"/>
          <w:sz w:val="24"/>
          <w:szCs w:val="24"/>
          <w:highlight w:val="yellow"/>
          <w:lang w:val="en-GB"/>
        </w:rPr>
        <w:t>a deeper understanding of challenges, opportunities, and implications for public health associated with virus sharing under the GISRS, including by identifying specific instances where influenza virus sharing has been hindered and how such instances may be mitigated</w:t>
      </w:r>
      <w:r w:rsidRPr="00302FA4">
        <w:rPr>
          <w:rFonts w:asciiTheme="majorBidi" w:hAnsiTheme="majorBidi" w:cstheme="majorBidi"/>
          <w:sz w:val="24"/>
          <w:szCs w:val="24"/>
          <w:highlight w:val="yellow"/>
          <w:lang w:val="en-GB"/>
        </w:rPr>
        <w:t>.</w:t>
      </w:r>
    </w:p>
    <w:p w14:paraId="464FCE94" w14:textId="77777777" w:rsidR="00567CEA" w:rsidRPr="00302FA4" w:rsidRDefault="009C0729" w:rsidP="00567CEA">
      <w:pPr>
        <w:spacing w:before="100" w:beforeAutospacing="1" w:after="100" w:afterAutospacing="1"/>
        <w:ind w:left="1276"/>
        <w:rPr>
          <w:rFonts w:asciiTheme="majorBidi" w:hAnsiTheme="majorBidi" w:cstheme="majorBidi"/>
          <w:sz w:val="24"/>
          <w:szCs w:val="24"/>
          <w:highlight w:val="yellow"/>
          <w:lang w:val="en-GB"/>
        </w:rPr>
      </w:pPr>
      <w:r w:rsidRPr="00302FA4">
        <w:rPr>
          <w:rFonts w:asciiTheme="majorBidi" w:hAnsiTheme="majorBidi" w:cstheme="majorBidi"/>
          <w:b/>
          <w:bCs/>
          <w:sz w:val="24"/>
          <w:szCs w:val="24"/>
          <w:highlight w:val="yellow"/>
        </w:rPr>
        <w:t>(b)</w:t>
      </w:r>
      <w:r w:rsidR="00DB1C23" w:rsidRPr="00302FA4">
        <w:rPr>
          <w:rFonts w:asciiTheme="majorBidi" w:hAnsiTheme="majorBidi" w:cstheme="majorBidi"/>
          <w:sz w:val="24"/>
          <w:szCs w:val="24"/>
          <w:highlight w:val="yellow"/>
          <w:lang w:val="en-GB"/>
        </w:rPr>
        <w:t xml:space="preserve"> to prepare a report</w:t>
      </w:r>
      <w:r w:rsidR="00055393" w:rsidRPr="00302FA4">
        <w:rPr>
          <w:rFonts w:asciiTheme="majorBidi" w:hAnsiTheme="majorBidi" w:cstheme="majorBidi"/>
          <w:sz w:val="24"/>
          <w:szCs w:val="24"/>
          <w:highlight w:val="yellow"/>
          <w:lang w:val="en-GB"/>
        </w:rPr>
        <w:t>, with inputs from Member States and stakeholders, as appropriate,</w:t>
      </w:r>
      <w:r w:rsidR="00DB1C23" w:rsidRPr="00302FA4">
        <w:rPr>
          <w:rFonts w:asciiTheme="majorBidi" w:hAnsiTheme="majorBidi" w:cstheme="majorBidi"/>
          <w:sz w:val="24"/>
          <w:szCs w:val="24"/>
          <w:highlight w:val="yellow"/>
          <w:lang w:val="en-GB"/>
        </w:rPr>
        <w:t xml:space="preserve"> on </w:t>
      </w:r>
      <w:r w:rsidR="008B12C2" w:rsidRPr="00302FA4">
        <w:rPr>
          <w:rFonts w:asciiTheme="majorBidi" w:hAnsiTheme="majorBidi" w:cstheme="majorBidi"/>
          <w:sz w:val="24"/>
          <w:szCs w:val="24"/>
          <w:highlight w:val="yellow"/>
          <w:lang w:val="en-GB"/>
        </w:rPr>
        <w:t xml:space="preserve">the </w:t>
      </w:r>
      <w:r w:rsidRPr="00302FA4">
        <w:rPr>
          <w:rFonts w:asciiTheme="majorBidi" w:hAnsiTheme="majorBidi" w:cstheme="majorBidi"/>
          <w:sz w:val="24"/>
          <w:szCs w:val="24"/>
          <w:highlight w:val="yellow"/>
          <w:lang w:val="en-GB"/>
        </w:rPr>
        <w:t>treatment</w:t>
      </w:r>
      <w:r w:rsidR="008B12C2" w:rsidRPr="00302FA4">
        <w:rPr>
          <w:rFonts w:asciiTheme="majorBidi" w:hAnsiTheme="majorBidi" w:cstheme="majorBidi"/>
          <w:sz w:val="24"/>
          <w:szCs w:val="24"/>
          <w:highlight w:val="yellow"/>
          <w:lang w:val="en-GB"/>
        </w:rPr>
        <w:t xml:space="preserve"> of influenza virus sharing and</w:t>
      </w:r>
      <w:r w:rsidRPr="00302FA4">
        <w:rPr>
          <w:rFonts w:asciiTheme="majorBidi" w:hAnsiTheme="majorBidi" w:cstheme="majorBidi"/>
          <w:sz w:val="24"/>
          <w:szCs w:val="24"/>
          <w:highlight w:val="yellow"/>
          <w:lang w:val="en-GB"/>
        </w:rPr>
        <w:t xml:space="preserve"> the</w:t>
      </w:r>
      <w:r w:rsidR="008B12C2" w:rsidRPr="00302FA4">
        <w:rPr>
          <w:rFonts w:asciiTheme="majorBidi" w:hAnsiTheme="majorBidi" w:cstheme="majorBidi"/>
          <w:sz w:val="24"/>
          <w:szCs w:val="24"/>
          <w:highlight w:val="yellow"/>
          <w:lang w:val="en-GB"/>
        </w:rPr>
        <w:t xml:space="preserve"> public health considerations </w:t>
      </w:r>
      <w:r w:rsidRPr="00302FA4">
        <w:rPr>
          <w:rFonts w:asciiTheme="majorBidi" w:hAnsiTheme="majorBidi" w:cstheme="majorBidi"/>
          <w:sz w:val="24"/>
          <w:szCs w:val="24"/>
          <w:highlight w:val="yellow"/>
          <w:lang w:val="en-GB"/>
        </w:rPr>
        <w:t xml:space="preserve">thereof </w:t>
      </w:r>
      <w:r w:rsidR="008B12C2" w:rsidRPr="00302FA4">
        <w:rPr>
          <w:rFonts w:asciiTheme="majorBidi" w:hAnsiTheme="majorBidi" w:cstheme="majorBidi"/>
          <w:sz w:val="24"/>
          <w:szCs w:val="24"/>
          <w:highlight w:val="yellow"/>
          <w:lang w:val="en-GB"/>
        </w:rPr>
        <w:t xml:space="preserve">by </w:t>
      </w:r>
      <w:r w:rsidR="00DB1C23" w:rsidRPr="00302FA4">
        <w:rPr>
          <w:rFonts w:asciiTheme="majorBidi" w:hAnsiTheme="majorBidi" w:cstheme="majorBidi"/>
          <w:sz w:val="24"/>
          <w:szCs w:val="24"/>
          <w:highlight w:val="yellow"/>
          <w:lang w:val="en-GB"/>
        </w:rPr>
        <w:t>existing</w:t>
      </w:r>
      <w:r w:rsidRPr="00302FA4">
        <w:rPr>
          <w:rFonts w:asciiTheme="majorBidi" w:hAnsiTheme="majorBidi" w:cstheme="majorBidi"/>
          <w:sz w:val="24"/>
          <w:szCs w:val="24"/>
          <w:highlight w:val="yellow"/>
          <w:lang w:val="en-GB"/>
        </w:rPr>
        <w:t xml:space="preserve"> relevant</w:t>
      </w:r>
      <w:r w:rsidR="00DB1C23" w:rsidRPr="00302FA4">
        <w:rPr>
          <w:rFonts w:asciiTheme="majorBidi" w:hAnsiTheme="majorBidi" w:cstheme="majorBidi"/>
          <w:sz w:val="24"/>
          <w:szCs w:val="24"/>
          <w:highlight w:val="yellow"/>
          <w:lang w:val="en-GB"/>
        </w:rPr>
        <w:t xml:space="preserve"> </w:t>
      </w:r>
      <w:r w:rsidR="00DC7564" w:rsidRPr="00302FA4">
        <w:rPr>
          <w:rFonts w:asciiTheme="majorBidi" w:hAnsiTheme="majorBidi" w:cstheme="majorBidi"/>
          <w:sz w:val="24"/>
          <w:szCs w:val="24"/>
          <w:highlight w:val="yellow"/>
          <w:lang w:val="en-GB"/>
        </w:rPr>
        <w:t>legislation</w:t>
      </w:r>
      <w:r w:rsidR="008B12C2" w:rsidRPr="00302FA4">
        <w:rPr>
          <w:rFonts w:asciiTheme="majorBidi" w:hAnsiTheme="majorBidi" w:cstheme="majorBidi"/>
          <w:sz w:val="24"/>
          <w:szCs w:val="24"/>
          <w:highlight w:val="yellow"/>
          <w:lang w:val="en-GB"/>
        </w:rPr>
        <w:t xml:space="preserve"> and regulatory measures</w:t>
      </w:r>
      <w:r w:rsidR="00DC7564" w:rsidRPr="00302FA4">
        <w:rPr>
          <w:rFonts w:asciiTheme="majorBidi" w:hAnsiTheme="majorBidi" w:cstheme="majorBidi"/>
          <w:sz w:val="24"/>
          <w:szCs w:val="24"/>
          <w:highlight w:val="yellow"/>
          <w:lang w:val="en-GB"/>
        </w:rPr>
        <w:t xml:space="preserve"> </w:t>
      </w:r>
      <w:r w:rsidR="00DB1C23" w:rsidRPr="00302FA4">
        <w:rPr>
          <w:rFonts w:asciiTheme="majorBidi" w:hAnsiTheme="majorBidi" w:cstheme="majorBidi"/>
          <w:sz w:val="24"/>
          <w:szCs w:val="24"/>
          <w:highlight w:val="yellow"/>
          <w:lang w:val="en-GB"/>
        </w:rPr>
        <w:t xml:space="preserve">including </w:t>
      </w:r>
      <w:r w:rsidRPr="00302FA4">
        <w:rPr>
          <w:rFonts w:asciiTheme="majorBidi" w:hAnsiTheme="majorBidi" w:cstheme="majorBidi"/>
          <w:sz w:val="24"/>
          <w:szCs w:val="24"/>
          <w:highlight w:val="yellow"/>
          <w:lang w:val="en-GB"/>
        </w:rPr>
        <w:t>those</w:t>
      </w:r>
      <w:r w:rsidR="008B12C2" w:rsidRPr="00302FA4">
        <w:rPr>
          <w:rFonts w:asciiTheme="majorBidi" w:hAnsiTheme="majorBidi" w:cstheme="majorBidi"/>
          <w:sz w:val="24"/>
          <w:szCs w:val="24"/>
          <w:highlight w:val="yellow"/>
          <w:lang w:val="en-GB"/>
        </w:rPr>
        <w:t xml:space="preserve"> </w:t>
      </w:r>
      <w:r w:rsidR="00DB1C23" w:rsidRPr="00302FA4">
        <w:rPr>
          <w:rFonts w:asciiTheme="majorBidi" w:hAnsiTheme="majorBidi" w:cstheme="majorBidi"/>
          <w:sz w:val="24"/>
          <w:szCs w:val="24"/>
          <w:highlight w:val="yellow"/>
          <w:lang w:val="en-GB"/>
        </w:rPr>
        <w:t>implementing the Nagoya Protocol, in consultation with the Secretariat of the Convention on Biological Diversity as appropriate</w:t>
      </w:r>
      <w:r w:rsidR="00055393" w:rsidRPr="00302FA4">
        <w:rPr>
          <w:rFonts w:asciiTheme="majorBidi" w:hAnsiTheme="majorBidi" w:cstheme="majorBidi"/>
          <w:sz w:val="24"/>
          <w:szCs w:val="24"/>
          <w:highlight w:val="yellow"/>
          <w:lang w:val="en-GB"/>
        </w:rPr>
        <w:t>.</w:t>
      </w:r>
    </w:p>
    <w:p w14:paraId="2356BE6C" w14:textId="134F68CF" w:rsidR="00567CEA" w:rsidRPr="00302FA4" w:rsidRDefault="00567CEA" w:rsidP="00E16A36">
      <w:pPr>
        <w:spacing w:before="100" w:beforeAutospacing="1" w:after="100" w:afterAutospacing="1"/>
        <w:ind w:left="1276"/>
        <w:rPr>
          <w:rFonts w:asciiTheme="majorBidi" w:hAnsiTheme="majorBidi" w:cstheme="majorBidi"/>
          <w:sz w:val="24"/>
          <w:szCs w:val="24"/>
          <w:highlight w:val="yellow"/>
          <w:lang w:val="en-GB"/>
        </w:rPr>
      </w:pPr>
      <w:r w:rsidRPr="00302FA4">
        <w:rPr>
          <w:rFonts w:asciiTheme="majorBidi" w:hAnsiTheme="majorBidi" w:cstheme="majorBidi"/>
          <w:b/>
          <w:bCs/>
          <w:sz w:val="24"/>
          <w:szCs w:val="24"/>
          <w:highlight w:val="yellow"/>
          <w:lang w:val="en-GB"/>
        </w:rPr>
        <w:t xml:space="preserve">(c) </w:t>
      </w:r>
      <w:r w:rsidRPr="00302FA4">
        <w:rPr>
          <w:rFonts w:asciiTheme="majorBidi" w:hAnsiTheme="majorBidi" w:cstheme="majorBidi"/>
          <w:sz w:val="24"/>
          <w:szCs w:val="24"/>
          <w:highlight w:val="yellow"/>
        </w:rPr>
        <w:t>t</w:t>
      </w:r>
      <w:r w:rsidR="00134C85" w:rsidRPr="00302FA4">
        <w:rPr>
          <w:rFonts w:asciiTheme="majorBidi" w:hAnsiTheme="majorBidi" w:cstheme="majorBidi"/>
          <w:sz w:val="24"/>
          <w:szCs w:val="24"/>
          <w:highlight w:val="yellow"/>
        </w:rPr>
        <w:t>o</w:t>
      </w:r>
      <w:r w:rsidR="00DF3D94" w:rsidRPr="00302FA4">
        <w:rPr>
          <w:rFonts w:asciiTheme="majorBidi" w:hAnsiTheme="majorBidi" w:cstheme="majorBidi"/>
          <w:sz w:val="24"/>
          <w:szCs w:val="24"/>
          <w:highlight w:val="yellow"/>
        </w:rPr>
        <w:t xml:space="preserve"> provide more information o</w:t>
      </w:r>
      <w:r w:rsidR="00BC00D5" w:rsidRPr="00302FA4">
        <w:rPr>
          <w:rFonts w:asciiTheme="majorBidi" w:hAnsiTheme="majorBidi" w:cstheme="majorBidi"/>
          <w:sz w:val="24"/>
          <w:szCs w:val="24"/>
          <w:highlight w:val="yellow"/>
        </w:rPr>
        <w:t>n the functioning</w:t>
      </w:r>
      <w:r w:rsidR="009C0729" w:rsidRPr="00302FA4">
        <w:rPr>
          <w:rFonts w:asciiTheme="majorBidi" w:hAnsiTheme="majorBidi" w:cstheme="majorBidi"/>
          <w:sz w:val="24"/>
          <w:szCs w:val="24"/>
          <w:highlight w:val="yellow"/>
        </w:rPr>
        <w:t>,</w:t>
      </w:r>
      <w:r w:rsidR="00BC00D5" w:rsidRPr="00302FA4">
        <w:rPr>
          <w:rFonts w:asciiTheme="majorBidi" w:hAnsiTheme="majorBidi" w:cstheme="majorBidi"/>
          <w:sz w:val="24"/>
          <w:szCs w:val="24"/>
          <w:highlight w:val="yellow"/>
        </w:rPr>
        <w:t xml:space="preserve"> </w:t>
      </w:r>
      <w:r w:rsidR="00134C85" w:rsidRPr="00302FA4">
        <w:rPr>
          <w:rFonts w:asciiTheme="majorBidi" w:hAnsiTheme="majorBidi" w:cstheme="majorBidi"/>
          <w:bCs/>
          <w:sz w:val="24"/>
          <w:szCs w:val="24"/>
          <w:highlight w:val="yellow"/>
        </w:rPr>
        <w:t>usefulness</w:t>
      </w:r>
      <w:r w:rsidR="009C0729" w:rsidRPr="00302FA4">
        <w:rPr>
          <w:rFonts w:asciiTheme="majorBidi" w:hAnsiTheme="majorBidi" w:cstheme="majorBidi"/>
          <w:bCs/>
          <w:sz w:val="24"/>
          <w:szCs w:val="24"/>
          <w:highlight w:val="yellow"/>
        </w:rPr>
        <w:t>, and limitations</w:t>
      </w:r>
      <w:r w:rsidR="00134C85" w:rsidRPr="00302FA4">
        <w:rPr>
          <w:rFonts w:asciiTheme="majorBidi" w:hAnsiTheme="majorBidi" w:cstheme="majorBidi"/>
          <w:bCs/>
          <w:spacing w:val="22"/>
          <w:sz w:val="24"/>
          <w:szCs w:val="24"/>
          <w:highlight w:val="yellow"/>
        </w:rPr>
        <w:t xml:space="preserve"> </w:t>
      </w:r>
      <w:r w:rsidR="00134C85" w:rsidRPr="00302FA4">
        <w:rPr>
          <w:rFonts w:asciiTheme="majorBidi" w:hAnsiTheme="majorBidi" w:cstheme="majorBidi"/>
          <w:sz w:val="24"/>
          <w:szCs w:val="24"/>
          <w:highlight w:val="yellow"/>
        </w:rPr>
        <w:t>of</w:t>
      </w:r>
      <w:r w:rsidR="00134C85" w:rsidRPr="00302FA4">
        <w:rPr>
          <w:rFonts w:asciiTheme="majorBidi" w:hAnsiTheme="majorBidi" w:cstheme="majorBidi"/>
          <w:spacing w:val="22"/>
          <w:sz w:val="24"/>
          <w:szCs w:val="24"/>
          <w:highlight w:val="yellow"/>
        </w:rPr>
        <w:t xml:space="preserve"> </w:t>
      </w:r>
      <w:r w:rsidR="00134C85" w:rsidRPr="00302FA4">
        <w:rPr>
          <w:rFonts w:asciiTheme="majorBidi" w:hAnsiTheme="majorBidi" w:cstheme="majorBidi"/>
          <w:sz w:val="24"/>
          <w:szCs w:val="24"/>
          <w:highlight w:val="yellow"/>
        </w:rPr>
        <w:t>the</w:t>
      </w:r>
      <w:r w:rsidR="00134C85" w:rsidRPr="00302FA4">
        <w:rPr>
          <w:rFonts w:asciiTheme="majorBidi" w:hAnsiTheme="majorBidi" w:cstheme="majorBidi"/>
          <w:spacing w:val="21"/>
          <w:sz w:val="24"/>
          <w:szCs w:val="24"/>
          <w:highlight w:val="yellow"/>
        </w:rPr>
        <w:t xml:space="preserve"> </w:t>
      </w:r>
      <w:r w:rsidR="00134C85" w:rsidRPr="00302FA4">
        <w:rPr>
          <w:rFonts w:asciiTheme="majorBidi" w:hAnsiTheme="majorBidi" w:cstheme="majorBidi"/>
          <w:sz w:val="24"/>
          <w:szCs w:val="24"/>
          <w:highlight w:val="yellow"/>
        </w:rPr>
        <w:t>prototype</w:t>
      </w:r>
      <w:r w:rsidR="00134C85" w:rsidRPr="00302FA4">
        <w:rPr>
          <w:rFonts w:asciiTheme="majorBidi" w:hAnsiTheme="majorBidi" w:cstheme="majorBidi"/>
          <w:spacing w:val="21"/>
          <w:sz w:val="24"/>
          <w:szCs w:val="24"/>
          <w:highlight w:val="yellow"/>
        </w:rPr>
        <w:t xml:space="preserve"> </w:t>
      </w:r>
      <w:r w:rsidR="00134C85" w:rsidRPr="00302FA4">
        <w:rPr>
          <w:rFonts w:asciiTheme="majorBidi" w:hAnsiTheme="majorBidi" w:cstheme="majorBidi"/>
          <w:sz w:val="24"/>
          <w:szCs w:val="24"/>
          <w:highlight w:val="yellow"/>
        </w:rPr>
        <w:t>search</w:t>
      </w:r>
      <w:r w:rsidR="00134C85" w:rsidRPr="00302FA4">
        <w:rPr>
          <w:rFonts w:asciiTheme="majorBidi" w:hAnsiTheme="majorBidi" w:cstheme="majorBidi"/>
          <w:spacing w:val="22"/>
          <w:sz w:val="24"/>
          <w:szCs w:val="24"/>
          <w:highlight w:val="yellow"/>
        </w:rPr>
        <w:t xml:space="preserve"> </w:t>
      </w:r>
      <w:r w:rsidR="00134C85" w:rsidRPr="00302FA4">
        <w:rPr>
          <w:rFonts w:asciiTheme="majorBidi" w:hAnsiTheme="majorBidi" w:cstheme="majorBidi"/>
          <w:sz w:val="24"/>
          <w:szCs w:val="24"/>
          <w:highlight w:val="yellow"/>
        </w:rPr>
        <w:t>engine</w:t>
      </w:r>
      <w:r w:rsidR="00E16A36" w:rsidRPr="00302FA4">
        <w:rPr>
          <w:rFonts w:asciiTheme="majorBidi" w:hAnsiTheme="majorBidi" w:cstheme="majorBidi"/>
          <w:sz w:val="24"/>
          <w:szCs w:val="24"/>
          <w:highlight w:val="yellow"/>
        </w:rPr>
        <w:t xml:space="preserve"> as described in paragraph 64 of the PIP Advisory Group’s October 2018 Meeting Report. </w:t>
      </w:r>
    </w:p>
    <w:p w14:paraId="6691D2B0" w14:textId="7C025076" w:rsidR="008C7560" w:rsidRPr="00302FA4" w:rsidRDefault="00302FA4" w:rsidP="00567CEA">
      <w:pPr>
        <w:spacing w:before="100" w:beforeAutospacing="1" w:after="100" w:afterAutospacing="1"/>
        <w:ind w:left="1276"/>
        <w:rPr>
          <w:rFonts w:asciiTheme="majorBidi" w:hAnsiTheme="majorBidi" w:cstheme="majorBidi"/>
          <w:sz w:val="24"/>
          <w:szCs w:val="24"/>
          <w:highlight w:val="yellow"/>
        </w:rPr>
      </w:pPr>
      <w:r w:rsidRPr="00302FA4">
        <w:rPr>
          <w:sz w:val="24"/>
          <w:szCs w:val="24"/>
          <w:highlight w:val="yellow"/>
        </w:rPr>
        <w:pict w14:anchorId="46A4DD1A">
          <v:group id="_x0000_s1045" style="position:absolute;left:0;text-align:left;margin-left:411.95pt;margin-top:45.7pt;width:2.8pt;height:.1pt;z-index:-251658240;mso-position-horizontal-relative:page" coordorigin="8239,914" coordsize="56,2">
            <v:shape id="_x0000_s1046" style="position:absolute;left:8239;top:914;width:56;height:2" coordorigin="8239,914" coordsize="56,0" path="m8239,914r55,e" filled="f" strokeweight=".54pt">
              <v:path arrowok="t"/>
            </v:shape>
            <w10:wrap anchorx="page"/>
          </v:group>
        </w:pict>
      </w:r>
      <w:r w:rsidR="00567CEA" w:rsidRPr="00302FA4">
        <w:rPr>
          <w:rFonts w:asciiTheme="majorBidi" w:hAnsiTheme="majorBidi" w:cstheme="majorBidi"/>
          <w:b/>
          <w:bCs/>
          <w:sz w:val="24"/>
          <w:szCs w:val="24"/>
          <w:highlight w:val="yellow"/>
          <w:lang w:val="en-GB"/>
        </w:rPr>
        <w:t xml:space="preserve">(d) </w:t>
      </w:r>
      <w:r w:rsidR="00134C85" w:rsidRPr="00302FA4">
        <w:rPr>
          <w:rFonts w:asciiTheme="majorBidi" w:hAnsiTheme="majorBidi" w:cstheme="majorBidi"/>
          <w:sz w:val="24"/>
          <w:szCs w:val="24"/>
          <w:highlight w:val="yellow"/>
        </w:rPr>
        <w:t>to</w:t>
      </w:r>
      <w:r w:rsidR="00134C85" w:rsidRPr="00302FA4">
        <w:rPr>
          <w:rFonts w:asciiTheme="majorBidi" w:hAnsiTheme="majorBidi" w:cstheme="majorBidi"/>
          <w:spacing w:val="-8"/>
          <w:sz w:val="24"/>
          <w:szCs w:val="24"/>
          <w:highlight w:val="yellow"/>
        </w:rPr>
        <w:t xml:space="preserve"> </w:t>
      </w:r>
      <w:r w:rsidR="00134C85" w:rsidRPr="00302FA4">
        <w:rPr>
          <w:rFonts w:asciiTheme="majorBidi" w:hAnsiTheme="majorBidi" w:cstheme="majorBidi"/>
          <w:sz w:val="24"/>
          <w:szCs w:val="24"/>
          <w:highlight w:val="yellow"/>
        </w:rPr>
        <w:t>explore</w:t>
      </w:r>
      <w:r w:rsidR="0037586E" w:rsidRPr="00302FA4">
        <w:rPr>
          <w:rFonts w:asciiTheme="majorBidi" w:hAnsiTheme="majorBidi" w:cstheme="majorBidi"/>
          <w:sz w:val="24"/>
          <w:szCs w:val="24"/>
          <w:highlight w:val="yellow"/>
        </w:rPr>
        <w:t>,</w:t>
      </w:r>
      <w:r w:rsidR="00134C85" w:rsidRPr="00302FA4">
        <w:rPr>
          <w:rFonts w:asciiTheme="majorBidi" w:hAnsiTheme="majorBidi" w:cstheme="majorBidi"/>
          <w:spacing w:val="-8"/>
          <w:sz w:val="24"/>
          <w:szCs w:val="24"/>
          <w:highlight w:val="yellow"/>
        </w:rPr>
        <w:t xml:space="preserve"> </w:t>
      </w:r>
      <w:r w:rsidR="003B1949" w:rsidRPr="00302FA4">
        <w:rPr>
          <w:rFonts w:asciiTheme="majorBidi" w:hAnsiTheme="majorBidi" w:cstheme="majorBidi"/>
          <w:bCs/>
          <w:sz w:val="24"/>
          <w:szCs w:val="24"/>
          <w:highlight w:val="yellow"/>
        </w:rPr>
        <w:t xml:space="preserve">including through soliciting input from </w:t>
      </w:r>
      <w:r w:rsidR="00134C85" w:rsidRPr="00302FA4">
        <w:rPr>
          <w:rFonts w:asciiTheme="majorBidi" w:hAnsiTheme="majorBidi" w:cstheme="majorBidi"/>
          <w:bCs/>
          <w:sz w:val="24"/>
          <w:szCs w:val="24"/>
          <w:highlight w:val="yellow"/>
        </w:rPr>
        <w:t>Member</w:t>
      </w:r>
      <w:r w:rsidR="00134C85" w:rsidRPr="00302FA4">
        <w:rPr>
          <w:rFonts w:asciiTheme="majorBidi" w:hAnsiTheme="majorBidi" w:cstheme="majorBidi"/>
          <w:bCs/>
          <w:spacing w:val="-9"/>
          <w:sz w:val="24"/>
          <w:szCs w:val="24"/>
          <w:highlight w:val="yellow"/>
        </w:rPr>
        <w:t xml:space="preserve"> </w:t>
      </w:r>
      <w:r w:rsidR="00134C85" w:rsidRPr="00302FA4">
        <w:rPr>
          <w:rFonts w:asciiTheme="majorBidi" w:hAnsiTheme="majorBidi" w:cstheme="majorBidi"/>
          <w:bCs/>
          <w:sz w:val="24"/>
          <w:szCs w:val="24"/>
          <w:highlight w:val="yellow"/>
        </w:rPr>
        <w:t>States</w:t>
      </w:r>
      <w:r w:rsidR="0037586E" w:rsidRPr="00302FA4">
        <w:rPr>
          <w:rFonts w:asciiTheme="majorBidi" w:hAnsiTheme="majorBidi" w:cstheme="majorBidi"/>
          <w:bCs/>
          <w:sz w:val="24"/>
          <w:szCs w:val="24"/>
          <w:highlight w:val="yellow"/>
        </w:rPr>
        <w:t>,</w:t>
      </w:r>
      <w:r w:rsidR="00A21AA0" w:rsidRPr="00302FA4">
        <w:rPr>
          <w:rStyle w:val="FootnoteReference"/>
          <w:rFonts w:asciiTheme="majorBidi" w:hAnsiTheme="majorBidi" w:cstheme="majorBidi"/>
          <w:bCs/>
          <w:sz w:val="24"/>
          <w:szCs w:val="24"/>
          <w:highlight w:val="yellow"/>
        </w:rPr>
        <w:footnoteReference w:id="3"/>
      </w:r>
      <w:r w:rsidR="00134C85" w:rsidRPr="00302FA4">
        <w:rPr>
          <w:rFonts w:asciiTheme="majorBidi" w:hAnsiTheme="majorBidi" w:cstheme="majorBidi"/>
          <w:bCs/>
          <w:spacing w:val="-9"/>
          <w:sz w:val="24"/>
          <w:szCs w:val="24"/>
          <w:highlight w:val="yellow"/>
        </w:rPr>
        <w:t xml:space="preserve"> </w:t>
      </w:r>
      <w:r w:rsidR="00134C85" w:rsidRPr="00302FA4">
        <w:rPr>
          <w:rFonts w:asciiTheme="majorBidi" w:hAnsiTheme="majorBidi" w:cstheme="majorBidi"/>
          <w:sz w:val="24"/>
          <w:szCs w:val="24"/>
          <w:highlight w:val="yellow"/>
        </w:rPr>
        <w:t>possible</w:t>
      </w:r>
      <w:r w:rsidR="00134C85" w:rsidRPr="00302FA4">
        <w:rPr>
          <w:rFonts w:asciiTheme="majorBidi" w:hAnsiTheme="majorBidi" w:cstheme="majorBidi"/>
          <w:spacing w:val="-8"/>
          <w:sz w:val="24"/>
          <w:szCs w:val="24"/>
          <w:highlight w:val="yellow"/>
        </w:rPr>
        <w:t xml:space="preserve"> </w:t>
      </w:r>
      <w:r w:rsidR="00134C85" w:rsidRPr="00302FA4">
        <w:rPr>
          <w:rFonts w:asciiTheme="majorBidi" w:hAnsiTheme="majorBidi" w:cstheme="majorBidi"/>
          <w:sz w:val="24"/>
          <w:szCs w:val="24"/>
          <w:highlight w:val="yellow"/>
        </w:rPr>
        <w:t>next</w:t>
      </w:r>
      <w:r w:rsidR="00134C85" w:rsidRPr="00302FA4">
        <w:rPr>
          <w:rFonts w:asciiTheme="majorBidi" w:hAnsiTheme="majorBidi" w:cstheme="majorBidi"/>
          <w:spacing w:val="-8"/>
          <w:sz w:val="24"/>
          <w:szCs w:val="24"/>
          <w:highlight w:val="yellow"/>
        </w:rPr>
        <w:t xml:space="preserve"> </w:t>
      </w:r>
      <w:r w:rsidR="00134C85" w:rsidRPr="00302FA4">
        <w:rPr>
          <w:rFonts w:asciiTheme="majorBidi" w:hAnsiTheme="majorBidi" w:cstheme="majorBidi"/>
          <w:sz w:val="24"/>
          <w:szCs w:val="24"/>
          <w:highlight w:val="yellow"/>
        </w:rPr>
        <w:t>steps</w:t>
      </w:r>
      <w:r w:rsidR="00134C85" w:rsidRPr="00302FA4">
        <w:rPr>
          <w:rFonts w:asciiTheme="majorBidi" w:hAnsiTheme="majorBidi" w:cstheme="majorBidi"/>
          <w:w w:val="99"/>
          <w:sz w:val="24"/>
          <w:szCs w:val="24"/>
          <w:highlight w:val="yellow"/>
        </w:rPr>
        <w:t xml:space="preserve"> </w:t>
      </w:r>
      <w:r w:rsidR="00134C85" w:rsidRPr="00302FA4">
        <w:rPr>
          <w:rFonts w:asciiTheme="majorBidi" w:hAnsiTheme="majorBidi" w:cstheme="majorBidi"/>
          <w:sz w:val="24"/>
          <w:szCs w:val="24"/>
          <w:highlight w:val="yellow"/>
        </w:rPr>
        <w:t>in</w:t>
      </w:r>
      <w:r w:rsidR="00134C85" w:rsidRPr="00302FA4">
        <w:rPr>
          <w:rFonts w:asciiTheme="majorBidi" w:hAnsiTheme="majorBidi" w:cstheme="majorBidi"/>
          <w:spacing w:val="18"/>
          <w:sz w:val="24"/>
          <w:szCs w:val="24"/>
          <w:highlight w:val="yellow"/>
        </w:rPr>
        <w:t xml:space="preserve"> </w:t>
      </w:r>
      <w:r w:rsidR="00134C85" w:rsidRPr="00302FA4">
        <w:rPr>
          <w:rFonts w:asciiTheme="majorBidi" w:hAnsiTheme="majorBidi" w:cstheme="majorBidi"/>
          <w:sz w:val="24"/>
          <w:szCs w:val="24"/>
          <w:highlight w:val="yellow"/>
        </w:rPr>
        <w:t>raising awareness of the PIP Framework</w:t>
      </w:r>
      <w:r w:rsidR="00134C85" w:rsidRPr="00302FA4">
        <w:rPr>
          <w:rFonts w:asciiTheme="majorBidi" w:hAnsiTheme="majorBidi" w:cstheme="majorBidi"/>
          <w:spacing w:val="4"/>
          <w:sz w:val="24"/>
          <w:szCs w:val="24"/>
          <w:highlight w:val="yellow"/>
        </w:rPr>
        <w:t xml:space="preserve"> </w:t>
      </w:r>
      <w:r w:rsidR="00134C85" w:rsidRPr="00302FA4">
        <w:rPr>
          <w:rFonts w:asciiTheme="majorBidi" w:hAnsiTheme="majorBidi" w:cstheme="majorBidi"/>
          <w:sz w:val="24"/>
          <w:szCs w:val="24"/>
          <w:highlight w:val="yellow"/>
        </w:rPr>
        <w:t>among</w:t>
      </w:r>
      <w:r w:rsidR="00134C85" w:rsidRPr="00302FA4">
        <w:rPr>
          <w:rFonts w:asciiTheme="majorBidi" w:hAnsiTheme="majorBidi" w:cstheme="majorBidi"/>
          <w:w w:val="99"/>
          <w:sz w:val="24"/>
          <w:szCs w:val="24"/>
          <w:highlight w:val="yellow"/>
        </w:rPr>
        <w:t xml:space="preserve"> </w:t>
      </w:r>
      <w:r w:rsidR="00A21AA0" w:rsidRPr="00302FA4">
        <w:rPr>
          <w:rFonts w:asciiTheme="majorBidi" w:hAnsiTheme="majorBidi" w:cstheme="majorBidi"/>
          <w:w w:val="99"/>
          <w:sz w:val="24"/>
          <w:szCs w:val="24"/>
          <w:highlight w:val="yellow"/>
        </w:rPr>
        <w:t xml:space="preserve">relevant </w:t>
      </w:r>
      <w:r w:rsidR="00134C85" w:rsidRPr="00302FA4">
        <w:rPr>
          <w:rFonts w:asciiTheme="majorBidi" w:hAnsiTheme="majorBidi" w:cstheme="majorBidi"/>
          <w:sz w:val="24"/>
          <w:szCs w:val="24"/>
          <w:highlight w:val="yellow"/>
        </w:rPr>
        <w:t>databases</w:t>
      </w:r>
      <w:r w:rsidR="00134C85" w:rsidRPr="00302FA4">
        <w:rPr>
          <w:rFonts w:asciiTheme="majorBidi" w:hAnsiTheme="majorBidi" w:cstheme="majorBidi"/>
          <w:spacing w:val="-9"/>
          <w:sz w:val="24"/>
          <w:szCs w:val="24"/>
          <w:highlight w:val="yellow"/>
        </w:rPr>
        <w:t xml:space="preserve"> </w:t>
      </w:r>
      <w:r w:rsidR="00134C85" w:rsidRPr="00302FA4">
        <w:rPr>
          <w:rFonts w:asciiTheme="majorBidi" w:hAnsiTheme="majorBidi" w:cstheme="majorBidi"/>
          <w:sz w:val="24"/>
          <w:szCs w:val="24"/>
          <w:highlight w:val="yellow"/>
        </w:rPr>
        <w:t>and</w:t>
      </w:r>
      <w:r w:rsidR="00134C85" w:rsidRPr="00302FA4">
        <w:rPr>
          <w:rFonts w:asciiTheme="majorBidi" w:hAnsiTheme="majorBidi" w:cstheme="majorBidi"/>
          <w:spacing w:val="-8"/>
          <w:sz w:val="24"/>
          <w:szCs w:val="24"/>
          <w:highlight w:val="yellow"/>
        </w:rPr>
        <w:t xml:space="preserve"> </w:t>
      </w:r>
      <w:r w:rsidR="00134C85" w:rsidRPr="00302FA4">
        <w:rPr>
          <w:rFonts w:asciiTheme="majorBidi" w:hAnsiTheme="majorBidi" w:cstheme="majorBidi"/>
          <w:sz w:val="24"/>
          <w:szCs w:val="24"/>
          <w:highlight w:val="yellow"/>
        </w:rPr>
        <w:t>initiatives,</w:t>
      </w:r>
      <w:r w:rsidR="00134C85" w:rsidRPr="00302FA4">
        <w:rPr>
          <w:rFonts w:asciiTheme="majorBidi" w:hAnsiTheme="majorBidi" w:cstheme="majorBidi"/>
          <w:b/>
          <w:spacing w:val="-8"/>
          <w:sz w:val="24"/>
          <w:szCs w:val="24"/>
          <w:highlight w:val="yellow"/>
        </w:rPr>
        <w:t xml:space="preserve"> </w:t>
      </w:r>
      <w:r w:rsidR="00134C85" w:rsidRPr="00302FA4">
        <w:rPr>
          <w:rFonts w:asciiTheme="majorBidi" w:hAnsiTheme="majorBidi" w:cstheme="majorBidi"/>
          <w:sz w:val="24"/>
          <w:szCs w:val="24"/>
          <w:highlight w:val="yellow"/>
        </w:rPr>
        <w:t>data</w:t>
      </w:r>
      <w:r w:rsidR="00134C85" w:rsidRPr="00302FA4">
        <w:rPr>
          <w:rFonts w:asciiTheme="majorBidi" w:hAnsiTheme="majorBidi" w:cstheme="majorBidi"/>
          <w:spacing w:val="-8"/>
          <w:sz w:val="24"/>
          <w:szCs w:val="24"/>
          <w:highlight w:val="yellow"/>
        </w:rPr>
        <w:t xml:space="preserve"> </w:t>
      </w:r>
      <w:r w:rsidR="00134C85" w:rsidRPr="00302FA4">
        <w:rPr>
          <w:rFonts w:asciiTheme="majorBidi" w:hAnsiTheme="majorBidi" w:cstheme="majorBidi"/>
          <w:sz w:val="24"/>
          <w:szCs w:val="24"/>
          <w:highlight w:val="yellow"/>
        </w:rPr>
        <w:t>providers</w:t>
      </w:r>
      <w:r w:rsidR="00134C85" w:rsidRPr="00302FA4">
        <w:rPr>
          <w:rFonts w:asciiTheme="majorBidi" w:hAnsiTheme="majorBidi" w:cstheme="majorBidi"/>
          <w:spacing w:val="-9"/>
          <w:sz w:val="24"/>
          <w:szCs w:val="24"/>
          <w:highlight w:val="yellow"/>
        </w:rPr>
        <w:t xml:space="preserve"> </w:t>
      </w:r>
      <w:r w:rsidR="00134C85" w:rsidRPr="00302FA4">
        <w:rPr>
          <w:rFonts w:asciiTheme="majorBidi" w:hAnsiTheme="majorBidi" w:cstheme="majorBidi"/>
          <w:sz w:val="24"/>
          <w:szCs w:val="24"/>
          <w:highlight w:val="yellow"/>
        </w:rPr>
        <w:t>and</w:t>
      </w:r>
      <w:r w:rsidR="00134C85" w:rsidRPr="00302FA4">
        <w:rPr>
          <w:rFonts w:asciiTheme="majorBidi" w:hAnsiTheme="majorBidi" w:cstheme="majorBidi"/>
          <w:spacing w:val="-7"/>
          <w:sz w:val="24"/>
          <w:szCs w:val="24"/>
          <w:highlight w:val="yellow"/>
        </w:rPr>
        <w:t xml:space="preserve"> </w:t>
      </w:r>
      <w:r w:rsidR="00134C85" w:rsidRPr="00302FA4">
        <w:rPr>
          <w:rFonts w:asciiTheme="majorBidi" w:hAnsiTheme="majorBidi" w:cstheme="majorBidi"/>
          <w:bCs/>
          <w:sz w:val="24"/>
          <w:szCs w:val="24"/>
          <w:highlight w:val="yellow"/>
        </w:rPr>
        <w:t>data</w:t>
      </w:r>
      <w:r w:rsidR="00134C85" w:rsidRPr="00302FA4">
        <w:rPr>
          <w:rFonts w:asciiTheme="majorBidi" w:hAnsiTheme="majorBidi" w:cstheme="majorBidi"/>
          <w:sz w:val="24"/>
          <w:szCs w:val="24"/>
          <w:highlight w:val="yellow"/>
        </w:rPr>
        <w:t xml:space="preserve"> </w:t>
      </w:r>
      <w:r w:rsidR="0037586E" w:rsidRPr="00302FA4">
        <w:rPr>
          <w:rFonts w:asciiTheme="majorBidi" w:hAnsiTheme="majorBidi" w:cstheme="majorBidi"/>
          <w:sz w:val="24"/>
          <w:szCs w:val="24"/>
          <w:highlight w:val="yellow"/>
        </w:rPr>
        <w:t>users</w:t>
      </w:r>
      <w:r w:rsidR="008C7560" w:rsidRPr="00302FA4">
        <w:rPr>
          <w:rFonts w:asciiTheme="majorBidi" w:hAnsiTheme="majorBidi" w:cstheme="majorBidi"/>
          <w:sz w:val="24"/>
          <w:szCs w:val="24"/>
          <w:highlight w:val="yellow"/>
        </w:rPr>
        <w:t>,</w:t>
      </w:r>
      <w:r w:rsidR="00AF6698" w:rsidRPr="00302FA4">
        <w:rPr>
          <w:rFonts w:asciiTheme="majorBidi" w:hAnsiTheme="majorBidi" w:cstheme="majorBidi"/>
          <w:sz w:val="24"/>
          <w:szCs w:val="24"/>
          <w:highlight w:val="yellow"/>
        </w:rPr>
        <w:t xml:space="preserve"> and </w:t>
      </w:r>
      <w:r w:rsidR="008C7560" w:rsidRPr="00302FA4">
        <w:rPr>
          <w:rFonts w:asciiTheme="majorBidi" w:hAnsiTheme="majorBidi" w:cstheme="majorBidi"/>
          <w:sz w:val="24"/>
          <w:szCs w:val="24"/>
          <w:highlight w:val="yellow"/>
        </w:rPr>
        <w:t xml:space="preserve">in promoting the acknowledgment of data providers and collaboration between data providers and data users. </w:t>
      </w:r>
    </w:p>
    <w:p w14:paraId="0CDB296C" w14:textId="2E5BF8EA" w:rsidR="0037586E" w:rsidRPr="008B415B" w:rsidRDefault="00567CEA" w:rsidP="00912972">
      <w:pPr>
        <w:spacing w:before="100" w:beforeAutospacing="1" w:after="100" w:afterAutospacing="1"/>
        <w:ind w:left="1276"/>
        <w:rPr>
          <w:rFonts w:asciiTheme="majorBidi" w:hAnsiTheme="majorBidi" w:cstheme="majorBidi"/>
          <w:sz w:val="24"/>
          <w:szCs w:val="24"/>
          <w:lang w:val="en-GB"/>
        </w:rPr>
      </w:pPr>
      <w:r w:rsidRPr="00302FA4">
        <w:rPr>
          <w:rFonts w:asciiTheme="majorBidi" w:hAnsiTheme="majorBidi" w:cstheme="majorBidi"/>
          <w:b/>
          <w:bCs/>
          <w:sz w:val="24"/>
          <w:szCs w:val="24"/>
          <w:highlight w:val="yellow"/>
        </w:rPr>
        <w:t xml:space="preserve">(e) </w:t>
      </w:r>
      <w:r w:rsidR="00AF6698" w:rsidRPr="00302FA4">
        <w:rPr>
          <w:rFonts w:asciiTheme="majorBidi" w:eastAsia="Times New Roman" w:hAnsiTheme="majorBidi" w:cstheme="majorBidi"/>
          <w:sz w:val="24"/>
          <w:szCs w:val="24"/>
          <w:highlight w:val="yellow"/>
        </w:rPr>
        <w:t xml:space="preserve">to </w:t>
      </w:r>
      <w:r w:rsidR="00512694" w:rsidRPr="00302FA4">
        <w:rPr>
          <w:rFonts w:asciiTheme="majorBidi" w:eastAsia="Times New Roman" w:hAnsiTheme="majorBidi" w:cstheme="majorBidi"/>
          <w:sz w:val="24"/>
          <w:szCs w:val="24"/>
          <w:highlight w:val="yellow"/>
        </w:rPr>
        <w:t xml:space="preserve">continue providing </w:t>
      </w:r>
      <w:r w:rsidR="00AF6698" w:rsidRPr="00302FA4">
        <w:rPr>
          <w:rFonts w:asciiTheme="majorBidi" w:eastAsia="Times New Roman" w:hAnsiTheme="majorBidi" w:cstheme="majorBidi"/>
          <w:sz w:val="24"/>
          <w:szCs w:val="24"/>
          <w:highlight w:val="yellow"/>
        </w:rPr>
        <w:t>information on the challenges posed</w:t>
      </w:r>
      <w:r w:rsidR="00864B8C" w:rsidRPr="00302FA4">
        <w:rPr>
          <w:rFonts w:asciiTheme="majorBidi" w:eastAsia="Times New Roman" w:hAnsiTheme="majorBidi" w:cstheme="majorBidi"/>
          <w:sz w:val="24"/>
          <w:szCs w:val="24"/>
          <w:highlight w:val="yellow"/>
        </w:rPr>
        <w:t xml:space="preserve"> </w:t>
      </w:r>
      <w:r w:rsidR="00912972" w:rsidRPr="00302FA4">
        <w:rPr>
          <w:rFonts w:asciiTheme="majorBidi" w:eastAsia="Times New Roman" w:hAnsiTheme="majorBidi" w:cstheme="majorBidi"/>
          <w:sz w:val="24"/>
          <w:szCs w:val="24"/>
          <w:highlight w:val="yellow"/>
        </w:rPr>
        <w:t xml:space="preserve">and opportunities provided </w:t>
      </w:r>
      <w:r w:rsidR="00AF6698" w:rsidRPr="00302FA4">
        <w:rPr>
          <w:rFonts w:asciiTheme="majorBidi" w:eastAsia="Times New Roman" w:hAnsiTheme="majorBidi" w:cstheme="majorBidi"/>
          <w:sz w:val="24"/>
          <w:szCs w:val="24"/>
          <w:highlight w:val="yellow"/>
        </w:rPr>
        <w:t xml:space="preserve">by new technologies </w:t>
      </w:r>
      <w:r w:rsidR="00912972" w:rsidRPr="00302FA4">
        <w:rPr>
          <w:rFonts w:asciiTheme="majorBidi" w:eastAsia="Times New Roman" w:hAnsiTheme="majorBidi" w:cstheme="majorBidi"/>
          <w:sz w:val="24"/>
          <w:szCs w:val="24"/>
          <w:highlight w:val="yellow"/>
        </w:rPr>
        <w:t xml:space="preserve">to </w:t>
      </w:r>
      <w:r w:rsidR="00AF6698" w:rsidRPr="00302FA4">
        <w:rPr>
          <w:rFonts w:asciiTheme="majorBidi" w:eastAsia="Times New Roman" w:hAnsiTheme="majorBidi" w:cstheme="majorBidi"/>
          <w:sz w:val="24"/>
          <w:szCs w:val="24"/>
          <w:highlight w:val="yellow"/>
        </w:rPr>
        <w:t>access and benefit-sharing under the PIP Framework</w:t>
      </w:r>
      <w:r w:rsidR="00912972" w:rsidRPr="00302FA4">
        <w:rPr>
          <w:rFonts w:asciiTheme="majorBidi" w:eastAsia="Times New Roman" w:hAnsiTheme="majorBidi" w:cstheme="majorBidi"/>
          <w:sz w:val="24"/>
          <w:szCs w:val="24"/>
          <w:highlight w:val="yellow"/>
        </w:rPr>
        <w:t xml:space="preserve"> </w:t>
      </w:r>
      <w:r w:rsidR="00FD706C" w:rsidRPr="00302FA4">
        <w:rPr>
          <w:rFonts w:asciiTheme="majorBidi" w:eastAsia="Times New Roman" w:hAnsiTheme="majorBidi" w:cstheme="majorBidi"/>
          <w:sz w:val="24"/>
          <w:szCs w:val="24"/>
          <w:highlight w:val="yellow"/>
        </w:rPr>
        <w:t>and possible approaches</w:t>
      </w:r>
      <w:r w:rsidR="00912972" w:rsidRPr="00302FA4">
        <w:rPr>
          <w:rFonts w:asciiTheme="majorBidi" w:eastAsia="Times New Roman" w:hAnsiTheme="majorBidi" w:cstheme="majorBidi"/>
          <w:sz w:val="24"/>
          <w:szCs w:val="24"/>
          <w:highlight w:val="yellow"/>
        </w:rPr>
        <w:t xml:space="preserve"> to them.</w:t>
      </w:r>
    </w:p>
    <w:p w14:paraId="30C4DD1E" w14:textId="23DA161C" w:rsidR="00332F7B" w:rsidRPr="008B415B" w:rsidRDefault="00D529FE" w:rsidP="00134C85">
      <w:pPr>
        <w:spacing w:before="75" w:line="235" w:lineRule="auto"/>
        <w:ind w:right="139"/>
        <w:jc w:val="both"/>
        <w:rPr>
          <w:rFonts w:asciiTheme="majorBidi" w:eastAsia="Times New Roman" w:hAnsiTheme="majorBidi" w:cstheme="majorBidi"/>
          <w:sz w:val="24"/>
          <w:szCs w:val="24"/>
        </w:rPr>
      </w:pPr>
      <w:r w:rsidRPr="008B415B">
        <w:rPr>
          <w:rFonts w:asciiTheme="majorBidi" w:hAnsiTheme="majorBidi" w:cstheme="majorBidi"/>
          <w:bCs/>
          <w:sz w:val="24"/>
          <w:szCs w:val="24"/>
        </w:rPr>
        <w:t>OP(2)</w:t>
      </w:r>
      <w:r w:rsidRPr="008B415B">
        <w:rPr>
          <w:rFonts w:asciiTheme="majorBidi" w:hAnsiTheme="majorBidi" w:cstheme="majorBidi"/>
          <w:b/>
          <w:sz w:val="24"/>
          <w:szCs w:val="24"/>
        </w:rPr>
        <w:t xml:space="preserve"> </w:t>
      </w:r>
      <w:r w:rsidRPr="008B415B">
        <w:rPr>
          <w:rFonts w:asciiTheme="majorBidi" w:hAnsiTheme="majorBidi" w:cstheme="majorBidi"/>
          <w:bCs/>
          <w:sz w:val="24"/>
          <w:szCs w:val="24"/>
        </w:rPr>
        <w:t>To revise F</w:t>
      </w:r>
      <w:r w:rsidR="00332F7B" w:rsidRPr="008B415B">
        <w:rPr>
          <w:rFonts w:asciiTheme="majorBidi" w:hAnsiTheme="majorBidi" w:cstheme="majorBidi"/>
          <w:bCs/>
          <w:sz w:val="24"/>
          <w:szCs w:val="24"/>
        </w:rPr>
        <w:t>ootnote 1</w:t>
      </w:r>
      <w:r w:rsidRPr="008B415B">
        <w:rPr>
          <w:rFonts w:asciiTheme="majorBidi" w:hAnsiTheme="majorBidi" w:cstheme="majorBidi"/>
          <w:bCs/>
          <w:sz w:val="24"/>
          <w:szCs w:val="24"/>
        </w:rPr>
        <w:t xml:space="preserve"> </w:t>
      </w:r>
      <w:r w:rsidR="00D46CAA" w:rsidRPr="008B415B">
        <w:rPr>
          <w:rFonts w:asciiTheme="majorBidi" w:hAnsiTheme="majorBidi" w:cstheme="majorBidi"/>
          <w:bCs/>
          <w:sz w:val="24"/>
          <w:szCs w:val="24"/>
        </w:rPr>
        <w:t>[</w:t>
      </w:r>
      <w:r w:rsidRPr="008B415B">
        <w:rPr>
          <w:rFonts w:asciiTheme="majorBidi" w:hAnsiTheme="majorBidi" w:cstheme="majorBidi"/>
          <w:bCs/>
          <w:sz w:val="24"/>
          <w:szCs w:val="24"/>
        </w:rPr>
        <w:t>and P</w:t>
      </w:r>
      <w:r w:rsidR="00332F7B" w:rsidRPr="008B415B">
        <w:rPr>
          <w:rFonts w:asciiTheme="majorBidi" w:hAnsiTheme="majorBidi" w:cstheme="majorBidi"/>
          <w:bCs/>
          <w:sz w:val="24"/>
          <w:szCs w:val="24"/>
        </w:rPr>
        <w:t>rovision 4.4</w:t>
      </w:r>
      <w:r w:rsidR="00D46CAA" w:rsidRPr="008B415B">
        <w:rPr>
          <w:rFonts w:asciiTheme="majorBidi" w:hAnsiTheme="majorBidi" w:cstheme="majorBidi"/>
          <w:bCs/>
          <w:sz w:val="24"/>
          <w:szCs w:val="24"/>
        </w:rPr>
        <w:t>]</w:t>
      </w:r>
      <w:r w:rsidR="00332F7B" w:rsidRPr="008B415B">
        <w:rPr>
          <w:rFonts w:asciiTheme="majorBidi" w:hAnsiTheme="majorBidi" w:cstheme="majorBidi"/>
          <w:bCs/>
          <w:sz w:val="24"/>
          <w:szCs w:val="24"/>
        </w:rPr>
        <w:t xml:space="preserve"> in the SMTA2, in Annex 2 to the PIP Framework, as set out in the Annex to</w:t>
      </w:r>
      <w:r w:rsidR="00C64FE9" w:rsidRPr="008B415B">
        <w:rPr>
          <w:rFonts w:asciiTheme="majorBidi" w:hAnsiTheme="majorBidi" w:cstheme="majorBidi"/>
          <w:bCs/>
          <w:sz w:val="24"/>
          <w:szCs w:val="24"/>
        </w:rPr>
        <w:t xml:space="preserve"> </w:t>
      </w:r>
      <w:r w:rsidR="00332F7B" w:rsidRPr="008B415B">
        <w:rPr>
          <w:rFonts w:asciiTheme="majorBidi" w:hAnsiTheme="majorBidi" w:cstheme="majorBidi"/>
          <w:bCs/>
          <w:sz w:val="24"/>
          <w:szCs w:val="24"/>
        </w:rPr>
        <w:t>this decision with effect from the closure of the 72</w:t>
      </w:r>
      <w:r w:rsidR="00332F7B" w:rsidRPr="008B415B">
        <w:rPr>
          <w:rFonts w:asciiTheme="majorBidi" w:hAnsiTheme="majorBidi" w:cstheme="majorBidi"/>
          <w:bCs/>
          <w:sz w:val="24"/>
          <w:szCs w:val="24"/>
          <w:vertAlign w:val="superscript"/>
        </w:rPr>
        <w:t>nd</w:t>
      </w:r>
      <w:r w:rsidR="00332F7B" w:rsidRPr="008B415B">
        <w:rPr>
          <w:rFonts w:asciiTheme="majorBidi" w:hAnsiTheme="majorBidi" w:cstheme="majorBidi"/>
          <w:bCs/>
          <w:sz w:val="24"/>
          <w:szCs w:val="24"/>
        </w:rPr>
        <w:t xml:space="preserve"> World Health Assembly.</w:t>
      </w:r>
    </w:p>
    <w:p w14:paraId="46A4DCBA" w14:textId="68DB658A" w:rsidR="0053593B" w:rsidRPr="008B415B" w:rsidRDefault="0053593B">
      <w:pPr>
        <w:spacing w:before="8"/>
        <w:rPr>
          <w:rFonts w:asciiTheme="majorBidi" w:eastAsia="Times New Roman" w:hAnsiTheme="majorBidi" w:cstheme="majorBidi"/>
          <w:b/>
          <w:bCs/>
          <w:sz w:val="24"/>
          <w:szCs w:val="24"/>
        </w:rPr>
      </w:pPr>
      <w:bookmarkStart w:id="0" w:name="_GoBack"/>
      <w:bookmarkEnd w:id="0"/>
    </w:p>
    <w:p w14:paraId="46A4DCDB" w14:textId="40F2471E" w:rsidR="0053593B" w:rsidRPr="00567CEA" w:rsidRDefault="00134C85" w:rsidP="00302FA4">
      <w:pPr>
        <w:pStyle w:val="BodyText"/>
        <w:ind w:right="142"/>
        <w:rPr>
          <w:rFonts w:asciiTheme="majorBidi" w:hAnsiTheme="majorBidi" w:cstheme="majorBidi"/>
          <w:sz w:val="24"/>
          <w:szCs w:val="24"/>
        </w:rPr>
        <w:sectPr w:rsidR="0053593B" w:rsidRPr="00567CEA">
          <w:headerReference w:type="default" r:id="rId8"/>
          <w:pgSz w:w="11910" w:h="16840"/>
          <w:pgMar w:top="1060" w:right="1560" w:bottom="280" w:left="980" w:header="720" w:footer="720" w:gutter="0"/>
          <w:cols w:space="720"/>
        </w:sectPr>
      </w:pPr>
      <w:r w:rsidRPr="008B415B">
        <w:rPr>
          <w:rFonts w:asciiTheme="majorBidi" w:hAnsiTheme="majorBidi" w:cstheme="majorBidi"/>
          <w:sz w:val="24"/>
          <w:szCs w:val="24"/>
          <w:highlight w:val="yellow"/>
        </w:rPr>
        <w:t>OP(</w:t>
      </w:r>
      <w:r w:rsidR="00055393" w:rsidRPr="008B415B">
        <w:rPr>
          <w:rFonts w:asciiTheme="majorBidi" w:hAnsiTheme="majorBidi" w:cstheme="majorBidi"/>
          <w:sz w:val="24"/>
          <w:szCs w:val="24"/>
          <w:highlight w:val="yellow"/>
        </w:rPr>
        <w:t>3</w:t>
      </w:r>
      <w:r w:rsidRPr="008B415B">
        <w:rPr>
          <w:rFonts w:asciiTheme="majorBidi" w:hAnsiTheme="majorBidi" w:cstheme="majorBidi"/>
          <w:sz w:val="24"/>
          <w:szCs w:val="24"/>
          <w:highlight w:val="yellow"/>
        </w:rPr>
        <w:t>)</w:t>
      </w:r>
      <w:r w:rsidRPr="008B415B">
        <w:rPr>
          <w:rFonts w:asciiTheme="majorBidi" w:hAnsiTheme="majorBidi" w:cstheme="majorBidi"/>
          <w:b/>
          <w:spacing w:val="39"/>
          <w:sz w:val="24"/>
          <w:szCs w:val="24"/>
          <w:highlight w:val="yellow"/>
        </w:rPr>
        <w:t xml:space="preserve"> </w:t>
      </w:r>
      <w:r w:rsidRPr="008B415B">
        <w:rPr>
          <w:rFonts w:asciiTheme="majorBidi" w:hAnsiTheme="majorBidi" w:cstheme="majorBidi"/>
          <w:sz w:val="24"/>
          <w:szCs w:val="24"/>
          <w:highlight w:val="yellow"/>
        </w:rPr>
        <w:t>to</w:t>
      </w:r>
      <w:r w:rsidRPr="008B415B">
        <w:rPr>
          <w:rFonts w:asciiTheme="majorBidi" w:hAnsiTheme="majorBidi" w:cstheme="majorBidi"/>
          <w:spacing w:val="22"/>
          <w:sz w:val="24"/>
          <w:szCs w:val="24"/>
          <w:highlight w:val="yellow"/>
        </w:rPr>
        <w:t xml:space="preserve"> </w:t>
      </w:r>
      <w:r w:rsidRPr="008B415B">
        <w:rPr>
          <w:rFonts w:asciiTheme="majorBidi" w:hAnsiTheme="majorBidi" w:cstheme="majorBidi"/>
          <w:sz w:val="24"/>
          <w:szCs w:val="24"/>
          <w:highlight w:val="yellow"/>
        </w:rPr>
        <w:t>further</w:t>
      </w:r>
      <w:r w:rsidRPr="008B415B">
        <w:rPr>
          <w:rFonts w:asciiTheme="majorBidi" w:hAnsiTheme="majorBidi" w:cstheme="majorBidi"/>
          <w:spacing w:val="21"/>
          <w:sz w:val="24"/>
          <w:szCs w:val="24"/>
          <w:highlight w:val="yellow"/>
        </w:rPr>
        <w:t xml:space="preserve"> </w:t>
      </w:r>
      <w:r w:rsidRPr="008B415B">
        <w:rPr>
          <w:rFonts w:asciiTheme="majorBidi" w:hAnsiTheme="majorBidi" w:cstheme="majorBidi"/>
          <w:sz w:val="24"/>
          <w:szCs w:val="24"/>
          <w:highlight w:val="yellow"/>
        </w:rPr>
        <w:t>request</w:t>
      </w:r>
      <w:r w:rsidRPr="008B415B">
        <w:rPr>
          <w:rFonts w:asciiTheme="majorBidi" w:hAnsiTheme="majorBidi" w:cstheme="majorBidi"/>
          <w:spacing w:val="22"/>
          <w:sz w:val="24"/>
          <w:szCs w:val="24"/>
          <w:highlight w:val="yellow"/>
        </w:rPr>
        <w:t xml:space="preserve"> </w:t>
      </w:r>
      <w:r w:rsidRPr="008B415B">
        <w:rPr>
          <w:rFonts w:asciiTheme="majorBidi" w:hAnsiTheme="majorBidi" w:cstheme="majorBidi"/>
          <w:sz w:val="24"/>
          <w:szCs w:val="24"/>
          <w:highlight w:val="yellow"/>
        </w:rPr>
        <w:t>the</w:t>
      </w:r>
      <w:r w:rsidRPr="008B415B">
        <w:rPr>
          <w:rFonts w:asciiTheme="majorBidi" w:hAnsiTheme="majorBidi" w:cstheme="majorBidi"/>
          <w:spacing w:val="21"/>
          <w:sz w:val="24"/>
          <w:szCs w:val="24"/>
          <w:highlight w:val="yellow"/>
        </w:rPr>
        <w:t xml:space="preserve"> </w:t>
      </w:r>
      <w:r w:rsidRPr="008B415B">
        <w:rPr>
          <w:rFonts w:asciiTheme="majorBidi" w:hAnsiTheme="majorBidi" w:cstheme="majorBidi"/>
          <w:sz w:val="24"/>
          <w:szCs w:val="24"/>
          <w:highlight w:val="yellow"/>
        </w:rPr>
        <w:t>Director-General</w:t>
      </w:r>
      <w:r w:rsidRPr="008B415B">
        <w:rPr>
          <w:rFonts w:asciiTheme="majorBidi" w:hAnsiTheme="majorBidi" w:cstheme="majorBidi"/>
          <w:spacing w:val="22"/>
          <w:sz w:val="24"/>
          <w:szCs w:val="24"/>
          <w:highlight w:val="yellow"/>
        </w:rPr>
        <w:t xml:space="preserve"> </w:t>
      </w:r>
      <w:r w:rsidRPr="008B415B">
        <w:rPr>
          <w:rFonts w:asciiTheme="majorBidi" w:hAnsiTheme="majorBidi" w:cstheme="majorBidi"/>
          <w:sz w:val="24"/>
          <w:szCs w:val="24"/>
          <w:highlight w:val="yellow"/>
        </w:rPr>
        <w:t>to</w:t>
      </w:r>
      <w:r w:rsidRPr="008B415B">
        <w:rPr>
          <w:rFonts w:asciiTheme="majorBidi" w:hAnsiTheme="majorBidi" w:cstheme="majorBidi"/>
          <w:spacing w:val="23"/>
          <w:sz w:val="24"/>
          <w:szCs w:val="24"/>
          <w:highlight w:val="yellow"/>
        </w:rPr>
        <w:t xml:space="preserve"> </w:t>
      </w:r>
      <w:r w:rsidRPr="008B415B">
        <w:rPr>
          <w:rFonts w:asciiTheme="majorBidi" w:hAnsiTheme="majorBidi" w:cstheme="majorBidi"/>
          <w:sz w:val="24"/>
          <w:szCs w:val="24"/>
          <w:highlight w:val="yellow"/>
        </w:rPr>
        <w:t>report</w:t>
      </w:r>
      <w:r w:rsidRPr="008B415B">
        <w:rPr>
          <w:rFonts w:asciiTheme="majorBidi" w:hAnsiTheme="majorBidi" w:cstheme="majorBidi"/>
          <w:spacing w:val="20"/>
          <w:sz w:val="24"/>
          <w:szCs w:val="24"/>
          <w:highlight w:val="yellow"/>
        </w:rPr>
        <w:t xml:space="preserve"> </w:t>
      </w:r>
      <w:r w:rsidRPr="008B415B">
        <w:rPr>
          <w:rFonts w:asciiTheme="majorBidi" w:hAnsiTheme="majorBidi" w:cstheme="majorBidi"/>
          <w:sz w:val="24"/>
          <w:szCs w:val="24"/>
          <w:highlight w:val="yellow"/>
        </w:rPr>
        <w:t>on</w:t>
      </w:r>
      <w:r w:rsidRPr="008B415B">
        <w:rPr>
          <w:rFonts w:asciiTheme="majorBidi" w:hAnsiTheme="majorBidi" w:cstheme="majorBidi"/>
          <w:spacing w:val="21"/>
          <w:sz w:val="24"/>
          <w:szCs w:val="24"/>
          <w:highlight w:val="yellow"/>
        </w:rPr>
        <w:t xml:space="preserve"> </w:t>
      </w:r>
      <w:r w:rsidRPr="008B415B">
        <w:rPr>
          <w:rFonts w:asciiTheme="majorBidi" w:hAnsiTheme="majorBidi" w:cstheme="majorBidi"/>
          <w:sz w:val="24"/>
          <w:szCs w:val="24"/>
          <w:highlight w:val="yellow"/>
        </w:rPr>
        <w:t>progress</w:t>
      </w:r>
      <w:r w:rsidRPr="008B415B">
        <w:rPr>
          <w:rFonts w:asciiTheme="majorBidi" w:hAnsiTheme="majorBidi" w:cstheme="majorBidi"/>
          <w:spacing w:val="21"/>
          <w:sz w:val="24"/>
          <w:szCs w:val="24"/>
          <w:highlight w:val="yellow"/>
        </w:rPr>
        <w:t xml:space="preserve"> </w:t>
      </w:r>
      <w:r w:rsidRPr="008B415B">
        <w:rPr>
          <w:rFonts w:asciiTheme="majorBidi" w:hAnsiTheme="majorBidi" w:cstheme="majorBidi"/>
          <w:sz w:val="24"/>
          <w:szCs w:val="24"/>
          <w:highlight w:val="yellow"/>
        </w:rPr>
        <w:t>to</w:t>
      </w:r>
      <w:r w:rsidRPr="008B415B">
        <w:rPr>
          <w:rFonts w:asciiTheme="majorBidi" w:hAnsiTheme="majorBidi" w:cstheme="majorBidi"/>
          <w:spacing w:val="22"/>
          <w:sz w:val="24"/>
          <w:szCs w:val="24"/>
          <w:highlight w:val="yellow"/>
        </w:rPr>
        <w:t xml:space="preserve"> </w:t>
      </w:r>
      <w:r w:rsidRPr="008B415B">
        <w:rPr>
          <w:rFonts w:asciiTheme="majorBidi" w:hAnsiTheme="majorBidi" w:cstheme="majorBidi"/>
          <w:sz w:val="24"/>
          <w:szCs w:val="24"/>
          <w:highlight w:val="yellow"/>
        </w:rPr>
        <w:t>implement</w:t>
      </w:r>
      <w:r w:rsidRPr="008B415B">
        <w:rPr>
          <w:rFonts w:asciiTheme="majorBidi" w:hAnsiTheme="majorBidi" w:cstheme="majorBidi"/>
          <w:spacing w:val="22"/>
          <w:sz w:val="24"/>
          <w:szCs w:val="24"/>
          <w:highlight w:val="yellow"/>
        </w:rPr>
        <w:t xml:space="preserve"> </w:t>
      </w:r>
      <w:r w:rsidRPr="008B415B">
        <w:rPr>
          <w:rFonts w:asciiTheme="majorBidi" w:hAnsiTheme="majorBidi" w:cstheme="majorBidi"/>
          <w:sz w:val="24"/>
          <w:szCs w:val="24"/>
          <w:highlight w:val="yellow"/>
        </w:rPr>
        <w:t>the</w:t>
      </w:r>
      <w:r w:rsidRPr="008B415B">
        <w:rPr>
          <w:rFonts w:asciiTheme="majorBidi" w:hAnsiTheme="majorBidi" w:cstheme="majorBidi"/>
          <w:w w:val="99"/>
          <w:sz w:val="24"/>
          <w:szCs w:val="24"/>
          <w:highlight w:val="yellow"/>
        </w:rPr>
        <w:t xml:space="preserve"> </w:t>
      </w:r>
      <w:r w:rsidRPr="008B415B">
        <w:rPr>
          <w:rFonts w:asciiTheme="majorBidi" w:hAnsiTheme="majorBidi" w:cstheme="majorBidi"/>
          <w:sz w:val="24"/>
          <w:szCs w:val="24"/>
          <w:highlight w:val="yellow"/>
        </w:rPr>
        <w:t>foregoing to the Seventy-third World Health Assembly in 2020 through the 146th session of</w:t>
      </w:r>
      <w:r w:rsidRPr="008B415B">
        <w:rPr>
          <w:rFonts w:asciiTheme="majorBidi" w:hAnsiTheme="majorBidi" w:cstheme="majorBidi"/>
          <w:spacing w:val="38"/>
          <w:sz w:val="24"/>
          <w:szCs w:val="24"/>
          <w:highlight w:val="yellow"/>
        </w:rPr>
        <w:t xml:space="preserve"> </w:t>
      </w:r>
      <w:r w:rsidRPr="008B415B">
        <w:rPr>
          <w:rFonts w:asciiTheme="majorBidi" w:hAnsiTheme="majorBidi" w:cstheme="majorBidi"/>
          <w:sz w:val="24"/>
          <w:szCs w:val="24"/>
          <w:highlight w:val="yellow"/>
        </w:rPr>
        <w:t>the</w:t>
      </w:r>
      <w:r w:rsidRPr="008B415B">
        <w:rPr>
          <w:rFonts w:asciiTheme="majorBidi" w:hAnsiTheme="majorBidi" w:cstheme="majorBidi"/>
          <w:w w:val="99"/>
          <w:sz w:val="24"/>
          <w:szCs w:val="24"/>
          <w:highlight w:val="yellow"/>
        </w:rPr>
        <w:t xml:space="preserve"> </w:t>
      </w:r>
      <w:r w:rsidRPr="008B415B">
        <w:rPr>
          <w:rFonts w:asciiTheme="majorBidi" w:hAnsiTheme="majorBidi" w:cstheme="majorBidi"/>
          <w:sz w:val="24"/>
          <w:szCs w:val="24"/>
          <w:highlight w:val="yellow"/>
        </w:rPr>
        <w:t>Executive</w:t>
      </w:r>
      <w:r w:rsidRPr="008B415B">
        <w:rPr>
          <w:rFonts w:asciiTheme="majorBidi" w:hAnsiTheme="majorBidi" w:cstheme="majorBidi"/>
          <w:spacing w:val="-4"/>
          <w:sz w:val="24"/>
          <w:szCs w:val="24"/>
          <w:highlight w:val="yellow"/>
        </w:rPr>
        <w:t xml:space="preserve"> </w:t>
      </w:r>
      <w:r w:rsidRPr="008B415B">
        <w:rPr>
          <w:rFonts w:asciiTheme="majorBidi" w:hAnsiTheme="majorBidi" w:cstheme="majorBidi"/>
          <w:sz w:val="24"/>
          <w:szCs w:val="24"/>
          <w:highlight w:val="yellow"/>
        </w:rPr>
        <w:t>Board.</w:t>
      </w:r>
    </w:p>
    <w:p w14:paraId="48C4B077" w14:textId="37DF502C" w:rsidR="00376B97" w:rsidRPr="008B415B" w:rsidRDefault="00376B97" w:rsidP="008B415B">
      <w:pPr>
        <w:jc w:val="center"/>
        <w:rPr>
          <w:rFonts w:asciiTheme="majorBidi" w:hAnsiTheme="majorBidi" w:cstheme="majorBidi"/>
          <w:b/>
          <w:bCs/>
          <w:sz w:val="24"/>
          <w:szCs w:val="24"/>
        </w:rPr>
      </w:pPr>
      <w:r w:rsidRPr="008B415B">
        <w:rPr>
          <w:rFonts w:asciiTheme="majorBidi" w:hAnsiTheme="majorBidi" w:cstheme="majorBidi"/>
          <w:b/>
          <w:bCs/>
          <w:sz w:val="24"/>
          <w:szCs w:val="24"/>
        </w:rPr>
        <w:lastRenderedPageBreak/>
        <w:t>ANNEX</w:t>
      </w:r>
    </w:p>
    <w:p w14:paraId="0E2A1DF2" w14:textId="77777777" w:rsidR="000D1AA8" w:rsidRPr="008B415B" w:rsidRDefault="000D1AA8" w:rsidP="00376B97">
      <w:pPr>
        <w:jc w:val="center"/>
        <w:rPr>
          <w:rFonts w:asciiTheme="majorBidi" w:hAnsiTheme="majorBidi" w:cstheme="majorBidi"/>
          <w:b/>
          <w:bCs/>
          <w:sz w:val="24"/>
          <w:szCs w:val="24"/>
        </w:rPr>
      </w:pPr>
    </w:p>
    <w:p w14:paraId="3CB2ADE8" w14:textId="1C78CABF" w:rsidR="00376B97" w:rsidRPr="008B415B" w:rsidRDefault="00376B97" w:rsidP="00376B97">
      <w:pPr>
        <w:jc w:val="center"/>
        <w:rPr>
          <w:rFonts w:asciiTheme="majorBidi" w:hAnsiTheme="majorBidi" w:cstheme="majorBidi"/>
          <w:b/>
          <w:bCs/>
          <w:sz w:val="24"/>
          <w:szCs w:val="24"/>
        </w:rPr>
      </w:pPr>
      <w:r w:rsidRPr="008B415B">
        <w:rPr>
          <w:rFonts w:asciiTheme="majorBidi" w:hAnsiTheme="majorBidi" w:cstheme="majorBidi"/>
          <w:b/>
          <w:bCs/>
          <w:sz w:val="24"/>
          <w:szCs w:val="24"/>
        </w:rPr>
        <w:t>PROPOSED AMENDMENT</w:t>
      </w:r>
      <w:r w:rsidR="00EA3D25" w:rsidRPr="008B415B">
        <w:rPr>
          <w:rFonts w:asciiTheme="majorBidi" w:hAnsiTheme="majorBidi" w:cstheme="majorBidi"/>
          <w:b/>
          <w:bCs/>
          <w:sz w:val="24"/>
          <w:szCs w:val="24"/>
        </w:rPr>
        <w:t>S</w:t>
      </w:r>
      <w:r w:rsidRPr="008B415B">
        <w:rPr>
          <w:rFonts w:asciiTheme="majorBidi" w:hAnsiTheme="majorBidi" w:cstheme="majorBidi"/>
          <w:b/>
          <w:bCs/>
          <w:sz w:val="24"/>
          <w:szCs w:val="24"/>
        </w:rPr>
        <w:t xml:space="preserve"> TO FOOTNOTE 1 OF ANNEX 2 OF THE PIP FRAMEWORK</w:t>
      </w:r>
    </w:p>
    <w:p w14:paraId="51E2921F" w14:textId="77777777" w:rsidR="00EE5F35" w:rsidRPr="008B415B" w:rsidRDefault="00EE5F35" w:rsidP="00376B97">
      <w:pPr>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2604"/>
        <w:gridCol w:w="6982"/>
      </w:tblGrid>
      <w:tr w:rsidR="00376B97" w:rsidRPr="008B415B" w14:paraId="12CC6F1A" w14:textId="77777777" w:rsidTr="008B415B">
        <w:tc>
          <w:tcPr>
            <w:tcW w:w="2604" w:type="dxa"/>
          </w:tcPr>
          <w:p w14:paraId="2DC66D9B" w14:textId="77777777" w:rsidR="00376B97" w:rsidRPr="008B415B" w:rsidRDefault="00376B97" w:rsidP="00B343EF">
            <w:pPr>
              <w:jc w:val="center"/>
              <w:rPr>
                <w:rFonts w:asciiTheme="majorBidi" w:hAnsiTheme="majorBidi" w:cstheme="majorBidi"/>
                <w:b/>
                <w:bCs/>
                <w:sz w:val="24"/>
                <w:szCs w:val="24"/>
              </w:rPr>
            </w:pPr>
            <w:r w:rsidRPr="008B415B">
              <w:rPr>
                <w:rFonts w:asciiTheme="majorBidi" w:hAnsiTheme="majorBidi" w:cstheme="majorBidi"/>
                <w:b/>
                <w:bCs/>
                <w:sz w:val="24"/>
                <w:szCs w:val="24"/>
              </w:rPr>
              <w:t>Current version</w:t>
            </w:r>
          </w:p>
        </w:tc>
        <w:tc>
          <w:tcPr>
            <w:tcW w:w="6982" w:type="dxa"/>
          </w:tcPr>
          <w:p w14:paraId="3067A25C" w14:textId="146D280D" w:rsidR="00376B97" w:rsidRPr="008B415B" w:rsidRDefault="00376B97" w:rsidP="00B343EF">
            <w:pPr>
              <w:jc w:val="center"/>
              <w:rPr>
                <w:rFonts w:asciiTheme="majorBidi" w:hAnsiTheme="majorBidi" w:cstheme="majorBidi"/>
                <w:b/>
                <w:bCs/>
                <w:sz w:val="24"/>
                <w:szCs w:val="24"/>
              </w:rPr>
            </w:pPr>
            <w:r w:rsidRPr="008B415B">
              <w:rPr>
                <w:rFonts w:asciiTheme="majorBidi" w:hAnsiTheme="majorBidi" w:cstheme="majorBidi"/>
                <w:b/>
                <w:bCs/>
                <w:sz w:val="24"/>
                <w:szCs w:val="24"/>
              </w:rPr>
              <w:t>Proposed amended version</w:t>
            </w:r>
            <w:r w:rsidR="00567684" w:rsidRPr="008B415B">
              <w:rPr>
                <w:rFonts w:asciiTheme="majorBidi" w:hAnsiTheme="majorBidi" w:cstheme="majorBidi"/>
                <w:b/>
                <w:bCs/>
                <w:sz w:val="24"/>
                <w:szCs w:val="24"/>
              </w:rPr>
              <w:t>s</w:t>
            </w:r>
          </w:p>
        </w:tc>
      </w:tr>
      <w:tr w:rsidR="008B415B" w:rsidRPr="008B415B" w14:paraId="68E9CF95" w14:textId="77777777" w:rsidTr="008B415B">
        <w:tc>
          <w:tcPr>
            <w:tcW w:w="2604" w:type="dxa"/>
            <w:vMerge w:val="restart"/>
          </w:tcPr>
          <w:p w14:paraId="2E587A6A" w14:textId="77777777" w:rsidR="008B415B" w:rsidRPr="008B415B" w:rsidRDefault="008B415B" w:rsidP="00B343EF">
            <w:pPr>
              <w:rPr>
                <w:rFonts w:asciiTheme="majorBidi" w:hAnsiTheme="majorBidi" w:cstheme="majorBidi"/>
                <w:sz w:val="24"/>
                <w:szCs w:val="24"/>
              </w:rPr>
            </w:pPr>
          </w:p>
          <w:p w14:paraId="47CEFD74" w14:textId="7406DBD9" w:rsidR="008B415B" w:rsidRPr="008B415B" w:rsidRDefault="008B415B" w:rsidP="00B343EF">
            <w:pPr>
              <w:rPr>
                <w:rFonts w:asciiTheme="majorBidi" w:hAnsiTheme="majorBidi" w:cstheme="majorBidi"/>
                <w:b/>
                <w:bCs/>
                <w:sz w:val="24"/>
                <w:szCs w:val="24"/>
              </w:rPr>
            </w:pPr>
            <w:r w:rsidRPr="008B415B">
              <w:rPr>
                <w:rFonts w:asciiTheme="majorBidi" w:hAnsiTheme="majorBidi" w:cstheme="majorBidi"/>
                <w:sz w:val="24"/>
                <w:szCs w:val="24"/>
              </w:rPr>
              <w:t>Recipients are all entities that receive “PIP Biological Materials” from the WHO global influenza surveillance and response system (GISRS), such as influenza vaccine, diagnostic and pharmaceutical manufacturers, as well as biotechnology firms, research institutions and academic institutions. Each recipient shall select options based on its nature and capacities.</w:t>
            </w:r>
          </w:p>
        </w:tc>
        <w:tc>
          <w:tcPr>
            <w:tcW w:w="6982" w:type="dxa"/>
          </w:tcPr>
          <w:p w14:paraId="65E9B920" w14:textId="77777777" w:rsidR="008B415B" w:rsidRPr="008B415B" w:rsidRDefault="008B415B" w:rsidP="00567684">
            <w:pPr>
              <w:rPr>
                <w:rFonts w:asciiTheme="majorBidi" w:hAnsiTheme="majorBidi" w:cstheme="majorBidi"/>
                <w:b/>
                <w:bCs/>
                <w:sz w:val="24"/>
                <w:szCs w:val="24"/>
                <w:u w:val="single"/>
              </w:rPr>
            </w:pPr>
          </w:p>
          <w:p w14:paraId="32CCFE25" w14:textId="68F3A40F" w:rsidR="008B415B" w:rsidRPr="008B415B" w:rsidRDefault="008B415B" w:rsidP="00567684">
            <w:pPr>
              <w:rPr>
                <w:rFonts w:asciiTheme="majorBidi" w:hAnsiTheme="majorBidi" w:cstheme="majorBidi"/>
                <w:b/>
                <w:bCs/>
                <w:sz w:val="24"/>
                <w:szCs w:val="24"/>
                <w:u w:val="single"/>
              </w:rPr>
            </w:pPr>
            <w:r w:rsidRPr="008B415B">
              <w:rPr>
                <w:rFonts w:asciiTheme="majorBidi" w:hAnsiTheme="majorBidi" w:cstheme="majorBidi"/>
                <w:b/>
                <w:bCs/>
                <w:sz w:val="24"/>
                <w:szCs w:val="24"/>
                <w:u w:val="single"/>
              </w:rPr>
              <w:t>USA Proposal</w:t>
            </w:r>
          </w:p>
          <w:p w14:paraId="2AE898B4" w14:textId="5B01838B" w:rsidR="008B415B" w:rsidRPr="008B415B" w:rsidRDefault="008B415B" w:rsidP="00EA2308">
            <w:pPr>
              <w:rPr>
                <w:rFonts w:asciiTheme="majorBidi" w:hAnsiTheme="majorBidi" w:cstheme="majorBidi"/>
                <w:b/>
                <w:bCs/>
                <w:sz w:val="24"/>
                <w:szCs w:val="24"/>
              </w:rPr>
            </w:pPr>
            <w:r w:rsidRPr="008B415B">
              <w:rPr>
                <w:rFonts w:asciiTheme="majorBidi" w:hAnsiTheme="majorBidi" w:cstheme="majorBidi"/>
                <w:strike/>
                <w:sz w:val="24"/>
                <w:szCs w:val="24"/>
              </w:rPr>
              <w:t>Recipients are</w:t>
            </w:r>
            <w:r w:rsidRPr="008B415B">
              <w:rPr>
                <w:rFonts w:asciiTheme="majorBidi" w:hAnsiTheme="majorBidi" w:cstheme="majorBidi"/>
                <w:b/>
                <w:bCs/>
                <w:sz w:val="24"/>
                <w:szCs w:val="24"/>
              </w:rPr>
              <w:t xml:space="preserve"> For the purpose of this Agreement, the term recipient means</w:t>
            </w:r>
            <w:r w:rsidRPr="008B415B">
              <w:rPr>
                <w:rFonts w:asciiTheme="majorBidi" w:hAnsiTheme="majorBidi" w:cstheme="majorBidi"/>
                <w:sz w:val="24"/>
                <w:szCs w:val="24"/>
              </w:rPr>
              <w:t xml:space="preserve"> all entities that receive “PIP Biological Materials” from the WHO global influenza surveillance and response system (GISRS), such as influenza vaccine, diagnostic and pharmaceutical manufacturers, </w:t>
            </w:r>
            <w:r w:rsidRPr="008B415B">
              <w:rPr>
                <w:rFonts w:asciiTheme="majorBidi" w:hAnsiTheme="majorBidi" w:cstheme="majorBidi"/>
                <w:strike/>
                <w:sz w:val="24"/>
                <w:szCs w:val="24"/>
              </w:rPr>
              <w:t>as well as</w:t>
            </w:r>
            <w:r w:rsidRPr="008B415B">
              <w:rPr>
                <w:rFonts w:asciiTheme="majorBidi" w:hAnsiTheme="majorBidi" w:cstheme="majorBidi"/>
                <w:sz w:val="24"/>
                <w:szCs w:val="24"/>
              </w:rPr>
              <w:t xml:space="preserve"> biotechnology firms, research institutions and academic institutions, </w:t>
            </w:r>
            <w:r w:rsidRPr="008B415B">
              <w:rPr>
                <w:rFonts w:asciiTheme="majorBidi" w:hAnsiTheme="majorBidi" w:cstheme="majorBidi"/>
                <w:b/>
                <w:bCs/>
                <w:sz w:val="24"/>
                <w:szCs w:val="24"/>
              </w:rPr>
              <w:t xml:space="preserve">as well as any entity that enters into any contracts or formal agreements with third parties to use PIP biological materials on the entity’s behalf to test or evaluate, for the purpose of commercialization, public use or regulatory approval, that entity’s vaccines, diagnostics or pharmaceuticals relevant to pandemic preparedness or response. </w:t>
            </w:r>
            <w:r w:rsidRPr="008B415B">
              <w:rPr>
                <w:rFonts w:asciiTheme="majorBidi" w:hAnsiTheme="majorBidi" w:cstheme="majorBidi"/>
                <w:sz w:val="24"/>
                <w:szCs w:val="24"/>
              </w:rPr>
              <w:t xml:space="preserve">Each entity shall select options based on its nature and capacities, </w:t>
            </w:r>
            <w:r w:rsidRPr="008B415B">
              <w:rPr>
                <w:rFonts w:asciiTheme="majorBidi" w:hAnsiTheme="majorBidi" w:cstheme="majorBidi"/>
                <w:b/>
                <w:bCs/>
                <w:sz w:val="24"/>
                <w:szCs w:val="24"/>
              </w:rPr>
              <w:t>emphasizing the especially flexible nature of the commitment set forth in Article 4.1.1(c) for entities that are not manufacturers.</w:t>
            </w:r>
          </w:p>
          <w:p w14:paraId="6ADE3024" w14:textId="526FED1F" w:rsidR="008B415B" w:rsidRPr="008B415B" w:rsidRDefault="008B415B" w:rsidP="00567684">
            <w:pPr>
              <w:rPr>
                <w:rFonts w:asciiTheme="majorBidi" w:hAnsiTheme="majorBidi" w:cstheme="majorBidi"/>
                <w:sz w:val="24"/>
                <w:szCs w:val="24"/>
              </w:rPr>
            </w:pPr>
          </w:p>
        </w:tc>
      </w:tr>
      <w:tr w:rsidR="008B415B" w:rsidRPr="008B415B" w14:paraId="28FB2F68" w14:textId="77777777" w:rsidTr="008B415B">
        <w:tc>
          <w:tcPr>
            <w:tcW w:w="2604" w:type="dxa"/>
            <w:vMerge/>
          </w:tcPr>
          <w:p w14:paraId="4713C356" w14:textId="77777777" w:rsidR="008B415B" w:rsidRPr="008B415B" w:rsidRDefault="008B415B" w:rsidP="00EA3D25">
            <w:pPr>
              <w:jc w:val="center"/>
              <w:rPr>
                <w:rFonts w:asciiTheme="majorBidi" w:hAnsiTheme="majorBidi" w:cstheme="majorBidi"/>
                <w:sz w:val="24"/>
                <w:szCs w:val="24"/>
              </w:rPr>
            </w:pPr>
          </w:p>
        </w:tc>
        <w:tc>
          <w:tcPr>
            <w:tcW w:w="6982" w:type="dxa"/>
          </w:tcPr>
          <w:p w14:paraId="158C6147" w14:textId="5BACA95C" w:rsidR="008B415B" w:rsidRPr="008B415B" w:rsidRDefault="008B415B" w:rsidP="009E287A">
            <w:pPr>
              <w:rPr>
                <w:rFonts w:asciiTheme="majorBidi" w:hAnsiTheme="majorBidi" w:cstheme="majorBidi"/>
                <w:b/>
                <w:bCs/>
                <w:sz w:val="24"/>
                <w:szCs w:val="24"/>
                <w:u w:val="single"/>
              </w:rPr>
            </w:pPr>
            <w:r w:rsidRPr="008B415B">
              <w:rPr>
                <w:rFonts w:asciiTheme="majorBidi" w:hAnsiTheme="majorBidi" w:cstheme="majorBidi"/>
                <w:b/>
                <w:bCs/>
                <w:sz w:val="24"/>
                <w:szCs w:val="24"/>
                <w:u w:val="single"/>
              </w:rPr>
              <w:t>EU Proposal</w:t>
            </w:r>
          </w:p>
          <w:p w14:paraId="0489694E" w14:textId="1455F62F" w:rsidR="008B415B" w:rsidRPr="008B415B" w:rsidRDefault="008B415B" w:rsidP="009E287A">
            <w:pPr>
              <w:rPr>
                <w:rFonts w:asciiTheme="majorBidi" w:hAnsiTheme="majorBidi" w:cstheme="majorBidi"/>
                <w:color w:val="000000" w:themeColor="text1"/>
                <w:sz w:val="24"/>
                <w:szCs w:val="24"/>
              </w:rPr>
            </w:pPr>
            <w:r w:rsidRPr="008B415B">
              <w:rPr>
                <w:rFonts w:asciiTheme="majorBidi" w:hAnsiTheme="majorBidi" w:cstheme="majorBidi"/>
                <w:color w:val="000000" w:themeColor="text1"/>
                <w:sz w:val="24"/>
                <w:szCs w:val="24"/>
              </w:rPr>
              <w:t xml:space="preserve">Recipients are receivers of “PIP Biological Materials” from the WHO global influenza surveillance and response system (GISRS), such as manufacturers of influenza vaccines, diagnostics, pharmaceuticals and other products relevant to pandemic preparedness and response, as well as biotechnology firms, research institutions and academic institutions. [Recipients are subject to paragraph 5.4.2 of the Framework. </w:t>
            </w:r>
            <w:r w:rsidRPr="008B415B">
              <w:rPr>
                <w:rFonts w:asciiTheme="majorBidi" w:hAnsiTheme="majorBidi" w:cstheme="majorBidi"/>
                <w:b/>
                <w:bCs/>
                <w:color w:val="000000" w:themeColor="text1"/>
                <w:sz w:val="24"/>
                <w:szCs w:val="24"/>
              </w:rPr>
              <w:t>DEL</w:t>
            </w:r>
            <w:r w:rsidRPr="008B415B">
              <w:rPr>
                <w:rFonts w:asciiTheme="majorBidi" w:hAnsiTheme="majorBidi" w:cstheme="majorBidi"/>
                <w:color w:val="000000" w:themeColor="text1"/>
                <w:sz w:val="24"/>
                <w:szCs w:val="24"/>
              </w:rPr>
              <w:t xml:space="preserve"> (</w:t>
            </w:r>
            <w:r w:rsidRPr="008B415B">
              <w:rPr>
                <w:rFonts w:asciiTheme="majorBidi" w:hAnsiTheme="majorBidi" w:cstheme="majorBidi"/>
                <w:b/>
                <w:bCs/>
                <w:color w:val="000000" w:themeColor="text1"/>
                <w:sz w:val="24"/>
                <w:szCs w:val="24"/>
              </w:rPr>
              <w:t>USA</w:t>
            </w:r>
            <w:r w:rsidRPr="008B415B">
              <w:rPr>
                <w:rFonts w:asciiTheme="majorBidi" w:hAnsiTheme="majorBidi" w:cstheme="majorBidi"/>
                <w:color w:val="000000" w:themeColor="text1"/>
                <w:sz w:val="24"/>
                <w:szCs w:val="24"/>
              </w:rPr>
              <w:t>)]</w:t>
            </w:r>
          </w:p>
          <w:p w14:paraId="78402767" w14:textId="77777777" w:rsidR="008B415B" w:rsidRPr="008B415B" w:rsidRDefault="008B415B" w:rsidP="009E287A">
            <w:pPr>
              <w:rPr>
                <w:rFonts w:asciiTheme="majorBidi" w:hAnsiTheme="majorBidi" w:cstheme="majorBidi"/>
                <w:color w:val="000000" w:themeColor="text1"/>
                <w:sz w:val="24"/>
                <w:szCs w:val="24"/>
              </w:rPr>
            </w:pPr>
          </w:p>
          <w:p w14:paraId="269995C7" w14:textId="4EC4CF5E" w:rsidR="008B415B" w:rsidRPr="008B415B" w:rsidRDefault="008B415B" w:rsidP="009E287A">
            <w:pPr>
              <w:rPr>
                <w:rFonts w:asciiTheme="majorBidi" w:hAnsiTheme="majorBidi" w:cstheme="majorBidi"/>
                <w:bCs/>
                <w:color w:val="000000" w:themeColor="text1"/>
                <w:sz w:val="24"/>
                <w:szCs w:val="24"/>
              </w:rPr>
            </w:pPr>
            <w:r w:rsidRPr="008B415B">
              <w:rPr>
                <w:rFonts w:asciiTheme="majorBidi" w:hAnsiTheme="majorBidi" w:cstheme="majorBidi"/>
                <w:color w:val="000000" w:themeColor="text1"/>
                <w:sz w:val="24"/>
                <w:szCs w:val="24"/>
              </w:rPr>
              <w:t>Any</w:t>
            </w:r>
            <w:r w:rsidRPr="008B415B">
              <w:rPr>
                <w:rFonts w:asciiTheme="majorBidi" w:hAnsiTheme="majorBidi" w:cstheme="majorBidi"/>
                <w:bCs/>
                <w:color w:val="000000" w:themeColor="text1"/>
                <w:sz w:val="24"/>
                <w:szCs w:val="24"/>
              </w:rPr>
              <w:t xml:space="preserve"> entity that enters into any contracts or formal agreements with recipients [for the purpose of utilization </w:t>
            </w:r>
            <w:r w:rsidRPr="008B415B">
              <w:rPr>
                <w:rFonts w:asciiTheme="majorBidi" w:hAnsiTheme="majorBidi" w:cstheme="majorBidi"/>
                <w:b/>
                <w:color w:val="000000" w:themeColor="text1"/>
                <w:sz w:val="24"/>
                <w:szCs w:val="24"/>
              </w:rPr>
              <w:t>DEL</w:t>
            </w:r>
            <w:r w:rsidRPr="008B415B">
              <w:rPr>
                <w:rFonts w:asciiTheme="majorBidi" w:hAnsiTheme="majorBidi" w:cstheme="majorBidi"/>
                <w:bCs/>
                <w:color w:val="000000" w:themeColor="text1"/>
                <w:sz w:val="24"/>
                <w:szCs w:val="24"/>
              </w:rPr>
              <w:t xml:space="preserve"> (</w:t>
            </w:r>
            <w:r w:rsidRPr="008B415B">
              <w:rPr>
                <w:rFonts w:asciiTheme="majorBidi" w:hAnsiTheme="majorBidi" w:cstheme="majorBidi"/>
                <w:b/>
                <w:color w:val="000000" w:themeColor="text1"/>
                <w:sz w:val="24"/>
                <w:szCs w:val="24"/>
              </w:rPr>
              <w:t>USA</w:t>
            </w:r>
            <w:r w:rsidRPr="008B415B">
              <w:rPr>
                <w:rFonts w:asciiTheme="majorBidi" w:hAnsiTheme="majorBidi" w:cstheme="majorBidi"/>
                <w:bCs/>
                <w:color w:val="000000" w:themeColor="text1"/>
                <w:sz w:val="24"/>
                <w:szCs w:val="24"/>
              </w:rPr>
              <w:t>)] [to use (</w:t>
            </w:r>
            <w:r w:rsidRPr="008B415B">
              <w:rPr>
                <w:rFonts w:asciiTheme="majorBidi" w:hAnsiTheme="majorBidi" w:cstheme="majorBidi"/>
                <w:b/>
                <w:color w:val="000000" w:themeColor="text1"/>
                <w:sz w:val="24"/>
                <w:szCs w:val="24"/>
              </w:rPr>
              <w:t>USA</w:t>
            </w:r>
            <w:r w:rsidRPr="008B415B">
              <w:rPr>
                <w:rFonts w:asciiTheme="majorBidi" w:hAnsiTheme="majorBidi" w:cstheme="majorBidi"/>
                <w:bCs/>
                <w:color w:val="000000" w:themeColor="text1"/>
                <w:sz w:val="24"/>
                <w:szCs w:val="24"/>
              </w:rPr>
              <w:t xml:space="preserve">)] [of PIPBM by such recipients </w:t>
            </w:r>
            <w:r w:rsidRPr="008B415B">
              <w:rPr>
                <w:rFonts w:asciiTheme="majorBidi" w:hAnsiTheme="majorBidi" w:cstheme="majorBidi"/>
                <w:b/>
                <w:color w:val="000000" w:themeColor="text1"/>
                <w:sz w:val="24"/>
                <w:szCs w:val="24"/>
              </w:rPr>
              <w:t>DEL</w:t>
            </w:r>
            <w:r w:rsidRPr="008B415B">
              <w:rPr>
                <w:rFonts w:asciiTheme="majorBidi" w:hAnsiTheme="majorBidi" w:cstheme="majorBidi"/>
                <w:bCs/>
                <w:color w:val="000000" w:themeColor="text1"/>
                <w:sz w:val="24"/>
                <w:szCs w:val="24"/>
              </w:rPr>
              <w:t xml:space="preserve"> (</w:t>
            </w:r>
            <w:r w:rsidRPr="008B415B">
              <w:rPr>
                <w:rFonts w:asciiTheme="majorBidi" w:hAnsiTheme="majorBidi" w:cstheme="majorBidi"/>
                <w:b/>
                <w:color w:val="000000" w:themeColor="text1"/>
                <w:sz w:val="24"/>
                <w:szCs w:val="24"/>
              </w:rPr>
              <w:t>USA</w:t>
            </w:r>
            <w:r w:rsidRPr="008B415B">
              <w:rPr>
                <w:rFonts w:asciiTheme="majorBidi" w:hAnsiTheme="majorBidi" w:cstheme="majorBidi"/>
                <w:bCs/>
                <w:color w:val="000000" w:themeColor="text1"/>
                <w:sz w:val="24"/>
                <w:szCs w:val="24"/>
              </w:rPr>
              <w:t>) ] [the recipient’s PIP biological materials on the entity’s behalf (</w:t>
            </w:r>
            <w:r w:rsidRPr="008B415B">
              <w:rPr>
                <w:rFonts w:asciiTheme="majorBidi" w:hAnsiTheme="majorBidi" w:cstheme="majorBidi"/>
                <w:b/>
                <w:color w:val="000000" w:themeColor="text1"/>
                <w:sz w:val="24"/>
                <w:szCs w:val="24"/>
              </w:rPr>
              <w:t>USA</w:t>
            </w:r>
            <w:r w:rsidRPr="008B415B">
              <w:rPr>
                <w:rFonts w:asciiTheme="majorBidi" w:hAnsiTheme="majorBidi" w:cstheme="majorBidi"/>
                <w:bCs/>
                <w:color w:val="000000" w:themeColor="text1"/>
                <w:sz w:val="24"/>
                <w:szCs w:val="24"/>
              </w:rPr>
              <w:t>)] for commercialization, public use or regulatory approval, of that entity’s vaccines, diagnostics,</w:t>
            </w:r>
            <w:r w:rsidRPr="008B415B">
              <w:rPr>
                <w:rFonts w:asciiTheme="majorBidi" w:hAnsiTheme="majorBidi" w:cstheme="majorBidi"/>
                <w:bCs/>
                <w:strike/>
                <w:color w:val="000000" w:themeColor="text1"/>
                <w:sz w:val="24"/>
                <w:szCs w:val="24"/>
              </w:rPr>
              <w:t xml:space="preserve"> </w:t>
            </w:r>
            <w:r w:rsidRPr="008B415B">
              <w:rPr>
                <w:rFonts w:asciiTheme="majorBidi" w:hAnsiTheme="majorBidi" w:cstheme="majorBidi"/>
                <w:bCs/>
                <w:color w:val="000000" w:themeColor="text1"/>
                <w:sz w:val="24"/>
                <w:szCs w:val="24"/>
              </w:rPr>
              <w:t xml:space="preserve">pharmaceuticals is also [subject to paragraph 5.4.2 of the Framework. </w:t>
            </w:r>
            <w:r w:rsidRPr="008B415B">
              <w:rPr>
                <w:rFonts w:asciiTheme="majorBidi" w:hAnsiTheme="majorBidi" w:cstheme="majorBidi"/>
                <w:b/>
                <w:color w:val="000000" w:themeColor="text1"/>
                <w:sz w:val="24"/>
                <w:szCs w:val="24"/>
              </w:rPr>
              <w:t>DEL</w:t>
            </w:r>
            <w:r w:rsidRPr="008B415B">
              <w:rPr>
                <w:rFonts w:asciiTheme="majorBidi" w:hAnsiTheme="majorBidi" w:cstheme="majorBidi"/>
                <w:bCs/>
                <w:color w:val="000000" w:themeColor="text1"/>
                <w:sz w:val="24"/>
                <w:szCs w:val="24"/>
              </w:rPr>
              <w:t xml:space="preserve"> (</w:t>
            </w:r>
            <w:r w:rsidRPr="008B415B">
              <w:rPr>
                <w:rFonts w:asciiTheme="majorBidi" w:hAnsiTheme="majorBidi" w:cstheme="majorBidi"/>
                <w:b/>
                <w:color w:val="000000" w:themeColor="text1"/>
                <w:sz w:val="24"/>
                <w:szCs w:val="24"/>
              </w:rPr>
              <w:t>USA</w:t>
            </w:r>
            <w:r w:rsidRPr="008B415B">
              <w:rPr>
                <w:rFonts w:asciiTheme="majorBidi" w:hAnsiTheme="majorBidi" w:cstheme="majorBidi"/>
                <w:bCs/>
                <w:color w:val="000000" w:themeColor="text1"/>
                <w:sz w:val="24"/>
                <w:szCs w:val="24"/>
              </w:rPr>
              <w:t>)] [considered a recipient (</w:t>
            </w:r>
            <w:r w:rsidRPr="008B415B">
              <w:rPr>
                <w:rFonts w:asciiTheme="majorBidi" w:hAnsiTheme="majorBidi" w:cstheme="majorBidi"/>
                <w:b/>
                <w:color w:val="000000" w:themeColor="text1"/>
                <w:sz w:val="24"/>
                <w:szCs w:val="24"/>
              </w:rPr>
              <w:t>USA</w:t>
            </w:r>
            <w:r w:rsidRPr="008B415B">
              <w:rPr>
                <w:rFonts w:asciiTheme="majorBidi" w:hAnsiTheme="majorBidi" w:cstheme="majorBidi"/>
                <w:bCs/>
                <w:color w:val="000000" w:themeColor="text1"/>
                <w:sz w:val="24"/>
                <w:szCs w:val="24"/>
              </w:rPr>
              <w:t>)]</w:t>
            </w:r>
          </w:p>
          <w:p w14:paraId="094863B0" w14:textId="77777777" w:rsidR="008B415B" w:rsidRPr="008B415B" w:rsidRDefault="008B415B" w:rsidP="009E287A">
            <w:pPr>
              <w:rPr>
                <w:rFonts w:asciiTheme="majorBidi" w:hAnsiTheme="majorBidi" w:cstheme="majorBidi"/>
                <w:bCs/>
                <w:color w:val="000000" w:themeColor="text1"/>
                <w:sz w:val="24"/>
                <w:szCs w:val="24"/>
              </w:rPr>
            </w:pPr>
          </w:p>
          <w:p w14:paraId="6D13AEDC" w14:textId="1F997070" w:rsidR="008B415B" w:rsidRPr="008B415B" w:rsidRDefault="008B415B" w:rsidP="009E287A">
            <w:pPr>
              <w:rPr>
                <w:rFonts w:asciiTheme="majorBidi" w:hAnsiTheme="majorBidi" w:cstheme="majorBidi"/>
                <w:color w:val="000000" w:themeColor="text1"/>
                <w:sz w:val="24"/>
                <w:szCs w:val="24"/>
              </w:rPr>
            </w:pPr>
            <w:r w:rsidRPr="008B415B">
              <w:rPr>
                <w:rFonts w:asciiTheme="majorBidi" w:hAnsiTheme="majorBidi" w:cstheme="majorBidi"/>
                <w:color w:val="000000" w:themeColor="text1"/>
                <w:sz w:val="24"/>
                <w:szCs w:val="24"/>
              </w:rPr>
              <w:t xml:space="preserve">All the above recipients and/or entities, shall select from among the commitments identified in Article 4.1.1 (a) to (c) based on their nature and capacities. </w:t>
            </w:r>
          </w:p>
          <w:p w14:paraId="5CF37758" w14:textId="77777777" w:rsidR="008B415B" w:rsidRPr="008B415B" w:rsidRDefault="008B415B" w:rsidP="009E287A">
            <w:pPr>
              <w:rPr>
                <w:rFonts w:asciiTheme="majorBidi" w:hAnsiTheme="majorBidi" w:cstheme="majorBidi"/>
                <w:bCs/>
                <w:sz w:val="24"/>
                <w:szCs w:val="24"/>
              </w:rPr>
            </w:pPr>
          </w:p>
          <w:p w14:paraId="5C399AF9" w14:textId="392509BD" w:rsidR="008B415B" w:rsidRPr="008B415B" w:rsidRDefault="008B415B" w:rsidP="009E287A">
            <w:pPr>
              <w:rPr>
                <w:rFonts w:asciiTheme="majorBidi" w:hAnsiTheme="majorBidi" w:cstheme="majorBidi"/>
                <w:b/>
                <w:bCs/>
                <w:sz w:val="24"/>
                <w:szCs w:val="24"/>
                <w:u w:val="single"/>
              </w:rPr>
            </w:pPr>
            <w:r w:rsidRPr="008B415B">
              <w:rPr>
                <w:rFonts w:asciiTheme="majorBidi" w:hAnsiTheme="majorBidi" w:cstheme="majorBidi"/>
                <w:bCs/>
                <w:sz w:val="24"/>
                <w:szCs w:val="24"/>
              </w:rPr>
              <w:t>Recipients and entities that are not manufacturers are subject only to the especially flexible commitments set out in article 4.1.1(C).</w:t>
            </w:r>
          </w:p>
        </w:tc>
      </w:tr>
    </w:tbl>
    <w:p w14:paraId="46A4DD13" w14:textId="384E517E" w:rsidR="0053593B" w:rsidRPr="00567CEA" w:rsidRDefault="0053593B" w:rsidP="00B94AED">
      <w:pPr>
        <w:spacing w:line="226" w:lineRule="exact"/>
        <w:ind w:right="630"/>
        <w:rPr>
          <w:rFonts w:asciiTheme="majorBidi" w:eastAsia="Times New Roman" w:hAnsiTheme="majorBidi" w:cstheme="majorBidi"/>
          <w:sz w:val="24"/>
          <w:szCs w:val="24"/>
        </w:rPr>
      </w:pPr>
    </w:p>
    <w:p w14:paraId="68298E20" w14:textId="135D05BC" w:rsidR="00E654BC" w:rsidRPr="00567CEA" w:rsidRDefault="00E654BC">
      <w:pPr>
        <w:rPr>
          <w:rFonts w:asciiTheme="majorBidi" w:eastAsia="Times New Roman" w:hAnsiTheme="majorBidi" w:cstheme="majorBidi"/>
          <w:sz w:val="24"/>
          <w:szCs w:val="24"/>
        </w:rPr>
      </w:pPr>
      <w:r w:rsidRPr="00567CEA">
        <w:rPr>
          <w:rFonts w:asciiTheme="majorBidi" w:eastAsia="Times New Roman" w:hAnsiTheme="majorBidi" w:cstheme="majorBidi"/>
          <w:sz w:val="24"/>
          <w:szCs w:val="24"/>
        </w:rPr>
        <w:br w:type="page"/>
      </w:r>
    </w:p>
    <w:p w14:paraId="72B1ACE0" w14:textId="77777777" w:rsidR="00567684" w:rsidRPr="00567CEA" w:rsidRDefault="00567684" w:rsidP="00B94AED">
      <w:pPr>
        <w:spacing w:line="226" w:lineRule="exact"/>
        <w:ind w:right="630"/>
        <w:rPr>
          <w:rFonts w:asciiTheme="majorBidi" w:eastAsia="Times New Roman" w:hAnsiTheme="majorBidi" w:cstheme="majorBidi"/>
          <w:sz w:val="24"/>
          <w:szCs w:val="24"/>
        </w:rPr>
      </w:pPr>
    </w:p>
    <w:p w14:paraId="75B3B18F" w14:textId="0CD259C3" w:rsidR="00E654BC" w:rsidRPr="00567CEA" w:rsidRDefault="00E654BC" w:rsidP="00E654BC">
      <w:pPr>
        <w:jc w:val="center"/>
        <w:rPr>
          <w:rFonts w:asciiTheme="majorBidi" w:hAnsiTheme="majorBidi" w:cstheme="majorBidi"/>
          <w:b/>
          <w:bCs/>
          <w:sz w:val="24"/>
          <w:szCs w:val="24"/>
        </w:rPr>
      </w:pPr>
    </w:p>
    <w:p w14:paraId="09AFBFBA" w14:textId="77777777" w:rsidR="00E654BC" w:rsidRPr="008B415B" w:rsidRDefault="00E654BC" w:rsidP="00E654BC">
      <w:pPr>
        <w:jc w:val="center"/>
        <w:rPr>
          <w:rFonts w:asciiTheme="majorBidi" w:hAnsiTheme="majorBidi" w:cstheme="majorBidi"/>
          <w:b/>
          <w:bCs/>
          <w:sz w:val="24"/>
          <w:szCs w:val="24"/>
        </w:rPr>
      </w:pPr>
      <w:r w:rsidRPr="008B415B">
        <w:rPr>
          <w:rFonts w:asciiTheme="majorBidi" w:hAnsiTheme="majorBidi" w:cstheme="majorBidi"/>
          <w:b/>
          <w:bCs/>
          <w:sz w:val="24"/>
          <w:szCs w:val="24"/>
        </w:rPr>
        <w:t>PROPOSED AMENDMENT TO ARTICLE 4.4 OF ANNEX 2 OF THE PIP FRAMEWORK</w:t>
      </w:r>
    </w:p>
    <w:p w14:paraId="365AF0F4" w14:textId="77777777" w:rsidR="00E654BC" w:rsidRPr="008B415B" w:rsidRDefault="00E654BC" w:rsidP="00E654BC">
      <w:pPr>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696"/>
        <w:gridCol w:w="5890"/>
      </w:tblGrid>
      <w:tr w:rsidR="00E654BC" w:rsidRPr="008B415B" w14:paraId="71CC1C0B" w14:textId="77777777" w:rsidTr="004D3B5D">
        <w:tc>
          <w:tcPr>
            <w:tcW w:w="8356" w:type="dxa"/>
          </w:tcPr>
          <w:p w14:paraId="59DA84D3" w14:textId="77777777" w:rsidR="00E654BC" w:rsidRPr="008B415B" w:rsidRDefault="00E654BC" w:rsidP="004E4CCE">
            <w:pPr>
              <w:jc w:val="center"/>
              <w:rPr>
                <w:rFonts w:asciiTheme="majorBidi" w:hAnsiTheme="majorBidi" w:cstheme="majorBidi"/>
                <w:b/>
                <w:bCs/>
                <w:sz w:val="24"/>
                <w:szCs w:val="24"/>
              </w:rPr>
            </w:pPr>
            <w:r w:rsidRPr="008B415B">
              <w:rPr>
                <w:rFonts w:asciiTheme="majorBidi" w:hAnsiTheme="majorBidi" w:cstheme="majorBidi"/>
                <w:b/>
                <w:bCs/>
                <w:sz w:val="24"/>
                <w:szCs w:val="24"/>
              </w:rPr>
              <w:t>Current version</w:t>
            </w:r>
          </w:p>
        </w:tc>
        <w:tc>
          <w:tcPr>
            <w:tcW w:w="15734" w:type="dxa"/>
          </w:tcPr>
          <w:p w14:paraId="2F2677BB" w14:textId="77777777" w:rsidR="00E654BC" w:rsidRPr="008B415B" w:rsidRDefault="00E654BC" w:rsidP="004E4CCE">
            <w:pPr>
              <w:jc w:val="center"/>
              <w:rPr>
                <w:rFonts w:asciiTheme="majorBidi" w:hAnsiTheme="majorBidi" w:cstheme="majorBidi"/>
                <w:b/>
                <w:bCs/>
                <w:sz w:val="24"/>
                <w:szCs w:val="24"/>
              </w:rPr>
            </w:pPr>
            <w:r w:rsidRPr="008B415B">
              <w:rPr>
                <w:rFonts w:asciiTheme="majorBidi" w:hAnsiTheme="majorBidi" w:cstheme="majorBidi"/>
                <w:b/>
                <w:bCs/>
                <w:sz w:val="24"/>
                <w:szCs w:val="24"/>
              </w:rPr>
              <w:t>Proposed amended version</w:t>
            </w:r>
          </w:p>
        </w:tc>
      </w:tr>
      <w:tr w:rsidR="00E654BC" w:rsidRPr="008B415B" w14:paraId="65A4E7EB" w14:textId="77777777" w:rsidTr="004D3B5D">
        <w:tc>
          <w:tcPr>
            <w:tcW w:w="8356" w:type="dxa"/>
          </w:tcPr>
          <w:p w14:paraId="3E5CCD67" w14:textId="50BA205E" w:rsidR="00E654BC" w:rsidRPr="008B415B" w:rsidRDefault="00E654BC" w:rsidP="004E4CCE">
            <w:pPr>
              <w:rPr>
                <w:rFonts w:asciiTheme="majorBidi" w:hAnsiTheme="majorBidi" w:cstheme="majorBidi"/>
                <w:b/>
                <w:bCs/>
                <w:sz w:val="24"/>
                <w:szCs w:val="24"/>
              </w:rPr>
            </w:pPr>
            <w:r w:rsidRPr="008B415B">
              <w:rPr>
                <w:rFonts w:asciiTheme="majorBidi" w:hAnsiTheme="majorBidi" w:cstheme="majorBidi"/>
                <w:sz w:val="24"/>
                <w:szCs w:val="24"/>
              </w:rPr>
              <w:t>The recipient shall only further transfer the PIP biological materials if the prospective recipient has concluded an SMTA with the World Health Organization. Any such further transfer shall be reported to the World Health Organization. The Director-General may, under exceptional circumstances, allow the PIP biological materials to be transferred to a prospective recipient while requesting this aforementioned recipient to enter into an SMTA, and report to the “Advisory Group” accordingly.</w:t>
            </w:r>
          </w:p>
        </w:tc>
        <w:tc>
          <w:tcPr>
            <w:tcW w:w="15734" w:type="dxa"/>
          </w:tcPr>
          <w:p w14:paraId="0940C88E" w14:textId="15C72831" w:rsidR="00E654BC" w:rsidRPr="008B415B" w:rsidRDefault="00E654BC" w:rsidP="004E4CCE">
            <w:pPr>
              <w:rPr>
                <w:rFonts w:asciiTheme="majorBidi" w:hAnsiTheme="majorBidi" w:cstheme="majorBidi"/>
                <w:b/>
                <w:bCs/>
                <w:sz w:val="24"/>
                <w:szCs w:val="24"/>
                <w:u w:val="single"/>
              </w:rPr>
            </w:pPr>
            <w:r w:rsidRPr="008B415B">
              <w:rPr>
                <w:rFonts w:asciiTheme="majorBidi" w:hAnsiTheme="majorBidi" w:cstheme="majorBidi"/>
                <w:b/>
                <w:bCs/>
                <w:sz w:val="24"/>
                <w:szCs w:val="24"/>
                <w:u w:val="single"/>
              </w:rPr>
              <w:t>USA Proposal</w:t>
            </w:r>
          </w:p>
          <w:p w14:paraId="3A15DE88" w14:textId="77777777" w:rsidR="00567CEA" w:rsidRPr="008B415B" w:rsidRDefault="00567CEA" w:rsidP="004E4CCE">
            <w:pPr>
              <w:rPr>
                <w:rFonts w:asciiTheme="majorBidi" w:hAnsiTheme="majorBidi" w:cstheme="majorBidi"/>
                <w:sz w:val="24"/>
                <w:szCs w:val="24"/>
              </w:rPr>
            </w:pPr>
          </w:p>
          <w:p w14:paraId="51708B82" w14:textId="3B86515A" w:rsidR="00E654BC" w:rsidRPr="008B415B" w:rsidRDefault="00E654BC" w:rsidP="004E4CCE">
            <w:pPr>
              <w:rPr>
                <w:rFonts w:asciiTheme="majorBidi" w:hAnsiTheme="majorBidi" w:cstheme="majorBidi"/>
                <w:b/>
                <w:bCs/>
                <w:sz w:val="24"/>
                <w:szCs w:val="24"/>
              </w:rPr>
            </w:pPr>
            <w:r w:rsidRPr="008B415B">
              <w:rPr>
                <w:rFonts w:asciiTheme="majorBidi" w:hAnsiTheme="majorBidi" w:cstheme="majorBidi"/>
                <w:sz w:val="24"/>
                <w:szCs w:val="24"/>
              </w:rPr>
              <w:t xml:space="preserve">The recipient shall only further transfer the PIP biological materials if the prospective recipient has concluded an SMTA with the World Health Organization. Any such further transfer shall be reported to the World Health Organization. The Director-General may, under exceptional circumstances, allow the PIP biological materials to be transferred to a prospective recipient while requesting this aforementioned recipient to enter into an SMTA, and report to the “Advisory Group” accordingly. </w:t>
            </w:r>
            <w:r w:rsidRPr="008B415B">
              <w:rPr>
                <w:rFonts w:asciiTheme="majorBidi" w:hAnsiTheme="majorBidi" w:cstheme="majorBidi"/>
                <w:b/>
                <w:bCs/>
                <w:sz w:val="24"/>
                <w:szCs w:val="24"/>
              </w:rPr>
              <w:t xml:space="preserve">For the avoidance of doubt, such transfers are understood to include the </w:t>
            </w:r>
            <w:r w:rsidR="00894E9E" w:rsidRPr="008B415B">
              <w:rPr>
                <w:rFonts w:asciiTheme="majorBidi" w:hAnsiTheme="majorBidi" w:cstheme="majorBidi"/>
                <w:b/>
                <w:bCs/>
                <w:sz w:val="24"/>
                <w:szCs w:val="24"/>
              </w:rPr>
              <w:t xml:space="preserve">use </w:t>
            </w:r>
            <w:r w:rsidRPr="008B415B">
              <w:rPr>
                <w:rFonts w:asciiTheme="majorBidi" w:hAnsiTheme="majorBidi" w:cstheme="majorBidi"/>
                <w:b/>
                <w:bCs/>
                <w:sz w:val="24"/>
                <w:szCs w:val="24"/>
              </w:rPr>
              <w:t>of PIP biological materials on behalf of another entity to test or evaluate</w:t>
            </w:r>
            <w:r w:rsidR="006172DE" w:rsidRPr="008B415B">
              <w:rPr>
                <w:rFonts w:asciiTheme="majorBidi" w:hAnsiTheme="majorBidi" w:cstheme="majorBidi"/>
                <w:b/>
                <w:bCs/>
                <w:sz w:val="24"/>
                <w:szCs w:val="24"/>
              </w:rPr>
              <w:t>,</w:t>
            </w:r>
            <w:r w:rsidRPr="008B415B">
              <w:rPr>
                <w:rFonts w:asciiTheme="majorBidi" w:hAnsiTheme="majorBidi" w:cstheme="majorBidi"/>
                <w:b/>
                <w:bCs/>
                <w:sz w:val="24"/>
                <w:szCs w:val="24"/>
              </w:rPr>
              <w:t xml:space="preserve"> for the purpose of regulatory approval</w:t>
            </w:r>
            <w:r w:rsidR="006172DE" w:rsidRPr="008B415B">
              <w:rPr>
                <w:rFonts w:asciiTheme="majorBidi" w:hAnsiTheme="majorBidi" w:cstheme="majorBidi"/>
                <w:b/>
                <w:bCs/>
                <w:sz w:val="24"/>
                <w:szCs w:val="24"/>
              </w:rPr>
              <w:t>,</w:t>
            </w:r>
            <w:r w:rsidRPr="008B415B">
              <w:rPr>
                <w:rFonts w:asciiTheme="majorBidi" w:hAnsiTheme="majorBidi" w:cstheme="majorBidi"/>
                <w:b/>
                <w:bCs/>
                <w:sz w:val="24"/>
                <w:szCs w:val="24"/>
              </w:rPr>
              <w:t xml:space="preserve"> that entity’s vaccines, antivirals, or products relevant to pandemic influenza preparedness and response.</w:t>
            </w:r>
            <w:r w:rsidRPr="008B415B">
              <w:rPr>
                <w:rFonts w:asciiTheme="majorBidi" w:hAnsiTheme="majorBidi" w:cstheme="majorBidi"/>
                <w:sz w:val="24"/>
                <w:szCs w:val="24"/>
              </w:rPr>
              <w:t xml:space="preserve"> </w:t>
            </w:r>
          </w:p>
        </w:tc>
      </w:tr>
    </w:tbl>
    <w:p w14:paraId="77BB7554" w14:textId="5E134F13" w:rsidR="00567684" w:rsidRPr="00567CEA" w:rsidRDefault="00567684" w:rsidP="008B415B">
      <w:pPr>
        <w:rPr>
          <w:rFonts w:asciiTheme="majorBidi" w:eastAsia="Times New Roman" w:hAnsiTheme="majorBidi" w:cstheme="majorBidi"/>
          <w:sz w:val="24"/>
          <w:szCs w:val="24"/>
        </w:rPr>
      </w:pPr>
    </w:p>
    <w:sectPr w:rsidR="00567684" w:rsidRPr="00567CEA">
      <w:pgSz w:w="11910" w:h="16840"/>
      <w:pgMar w:top="1060" w:right="98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9AE3" w14:textId="77777777" w:rsidR="00FE3BC1" w:rsidRDefault="00FE3BC1" w:rsidP="00E25466">
      <w:r>
        <w:separator/>
      </w:r>
    </w:p>
  </w:endnote>
  <w:endnote w:type="continuationSeparator" w:id="0">
    <w:p w14:paraId="2E687A9E" w14:textId="77777777" w:rsidR="00FE3BC1" w:rsidRDefault="00FE3BC1" w:rsidP="00E2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CED93" w14:textId="77777777" w:rsidR="00FE3BC1" w:rsidRDefault="00FE3BC1" w:rsidP="00E25466">
      <w:r>
        <w:separator/>
      </w:r>
    </w:p>
  </w:footnote>
  <w:footnote w:type="continuationSeparator" w:id="0">
    <w:p w14:paraId="4AB3F985" w14:textId="77777777" w:rsidR="00FE3BC1" w:rsidRDefault="00FE3BC1" w:rsidP="00E25466">
      <w:r>
        <w:continuationSeparator/>
      </w:r>
    </w:p>
  </w:footnote>
  <w:footnote w:id="1">
    <w:p w14:paraId="2D47CD8D" w14:textId="7F5DE73F" w:rsidR="00A21AA0" w:rsidRPr="008B415B" w:rsidRDefault="00A21AA0" w:rsidP="00A21AA0">
      <w:pPr>
        <w:spacing w:before="115"/>
        <w:ind w:right="577"/>
        <w:jc w:val="both"/>
        <w:rPr>
          <w:rFonts w:asciiTheme="majorBidi" w:eastAsia="Times New Roman" w:hAnsiTheme="majorBidi" w:cstheme="majorBidi"/>
          <w:sz w:val="16"/>
          <w:szCs w:val="16"/>
        </w:rPr>
      </w:pPr>
      <w:r w:rsidRPr="008B415B">
        <w:rPr>
          <w:rStyle w:val="FootnoteReference"/>
          <w:rFonts w:asciiTheme="majorBidi" w:hAnsiTheme="majorBidi" w:cstheme="majorBidi"/>
          <w:sz w:val="16"/>
          <w:szCs w:val="16"/>
        </w:rPr>
        <w:footnoteRef/>
      </w:r>
      <w:r w:rsidRPr="008B415B">
        <w:rPr>
          <w:rFonts w:asciiTheme="majorBidi" w:hAnsiTheme="majorBidi" w:cstheme="majorBidi"/>
          <w:sz w:val="16"/>
          <w:szCs w:val="16"/>
        </w:rPr>
        <w:t xml:space="preserve"> </w:t>
      </w:r>
      <w:r w:rsidRPr="008B415B">
        <w:rPr>
          <w:rFonts w:asciiTheme="majorBidi" w:eastAsia="Times New Roman" w:hAnsiTheme="majorBidi" w:cstheme="majorBidi"/>
          <w:sz w:val="16"/>
          <w:szCs w:val="16"/>
        </w:rPr>
        <w:t>Meeting of the Pandemic Influenza Preparedness Framework Advisory Group. 17–19 October 2018,</w:t>
      </w:r>
      <w:r w:rsidRPr="008B415B">
        <w:rPr>
          <w:rFonts w:asciiTheme="majorBidi" w:eastAsia="Times New Roman" w:hAnsiTheme="majorBidi" w:cstheme="majorBidi"/>
          <w:spacing w:val="2"/>
          <w:sz w:val="16"/>
          <w:szCs w:val="16"/>
        </w:rPr>
        <w:t xml:space="preserve"> </w:t>
      </w:r>
      <w:r w:rsidRPr="008B415B">
        <w:rPr>
          <w:rFonts w:asciiTheme="majorBidi" w:eastAsia="Times New Roman" w:hAnsiTheme="majorBidi" w:cstheme="majorBidi"/>
          <w:sz w:val="16"/>
          <w:szCs w:val="16"/>
        </w:rPr>
        <w:t>Geneva, Switzerland. Geneva: World Health Organization; 2018</w:t>
      </w:r>
      <w:r w:rsidRPr="008B415B">
        <w:rPr>
          <w:rFonts w:asciiTheme="majorBidi" w:eastAsia="Times New Roman" w:hAnsiTheme="majorBidi" w:cstheme="majorBidi"/>
          <w:spacing w:val="-18"/>
          <w:sz w:val="16"/>
          <w:szCs w:val="16"/>
        </w:rPr>
        <w:t xml:space="preserve"> </w:t>
      </w:r>
      <w:r w:rsidRPr="008B415B">
        <w:rPr>
          <w:rFonts w:asciiTheme="majorBidi" w:eastAsia="Times New Roman" w:hAnsiTheme="majorBidi" w:cstheme="majorBidi"/>
          <w:sz w:val="16"/>
          <w:szCs w:val="16"/>
        </w:rPr>
        <w:t>(</w:t>
      </w:r>
      <w:hyperlink r:id="rId1">
        <w:r w:rsidRPr="008B415B">
          <w:rPr>
            <w:rFonts w:asciiTheme="majorBidi" w:eastAsia="Times New Roman" w:hAnsiTheme="majorBidi" w:cstheme="majorBidi"/>
            <w:sz w:val="16"/>
            <w:szCs w:val="16"/>
          </w:rPr>
          <w:t>http://www.who.int/influenza/pip/AGMR_Oct2018.pdf?ua=1,</w:t>
        </w:r>
      </w:hyperlink>
      <w:r w:rsidRPr="008B415B">
        <w:rPr>
          <w:rFonts w:asciiTheme="majorBidi" w:eastAsia="Times New Roman" w:hAnsiTheme="majorBidi" w:cstheme="majorBidi"/>
          <w:sz w:val="16"/>
          <w:szCs w:val="16"/>
        </w:rPr>
        <w:t xml:space="preserve"> accessed 3 December</w:t>
      </w:r>
      <w:r w:rsidRPr="008B415B">
        <w:rPr>
          <w:rFonts w:asciiTheme="majorBidi" w:eastAsia="Times New Roman" w:hAnsiTheme="majorBidi" w:cstheme="majorBidi"/>
          <w:spacing w:val="-3"/>
          <w:sz w:val="16"/>
          <w:szCs w:val="16"/>
        </w:rPr>
        <w:t xml:space="preserve"> </w:t>
      </w:r>
      <w:r w:rsidRPr="008B415B">
        <w:rPr>
          <w:rFonts w:asciiTheme="majorBidi" w:eastAsia="Times New Roman" w:hAnsiTheme="majorBidi" w:cstheme="majorBidi"/>
          <w:sz w:val="16"/>
          <w:szCs w:val="16"/>
        </w:rPr>
        <w:t>2018). [Add footnote referencing March 2019 AG MR. (</w:t>
      </w:r>
      <w:r w:rsidRPr="008B415B">
        <w:rPr>
          <w:rFonts w:asciiTheme="majorBidi" w:eastAsia="Times New Roman" w:hAnsiTheme="majorBidi" w:cstheme="majorBidi"/>
          <w:b/>
          <w:bCs/>
          <w:sz w:val="16"/>
          <w:szCs w:val="16"/>
        </w:rPr>
        <w:t>EU</w:t>
      </w:r>
      <w:r w:rsidRPr="008B415B">
        <w:rPr>
          <w:rFonts w:asciiTheme="majorBidi" w:eastAsia="Times New Roman" w:hAnsiTheme="majorBidi" w:cstheme="majorBidi"/>
          <w:sz w:val="16"/>
          <w:szCs w:val="16"/>
        </w:rPr>
        <w:t>)]</w:t>
      </w:r>
    </w:p>
  </w:footnote>
  <w:footnote w:id="2">
    <w:p w14:paraId="6E2D9698" w14:textId="77777777" w:rsidR="00A21AA0" w:rsidRPr="008B415B" w:rsidRDefault="00A21AA0" w:rsidP="00A21AA0">
      <w:pPr>
        <w:pStyle w:val="FootnoteText"/>
        <w:rPr>
          <w:rFonts w:asciiTheme="majorBidi" w:hAnsiTheme="majorBidi" w:cstheme="majorBidi"/>
          <w:sz w:val="16"/>
          <w:szCs w:val="16"/>
        </w:rPr>
      </w:pPr>
      <w:r w:rsidRPr="008B415B">
        <w:rPr>
          <w:rStyle w:val="FootnoteReference"/>
          <w:rFonts w:asciiTheme="majorBidi" w:hAnsiTheme="majorBidi" w:cstheme="majorBidi"/>
          <w:sz w:val="16"/>
          <w:szCs w:val="16"/>
        </w:rPr>
        <w:footnoteRef/>
      </w:r>
      <w:r w:rsidRPr="008B415B">
        <w:rPr>
          <w:rFonts w:asciiTheme="majorBidi" w:hAnsiTheme="majorBidi" w:cstheme="majorBidi"/>
          <w:sz w:val="16"/>
          <w:szCs w:val="16"/>
        </w:rPr>
        <w:t xml:space="preserve"> A72/21</w:t>
      </w:r>
    </w:p>
  </w:footnote>
  <w:footnote w:id="3">
    <w:p w14:paraId="1C20D5FB" w14:textId="7146C0CE" w:rsidR="00A21AA0" w:rsidRPr="008B415B" w:rsidRDefault="00A21AA0">
      <w:pPr>
        <w:pStyle w:val="FootnoteText"/>
        <w:rPr>
          <w:rFonts w:asciiTheme="majorBidi" w:hAnsiTheme="majorBidi" w:cstheme="majorBidi"/>
          <w:sz w:val="16"/>
          <w:szCs w:val="16"/>
        </w:rPr>
      </w:pPr>
      <w:r w:rsidRPr="008B415B">
        <w:rPr>
          <w:rStyle w:val="FootnoteReference"/>
          <w:rFonts w:asciiTheme="majorBidi" w:hAnsiTheme="majorBidi" w:cstheme="majorBidi"/>
          <w:sz w:val="16"/>
          <w:szCs w:val="16"/>
        </w:rPr>
        <w:footnoteRef/>
      </w:r>
      <w:r w:rsidRPr="008B415B">
        <w:rPr>
          <w:rFonts w:asciiTheme="majorBidi" w:hAnsiTheme="majorBidi" w:cstheme="majorBidi"/>
          <w:sz w:val="16"/>
          <w:szCs w:val="16"/>
        </w:rPr>
        <w:t xml:space="preserve"> Add EU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7819C" w14:textId="1DE8AE2A" w:rsidR="00134C85" w:rsidRPr="008B415B" w:rsidRDefault="00134C85" w:rsidP="00134C85">
    <w:pPr>
      <w:rPr>
        <w:rFonts w:ascii="Times New Roman"/>
        <w:b/>
        <w:bCs/>
        <w:sz w:val="24"/>
        <w:szCs w:val="24"/>
      </w:rPr>
    </w:pPr>
    <w:r w:rsidRPr="008B415B">
      <w:rPr>
        <w:rFonts w:ascii="Times New Roman"/>
        <w:b/>
        <w:bCs/>
        <w:sz w:val="24"/>
        <w:szCs w:val="24"/>
      </w:rPr>
      <w:t>Informal Consultati</w:t>
    </w:r>
    <w:r w:rsidR="00424D91" w:rsidRPr="008B415B">
      <w:rPr>
        <w:rFonts w:ascii="Times New Roman"/>
        <w:b/>
        <w:bCs/>
        <w:sz w:val="24"/>
        <w:szCs w:val="24"/>
      </w:rPr>
      <w:t>on on Decision EB144(6), Salle B</w:t>
    </w:r>
  </w:p>
  <w:p w14:paraId="2AC3FE7D" w14:textId="77F10C96" w:rsidR="00134C85" w:rsidRPr="008B415B" w:rsidRDefault="00134C85" w:rsidP="00134C85">
    <w:pPr>
      <w:rPr>
        <w:rFonts w:ascii="Times New Roman"/>
        <w:b/>
        <w:bCs/>
        <w:sz w:val="24"/>
        <w:szCs w:val="24"/>
      </w:rPr>
    </w:pPr>
    <w:r w:rsidRPr="008B415B">
      <w:rPr>
        <w:rFonts w:ascii="Times New Roman"/>
        <w:b/>
        <w:bCs/>
        <w:sz w:val="24"/>
        <w:szCs w:val="24"/>
      </w:rPr>
      <w:t xml:space="preserve">Text as of </w:t>
    </w:r>
    <w:r w:rsidR="00424D91" w:rsidRPr="008B415B">
      <w:rPr>
        <w:rFonts w:ascii="Times New Roman"/>
        <w:b/>
        <w:bCs/>
        <w:sz w:val="24"/>
        <w:szCs w:val="24"/>
      </w:rPr>
      <w:t>14</w:t>
    </w:r>
    <w:r w:rsidRPr="008B415B">
      <w:rPr>
        <w:rFonts w:ascii="Times New Roman"/>
        <w:b/>
        <w:bCs/>
        <w:sz w:val="24"/>
        <w:szCs w:val="24"/>
      </w:rPr>
      <w:t xml:space="preserve"> </w:t>
    </w:r>
    <w:r w:rsidR="005B14A5" w:rsidRPr="008B415B">
      <w:rPr>
        <w:rFonts w:ascii="Times New Roman"/>
        <w:b/>
        <w:bCs/>
        <w:sz w:val="24"/>
        <w:szCs w:val="24"/>
      </w:rPr>
      <w:t>May</w:t>
    </w:r>
    <w:r w:rsidRPr="008B415B">
      <w:rPr>
        <w:rFonts w:ascii="Times New Roman"/>
        <w:b/>
        <w:bCs/>
        <w:sz w:val="24"/>
        <w:szCs w:val="24"/>
      </w:rPr>
      <w:t xml:space="preserve"> 2019, </w:t>
    </w:r>
    <w:r w:rsidR="00424D91" w:rsidRPr="008B415B">
      <w:rPr>
        <w:rFonts w:ascii="Times New Roman"/>
        <w:b/>
        <w:bCs/>
        <w:sz w:val="24"/>
        <w:szCs w:val="24"/>
      </w:rPr>
      <w:t>1</w:t>
    </w:r>
    <w:r w:rsidR="00302FA4">
      <w:rPr>
        <w:rFonts w:ascii="Times New Roman"/>
        <w:b/>
        <w:bCs/>
        <w:sz w:val="24"/>
        <w:szCs w:val="24"/>
      </w:rPr>
      <w:t>4.00</w:t>
    </w:r>
  </w:p>
  <w:p w14:paraId="24ED808F" w14:textId="77777777" w:rsidR="00134C85" w:rsidRDefault="00134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D49E6"/>
    <w:multiLevelType w:val="hybridMultilevel"/>
    <w:tmpl w:val="5040163C"/>
    <w:lvl w:ilvl="0" w:tplc="5E36B84E">
      <w:start w:val="1"/>
      <w:numFmt w:val="lowerLetter"/>
      <w:lvlText w:val="(%1)"/>
      <w:lvlJc w:val="left"/>
      <w:pPr>
        <w:ind w:left="1256" w:hanging="568"/>
      </w:pPr>
      <w:rPr>
        <w:rFonts w:ascii="Times New Roman" w:eastAsia="Times New Roman" w:hAnsi="Times New Roman" w:hint="default"/>
        <w:b w:val="0"/>
        <w:bCs w:val="0"/>
        <w:w w:val="99"/>
        <w:sz w:val="52"/>
        <w:szCs w:val="52"/>
      </w:rPr>
    </w:lvl>
    <w:lvl w:ilvl="1" w:tplc="80C6C80E">
      <w:start w:val="1"/>
      <w:numFmt w:val="bullet"/>
      <w:lvlText w:val="•"/>
      <w:lvlJc w:val="left"/>
      <w:pPr>
        <w:ind w:left="2064" w:hanging="568"/>
      </w:pPr>
      <w:rPr>
        <w:rFonts w:hint="default"/>
      </w:rPr>
    </w:lvl>
    <w:lvl w:ilvl="2" w:tplc="51E09832">
      <w:start w:val="1"/>
      <w:numFmt w:val="bullet"/>
      <w:lvlText w:val="•"/>
      <w:lvlJc w:val="left"/>
      <w:pPr>
        <w:ind w:left="2869" w:hanging="568"/>
      </w:pPr>
      <w:rPr>
        <w:rFonts w:hint="default"/>
      </w:rPr>
    </w:lvl>
    <w:lvl w:ilvl="3" w:tplc="43CC356C">
      <w:start w:val="1"/>
      <w:numFmt w:val="bullet"/>
      <w:lvlText w:val="•"/>
      <w:lvlJc w:val="left"/>
      <w:pPr>
        <w:ind w:left="3673" w:hanging="568"/>
      </w:pPr>
      <w:rPr>
        <w:rFonts w:hint="default"/>
      </w:rPr>
    </w:lvl>
    <w:lvl w:ilvl="4" w:tplc="EE3029A0">
      <w:start w:val="1"/>
      <w:numFmt w:val="bullet"/>
      <w:lvlText w:val="•"/>
      <w:lvlJc w:val="left"/>
      <w:pPr>
        <w:ind w:left="4478" w:hanging="568"/>
      </w:pPr>
      <w:rPr>
        <w:rFonts w:hint="default"/>
      </w:rPr>
    </w:lvl>
    <w:lvl w:ilvl="5" w:tplc="3F36799E">
      <w:start w:val="1"/>
      <w:numFmt w:val="bullet"/>
      <w:lvlText w:val="•"/>
      <w:lvlJc w:val="left"/>
      <w:pPr>
        <w:ind w:left="5283" w:hanging="568"/>
      </w:pPr>
      <w:rPr>
        <w:rFonts w:hint="default"/>
      </w:rPr>
    </w:lvl>
    <w:lvl w:ilvl="6" w:tplc="100C1D54">
      <w:start w:val="1"/>
      <w:numFmt w:val="bullet"/>
      <w:lvlText w:val="•"/>
      <w:lvlJc w:val="left"/>
      <w:pPr>
        <w:ind w:left="6087" w:hanging="568"/>
      </w:pPr>
      <w:rPr>
        <w:rFonts w:hint="default"/>
      </w:rPr>
    </w:lvl>
    <w:lvl w:ilvl="7" w:tplc="AA260012">
      <w:start w:val="1"/>
      <w:numFmt w:val="bullet"/>
      <w:lvlText w:val="•"/>
      <w:lvlJc w:val="left"/>
      <w:pPr>
        <w:ind w:left="6892" w:hanging="568"/>
      </w:pPr>
      <w:rPr>
        <w:rFonts w:hint="default"/>
      </w:rPr>
    </w:lvl>
    <w:lvl w:ilvl="8" w:tplc="F48A0C04">
      <w:start w:val="1"/>
      <w:numFmt w:val="bullet"/>
      <w:lvlText w:val="•"/>
      <w:lvlJc w:val="left"/>
      <w:pPr>
        <w:ind w:left="7697" w:hanging="568"/>
      </w:pPr>
      <w:rPr>
        <w:rFonts w:hint="default"/>
      </w:rPr>
    </w:lvl>
  </w:abstractNum>
  <w:abstractNum w:abstractNumId="1" w15:restartNumberingAfterBreak="0">
    <w:nsid w:val="7E9D276C"/>
    <w:multiLevelType w:val="hybridMultilevel"/>
    <w:tmpl w:val="70722D86"/>
    <w:lvl w:ilvl="0" w:tplc="F2D80802">
      <w:start w:val="3"/>
      <w:numFmt w:val="lowerLetter"/>
      <w:lvlText w:val="(%1)"/>
      <w:lvlJc w:val="left"/>
      <w:pPr>
        <w:ind w:left="1976" w:hanging="720"/>
      </w:pPr>
      <w:rPr>
        <w:rFonts w:eastAsiaTheme="minorHAnsi" w:hAnsiTheme="minorHAnsi" w:cstheme="minorBidi" w:hint="default"/>
      </w:rPr>
    </w:lvl>
    <w:lvl w:ilvl="1" w:tplc="04090019" w:tentative="1">
      <w:start w:val="1"/>
      <w:numFmt w:val="lowerLetter"/>
      <w:lvlText w:val="%2."/>
      <w:lvlJc w:val="left"/>
      <w:pPr>
        <w:ind w:left="2336" w:hanging="360"/>
      </w:pPr>
    </w:lvl>
    <w:lvl w:ilvl="2" w:tplc="0409001B" w:tentative="1">
      <w:start w:val="1"/>
      <w:numFmt w:val="lowerRoman"/>
      <w:lvlText w:val="%3."/>
      <w:lvlJc w:val="right"/>
      <w:pPr>
        <w:ind w:left="3056" w:hanging="180"/>
      </w:pPr>
    </w:lvl>
    <w:lvl w:ilvl="3" w:tplc="0409000F" w:tentative="1">
      <w:start w:val="1"/>
      <w:numFmt w:val="decimal"/>
      <w:lvlText w:val="%4."/>
      <w:lvlJc w:val="left"/>
      <w:pPr>
        <w:ind w:left="3776" w:hanging="360"/>
      </w:pPr>
    </w:lvl>
    <w:lvl w:ilvl="4" w:tplc="04090019" w:tentative="1">
      <w:start w:val="1"/>
      <w:numFmt w:val="lowerLetter"/>
      <w:lvlText w:val="%5."/>
      <w:lvlJc w:val="left"/>
      <w:pPr>
        <w:ind w:left="4496" w:hanging="360"/>
      </w:pPr>
    </w:lvl>
    <w:lvl w:ilvl="5" w:tplc="0409001B" w:tentative="1">
      <w:start w:val="1"/>
      <w:numFmt w:val="lowerRoman"/>
      <w:lvlText w:val="%6."/>
      <w:lvlJc w:val="right"/>
      <w:pPr>
        <w:ind w:left="5216" w:hanging="180"/>
      </w:pPr>
    </w:lvl>
    <w:lvl w:ilvl="6" w:tplc="0409000F" w:tentative="1">
      <w:start w:val="1"/>
      <w:numFmt w:val="decimal"/>
      <w:lvlText w:val="%7."/>
      <w:lvlJc w:val="left"/>
      <w:pPr>
        <w:ind w:left="5936" w:hanging="360"/>
      </w:pPr>
    </w:lvl>
    <w:lvl w:ilvl="7" w:tplc="04090019" w:tentative="1">
      <w:start w:val="1"/>
      <w:numFmt w:val="lowerLetter"/>
      <w:lvlText w:val="%8."/>
      <w:lvlJc w:val="left"/>
      <w:pPr>
        <w:ind w:left="6656" w:hanging="360"/>
      </w:pPr>
    </w:lvl>
    <w:lvl w:ilvl="8" w:tplc="0409001B" w:tentative="1">
      <w:start w:val="1"/>
      <w:numFmt w:val="lowerRoman"/>
      <w:lvlText w:val="%9."/>
      <w:lvlJc w:val="right"/>
      <w:pPr>
        <w:ind w:left="737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3593B"/>
    <w:rsid w:val="00055393"/>
    <w:rsid w:val="00067427"/>
    <w:rsid w:val="00094BAF"/>
    <w:rsid w:val="000B0CD9"/>
    <w:rsid w:val="000C31CA"/>
    <w:rsid w:val="000D1AA8"/>
    <w:rsid w:val="000F22C5"/>
    <w:rsid w:val="00103A45"/>
    <w:rsid w:val="00134C85"/>
    <w:rsid w:val="00134F04"/>
    <w:rsid w:val="001779A9"/>
    <w:rsid w:val="001B1EA1"/>
    <w:rsid w:val="00200ACC"/>
    <w:rsid w:val="002460D9"/>
    <w:rsid w:val="0026247B"/>
    <w:rsid w:val="00302FA4"/>
    <w:rsid w:val="00322757"/>
    <w:rsid w:val="00332F7B"/>
    <w:rsid w:val="0037586E"/>
    <w:rsid w:val="00376B97"/>
    <w:rsid w:val="003B1949"/>
    <w:rsid w:val="003B783A"/>
    <w:rsid w:val="003E0542"/>
    <w:rsid w:val="00405859"/>
    <w:rsid w:val="00424D91"/>
    <w:rsid w:val="004B5699"/>
    <w:rsid w:val="004C4758"/>
    <w:rsid w:val="004D3B5D"/>
    <w:rsid w:val="004F19C5"/>
    <w:rsid w:val="00512694"/>
    <w:rsid w:val="0053593B"/>
    <w:rsid w:val="0053758C"/>
    <w:rsid w:val="00567684"/>
    <w:rsid w:val="00567CEA"/>
    <w:rsid w:val="00572DD4"/>
    <w:rsid w:val="005A6ABF"/>
    <w:rsid w:val="005B14A5"/>
    <w:rsid w:val="005E7F5B"/>
    <w:rsid w:val="006130A2"/>
    <w:rsid w:val="00616F5A"/>
    <w:rsid w:val="006172DE"/>
    <w:rsid w:val="00646AFD"/>
    <w:rsid w:val="006801A5"/>
    <w:rsid w:val="006E5861"/>
    <w:rsid w:val="00721C7E"/>
    <w:rsid w:val="0072454D"/>
    <w:rsid w:val="00750A88"/>
    <w:rsid w:val="00756D8F"/>
    <w:rsid w:val="00783A08"/>
    <w:rsid w:val="007907F7"/>
    <w:rsid w:val="007B2B7A"/>
    <w:rsid w:val="007E4A1B"/>
    <w:rsid w:val="007F36B6"/>
    <w:rsid w:val="00831EA8"/>
    <w:rsid w:val="00864B8C"/>
    <w:rsid w:val="00881BCD"/>
    <w:rsid w:val="00894E9E"/>
    <w:rsid w:val="008B12C2"/>
    <w:rsid w:val="008B415B"/>
    <w:rsid w:val="008C7560"/>
    <w:rsid w:val="008D6846"/>
    <w:rsid w:val="008E66F2"/>
    <w:rsid w:val="00912972"/>
    <w:rsid w:val="00935E0F"/>
    <w:rsid w:val="009365A0"/>
    <w:rsid w:val="0094745A"/>
    <w:rsid w:val="009633B0"/>
    <w:rsid w:val="00965AF9"/>
    <w:rsid w:val="009C0729"/>
    <w:rsid w:val="009C57FA"/>
    <w:rsid w:val="009D3433"/>
    <w:rsid w:val="009E287A"/>
    <w:rsid w:val="00A05C7F"/>
    <w:rsid w:val="00A145B0"/>
    <w:rsid w:val="00A21AA0"/>
    <w:rsid w:val="00A4570F"/>
    <w:rsid w:val="00A93562"/>
    <w:rsid w:val="00AA5061"/>
    <w:rsid w:val="00AA5FE2"/>
    <w:rsid w:val="00AF6698"/>
    <w:rsid w:val="00B34CF1"/>
    <w:rsid w:val="00B60283"/>
    <w:rsid w:val="00B7331C"/>
    <w:rsid w:val="00B824AD"/>
    <w:rsid w:val="00B90936"/>
    <w:rsid w:val="00B92BDF"/>
    <w:rsid w:val="00B94AED"/>
    <w:rsid w:val="00B9514F"/>
    <w:rsid w:val="00BC00D5"/>
    <w:rsid w:val="00BC4F87"/>
    <w:rsid w:val="00BF57A1"/>
    <w:rsid w:val="00C44755"/>
    <w:rsid w:val="00C64FE9"/>
    <w:rsid w:val="00C67C05"/>
    <w:rsid w:val="00C947D0"/>
    <w:rsid w:val="00CA100B"/>
    <w:rsid w:val="00D1336B"/>
    <w:rsid w:val="00D26EC7"/>
    <w:rsid w:val="00D46CAA"/>
    <w:rsid w:val="00D529FE"/>
    <w:rsid w:val="00D81F3D"/>
    <w:rsid w:val="00D932FB"/>
    <w:rsid w:val="00DB1C23"/>
    <w:rsid w:val="00DC3D4B"/>
    <w:rsid w:val="00DC7564"/>
    <w:rsid w:val="00DE702D"/>
    <w:rsid w:val="00DF3D94"/>
    <w:rsid w:val="00E16A36"/>
    <w:rsid w:val="00E20A19"/>
    <w:rsid w:val="00E25466"/>
    <w:rsid w:val="00E45BFD"/>
    <w:rsid w:val="00E654BC"/>
    <w:rsid w:val="00EA2308"/>
    <w:rsid w:val="00EA3D25"/>
    <w:rsid w:val="00EB6C19"/>
    <w:rsid w:val="00EC7CA4"/>
    <w:rsid w:val="00EE5F35"/>
    <w:rsid w:val="00F134FA"/>
    <w:rsid w:val="00F71103"/>
    <w:rsid w:val="00F7780C"/>
    <w:rsid w:val="00F851C5"/>
    <w:rsid w:val="00F92033"/>
    <w:rsid w:val="00FC4987"/>
    <w:rsid w:val="00FD099F"/>
    <w:rsid w:val="00FD706C"/>
    <w:rsid w:val="00FE3BC1"/>
    <w:rsid w:val="00FE4BE9"/>
    <w:rsid w:val="00FF191E"/>
    <w:rsid w:val="00FF78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46A4DC8B"/>
  <w15:docId w15:val="{852C9DB6-CD0A-4291-A539-232D82E7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25466"/>
    <w:rPr>
      <w:sz w:val="20"/>
      <w:szCs w:val="20"/>
    </w:rPr>
  </w:style>
  <w:style w:type="character" w:customStyle="1" w:styleId="FootnoteTextChar">
    <w:name w:val="Footnote Text Char"/>
    <w:basedOn w:val="DefaultParagraphFont"/>
    <w:link w:val="FootnoteText"/>
    <w:uiPriority w:val="99"/>
    <w:semiHidden/>
    <w:rsid w:val="00E25466"/>
    <w:rPr>
      <w:sz w:val="20"/>
      <w:szCs w:val="20"/>
    </w:rPr>
  </w:style>
  <w:style w:type="character" w:styleId="FootnoteReference">
    <w:name w:val="footnote reference"/>
    <w:basedOn w:val="DefaultParagraphFont"/>
    <w:uiPriority w:val="99"/>
    <w:semiHidden/>
    <w:unhideWhenUsed/>
    <w:rsid w:val="00E25466"/>
    <w:rPr>
      <w:vertAlign w:val="superscript"/>
    </w:rPr>
  </w:style>
  <w:style w:type="paragraph" w:styleId="Header">
    <w:name w:val="header"/>
    <w:basedOn w:val="Normal"/>
    <w:link w:val="HeaderChar"/>
    <w:uiPriority w:val="99"/>
    <w:unhideWhenUsed/>
    <w:rsid w:val="00134C85"/>
    <w:pPr>
      <w:tabs>
        <w:tab w:val="center" w:pos="4680"/>
        <w:tab w:val="right" w:pos="9360"/>
      </w:tabs>
    </w:pPr>
  </w:style>
  <w:style w:type="character" w:customStyle="1" w:styleId="HeaderChar">
    <w:name w:val="Header Char"/>
    <w:basedOn w:val="DefaultParagraphFont"/>
    <w:link w:val="Header"/>
    <w:uiPriority w:val="99"/>
    <w:rsid w:val="00134C85"/>
  </w:style>
  <w:style w:type="paragraph" w:styleId="Footer">
    <w:name w:val="footer"/>
    <w:basedOn w:val="Normal"/>
    <w:link w:val="FooterChar"/>
    <w:uiPriority w:val="99"/>
    <w:unhideWhenUsed/>
    <w:rsid w:val="00134C85"/>
    <w:pPr>
      <w:tabs>
        <w:tab w:val="center" w:pos="4680"/>
        <w:tab w:val="right" w:pos="9360"/>
      </w:tabs>
    </w:pPr>
  </w:style>
  <w:style w:type="character" w:customStyle="1" w:styleId="FooterChar">
    <w:name w:val="Footer Char"/>
    <w:basedOn w:val="DefaultParagraphFont"/>
    <w:link w:val="Footer"/>
    <w:uiPriority w:val="99"/>
    <w:rsid w:val="00134C85"/>
  </w:style>
  <w:style w:type="table" w:styleId="TableGrid">
    <w:name w:val="Table Grid"/>
    <w:basedOn w:val="TableNormal"/>
    <w:uiPriority w:val="39"/>
    <w:rsid w:val="00376B97"/>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5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influenza/pip/AGMR_Oct2018.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41C2-F5C2-4089-87A9-4D74E13B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Pandemic Influenza Preparedness Framework for the sharing of influenza viruses and access to vaccines and other benefits</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Influenza Preparedness Framework for the sharing of influenza viruses and access to vaccines and other benefits</dc:title>
  <dc:creator>World Health Organization</dc:creator>
  <cp:lastModifiedBy>HOUGENDOBLER, Daniel</cp:lastModifiedBy>
  <cp:revision>2</cp:revision>
  <cp:lastPrinted>2019-05-02T07:27:00Z</cp:lastPrinted>
  <dcterms:created xsi:type="dcterms:W3CDTF">2019-05-14T12:31:00Z</dcterms:created>
  <dcterms:modified xsi:type="dcterms:W3CDTF">2019-05-14T12:31:00Z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Microsoft® Word 2016</vt:lpwstr>
  </property>
  <property fmtid="{D5CDD505-2E9C-101B-9397-08002B2CF9AE}" pid="4" name="LastSaved">
    <vt:filetime>2019-03-11T00:00:00Z</vt:filetime>
  </property>
</Properties>
</file>