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38E3D" w14:textId="228750A6" w:rsidR="00B311F2" w:rsidRDefault="00B311F2" w:rsidP="008F4D49">
      <w:pPr>
        <w:pStyle w:val="Heading2"/>
        <w:contextualSpacing/>
        <w:rPr>
          <w:rFonts w:ascii="Calibri" w:eastAsiaTheme="majorEastAsia" w:hAnsi="Calibri" w:cs="Calibri"/>
          <w:b w:val="0"/>
          <w:bCs w:val="0"/>
          <w:i w:val="0"/>
          <w:color w:val="365F91" w:themeColor="accent1" w:themeShade="BF"/>
        </w:rPr>
      </w:pPr>
      <w:r w:rsidRPr="00624570">
        <w:rPr>
          <w:rFonts w:asciiTheme="minorHAnsi" w:eastAsiaTheme="majorEastAsia" w:hAnsiTheme="minorHAnsi" w:cs="Calibri"/>
          <w:b w:val="0"/>
          <w:bCs w:val="0"/>
          <w:i w:val="0"/>
          <w:color w:val="365F91" w:themeColor="accent1" w:themeShade="BF"/>
          <w:lang w:val="ka-GE"/>
        </w:rPr>
        <w:tab/>
      </w:r>
      <w:r w:rsidR="0012710C">
        <w:rPr>
          <w:rFonts w:asciiTheme="minorHAnsi" w:eastAsiaTheme="majorEastAsia" w:hAnsiTheme="minorHAnsi" w:cs="Calibri"/>
          <w:b w:val="0"/>
          <w:bCs w:val="0"/>
          <w:i w:val="0"/>
          <w:color w:val="365F91" w:themeColor="accent1" w:themeShade="BF"/>
        </w:rPr>
        <w:t xml:space="preserve">  </w:t>
      </w:r>
      <w:r>
        <w:rPr>
          <w:rFonts w:asciiTheme="minorHAnsi" w:eastAsiaTheme="majorEastAsia" w:hAnsiTheme="minorHAnsi" w:cs="Calibri"/>
          <w:b w:val="0"/>
          <w:bCs w:val="0"/>
          <w:i w:val="0"/>
          <w:color w:val="365F91" w:themeColor="accent1" w:themeShade="BF"/>
        </w:rPr>
        <w:t xml:space="preserve">                 </w:t>
      </w:r>
      <w:r w:rsidRPr="00624570">
        <w:rPr>
          <w:rFonts w:asciiTheme="minorHAnsi" w:eastAsiaTheme="majorEastAsia" w:hAnsiTheme="minorHAnsi" w:cs="Calibri"/>
          <w:b w:val="0"/>
          <w:bCs w:val="0"/>
          <w:i w:val="0"/>
          <w:color w:val="365F91" w:themeColor="accent1" w:themeShade="BF"/>
          <w:lang w:val="ka-GE"/>
        </w:rPr>
        <w:tab/>
      </w:r>
      <w:r w:rsidR="0012710C">
        <w:rPr>
          <w:rFonts w:asciiTheme="minorHAnsi" w:eastAsiaTheme="majorEastAsia" w:hAnsiTheme="minorHAns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lang w:val="ka-GE"/>
        </w:rPr>
        <w:t xml:space="preserve">  </w:t>
      </w:r>
      <w:r w:rsidRPr="00624570">
        <w:rPr>
          <w:rFonts w:ascii="Calibri" w:eastAsiaTheme="majorEastAsia" w:hAnsi="Calibri" w:cs="Calibri"/>
          <w:b w:val="0"/>
          <w:bCs w:val="0"/>
          <w:i w:val="0"/>
          <w:color w:val="365F91" w:themeColor="accent1" w:themeShade="BF"/>
        </w:rPr>
        <w:t xml:space="preserve">   </w:t>
      </w:r>
    </w:p>
    <w:p w14:paraId="312065A7" w14:textId="5BD6DF4C" w:rsidR="00A45BEB" w:rsidRPr="001F0CF9" w:rsidRDefault="00A45BEB" w:rsidP="00A45BEB">
      <w:pPr>
        <w:pStyle w:val="BodyText"/>
        <w:spacing w:after="0"/>
        <w:ind w:left="270"/>
        <w:contextualSpacing/>
        <w:rPr>
          <w:rFonts w:ascii="Calibri" w:hAnsi="Calibri" w:cs="Calibri"/>
          <w:sz w:val="22"/>
          <w:szCs w:val="22"/>
        </w:rPr>
      </w:pPr>
      <w:r w:rsidRPr="001F0CF9">
        <w:rPr>
          <w:rFonts w:ascii="Calibri" w:hAnsi="Calibri" w:cs="Calibri"/>
          <w:noProof/>
          <w:sz w:val="22"/>
          <w:szCs w:val="22"/>
        </w:rPr>
        <w:drawing>
          <wp:inline distT="0" distB="0" distL="0" distR="0" wp14:anchorId="42E88631" wp14:editId="6D70ED6D">
            <wp:extent cx="1851025" cy="1466850"/>
            <wp:effectExtent l="0" t="0" r="0" b="0"/>
            <wp:docPr id="3" name="Picture 3" descr="F:\18739712_1553601657992828_207091301774795181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8739712_1553601657992828_2070913017747951816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0176" cy="1474102"/>
                    </a:xfrm>
                    <a:prstGeom prst="rect">
                      <a:avLst/>
                    </a:prstGeom>
                    <a:noFill/>
                    <a:ln>
                      <a:noFill/>
                    </a:ln>
                  </pic:spPr>
                </pic:pic>
              </a:graphicData>
            </a:graphic>
          </wp:inline>
        </w:drawing>
      </w:r>
      <w:r w:rsidRPr="001F0CF9">
        <w:rPr>
          <w:rFonts w:ascii="Calibri" w:hAnsi="Calibri" w:cs="Calibri"/>
          <w:sz w:val="22"/>
          <w:szCs w:val="22"/>
        </w:rPr>
        <w:t xml:space="preserve">  </w:t>
      </w:r>
      <w:r w:rsidR="00482381">
        <w:rPr>
          <w:noProof/>
        </w:rPr>
        <w:drawing>
          <wp:inline distT="0" distB="0" distL="0" distR="0" wp14:anchorId="5C80FDFA" wp14:editId="097B5775">
            <wp:extent cx="2159000" cy="1439333"/>
            <wp:effectExtent l="0" t="0" r="0" b="8890"/>
            <wp:docPr id="4" name="Picture 4" descr="WHO Multimedia Library - Gallery - Dr Tedros at Governing Bod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 Multimedia Library - Gallery - Dr Tedros at Governing Bodie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1592" cy="1454394"/>
                    </a:xfrm>
                    <a:prstGeom prst="rect">
                      <a:avLst/>
                    </a:prstGeom>
                    <a:noFill/>
                    <a:ln>
                      <a:noFill/>
                    </a:ln>
                  </pic:spPr>
                </pic:pic>
              </a:graphicData>
            </a:graphic>
          </wp:inline>
        </w:drawing>
      </w:r>
      <w:r w:rsidRPr="001F0CF9">
        <w:rPr>
          <w:rFonts w:ascii="Calibri" w:hAnsi="Calibri" w:cs="Calibri"/>
          <w:sz w:val="22"/>
          <w:szCs w:val="22"/>
        </w:rPr>
        <w:t xml:space="preserve">  </w:t>
      </w:r>
      <w:r w:rsidRPr="001F0CF9">
        <w:rPr>
          <w:noProof/>
          <w:sz w:val="22"/>
          <w:szCs w:val="22"/>
        </w:rPr>
        <w:drawing>
          <wp:inline distT="0" distB="0" distL="0" distR="0" wp14:anchorId="48A82706" wp14:editId="75EDEA6B">
            <wp:extent cx="1961951" cy="1466432"/>
            <wp:effectExtent l="0" t="0" r="635" b="635"/>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4594" cy="1468407"/>
                    </a:xfrm>
                    <a:prstGeom prst="rect">
                      <a:avLst/>
                    </a:prstGeom>
                    <a:noFill/>
                    <a:ln>
                      <a:noFill/>
                    </a:ln>
                  </pic:spPr>
                </pic:pic>
              </a:graphicData>
            </a:graphic>
          </wp:inline>
        </w:drawing>
      </w:r>
      <w:r w:rsidRPr="001F0CF9">
        <w:rPr>
          <w:rFonts w:ascii="Sylfaen" w:hAnsi="Sylfaen" w:cs="Calibri"/>
          <w:sz w:val="22"/>
          <w:szCs w:val="22"/>
          <w:lang w:val="ka-GE"/>
        </w:rPr>
        <w:t xml:space="preserve"> </w:t>
      </w:r>
    </w:p>
    <w:p w14:paraId="1B5CC015" w14:textId="77777777" w:rsidR="007C17A7" w:rsidRPr="007C17A7" w:rsidRDefault="007C17A7" w:rsidP="008F4D49">
      <w:pPr>
        <w:shd w:val="clear" w:color="auto" w:fill="FFFFFF" w:themeFill="background1"/>
        <w:spacing w:after="0" w:line="240" w:lineRule="auto"/>
        <w:contextualSpacing/>
        <w:jc w:val="center"/>
        <w:rPr>
          <w:rFonts w:ascii="Calibri" w:hAnsi="Calibri" w:cs="Calibri"/>
          <w:b/>
          <w:bCs/>
          <w:color w:val="365F91" w:themeColor="accent1" w:themeShade="BF"/>
          <w:sz w:val="24"/>
          <w:szCs w:val="24"/>
        </w:rPr>
      </w:pPr>
    </w:p>
    <w:p w14:paraId="6C40D117" w14:textId="3CDD0DF2" w:rsidR="00A45BEB" w:rsidRDefault="00A45BEB" w:rsidP="00A45BEB">
      <w:pPr>
        <w:pStyle w:val="NormalWeb"/>
        <w:shd w:val="clear" w:color="auto" w:fill="FFFFFF"/>
        <w:spacing w:before="0" w:beforeAutospacing="0" w:after="0" w:afterAutospacing="0"/>
        <w:contextualSpacing/>
        <w:jc w:val="center"/>
        <w:rPr>
          <w:rFonts w:asciiTheme="minorHAnsi" w:hAnsiTheme="minorHAnsi" w:cstheme="minorHAnsi"/>
          <w:b/>
          <w:bCs/>
          <w:sz w:val="28"/>
          <w:szCs w:val="28"/>
        </w:rPr>
      </w:pPr>
      <w:r w:rsidRPr="00A45BEB">
        <w:rPr>
          <w:rFonts w:asciiTheme="minorHAnsi" w:hAnsiTheme="minorHAnsi" w:cstheme="minorHAnsi"/>
          <w:b/>
          <w:bCs/>
          <w:sz w:val="28"/>
          <w:szCs w:val="28"/>
        </w:rPr>
        <w:t xml:space="preserve">Collaboration with </w:t>
      </w:r>
      <w:r>
        <w:rPr>
          <w:rFonts w:asciiTheme="minorHAnsi" w:hAnsiTheme="minorHAnsi" w:cstheme="minorHAnsi"/>
          <w:b/>
          <w:bCs/>
          <w:sz w:val="28"/>
          <w:szCs w:val="28"/>
        </w:rPr>
        <w:t xml:space="preserve">the </w:t>
      </w:r>
      <w:r w:rsidRPr="00A45BEB">
        <w:rPr>
          <w:rFonts w:asciiTheme="minorHAnsi" w:hAnsiTheme="minorHAnsi" w:cstheme="minorHAnsi"/>
          <w:b/>
          <w:bCs/>
          <w:sz w:val="28"/>
          <w:szCs w:val="28"/>
        </w:rPr>
        <w:t>World Health Organization</w:t>
      </w:r>
    </w:p>
    <w:p w14:paraId="59F71C7E" w14:textId="77777777" w:rsidR="00A45BEB" w:rsidRPr="00A45BEB" w:rsidRDefault="00A45BEB" w:rsidP="00A45BEB">
      <w:pPr>
        <w:pStyle w:val="NormalWeb"/>
        <w:shd w:val="clear" w:color="auto" w:fill="FFFFFF"/>
        <w:spacing w:before="0" w:beforeAutospacing="0" w:after="0" w:afterAutospacing="0"/>
        <w:contextualSpacing/>
        <w:jc w:val="center"/>
        <w:rPr>
          <w:rFonts w:asciiTheme="minorHAnsi" w:hAnsiTheme="minorHAnsi" w:cstheme="minorHAnsi"/>
          <w:b/>
          <w:bCs/>
          <w:sz w:val="28"/>
          <w:szCs w:val="28"/>
        </w:rPr>
      </w:pPr>
    </w:p>
    <w:p w14:paraId="2C5B4CC2" w14:textId="519C1790" w:rsidR="00293207" w:rsidRPr="001F0CF9" w:rsidRDefault="00DE3C2D" w:rsidP="008F4D49">
      <w:pPr>
        <w:pStyle w:val="NormalWeb"/>
        <w:shd w:val="clear" w:color="auto" w:fill="FFFFFF"/>
        <w:spacing w:before="0" w:beforeAutospacing="0" w:after="0" w:afterAutospacing="0"/>
        <w:contextualSpacing/>
        <w:jc w:val="both"/>
        <w:rPr>
          <w:rFonts w:asciiTheme="minorHAnsi" w:hAnsiTheme="minorHAnsi" w:cstheme="minorHAnsi"/>
          <w:sz w:val="22"/>
          <w:szCs w:val="22"/>
        </w:rPr>
      </w:pPr>
      <w:r>
        <w:rPr>
          <w:rFonts w:asciiTheme="minorHAnsi" w:hAnsiTheme="minorHAnsi" w:cstheme="minorHAnsi"/>
          <w:sz w:val="22"/>
          <w:szCs w:val="22"/>
        </w:rPr>
        <w:t>World Health Organization (</w:t>
      </w:r>
      <w:r w:rsidR="00293207" w:rsidRPr="001F0CF9">
        <w:rPr>
          <w:rFonts w:asciiTheme="minorHAnsi" w:hAnsiTheme="minorHAnsi" w:cstheme="minorHAnsi"/>
          <w:sz w:val="22"/>
          <w:szCs w:val="22"/>
        </w:rPr>
        <w:t>WHO</w:t>
      </w:r>
      <w:r>
        <w:rPr>
          <w:rFonts w:asciiTheme="minorHAnsi" w:hAnsiTheme="minorHAnsi" w:cstheme="minorHAnsi"/>
          <w:sz w:val="22"/>
          <w:szCs w:val="22"/>
        </w:rPr>
        <w:t>)</w:t>
      </w:r>
      <w:r w:rsidR="00293207" w:rsidRPr="001F0CF9">
        <w:rPr>
          <w:rFonts w:asciiTheme="minorHAnsi" w:hAnsiTheme="minorHAnsi" w:cstheme="minorHAnsi"/>
          <w:sz w:val="22"/>
          <w:szCs w:val="22"/>
        </w:rPr>
        <w:t xml:space="preserve"> was founded as a specialized agency of the United Nations in 1948 to work for the attainment of the highest possible level of health by all peoples. The Constitution of WHO defines health as a state of complete physical, mental and social well-being and not merely the absence of disease or infirmity.</w:t>
      </w:r>
    </w:p>
    <w:p w14:paraId="459C82A0" w14:textId="77777777" w:rsidR="00293207" w:rsidRPr="00715912" w:rsidRDefault="00293207" w:rsidP="008F4D49">
      <w:pPr>
        <w:pStyle w:val="NormalWeb"/>
        <w:shd w:val="clear" w:color="auto" w:fill="FFFFFF"/>
        <w:spacing w:before="0" w:beforeAutospacing="0" w:after="0" w:afterAutospacing="0"/>
        <w:contextualSpacing/>
        <w:jc w:val="both"/>
        <w:rPr>
          <w:rFonts w:asciiTheme="minorHAnsi" w:hAnsiTheme="minorHAnsi" w:cstheme="minorHAnsi"/>
          <w:sz w:val="16"/>
          <w:szCs w:val="16"/>
        </w:rPr>
      </w:pPr>
    </w:p>
    <w:p w14:paraId="204BFDEE" w14:textId="77777777" w:rsidR="00293207" w:rsidRPr="001F0CF9" w:rsidRDefault="00293207" w:rsidP="008F4D49">
      <w:pPr>
        <w:spacing w:after="0" w:line="240" w:lineRule="auto"/>
        <w:contextualSpacing/>
        <w:jc w:val="both"/>
        <w:rPr>
          <w:rFonts w:cstheme="minorHAnsi"/>
        </w:rPr>
      </w:pPr>
      <w:r w:rsidRPr="001F0CF9">
        <w:rPr>
          <w:rFonts w:cstheme="minorHAnsi"/>
        </w:rPr>
        <w:t>WHO has six leadership priorities. Progressing on these priorities will accelerate progress towards the new Sustainable Development Goals for health, such as: ensuring healthy lives and promoting well-being for all. These priorities are:</w:t>
      </w:r>
    </w:p>
    <w:p w14:paraId="1E596A15" w14:textId="77777777" w:rsidR="008F4D49" w:rsidRPr="00715912" w:rsidRDefault="008F4D49" w:rsidP="008F4D49">
      <w:pPr>
        <w:spacing w:after="0" w:line="240" w:lineRule="auto"/>
        <w:contextualSpacing/>
        <w:jc w:val="both"/>
        <w:rPr>
          <w:rFonts w:cstheme="minorHAnsi"/>
          <w:sz w:val="16"/>
          <w:szCs w:val="16"/>
        </w:rPr>
      </w:pPr>
    </w:p>
    <w:p w14:paraId="67475A34" w14:textId="77777777" w:rsidR="008F4D49" w:rsidRPr="001F0CF9" w:rsidRDefault="008F4D49" w:rsidP="008F4D49">
      <w:pPr>
        <w:spacing w:after="0"/>
        <w:contextualSpacing/>
        <w:jc w:val="both"/>
        <w:rPr>
          <w:rFonts w:ascii="Calibri" w:hAnsi="Calibri" w:cs="Calibri"/>
        </w:rPr>
      </w:pPr>
      <w:r w:rsidRPr="001F0CF9">
        <w:rPr>
          <w:rFonts w:cstheme="minorHAnsi"/>
        </w:rPr>
        <w:t xml:space="preserve">1. </w:t>
      </w:r>
      <w:r w:rsidR="00293207" w:rsidRPr="001F0CF9">
        <w:rPr>
          <w:rFonts w:cstheme="minorHAnsi"/>
        </w:rPr>
        <w:t>Advancing universal health coverage through enabling countries to sustain or expand access to health services, providing financial protection, and promoting universal health coverage;</w:t>
      </w:r>
      <w:r w:rsidRPr="001F0CF9">
        <w:rPr>
          <w:rFonts w:cstheme="minorHAnsi"/>
        </w:rPr>
        <w:t xml:space="preserve"> 2. </w:t>
      </w:r>
      <w:r w:rsidR="00293207" w:rsidRPr="001F0CF9">
        <w:rPr>
          <w:rFonts w:cstheme="minorHAnsi"/>
        </w:rPr>
        <w:t>Achieving health-related development goals, such as: addressing  challenges related to maternal and child health, combating HIV, malaria, TB, Hepatitis and reaching the eradication of polio and a number of neglected tropical diseases;</w:t>
      </w:r>
      <w:r w:rsidRPr="001F0CF9">
        <w:rPr>
          <w:rFonts w:cstheme="minorHAnsi"/>
        </w:rPr>
        <w:t xml:space="preserve"> 3. </w:t>
      </w:r>
      <w:r w:rsidR="00293207" w:rsidRPr="001F0CF9">
        <w:rPr>
          <w:rFonts w:cstheme="minorHAnsi"/>
        </w:rPr>
        <w:t>Addressing the challenges of non-communicable diseases, mental health, violence, injuries and disabilities;</w:t>
      </w:r>
      <w:r w:rsidRPr="001F0CF9">
        <w:rPr>
          <w:rFonts w:cstheme="minorHAnsi"/>
        </w:rPr>
        <w:t xml:space="preserve"> 4. </w:t>
      </w:r>
      <w:r w:rsidR="00293207" w:rsidRPr="001F0CF9">
        <w:rPr>
          <w:rFonts w:cstheme="minorHAnsi"/>
        </w:rPr>
        <w:t>Ensuring that all countries detect and respond to acute public health threats under the International Health Regulations;</w:t>
      </w:r>
      <w:r w:rsidRPr="001F0CF9">
        <w:rPr>
          <w:rFonts w:cstheme="minorHAnsi"/>
        </w:rPr>
        <w:t xml:space="preserve"> 5. </w:t>
      </w:r>
      <w:r w:rsidR="00293207" w:rsidRPr="001F0CF9">
        <w:rPr>
          <w:rFonts w:cstheme="minorHAnsi"/>
        </w:rPr>
        <w:t>Increasing access to quality, safe, efficacious and affordable medical products (medicines, vaccines, diagnostics and other health technologies);</w:t>
      </w:r>
      <w:r w:rsidRPr="001F0CF9">
        <w:rPr>
          <w:rFonts w:cstheme="minorHAnsi"/>
        </w:rPr>
        <w:t xml:space="preserve"> 6. </w:t>
      </w:r>
      <w:r w:rsidR="00293207" w:rsidRPr="001F0CF9">
        <w:rPr>
          <w:rFonts w:cstheme="minorHAnsi"/>
        </w:rPr>
        <w:t>Addressing the social, economic and environmental determinants of health as a means to promote health outcomes and reduce health inequalities within and between countries.</w:t>
      </w:r>
    </w:p>
    <w:p w14:paraId="6FF60D62" w14:textId="77777777" w:rsidR="00301157" w:rsidRPr="001F0CF9" w:rsidRDefault="00301157" w:rsidP="008F4D49">
      <w:pPr>
        <w:pStyle w:val="BodyText"/>
        <w:spacing w:after="0"/>
        <w:contextualSpacing/>
        <w:jc w:val="both"/>
        <w:rPr>
          <w:rFonts w:ascii="Calibri" w:hAnsi="Calibri" w:cs="Calibri"/>
          <w:sz w:val="22"/>
          <w:szCs w:val="22"/>
        </w:rPr>
      </w:pPr>
    </w:p>
    <w:p w14:paraId="4D6C58B2" w14:textId="77777777" w:rsidR="00293207" w:rsidRPr="001F0CF9" w:rsidRDefault="00293207" w:rsidP="008F4D49">
      <w:pPr>
        <w:pStyle w:val="BodyText"/>
        <w:spacing w:after="0"/>
        <w:contextualSpacing/>
        <w:jc w:val="both"/>
        <w:rPr>
          <w:rFonts w:asciiTheme="minorHAnsi" w:hAnsiTheme="minorHAnsi" w:cstheme="minorHAnsi"/>
          <w:sz w:val="22"/>
          <w:szCs w:val="22"/>
        </w:rPr>
      </w:pPr>
      <w:r w:rsidRPr="00DE3C2D">
        <w:rPr>
          <w:rFonts w:asciiTheme="minorHAnsi" w:hAnsiTheme="minorHAnsi" w:cstheme="minorHAnsi"/>
          <w:b/>
          <w:bCs/>
          <w:sz w:val="22"/>
          <w:szCs w:val="22"/>
        </w:rPr>
        <w:t>Dr. Tedros Adhanom Ghebreyesus</w:t>
      </w:r>
      <w:r w:rsidRPr="001F0CF9">
        <w:rPr>
          <w:rFonts w:asciiTheme="minorHAnsi" w:hAnsiTheme="minorHAnsi" w:cstheme="minorHAnsi"/>
          <w:sz w:val="22"/>
          <w:szCs w:val="22"/>
        </w:rPr>
        <w:t xml:space="preserve"> was elected as WHO Director-General in May 2017 and took the office on 1</w:t>
      </w:r>
      <w:r w:rsidRPr="001F0CF9">
        <w:rPr>
          <w:rFonts w:asciiTheme="minorHAnsi" w:hAnsiTheme="minorHAnsi" w:cstheme="minorHAnsi"/>
          <w:sz w:val="22"/>
          <w:szCs w:val="22"/>
          <w:vertAlign w:val="superscript"/>
        </w:rPr>
        <w:t>st</w:t>
      </w:r>
      <w:r w:rsidRPr="001F0CF9">
        <w:rPr>
          <w:rFonts w:asciiTheme="minorHAnsi" w:hAnsiTheme="minorHAnsi" w:cstheme="minorHAnsi"/>
          <w:sz w:val="22"/>
          <w:szCs w:val="22"/>
        </w:rPr>
        <w:t xml:space="preserve"> of July 2017. He is the first WHO Director-General who was elected among multiple candidat</w:t>
      </w:r>
      <w:r w:rsidR="00301157" w:rsidRPr="001F0CF9">
        <w:rPr>
          <w:rFonts w:asciiTheme="minorHAnsi" w:hAnsiTheme="minorHAnsi" w:cstheme="minorHAnsi"/>
          <w:sz w:val="22"/>
          <w:szCs w:val="22"/>
        </w:rPr>
        <w:t>es by the World Health Assembly</w:t>
      </w:r>
      <w:r w:rsidRPr="001F0CF9">
        <w:rPr>
          <w:rFonts w:asciiTheme="minorHAnsi" w:hAnsiTheme="minorHAnsi" w:cstheme="minorHAnsi"/>
          <w:sz w:val="22"/>
          <w:szCs w:val="22"/>
        </w:rPr>
        <w:t xml:space="preserve">. </w:t>
      </w:r>
    </w:p>
    <w:p w14:paraId="50937450" w14:textId="77777777" w:rsidR="00293207" w:rsidRPr="00715912" w:rsidRDefault="00293207" w:rsidP="008F4D49">
      <w:pPr>
        <w:pStyle w:val="BodyText"/>
        <w:spacing w:after="0"/>
        <w:contextualSpacing/>
        <w:jc w:val="both"/>
        <w:rPr>
          <w:rFonts w:asciiTheme="minorHAnsi" w:hAnsiTheme="minorHAnsi" w:cstheme="minorHAnsi"/>
          <w:sz w:val="16"/>
          <w:szCs w:val="16"/>
        </w:rPr>
      </w:pPr>
    </w:p>
    <w:p w14:paraId="43E1FE20" w14:textId="77777777" w:rsidR="00293207" w:rsidRPr="001F0CF9" w:rsidRDefault="00293207" w:rsidP="008F4D49">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E3C2D">
        <w:rPr>
          <w:rFonts w:asciiTheme="minorHAnsi" w:hAnsiTheme="minorHAnsi" w:cstheme="minorHAnsi"/>
          <w:b/>
          <w:bCs/>
          <w:sz w:val="22"/>
          <w:szCs w:val="22"/>
        </w:rPr>
        <w:t xml:space="preserve">The WHO Regional Office for Europe </w:t>
      </w:r>
      <w:r w:rsidRPr="001F0CF9">
        <w:rPr>
          <w:rFonts w:asciiTheme="minorHAnsi" w:hAnsiTheme="minorHAnsi" w:cstheme="minorHAnsi"/>
          <w:sz w:val="22"/>
          <w:szCs w:val="22"/>
        </w:rPr>
        <w:t>(WHO/Europe) covers 53 European countries</w:t>
      </w:r>
      <w:r w:rsidR="00301157" w:rsidRPr="001F0CF9">
        <w:rPr>
          <w:rFonts w:asciiTheme="minorHAnsi" w:hAnsiTheme="minorHAnsi" w:cstheme="minorHAnsi"/>
          <w:sz w:val="22"/>
          <w:szCs w:val="22"/>
        </w:rPr>
        <w:t xml:space="preserve">. </w:t>
      </w:r>
      <w:r w:rsidRPr="001F0CF9">
        <w:rPr>
          <w:rFonts w:asciiTheme="minorHAnsi" w:hAnsiTheme="minorHAnsi" w:cstheme="minorHAnsi"/>
          <w:sz w:val="22"/>
          <w:szCs w:val="22"/>
        </w:rPr>
        <w:t>WHO/Europe staff (public health professionals, scientific and technical experts) are based in the main office in Copenhagen, Denmark, in 5 technical centers (Barcelona, Bonn, Venice, Almaty, Moscow) and in 29 Member States’ country offices.</w:t>
      </w:r>
    </w:p>
    <w:p w14:paraId="4FDEDC07" w14:textId="77777777" w:rsidR="00293207" w:rsidRPr="00715912" w:rsidRDefault="00293207" w:rsidP="008F4D49">
      <w:pPr>
        <w:pStyle w:val="NormalWeb"/>
        <w:shd w:val="clear" w:color="auto" w:fill="FFFFFF"/>
        <w:spacing w:before="0" w:beforeAutospacing="0" w:after="0" w:afterAutospacing="0"/>
        <w:contextualSpacing/>
        <w:jc w:val="both"/>
        <w:rPr>
          <w:rFonts w:asciiTheme="minorHAnsi" w:hAnsiTheme="minorHAnsi" w:cstheme="minorHAnsi"/>
          <w:sz w:val="16"/>
          <w:szCs w:val="16"/>
        </w:rPr>
      </w:pPr>
    </w:p>
    <w:p w14:paraId="1ECC4E40" w14:textId="4570DFB1" w:rsidR="00DE3C2D" w:rsidRPr="00DE3C2D" w:rsidRDefault="00DE3C2D" w:rsidP="008F4D49">
      <w:pPr>
        <w:pStyle w:val="BodyText"/>
        <w:spacing w:after="0"/>
        <w:contextualSpacing/>
        <w:jc w:val="both"/>
        <w:rPr>
          <w:rFonts w:asciiTheme="minorHAnsi" w:hAnsiTheme="minorHAnsi" w:cs="Arial"/>
          <w:sz w:val="22"/>
          <w:szCs w:val="22"/>
          <w:shd w:val="clear" w:color="auto" w:fill="FFFFFF"/>
        </w:rPr>
      </w:pPr>
      <w:r w:rsidRPr="00DE3C2D">
        <w:rPr>
          <w:rFonts w:asciiTheme="minorHAnsi" w:hAnsiTheme="minorHAnsi" w:cs="Arial"/>
          <w:b/>
          <w:bCs/>
          <w:sz w:val="22"/>
          <w:szCs w:val="22"/>
          <w:shd w:val="clear" w:color="auto" w:fill="FFFFFF"/>
        </w:rPr>
        <w:t xml:space="preserve">Dr Hans Henri P. Kluge </w:t>
      </w:r>
      <w:r w:rsidRPr="00A87421">
        <w:rPr>
          <w:rFonts w:asciiTheme="minorHAnsi" w:hAnsiTheme="minorHAnsi" w:cs="Arial"/>
          <w:sz w:val="22"/>
          <w:szCs w:val="22"/>
          <w:shd w:val="clear" w:color="auto" w:fill="FFFFFF"/>
        </w:rPr>
        <w:t xml:space="preserve">began </w:t>
      </w:r>
      <w:r w:rsidRPr="00DE3C2D">
        <w:rPr>
          <w:rFonts w:asciiTheme="minorHAnsi" w:hAnsiTheme="minorHAnsi" w:cs="Arial"/>
          <w:sz w:val="22"/>
          <w:szCs w:val="22"/>
          <w:shd w:val="clear" w:color="auto" w:fill="FFFFFF"/>
        </w:rPr>
        <w:t>his term as WHO Regional Director for Europe on 1 February 2020, following his nomination by the WHO Regional Committee for Europe and appointment by the WHO Executive Board.</w:t>
      </w:r>
    </w:p>
    <w:p w14:paraId="16425C19" w14:textId="77777777" w:rsidR="00DE3C2D" w:rsidRPr="00715912" w:rsidRDefault="00DE3C2D" w:rsidP="008F4D49">
      <w:pPr>
        <w:pStyle w:val="BodyText"/>
        <w:spacing w:after="0"/>
        <w:contextualSpacing/>
        <w:jc w:val="both"/>
        <w:rPr>
          <w:rFonts w:asciiTheme="minorHAnsi" w:hAnsiTheme="minorHAnsi" w:cstheme="minorHAnsi"/>
          <w:sz w:val="16"/>
          <w:szCs w:val="16"/>
        </w:rPr>
      </w:pPr>
    </w:p>
    <w:p w14:paraId="0D294328" w14:textId="77777777" w:rsidR="00293207" w:rsidRPr="001F0CF9" w:rsidRDefault="00293207" w:rsidP="008F4D49">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1F0CF9">
        <w:rPr>
          <w:rFonts w:asciiTheme="minorHAnsi" w:hAnsiTheme="minorHAnsi" w:cstheme="minorHAnsi"/>
          <w:b/>
          <w:sz w:val="22"/>
          <w:szCs w:val="22"/>
        </w:rPr>
        <w:t xml:space="preserve">Governance of the WHO </w:t>
      </w:r>
    </w:p>
    <w:p w14:paraId="03021DD7" w14:textId="77777777" w:rsidR="00293207" w:rsidRPr="001F0CF9" w:rsidRDefault="00293207" w:rsidP="008F4D49">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1F0CF9">
        <w:rPr>
          <w:rFonts w:asciiTheme="minorHAnsi" w:hAnsiTheme="minorHAnsi" w:cstheme="minorHAnsi"/>
          <w:sz w:val="22"/>
          <w:szCs w:val="22"/>
        </w:rPr>
        <w:t xml:space="preserve">The World Health Assembly </w:t>
      </w:r>
      <w:r w:rsidR="008F4D49" w:rsidRPr="001F0CF9">
        <w:rPr>
          <w:rFonts w:asciiTheme="minorHAnsi" w:hAnsiTheme="minorHAnsi" w:cstheme="minorHAnsi"/>
          <w:sz w:val="22"/>
          <w:szCs w:val="22"/>
        </w:rPr>
        <w:t xml:space="preserve">(WHA) </w:t>
      </w:r>
      <w:r w:rsidRPr="001F0CF9">
        <w:rPr>
          <w:rFonts w:asciiTheme="minorHAnsi" w:hAnsiTheme="minorHAnsi" w:cstheme="minorHAnsi"/>
          <w:sz w:val="22"/>
          <w:szCs w:val="22"/>
        </w:rPr>
        <w:t>is the supreme decision-making body for WHO, supported by the Executive Board. W</w:t>
      </w:r>
      <w:r w:rsidR="008F4D49" w:rsidRPr="001F0CF9">
        <w:rPr>
          <w:rFonts w:asciiTheme="minorHAnsi" w:hAnsiTheme="minorHAnsi" w:cstheme="minorHAnsi"/>
          <w:sz w:val="22"/>
          <w:szCs w:val="22"/>
        </w:rPr>
        <w:t>HA</w:t>
      </w:r>
      <w:r w:rsidRPr="001F0CF9">
        <w:rPr>
          <w:rFonts w:asciiTheme="minorHAnsi" w:hAnsiTheme="minorHAnsi" w:cstheme="minorHAnsi"/>
          <w:sz w:val="22"/>
          <w:szCs w:val="22"/>
        </w:rPr>
        <w:t xml:space="preserve"> meets in WHO headquarters in Geneva in May each year. World Health Assembly consists of delegates from all member states (194), observers, the other United Nations (UN) agencies, intergovernmental organizations, and nongovernmental organizations having official relations with WHO. </w:t>
      </w:r>
    </w:p>
    <w:p w14:paraId="033F7F73" w14:textId="77777777" w:rsidR="00293207" w:rsidRPr="00715912" w:rsidRDefault="00293207" w:rsidP="008F4D49">
      <w:pPr>
        <w:pStyle w:val="NormalWeb"/>
        <w:shd w:val="clear" w:color="auto" w:fill="FFFFFF"/>
        <w:spacing w:before="0" w:beforeAutospacing="0" w:after="0" w:afterAutospacing="0"/>
        <w:contextualSpacing/>
        <w:jc w:val="both"/>
        <w:rPr>
          <w:rFonts w:asciiTheme="minorHAnsi" w:hAnsiTheme="minorHAnsi" w:cstheme="minorHAnsi"/>
          <w:sz w:val="16"/>
          <w:szCs w:val="16"/>
        </w:rPr>
      </w:pPr>
    </w:p>
    <w:p w14:paraId="3609170D" w14:textId="77777777" w:rsidR="00293207" w:rsidRPr="001F0CF9" w:rsidRDefault="00293207" w:rsidP="008F4D49">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1F0CF9">
        <w:rPr>
          <w:rFonts w:asciiTheme="minorHAnsi" w:hAnsiTheme="minorHAnsi" w:cstheme="minorHAnsi"/>
          <w:sz w:val="22"/>
          <w:szCs w:val="22"/>
        </w:rPr>
        <w:t>Within the European Region, the WHO Regional Committee for Europe fulfils the similar role. Representatives of each Member State in the European Region meet every year in September. At these meetings, the Member States (53) formulate regional policies, develop recommendations and supervise WHO/Europe's activities, and approve the budget.</w:t>
      </w:r>
    </w:p>
    <w:p w14:paraId="15C62802" w14:textId="1DAB0B22" w:rsidR="00293207" w:rsidRPr="001F0CF9" w:rsidRDefault="00293207" w:rsidP="008F4D49">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1F0CF9">
        <w:rPr>
          <w:rFonts w:asciiTheme="minorHAnsi" w:hAnsiTheme="minorHAnsi" w:cstheme="minorHAnsi"/>
          <w:sz w:val="22"/>
          <w:szCs w:val="22"/>
        </w:rPr>
        <w:t>The Standing Committee of the Regional Committee (SCRC) acts for and represents the Regional Committee and ensures that effect is given to its decisions and policies. The SCRC advises the Regional Committee on questions referred to it by that body and counsels the Regional Director as and when appropriate between sessions of the Regional Committee. The SCRC reports to the Regional Committee on its work.</w:t>
      </w:r>
    </w:p>
    <w:p w14:paraId="6DF9A233" w14:textId="77777777" w:rsidR="00293207" w:rsidRPr="00715912" w:rsidRDefault="00293207" w:rsidP="008F4D49">
      <w:pPr>
        <w:pStyle w:val="NormalWeb"/>
        <w:shd w:val="clear" w:color="auto" w:fill="FFFFFF"/>
        <w:spacing w:before="0" w:beforeAutospacing="0" w:after="0" w:afterAutospacing="0"/>
        <w:contextualSpacing/>
        <w:jc w:val="both"/>
        <w:rPr>
          <w:rFonts w:asciiTheme="minorHAnsi" w:hAnsiTheme="minorHAnsi" w:cstheme="minorHAnsi"/>
          <w:sz w:val="16"/>
          <w:szCs w:val="16"/>
        </w:rPr>
      </w:pPr>
    </w:p>
    <w:p w14:paraId="1CD077B0" w14:textId="77777777" w:rsidR="008F4D49" w:rsidRPr="00715912" w:rsidRDefault="008F4D49" w:rsidP="008F4D49">
      <w:pPr>
        <w:autoSpaceDE w:val="0"/>
        <w:autoSpaceDN w:val="0"/>
        <w:spacing w:after="0" w:line="240" w:lineRule="auto"/>
        <w:contextualSpacing/>
        <w:jc w:val="both"/>
        <w:rPr>
          <w:rFonts w:cstheme="minorHAnsi"/>
          <w:b/>
          <w:sz w:val="16"/>
          <w:szCs w:val="16"/>
        </w:rPr>
        <w:sectPr w:rsidR="008F4D49" w:rsidRPr="00715912" w:rsidSect="0074442B">
          <w:type w:val="continuous"/>
          <w:pgSz w:w="12240" w:h="15840"/>
          <w:pgMar w:top="709" w:right="850" w:bottom="284" w:left="851" w:header="720" w:footer="720" w:gutter="0"/>
          <w:cols w:space="720"/>
          <w:docGrid w:linePitch="360"/>
        </w:sectPr>
      </w:pPr>
    </w:p>
    <w:p w14:paraId="61203323" w14:textId="40FF35C4" w:rsidR="00B436AB" w:rsidRDefault="00293207" w:rsidP="008F4D49">
      <w:pPr>
        <w:autoSpaceDE w:val="0"/>
        <w:autoSpaceDN w:val="0"/>
        <w:spacing w:after="0" w:line="240" w:lineRule="auto"/>
        <w:contextualSpacing/>
        <w:jc w:val="both"/>
        <w:rPr>
          <w:rFonts w:cstheme="minorHAnsi"/>
          <w:b/>
        </w:rPr>
      </w:pPr>
      <w:r w:rsidRPr="001F0CF9">
        <w:rPr>
          <w:rFonts w:cstheme="minorHAnsi"/>
          <w:b/>
        </w:rPr>
        <w:lastRenderedPageBreak/>
        <w:t>Georgia</w:t>
      </w:r>
      <w:r w:rsidR="00DE3C2D">
        <w:rPr>
          <w:rFonts w:cstheme="minorHAnsi"/>
          <w:b/>
        </w:rPr>
        <w:t xml:space="preserve"> </w:t>
      </w:r>
      <w:r w:rsidR="00603D75">
        <w:rPr>
          <w:rFonts w:cstheme="minorHAnsi"/>
          <w:b/>
        </w:rPr>
        <w:t>was</w:t>
      </w:r>
      <w:r w:rsidR="00B436AB">
        <w:rPr>
          <w:rFonts w:cstheme="minorHAnsi"/>
          <w:b/>
        </w:rPr>
        <w:t xml:space="preserve"> elected as a member of the </w:t>
      </w:r>
      <w:r w:rsidR="00B23654">
        <w:rPr>
          <w:rFonts w:cstheme="minorHAnsi"/>
          <w:b/>
        </w:rPr>
        <w:t xml:space="preserve">WHO </w:t>
      </w:r>
      <w:r w:rsidR="00B436AB">
        <w:rPr>
          <w:rFonts w:cstheme="minorHAnsi"/>
          <w:b/>
        </w:rPr>
        <w:t>governing bodies:</w:t>
      </w:r>
    </w:p>
    <w:p w14:paraId="0B89C5BE" w14:textId="1A63DE41" w:rsidR="001017BF" w:rsidRPr="00DE3C2D" w:rsidRDefault="001017BF" w:rsidP="001017BF">
      <w:pPr>
        <w:pStyle w:val="ListParagraph"/>
        <w:numPr>
          <w:ilvl w:val="0"/>
          <w:numId w:val="16"/>
        </w:numPr>
        <w:autoSpaceDE w:val="0"/>
        <w:autoSpaceDN w:val="0"/>
        <w:jc w:val="both"/>
        <w:rPr>
          <w:rFonts w:asciiTheme="minorHAnsi" w:hAnsiTheme="minorHAnsi" w:cstheme="minorHAnsi"/>
        </w:rPr>
      </w:pPr>
      <w:r w:rsidRPr="00DE3C2D">
        <w:rPr>
          <w:rFonts w:asciiTheme="minorHAnsi" w:hAnsiTheme="minorHAnsi" w:cstheme="minorHAnsi"/>
          <w:b/>
          <w:bCs/>
        </w:rPr>
        <w:t xml:space="preserve">European Ministerial Board on Environment and Health </w:t>
      </w:r>
      <w:r w:rsidR="00DE3C2D">
        <w:rPr>
          <w:rFonts w:asciiTheme="minorHAnsi" w:hAnsiTheme="minorHAnsi" w:cstheme="minorHAnsi"/>
        </w:rPr>
        <w:t xml:space="preserve">- </w:t>
      </w:r>
      <w:r w:rsidRPr="00DE3C2D">
        <w:rPr>
          <w:rFonts w:asciiTheme="minorHAnsi" w:hAnsiTheme="minorHAnsi" w:cstheme="minorHAnsi"/>
        </w:rPr>
        <w:t xml:space="preserve">David </w:t>
      </w:r>
      <w:proofErr w:type="spellStart"/>
      <w:r w:rsidRPr="00DE3C2D">
        <w:rPr>
          <w:rFonts w:asciiTheme="minorHAnsi" w:hAnsiTheme="minorHAnsi" w:cstheme="minorHAnsi"/>
        </w:rPr>
        <w:t>Sergeenko</w:t>
      </w:r>
      <w:proofErr w:type="spellEnd"/>
      <w:r w:rsidRPr="00DE3C2D">
        <w:rPr>
          <w:rFonts w:asciiTheme="minorHAnsi" w:hAnsiTheme="minorHAnsi" w:cstheme="minorHAnsi"/>
        </w:rPr>
        <w:t xml:space="preserve">, </w:t>
      </w:r>
      <w:r w:rsidRPr="00DE3C2D">
        <w:rPr>
          <w:rFonts w:asciiTheme="minorHAnsi" w:hAnsiTheme="minorHAnsi" w:cstheme="minorHAnsi"/>
        </w:rPr>
        <w:t xml:space="preserve">member; </w:t>
      </w:r>
      <w:proofErr w:type="spellStart"/>
      <w:r w:rsidRPr="00DE3C2D">
        <w:rPr>
          <w:rFonts w:asciiTheme="minorHAnsi" w:hAnsiTheme="minorHAnsi" w:cstheme="minorHAnsi"/>
        </w:rPr>
        <w:t>Amiran</w:t>
      </w:r>
      <w:proofErr w:type="spellEnd"/>
      <w:r w:rsidRPr="00DE3C2D">
        <w:rPr>
          <w:rFonts w:asciiTheme="minorHAnsi" w:hAnsiTheme="minorHAnsi" w:cstheme="minorHAnsi"/>
        </w:rPr>
        <w:t xml:space="preserve"> Gamkrelidze</w:t>
      </w:r>
      <w:r w:rsidRPr="00DE3C2D">
        <w:rPr>
          <w:rFonts w:asciiTheme="minorHAnsi" w:hAnsiTheme="minorHAnsi" w:cstheme="minorHAnsi"/>
        </w:rPr>
        <w:t>, alternate</w:t>
      </w:r>
      <w:r w:rsidRPr="00DE3C2D">
        <w:rPr>
          <w:rFonts w:asciiTheme="minorHAnsi" w:hAnsiTheme="minorHAnsi" w:cstheme="minorHAnsi"/>
        </w:rPr>
        <w:t xml:space="preserve"> </w:t>
      </w:r>
      <w:r w:rsidRPr="00DE3C2D">
        <w:rPr>
          <w:rFonts w:asciiTheme="minorHAnsi" w:hAnsiTheme="minorHAnsi" w:cstheme="minorHAnsi"/>
        </w:rPr>
        <w:t>member</w:t>
      </w:r>
      <w:r w:rsidR="00603D75">
        <w:rPr>
          <w:rFonts w:asciiTheme="minorHAnsi" w:hAnsiTheme="minorHAnsi" w:cstheme="minorHAnsi"/>
        </w:rPr>
        <w:t xml:space="preserve"> (</w:t>
      </w:r>
      <w:r w:rsidRPr="00DE3C2D">
        <w:rPr>
          <w:rFonts w:asciiTheme="minorHAnsi" w:hAnsiTheme="minorHAnsi" w:cstheme="minorHAnsi"/>
        </w:rPr>
        <w:t>2013-2015</w:t>
      </w:r>
      <w:r w:rsidR="00603D75">
        <w:rPr>
          <w:rFonts w:asciiTheme="minorHAnsi" w:hAnsiTheme="minorHAnsi" w:cstheme="minorHAnsi"/>
        </w:rPr>
        <w:t>)</w:t>
      </w:r>
    </w:p>
    <w:p w14:paraId="22ADB747" w14:textId="63BB4816" w:rsidR="001017BF" w:rsidRPr="00603D75" w:rsidRDefault="001017BF" w:rsidP="00396ACB">
      <w:pPr>
        <w:pStyle w:val="ListParagraph"/>
        <w:numPr>
          <w:ilvl w:val="0"/>
          <w:numId w:val="16"/>
        </w:numPr>
        <w:autoSpaceDE w:val="0"/>
        <w:autoSpaceDN w:val="0"/>
        <w:jc w:val="both"/>
        <w:rPr>
          <w:rFonts w:asciiTheme="minorHAnsi" w:hAnsiTheme="minorHAnsi" w:cstheme="minorHAnsi"/>
        </w:rPr>
      </w:pPr>
      <w:r w:rsidRPr="00603D75">
        <w:rPr>
          <w:rFonts w:asciiTheme="minorHAnsi" w:hAnsiTheme="minorHAnsi" w:cstheme="minorHAnsi"/>
          <w:b/>
          <w:bCs/>
        </w:rPr>
        <w:t>Standing Committee of the Regional Committee</w:t>
      </w:r>
      <w:r w:rsidR="00692F7C" w:rsidRPr="00603D75">
        <w:rPr>
          <w:rFonts w:asciiTheme="minorHAnsi" w:hAnsiTheme="minorHAnsi" w:cstheme="minorHAnsi"/>
          <w:b/>
          <w:bCs/>
        </w:rPr>
        <w:t xml:space="preserve"> (SCRC)</w:t>
      </w:r>
      <w:r w:rsidRPr="00603D75">
        <w:rPr>
          <w:rFonts w:asciiTheme="minorHAnsi" w:hAnsiTheme="minorHAnsi" w:cstheme="minorHAnsi"/>
        </w:rPr>
        <w:t xml:space="preserve"> </w:t>
      </w:r>
      <w:r w:rsidR="00DE3C2D" w:rsidRPr="00603D75">
        <w:rPr>
          <w:rFonts w:asciiTheme="minorHAnsi" w:hAnsiTheme="minorHAnsi" w:cstheme="minorHAnsi"/>
        </w:rPr>
        <w:t xml:space="preserve">- </w:t>
      </w:r>
      <w:r w:rsidRPr="00603D75">
        <w:rPr>
          <w:rFonts w:asciiTheme="minorHAnsi" w:hAnsiTheme="minorHAnsi" w:cstheme="minorHAnsi"/>
        </w:rPr>
        <w:t xml:space="preserve">Dr. </w:t>
      </w:r>
      <w:proofErr w:type="spellStart"/>
      <w:r w:rsidRPr="00603D75">
        <w:rPr>
          <w:rFonts w:asciiTheme="minorHAnsi" w:hAnsiTheme="minorHAnsi" w:cstheme="minorHAnsi"/>
        </w:rPr>
        <w:t>Nikoloz</w:t>
      </w:r>
      <w:proofErr w:type="spellEnd"/>
      <w:r w:rsidRPr="00603D75">
        <w:rPr>
          <w:rFonts w:asciiTheme="minorHAnsi" w:hAnsiTheme="minorHAnsi" w:cstheme="minorHAnsi"/>
        </w:rPr>
        <w:t xml:space="preserve"> </w:t>
      </w:r>
      <w:proofErr w:type="spellStart"/>
      <w:r w:rsidRPr="00603D75">
        <w:rPr>
          <w:rFonts w:asciiTheme="minorHAnsi" w:hAnsiTheme="minorHAnsi" w:cstheme="minorHAnsi"/>
        </w:rPr>
        <w:t>Pruidze</w:t>
      </w:r>
      <w:proofErr w:type="spellEnd"/>
      <w:r w:rsidRPr="00603D75">
        <w:rPr>
          <w:rFonts w:asciiTheme="minorHAnsi" w:hAnsiTheme="minorHAnsi" w:cstheme="minorHAnsi"/>
        </w:rPr>
        <w:t xml:space="preserve"> 2006-2009; Dr. </w:t>
      </w:r>
      <w:proofErr w:type="spellStart"/>
      <w:r w:rsidRPr="00603D75">
        <w:rPr>
          <w:rFonts w:asciiTheme="minorHAnsi" w:hAnsiTheme="minorHAnsi" w:cstheme="minorHAnsi"/>
        </w:rPr>
        <w:t>Amiran</w:t>
      </w:r>
      <w:proofErr w:type="spellEnd"/>
      <w:r w:rsidRPr="00603D75">
        <w:rPr>
          <w:rFonts w:asciiTheme="minorHAnsi" w:hAnsiTheme="minorHAnsi" w:cstheme="minorHAnsi"/>
        </w:rPr>
        <w:t xml:space="preserve"> Gamkrelidze</w:t>
      </w:r>
      <w:r w:rsidR="00603D75" w:rsidRPr="00603D75">
        <w:rPr>
          <w:rFonts w:asciiTheme="minorHAnsi" w:hAnsiTheme="minorHAnsi" w:cstheme="minorHAnsi"/>
        </w:rPr>
        <w:t xml:space="preserve"> (</w:t>
      </w:r>
      <w:r w:rsidRPr="00603D75">
        <w:rPr>
          <w:rFonts w:asciiTheme="minorHAnsi" w:hAnsiTheme="minorHAnsi" w:cstheme="minorHAnsi"/>
        </w:rPr>
        <w:t>2015-2018</w:t>
      </w:r>
      <w:r w:rsidR="00603D75" w:rsidRPr="00603D75">
        <w:rPr>
          <w:rFonts w:asciiTheme="minorHAnsi" w:hAnsiTheme="minorHAnsi" w:cstheme="minorHAnsi"/>
        </w:rPr>
        <w:t>)</w:t>
      </w:r>
      <w:r w:rsidR="00692F7C" w:rsidRPr="00603D75">
        <w:rPr>
          <w:rFonts w:asciiTheme="minorHAnsi" w:hAnsiTheme="minorHAnsi" w:cstheme="minorHAnsi"/>
        </w:rPr>
        <w:t xml:space="preserve">; </w:t>
      </w:r>
      <w:r w:rsidR="00603D75">
        <w:rPr>
          <w:rFonts w:asciiTheme="minorHAnsi" w:hAnsiTheme="minorHAnsi" w:cstheme="minorHAnsi"/>
        </w:rPr>
        <w:t xml:space="preserve">Besides, </w:t>
      </w:r>
      <w:r w:rsidR="00692F7C" w:rsidRPr="00603D75">
        <w:rPr>
          <w:rFonts w:asciiTheme="minorHAnsi" w:hAnsiTheme="minorHAnsi" w:cstheme="minorHAnsi"/>
        </w:rPr>
        <w:t xml:space="preserve">Dr. </w:t>
      </w:r>
      <w:proofErr w:type="spellStart"/>
      <w:r w:rsidR="00692F7C" w:rsidRPr="00603D75">
        <w:rPr>
          <w:rFonts w:asciiTheme="minorHAnsi" w:hAnsiTheme="minorHAnsi" w:cstheme="minorHAnsi"/>
        </w:rPr>
        <w:t>Amiran</w:t>
      </w:r>
      <w:proofErr w:type="spellEnd"/>
      <w:r w:rsidR="00692F7C" w:rsidRPr="00603D75">
        <w:rPr>
          <w:rFonts w:asciiTheme="minorHAnsi" w:hAnsiTheme="minorHAnsi" w:cstheme="minorHAnsi"/>
        </w:rPr>
        <w:t xml:space="preserve"> Gamkrelidze was elected as a </w:t>
      </w:r>
      <w:r w:rsidR="00692F7C" w:rsidRPr="00603D75">
        <w:rPr>
          <w:rFonts w:asciiTheme="minorHAnsi" w:hAnsiTheme="minorHAnsi" w:cstheme="minorHAnsi"/>
          <w:b/>
          <w:bCs/>
        </w:rPr>
        <w:t>Chairman</w:t>
      </w:r>
      <w:r w:rsidR="00692F7C" w:rsidRPr="00603D75">
        <w:rPr>
          <w:rFonts w:asciiTheme="minorHAnsi" w:hAnsiTheme="minorHAnsi" w:cstheme="minorHAnsi"/>
        </w:rPr>
        <w:t xml:space="preserve"> </w:t>
      </w:r>
      <w:r w:rsidR="00692F7C" w:rsidRPr="00603D75">
        <w:rPr>
          <w:rFonts w:asciiTheme="minorHAnsi" w:hAnsiTheme="minorHAnsi" w:cstheme="minorHAnsi"/>
          <w:b/>
          <w:bCs/>
        </w:rPr>
        <w:t>of the SCRC</w:t>
      </w:r>
      <w:r w:rsidR="00692F7C" w:rsidRPr="00603D75">
        <w:rPr>
          <w:rFonts w:asciiTheme="minorHAnsi" w:hAnsiTheme="minorHAnsi" w:cstheme="minorHAnsi"/>
        </w:rPr>
        <w:t xml:space="preserve"> for 2017-2018 years</w:t>
      </w:r>
    </w:p>
    <w:p w14:paraId="38D3E896" w14:textId="070EC197" w:rsidR="00766F91" w:rsidRPr="00DE3C2D" w:rsidRDefault="00766F91" w:rsidP="00766F91">
      <w:pPr>
        <w:pStyle w:val="ListParagraph"/>
        <w:numPr>
          <w:ilvl w:val="0"/>
          <w:numId w:val="16"/>
        </w:numPr>
        <w:autoSpaceDE w:val="0"/>
        <w:autoSpaceDN w:val="0"/>
        <w:jc w:val="both"/>
        <w:rPr>
          <w:rFonts w:asciiTheme="minorHAnsi" w:hAnsiTheme="minorHAnsi" w:cstheme="minorHAnsi"/>
        </w:rPr>
      </w:pPr>
      <w:r w:rsidRPr="00DE3C2D">
        <w:rPr>
          <w:rFonts w:asciiTheme="minorHAnsi" w:hAnsiTheme="minorHAnsi"/>
          <w:b/>
          <w:bCs/>
        </w:rPr>
        <w:t>Executive President of the 68</w:t>
      </w:r>
      <w:r w:rsidRPr="00DE3C2D">
        <w:rPr>
          <w:rFonts w:asciiTheme="minorHAnsi" w:hAnsiTheme="minorHAnsi"/>
          <w:b/>
          <w:bCs/>
          <w:vertAlign w:val="superscript"/>
        </w:rPr>
        <w:t>th</w:t>
      </w:r>
      <w:r w:rsidRPr="00DE3C2D">
        <w:rPr>
          <w:rFonts w:asciiTheme="minorHAnsi" w:hAnsiTheme="minorHAnsi"/>
          <w:b/>
          <w:bCs/>
        </w:rPr>
        <w:t xml:space="preserve"> Session of the Regional Committee of </w:t>
      </w:r>
      <w:r w:rsidR="00603D75">
        <w:rPr>
          <w:rFonts w:asciiTheme="minorHAnsi" w:hAnsiTheme="minorHAnsi"/>
          <w:b/>
          <w:bCs/>
        </w:rPr>
        <w:t>E</w:t>
      </w:r>
      <w:r w:rsidRPr="00DE3C2D">
        <w:rPr>
          <w:rFonts w:asciiTheme="minorHAnsi" w:hAnsiTheme="minorHAnsi"/>
          <w:b/>
          <w:bCs/>
        </w:rPr>
        <w:t xml:space="preserve">urope </w:t>
      </w:r>
      <w:r w:rsidR="00603D75">
        <w:rPr>
          <w:rFonts w:asciiTheme="minorHAnsi" w:hAnsiTheme="minorHAnsi"/>
          <w:b/>
          <w:bCs/>
        </w:rPr>
        <w:t xml:space="preserve">- </w:t>
      </w:r>
      <w:r w:rsidRPr="00DE3C2D">
        <w:rPr>
          <w:rFonts w:asciiTheme="minorHAnsi" w:hAnsiTheme="minorHAnsi"/>
        </w:rPr>
        <w:t xml:space="preserve">Dr. </w:t>
      </w:r>
      <w:proofErr w:type="spellStart"/>
      <w:r w:rsidRPr="00DE3C2D">
        <w:rPr>
          <w:rFonts w:asciiTheme="minorHAnsi" w:hAnsiTheme="minorHAnsi"/>
        </w:rPr>
        <w:t>Amiran</w:t>
      </w:r>
      <w:proofErr w:type="spellEnd"/>
      <w:r w:rsidRPr="00DE3C2D">
        <w:rPr>
          <w:rFonts w:asciiTheme="minorHAnsi" w:hAnsiTheme="minorHAnsi"/>
        </w:rPr>
        <w:t xml:space="preserve"> Gamkrelidze, 2018, Rome, Italy </w:t>
      </w:r>
    </w:p>
    <w:p w14:paraId="7CA94383" w14:textId="3F57962B" w:rsidR="00DE3C2D" w:rsidRPr="00DE3C2D" w:rsidRDefault="00293207" w:rsidP="00DE3C2D">
      <w:pPr>
        <w:pStyle w:val="ListParagraph"/>
        <w:numPr>
          <w:ilvl w:val="0"/>
          <w:numId w:val="16"/>
        </w:numPr>
        <w:autoSpaceDE w:val="0"/>
        <w:autoSpaceDN w:val="0"/>
        <w:jc w:val="both"/>
        <w:rPr>
          <w:rFonts w:asciiTheme="minorHAnsi" w:hAnsiTheme="minorHAnsi" w:cstheme="minorHAnsi"/>
          <w:bCs/>
        </w:rPr>
      </w:pPr>
      <w:r w:rsidRPr="00DE3C2D">
        <w:rPr>
          <w:rFonts w:asciiTheme="minorHAnsi" w:hAnsiTheme="minorHAnsi" w:cstheme="minorHAnsi"/>
          <w:b/>
        </w:rPr>
        <w:t>Executive Board</w:t>
      </w:r>
      <w:r w:rsidRPr="00DE3C2D">
        <w:rPr>
          <w:rFonts w:asciiTheme="minorHAnsi" w:hAnsiTheme="minorHAnsi" w:cstheme="minorHAnsi"/>
        </w:rPr>
        <w:t xml:space="preserve"> </w:t>
      </w:r>
      <w:r w:rsidR="00603D75">
        <w:rPr>
          <w:rFonts w:asciiTheme="minorHAnsi" w:hAnsiTheme="minorHAnsi" w:cstheme="minorHAnsi"/>
        </w:rPr>
        <w:t xml:space="preserve">- </w:t>
      </w:r>
      <w:r w:rsidRPr="00DE3C2D">
        <w:rPr>
          <w:rFonts w:asciiTheme="minorHAnsi" w:hAnsiTheme="minorHAnsi" w:cstheme="minorHAnsi"/>
        </w:rPr>
        <w:t xml:space="preserve">Dr. David </w:t>
      </w:r>
      <w:proofErr w:type="spellStart"/>
      <w:r w:rsidRPr="00DE3C2D">
        <w:rPr>
          <w:rFonts w:asciiTheme="minorHAnsi" w:hAnsiTheme="minorHAnsi" w:cstheme="minorHAnsi"/>
        </w:rPr>
        <w:t>Sergeenko</w:t>
      </w:r>
      <w:proofErr w:type="spellEnd"/>
      <w:r w:rsidR="00603D75">
        <w:rPr>
          <w:rFonts w:asciiTheme="minorHAnsi" w:hAnsiTheme="minorHAnsi" w:cstheme="minorHAnsi"/>
        </w:rPr>
        <w:t xml:space="preserve"> (</w:t>
      </w:r>
      <w:r w:rsidRPr="00DE3C2D">
        <w:rPr>
          <w:rFonts w:asciiTheme="minorHAnsi" w:hAnsiTheme="minorHAnsi" w:cstheme="minorHAnsi"/>
        </w:rPr>
        <w:t>2017-20</w:t>
      </w:r>
      <w:r w:rsidR="003F398B" w:rsidRPr="00DE3C2D">
        <w:rPr>
          <w:rFonts w:asciiTheme="minorHAnsi" w:hAnsiTheme="minorHAnsi" w:cstheme="minorHAnsi"/>
        </w:rPr>
        <w:t>20</w:t>
      </w:r>
      <w:r w:rsidR="00603D75">
        <w:rPr>
          <w:rFonts w:asciiTheme="minorHAnsi" w:hAnsiTheme="minorHAnsi" w:cstheme="minorHAnsi"/>
        </w:rPr>
        <w:t>)</w:t>
      </w:r>
      <w:r w:rsidR="00B436AB" w:rsidRPr="00DE3C2D">
        <w:rPr>
          <w:rFonts w:asciiTheme="minorHAnsi" w:hAnsiTheme="minorHAnsi" w:cstheme="minorHAnsi"/>
        </w:rPr>
        <w:t xml:space="preserve">, </w:t>
      </w:r>
      <w:r w:rsidR="00603D75">
        <w:rPr>
          <w:rFonts w:asciiTheme="minorHAnsi" w:hAnsiTheme="minorHAnsi" w:cstheme="minorHAnsi"/>
        </w:rPr>
        <w:t>l</w:t>
      </w:r>
      <w:r w:rsidR="00B436AB" w:rsidRPr="00DE3C2D">
        <w:rPr>
          <w:rFonts w:asciiTheme="minorHAnsi" w:hAnsiTheme="minorHAnsi" w:cstheme="minorHAnsi"/>
        </w:rPr>
        <w:t xml:space="preserve">ater replaced by Dr. Tamar </w:t>
      </w:r>
      <w:proofErr w:type="spellStart"/>
      <w:r w:rsidR="00B436AB" w:rsidRPr="00DE3C2D">
        <w:rPr>
          <w:rFonts w:asciiTheme="minorHAnsi" w:hAnsiTheme="minorHAnsi" w:cstheme="minorHAnsi"/>
        </w:rPr>
        <w:t>Gabunia</w:t>
      </w:r>
      <w:proofErr w:type="spellEnd"/>
    </w:p>
    <w:p w14:paraId="47F8ED7D" w14:textId="2CFC3CF5" w:rsidR="00DE3C2D" w:rsidRPr="00DE3C2D" w:rsidRDefault="00DE3C2D" w:rsidP="00DE3C2D">
      <w:pPr>
        <w:pStyle w:val="ListParagraph"/>
        <w:numPr>
          <w:ilvl w:val="0"/>
          <w:numId w:val="16"/>
        </w:numPr>
        <w:autoSpaceDE w:val="0"/>
        <w:autoSpaceDN w:val="0"/>
        <w:jc w:val="both"/>
        <w:rPr>
          <w:rFonts w:asciiTheme="minorHAnsi" w:hAnsiTheme="minorHAnsi" w:cstheme="minorHAnsi"/>
          <w:bCs/>
        </w:rPr>
      </w:pPr>
      <w:r w:rsidRPr="00DE3C2D">
        <w:rPr>
          <w:rFonts w:asciiTheme="minorHAnsi" w:hAnsiTheme="minorHAnsi" w:cstheme="minorHAnsi"/>
          <w:b/>
        </w:rPr>
        <w:t xml:space="preserve">Joint Coordinating Board of the Special </w:t>
      </w:r>
      <w:proofErr w:type="spellStart"/>
      <w:r w:rsidRPr="00DE3C2D">
        <w:rPr>
          <w:rFonts w:asciiTheme="minorHAnsi" w:hAnsiTheme="minorHAnsi" w:cstheme="minorHAnsi"/>
          <w:b/>
        </w:rPr>
        <w:t>Programme</w:t>
      </w:r>
      <w:proofErr w:type="spellEnd"/>
      <w:r w:rsidRPr="00DE3C2D">
        <w:rPr>
          <w:rFonts w:asciiTheme="minorHAnsi" w:hAnsiTheme="minorHAnsi" w:cstheme="minorHAnsi"/>
          <w:b/>
        </w:rPr>
        <w:t xml:space="preserve"> for Research and Training in Tropical Diseases (JCB) </w:t>
      </w:r>
      <w:r w:rsidR="00603D75">
        <w:rPr>
          <w:rFonts w:asciiTheme="minorHAnsi" w:hAnsiTheme="minorHAnsi" w:cstheme="minorHAnsi"/>
          <w:b/>
        </w:rPr>
        <w:t xml:space="preserve">- </w:t>
      </w:r>
      <w:r w:rsidRPr="00DE3C2D">
        <w:rPr>
          <w:rFonts w:asciiTheme="minorHAnsi" w:hAnsiTheme="minorHAnsi" w:cstheme="minorHAnsi"/>
          <w:bCs/>
        </w:rPr>
        <w:t xml:space="preserve">Dr. </w:t>
      </w:r>
      <w:proofErr w:type="spellStart"/>
      <w:r w:rsidRPr="00DE3C2D">
        <w:rPr>
          <w:rFonts w:asciiTheme="minorHAnsi" w:hAnsiTheme="minorHAnsi" w:cstheme="minorHAnsi"/>
          <w:bCs/>
        </w:rPr>
        <w:t>Paata</w:t>
      </w:r>
      <w:proofErr w:type="spellEnd"/>
      <w:r w:rsidRPr="00DE3C2D">
        <w:rPr>
          <w:rFonts w:asciiTheme="minorHAnsi" w:hAnsiTheme="minorHAnsi" w:cstheme="minorHAnsi"/>
          <w:bCs/>
        </w:rPr>
        <w:t xml:space="preserve"> </w:t>
      </w:r>
      <w:proofErr w:type="spellStart"/>
      <w:r w:rsidRPr="00DE3C2D">
        <w:rPr>
          <w:rFonts w:asciiTheme="minorHAnsi" w:hAnsiTheme="minorHAnsi" w:cstheme="minorHAnsi"/>
          <w:bCs/>
        </w:rPr>
        <w:t>Imnadze</w:t>
      </w:r>
      <w:proofErr w:type="spellEnd"/>
      <w:r w:rsidRPr="00DE3C2D">
        <w:rPr>
          <w:rFonts w:asciiTheme="minorHAnsi" w:hAnsiTheme="minorHAnsi" w:cstheme="minorHAnsi"/>
          <w:bCs/>
        </w:rPr>
        <w:t xml:space="preserve"> </w:t>
      </w:r>
      <w:r w:rsidR="00603D75">
        <w:rPr>
          <w:rFonts w:asciiTheme="minorHAnsi" w:hAnsiTheme="minorHAnsi" w:cstheme="minorHAnsi"/>
          <w:bCs/>
        </w:rPr>
        <w:t>(</w:t>
      </w:r>
      <w:r w:rsidRPr="00DE3C2D">
        <w:rPr>
          <w:rFonts w:asciiTheme="minorHAnsi" w:hAnsiTheme="minorHAnsi" w:cstheme="minorHAnsi"/>
          <w:bCs/>
        </w:rPr>
        <w:t>2003-2006 and 2019-2022</w:t>
      </w:r>
      <w:r w:rsidR="00603D75">
        <w:rPr>
          <w:rFonts w:asciiTheme="minorHAnsi" w:hAnsiTheme="minorHAnsi" w:cstheme="minorHAnsi"/>
          <w:bCs/>
        </w:rPr>
        <w:t>_</w:t>
      </w:r>
    </w:p>
    <w:p w14:paraId="6884E757" w14:textId="33BBB0B9" w:rsidR="00B436AB" w:rsidRPr="00954B01" w:rsidRDefault="00B436AB" w:rsidP="00DE3C2D">
      <w:pPr>
        <w:pStyle w:val="ListParagraph"/>
        <w:autoSpaceDE w:val="0"/>
        <w:autoSpaceDN w:val="0"/>
        <w:jc w:val="both"/>
        <w:rPr>
          <w:rFonts w:asciiTheme="minorHAnsi" w:hAnsiTheme="minorHAnsi" w:cstheme="minorHAnsi"/>
          <w:b/>
          <w:highlight w:val="yellow"/>
        </w:rPr>
      </w:pPr>
    </w:p>
    <w:p w14:paraId="3B323D51" w14:textId="71C2100B" w:rsidR="00B23654" w:rsidRDefault="00B23654" w:rsidP="00B23654">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1F0CF9">
        <w:rPr>
          <w:rFonts w:asciiTheme="minorHAnsi" w:hAnsiTheme="minorHAnsi" w:cstheme="minorHAnsi"/>
          <w:sz w:val="22"/>
          <w:szCs w:val="22"/>
        </w:rPr>
        <w:t>Second session of the 25</w:t>
      </w:r>
      <w:r w:rsidRPr="00B23654">
        <w:rPr>
          <w:rFonts w:asciiTheme="minorHAnsi" w:hAnsiTheme="minorHAnsi" w:cstheme="minorHAnsi"/>
          <w:sz w:val="22"/>
          <w:szCs w:val="22"/>
          <w:vertAlign w:val="superscript"/>
        </w:rPr>
        <w:t>th</w:t>
      </w:r>
      <w:r w:rsidRPr="001F0CF9">
        <w:rPr>
          <w:rFonts w:asciiTheme="minorHAnsi" w:hAnsiTheme="minorHAnsi" w:cstheme="minorHAnsi"/>
          <w:sz w:val="22"/>
          <w:szCs w:val="22"/>
        </w:rPr>
        <w:t xml:space="preserve"> Standing Committee of the Regional Committee for Europe t</w:t>
      </w:r>
      <w:r>
        <w:rPr>
          <w:rFonts w:asciiTheme="minorHAnsi" w:hAnsiTheme="minorHAnsi" w:cstheme="minorHAnsi"/>
          <w:sz w:val="22"/>
          <w:szCs w:val="22"/>
        </w:rPr>
        <w:t xml:space="preserve">ook </w:t>
      </w:r>
      <w:r w:rsidRPr="001F0CF9">
        <w:rPr>
          <w:rFonts w:asciiTheme="minorHAnsi" w:hAnsiTheme="minorHAnsi" w:cstheme="minorHAnsi"/>
          <w:sz w:val="22"/>
          <w:szCs w:val="22"/>
        </w:rPr>
        <w:t>place in Tbilisi, 28-29 Nov</w:t>
      </w:r>
      <w:r w:rsidR="007D74A5">
        <w:rPr>
          <w:rFonts w:asciiTheme="minorHAnsi" w:hAnsiTheme="minorHAnsi" w:cstheme="minorHAnsi"/>
          <w:sz w:val="22"/>
          <w:szCs w:val="22"/>
        </w:rPr>
        <w:t>ember</w:t>
      </w:r>
      <w:r w:rsidRPr="001F0CF9">
        <w:rPr>
          <w:rFonts w:asciiTheme="minorHAnsi" w:hAnsiTheme="minorHAnsi" w:cstheme="minorHAnsi"/>
          <w:sz w:val="22"/>
          <w:szCs w:val="22"/>
        </w:rPr>
        <w:t xml:space="preserve"> 2017, as Georgia </w:t>
      </w:r>
      <w:r>
        <w:rPr>
          <w:rFonts w:asciiTheme="minorHAnsi" w:hAnsiTheme="minorHAnsi" w:cstheme="minorHAnsi"/>
          <w:sz w:val="22"/>
          <w:szCs w:val="22"/>
        </w:rPr>
        <w:t>was</w:t>
      </w:r>
      <w:r w:rsidRPr="001F0CF9">
        <w:rPr>
          <w:rFonts w:asciiTheme="minorHAnsi" w:hAnsiTheme="minorHAnsi" w:cstheme="minorHAnsi"/>
          <w:sz w:val="22"/>
          <w:szCs w:val="22"/>
        </w:rPr>
        <w:t xml:space="preserve"> chairing the SCRC for 2017-2018.</w:t>
      </w:r>
    </w:p>
    <w:p w14:paraId="18C775CD" w14:textId="36FEFF02" w:rsidR="00603D75" w:rsidRDefault="00603D75" w:rsidP="00B23654">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5E462755" w14:textId="77777777" w:rsidR="00BA26B3" w:rsidRDefault="00603D75" w:rsidP="0060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cs="Courier New"/>
          <w:color w:val="222222"/>
          <w:lang w:val="en"/>
        </w:rPr>
      </w:pPr>
      <w:r w:rsidRPr="00B23654">
        <w:rPr>
          <w:rFonts w:eastAsia="Times New Roman" w:cs="Courier New"/>
          <w:color w:val="222222"/>
          <w:lang w:val="en"/>
        </w:rPr>
        <w:t xml:space="preserve">Since 1964, several Georgians worked in the </w:t>
      </w:r>
      <w:r w:rsidRPr="00B23654">
        <w:rPr>
          <w:rFonts w:eastAsia="Times New Roman" w:cs="Courier New"/>
          <w:b/>
          <w:bCs/>
          <w:color w:val="222222"/>
          <w:lang w:val="en"/>
        </w:rPr>
        <w:t>WHO as a permanent staff</w:t>
      </w:r>
      <w:r w:rsidRPr="00B23654">
        <w:rPr>
          <w:rFonts w:eastAsia="Times New Roman" w:cs="Courier New"/>
          <w:color w:val="222222"/>
          <w:lang w:val="en"/>
        </w:rPr>
        <w:t xml:space="preserve"> of the European regional or other offices</w:t>
      </w:r>
      <w:r>
        <w:rPr>
          <w:rFonts w:eastAsia="Times New Roman" w:cs="Courier New"/>
          <w:color w:val="222222"/>
          <w:lang w:val="en"/>
        </w:rPr>
        <w:t>,</w:t>
      </w:r>
      <w:r w:rsidRPr="00603D75">
        <w:rPr>
          <w:rFonts w:eastAsia="Times New Roman" w:cs="Courier New"/>
          <w:color w:val="222222"/>
          <w:lang w:val="en"/>
        </w:rPr>
        <w:t xml:space="preserve"> </w:t>
      </w:r>
      <w:r w:rsidRPr="00B23654">
        <w:rPr>
          <w:rFonts w:eastAsia="Times New Roman" w:cs="Courier New"/>
          <w:color w:val="222222"/>
          <w:lang w:val="en"/>
        </w:rPr>
        <w:t>during different periods</w:t>
      </w:r>
      <w:r>
        <w:rPr>
          <w:rFonts w:eastAsia="Times New Roman" w:cs="Courier New"/>
          <w:color w:val="222222"/>
          <w:lang w:val="en"/>
        </w:rPr>
        <w:t xml:space="preserve">: Dr. </w:t>
      </w:r>
      <w:proofErr w:type="spellStart"/>
      <w:r w:rsidRPr="00B23654">
        <w:rPr>
          <w:rFonts w:eastAsia="Times New Roman" w:cs="Courier New"/>
          <w:color w:val="222222"/>
          <w:lang w:val="en"/>
        </w:rPr>
        <w:t>Tamaz</w:t>
      </w:r>
      <w:proofErr w:type="spellEnd"/>
      <w:r w:rsidRPr="00B23654">
        <w:rPr>
          <w:rFonts w:eastAsia="Times New Roman" w:cs="Courier New"/>
          <w:color w:val="222222"/>
          <w:lang w:val="en"/>
        </w:rPr>
        <w:t xml:space="preserve"> </w:t>
      </w:r>
      <w:proofErr w:type="spellStart"/>
      <w:r w:rsidRPr="00B23654">
        <w:rPr>
          <w:rFonts w:eastAsia="Times New Roman" w:cs="Courier New"/>
          <w:color w:val="222222"/>
          <w:lang w:val="en"/>
        </w:rPr>
        <w:t>Kereselidze</w:t>
      </w:r>
      <w:proofErr w:type="spellEnd"/>
      <w:r w:rsidRPr="00B23654">
        <w:rPr>
          <w:rFonts w:eastAsia="Times New Roman" w:cs="Courier New"/>
          <w:color w:val="222222"/>
          <w:lang w:val="en"/>
        </w:rPr>
        <w:t xml:space="preserve">, Dr. Alexander </w:t>
      </w:r>
      <w:proofErr w:type="spellStart"/>
      <w:r w:rsidRPr="00B23654">
        <w:rPr>
          <w:rFonts w:eastAsia="Times New Roman" w:cs="Courier New"/>
          <w:color w:val="222222"/>
          <w:lang w:val="en"/>
        </w:rPr>
        <w:t>Anjaparidze</w:t>
      </w:r>
      <w:proofErr w:type="spellEnd"/>
      <w:r w:rsidRPr="00B23654">
        <w:rPr>
          <w:rFonts w:eastAsia="Times New Roman" w:cs="Courier New"/>
          <w:color w:val="222222"/>
          <w:lang w:val="en"/>
        </w:rPr>
        <w:t xml:space="preserve">, Dr. Nata </w:t>
      </w:r>
      <w:proofErr w:type="spellStart"/>
      <w:r w:rsidRPr="00B23654">
        <w:rPr>
          <w:rFonts w:eastAsia="Times New Roman" w:cs="Courier New"/>
          <w:color w:val="222222"/>
          <w:lang w:val="en"/>
        </w:rPr>
        <w:t>Menabde</w:t>
      </w:r>
      <w:proofErr w:type="spellEnd"/>
      <w:r w:rsidRPr="00B23654">
        <w:rPr>
          <w:rFonts w:eastAsia="Times New Roman" w:cs="Courier New"/>
          <w:color w:val="222222"/>
          <w:lang w:val="en"/>
        </w:rPr>
        <w:t xml:space="preserve">; Dr. </w:t>
      </w:r>
      <w:proofErr w:type="spellStart"/>
      <w:r w:rsidRPr="00B23654">
        <w:rPr>
          <w:rFonts w:eastAsia="Times New Roman" w:cs="Courier New"/>
          <w:color w:val="222222"/>
          <w:lang w:val="en"/>
        </w:rPr>
        <w:t>Bakhuti</w:t>
      </w:r>
      <w:proofErr w:type="spellEnd"/>
      <w:r w:rsidRPr="00B23654">
        <w:rPr>
          <w:rFonts w:eastAsia="Times New Roman" w:cs="Courier New"/>
          <w:color w:val="222222"/>
          <w:lang w:val="en"/>
        </w:rPr>
        <w:t xml:space="preserve"> </w:t>
      </w:r>
      <w:proofErr w:type="spellStart"/>
      <w:r w:rsidRPr="00B23654">
        <w:rPr>
          <w:rFonts w:eastAsia="Times New Roman" w:cs="Courier New"/>
          <w:color w:val="222222"/>
          <w:lang w:val="en"/>
        </w:rPr>
        <w:t>Shengelia</w:t>
      </w:r>
      <w:proofErr w:type="spellEnd"/>
      <w:r w:rsidRPr="00B23654">
        <w:rPr>
          <w:rFonts w:eastAsia="Times New Roman" w:cs="Courier New"/>
          <w:color w:val="222222"/>
          <w:lang w:val="en"/>
        </w:rPr>
        <w:t xml:space="preserve">, Dr. </w:t>
      </w:r>
      <w:proofErr w:type="spellStart"/>
      <w:r w:rsidRPr="00B23654">
        <w:rPr>
          <w:rFonts w:eastAsia="Times New Roman" w:cs="Courier New"/>
          <w:color w:val="222222"/>
          <w:lang w:val="en"/>
        </w:rPr>
        <w:t>Lali</w:t>
      </w:r>
      <w:proofErr w:type="spellEnd"/>
      <w:r w:rsidRPr="00B23654">
        <w:rPr>
          <w:rFonts w:eastAsia="Times New Roman" w:cs="Courier New"/>
          <w:color w:val="222222"/>
          <w:lang w:val="en"/>
        </w:rPr>
        <w:t xml:space="preserve"> </w:t>
      </w:r>
      <w:proofErr w:type="spellStart"/>
      <w:r w:rsidRPr="00B23654">
        <w:rPr>
          <w:rFonts w:eastAsia="Times New Roman" w:cs="Courier New"/>
          <w:color w:val="222222"/>
          <w:lang w:val="en"/>
        </w:rPr>
        <w:t>Khotenashvili</w:t>
      </w:r>
      <w:proofErr w:type="spellEnd"/>
      <w:r w:rsidRPr="00B23654">
        <w:rPr>
          <w:rFonts w:eastAsia="Times New Roman" w:cs="Courier New"/>
          <w:color w:val="222222"/>
          <w:lang w:val="en"/>
        </w:rPr>
        <w:t xml:space="preserve">. Dr. Giorgi </w:t>
      </w:r>
      <w:proofErr w:type="spellStart"/>
      <w:r w:rsidRPr="00B23654">
        <w:rPr>
          <w:rFonts w:eastAsia="Times New Roman" w:cs="Courier New"/>
          <w:color w:val="222222"/>
          <w:lang w:val="en"/>
        </w:rPr>
        <w:t>Kuchikhidze</w:t>
      </w:r>
      <w:proofErr w:type="spellEnd"/>
      <w:r w:rsidRPr="00B23654">
        <w:rPr>
          <w:rFonts w:eastAsia="Times New Roman" w:cs="Courier New"/>
          <w:color w:val="222222"/>
          <w:lang w:val="en"/>
        </w:rPr>
        <w:t xml:space="preserve">. </w:t>
      </w:r>
    </w:p>
    <w:p w14:paraId="133BEA81" w14:textId="448FDE0B" w:rsidR="00603D75" w:rsidRDefault="00603D75" w:rsidP="0060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cs="Courier New"/>
          <w:color w:val="222222"/>
          <w:lang w:val="en"/>
        </w:rPr>
      </w:pPr>
      <w:r w:rsidRPr="00603D75">
        <w:rPr>
          <w:rFonts w:cs="Arial"/>
          <w:color w:val="333333"/>
          <w:shd w:val="clear" w:color="auto" w:fill="FFFFFF"/>
        </w:rPr>
        <w:t xml:space="preserve">Dr. Nino </w:t>
      </w:r>
      <w:proofErr w:type="spellStart"/>
      <w:r w:rsidRPr="00603D75">
        <w:rPr>
          <w:rFonts w:cs="Arial"/>
          <w:color w:val="333333"/>
          <w:shd w:val="clear" w:color="auto" w:fill="FFFFFF"/>
        </w:rPr>
        <w:t>Berdzuli</w:t>
      </w:r>
      <w:proofErr w:type="spellEnd"/>
      <w:r w:rsidRPr="00B23654">
        <w:rPr>
          <w:rFonts w:cs="Arial"/>
          <w:color w:val="333333"/>
          <w:shd w:val="clear" w:color="auto" w:fill="FFFFFF"/>
        </w:rPr>
        <w:t xml:space="preserve"> joined WHO/Europe in 2018 to lead the sexual and reproductive health </w:t>
      </w:r>
      <w:proofErr w:type="spellStart"/>
      <w:r w:rsidRPr="00B23654">
        <w:rPr>
          <w:rFonts w:cs="Arial"/>
          <w:color w:val="333333"/>
          <w:shd w:val="clear" w:color="auto" w:fill="FFFFFF"/>
        </w:rPr>
        <w:t>programme</w:t>
      </w:r>
      <w:proofErr w:type="spellEnd"/>
      <w:r w:rsidRPr="00B23654">
        <w:rPr>
          <w:rFonts w:cs="Arial"/>
          <w:color w:val="333333"/>
          <w:shd w:val="clear" w:color="auto" w:fill="FFFFFF"/>
        </w:rPr>
        <w:t xml:space="preserve"> and </w:t>
      </w:r>
      <w:r w:rsidRPr="00603D75">
        <w:rPr>
          <w:rFonts w:cs="Arial"/>
          <w:color w:val="333333"/>
          <w:shd w:val="clear" w:color="auto" w:fill="FFFFFF"/>
        </w:rPr>
        <w:t xml:space="preserve">in 2020 Dr. </w:t>
      </w:r>
      <w:proofErr w:type="spellStart"/>
      <w:r w:rsidRPr="00603D75">
        <w:rPr>
          <w:rFonts w:cs="Arial"/>
          <w:color w:val="333333"/>
          <w:shd w:val="clear" w:color="auto" w:fill="FFFFFF"/>
        </w:rPr>
        <w:t>Berdzuli</w:t>
      </w:r>
      <w:proofErr w:type="spellEnd"/>
      <w:r w:rsidRPr="00603D75">
        <w:rPr>
          <w:rFonts w:cs="Arial"/>
          <w:color w:val="333333"/>
          <w:shd w:val="clear" w:color="auto" w:fill="FFFFFF"/>
        </w:rPr>
        <w:t xml:space="preserve"> was appointed as a </w:t>
      </w:r>
      <w:r w:rsidRPr="00BA26B3">
        <w:rPr>
          <w:rFonts w:cs="Arial"/>
          <w:b/>
          <w:bCs/>
          <w:color w:val="333333"/>
          <w:shd w:val="clear" w:color="auto" w:fill="FFFFFF"/>
        </w:rPr>
        <w:t xml:space="preserve">Director of the Division of Country Health </w:t>
      </w:r>
      <w:proofErr w:type="spellStart"/>
      <w:r w:rsidRPr="00BA26B3">
        <w:rPr>
          <w:rFonts w:cs="Arial"/>
          <w:b/>
          <w:bCs/>
          <w:color w:val="333333"/>
          <w:shd w:val="clear" w:color="auto" w:fill="FFFFFF"/>
        </w:rPr>
        <w:t>Programmes</w:t>
      </w:r>
      <w:proofErr w:type="spellEnd"/>
      <w:r w:rsidRPr="00603D75">
        <w:rPr>
          <w:rFonts w:cs="Arial"/>
          <w:color w:val="333333"/>
          <w:shd w:val="clear" w:color="auto" w:fill="FFFFFF"/>
        </w:rPr>
        <w:t xml:space="preserve"> (CHP).</w:t>
      </w:r>
      <w:r w:rsidRPr="00603D75">
        <w:rPr>
          <w:rFonts w:eastAsia="Times New Roman" w:cs="Courier New"/>
          <w:color w:val="222222"/>
          <w:lang w:val="en"/>
        </w:rPr>
        <w:t xml:space="preserve"> </w:t>
      </w:r>
    </w:p>
    <w:p w14:paraId="7CA02383" w14:textId="77777777" w:rsidR="00603D75" w:rsidRPr="00603D75" w:rsidRDefault="00603D75" w:rsidP="0060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cs="Courier New"/>
          <w:color w:val="222222"/>
          <w:lang w:val="en"/>
        </w:rPr>
      </w:pPr>
    </w:p>
    <w:p w14:paraId="267F51D3" w14:textId="0B6BC007" w:rsidR="00603D75" w:rsidRPr="00603D75" w:rsidRDefault="00A45BEB" w:rsidP="00603D75">
      <w:pPr>
        <w:autoSpaceDE w:val="0"/>
        <w:autoSpaceDN w:val="0"/>
        <w:spacing w:after="0" w:line="240" w:lineRule="auto"/>
        <w:contextualSpacing/>
        <w:jc w:val="both"/>
        <w:rPr>
          <w:rFonts w:cstheme="minorHAnsi"/>
          <w:b/>
        </w:rPr>
      </w:pPr>
      <w:r>
        <w:rPr>
          <w:rFonts w:cstheme="minorHAnsi"/>
          <w:b/>
        </w:rPr>
        <w:t xml:space="preserve">In different periods </w:t>
      </w:r>
      <w:r w:rsidR="00603D75" w:rsidRPr="00603D75">
        <w:rPr>
          <w:rFonts w:cstheme="minorHAnsi"/>
          <w:b/>
        </w:rPr>
        <w:t>Georgia</w:t>
      </w:r>
      <w:r w:rsidR="007A3FEA">
        <w:rPr>
          <w:rFonts w:cstheme="minorHAnsi"/>
          <w:b/>
        </w:rPr>
        <w:t>n professionals</w:t>
      </w:r>
      <w:r>
        <w:rPr>
          <w:rFonts w:cstheme="minorHAnsi"/>
          <w:b/>
        </w:rPr>
        <w:t xml:space="preserve"> were </w:t>
      </w:r>
      <w:r w:rsidR="00603D75" w:rsidRPr="00603D75">
        <w:rPr>
          <w:rFonts w:cstheme="minorHAnsi"/>
          <w:b/>
        </w:rPr>
        <w:t xml:space="preserve">elected in the </w:t>
      </w:r>
      <w:r w:rsidR="00A87421">
        <w:rPr>
          <w:rFonts w:cstheme="minorHAnsi"/>
          <w:b/>
        </w:rPr>
        <w:t xml:space="preserve">WHO </w:t>
      </w:r>
      <w:r w:rsidR="00603D75" w:rsidRPr="00603D75">
        <w:rPr>
          <w:rFonts w:cstheme="minorHAnsi"/>
          <w:b/>
        </w:rPr>
        <w:t>advisory bodies and working groups</w:t>
      </w:r>
    </w:p>
    <w:p w14:paraId="7D72E197" w14:textId="55D09AE5" w:rsidR="00603D75" w:rsidRPr="00766F91" w:rsidRDefault="00603D75" w:rsidP="00603D75">
      <w:pPr>
        <w:pStyle w:val="ListParagraph"/>
        <w:numPr>
          <w:ilvl w:val="0"/>
          <w:numId w:val="18"/>
        </w:numPr>
        <w:autoSpaceDE w:val="0"/>
        <w:autoSpaceDN w:val="0"/>
        <w:jc w:val="both"/>
        <w:rPr>
          <w:rFonts w:asciiTheme="minorHAnsi" w:hAnsiTheme="minorHAnsi" w:cs="Arial"/>
          <w:shd w:val="clear" w:color="auto" w:fill="FFFFFF"/>
        </w:rPr>
      </w:pPr>
      <w:r w:rsidRPr="00BA26B3">
        <w:rPr>
          <w:rFonts w:asciiTheme="minorHAnsi" w:eastAsia="Times New Roman" w:hAnsiTheme="minorHAnsi" w:cs="Courier New"/>
          <w:b/>
          <w:bCs/>
          <w:lang w:val="en"/>
        </w:rPr>
        <w:t>Intergovernmental Working Group on International Health Regulations (IHR 2005)</w:t>
      </w:r>
      <w:r w:rsidR="00BA26B3">
        <w:rPr>
          <w:rFonts w:asciiTheme="minorHAnsi" w:eastAsia="Times New Roman" w:hAnsiTheme="minorHAnsi" w:cs="Courier New"/>
          <w:lang w:val="en"/>
        </w:rPr>
        <w:t xml:space="preserve"> -</w:t>
      </w:r>
      <w:r w:rsidRPr="00766F91">
        <w:rPr>
          <w:rFonts w:asciiTheme="minorHAnsi" w:eastAsia="Times New Roman" w:hAnsiTheme="minorHAnsi" w:cs="Courier New"/>
          <w:lang w:val="en"/>
        </w:rPr>
        <w:t xml:space="preserve"> Dr. </w:t>
      </w:r>
      <w:proofErr w:type="spellStart"/>
      <w:r w:rsidRPr="00766F91">
        <w:rPr>
          <w:rFonts w:asciiTheme="minorHAnsi" w:eastAsia="Times New Roman" w:hAnsiTheme="minorHAnsi" w:cs="Courier New"/>
          <w:lang w:val="en"/>
        </w:rPr>
        <w:t>Paata</w:t>
      </w:r>
      <w:proofErr w:type="spellEnd"/>
      <w:r w:rsidRPr="00766F91">
        <w:rPr>
          <w:rFonts w:asciiTheme="minorHAnsi" w:eastAsia="Times New Roman" w:hAnsiTheme="minorHAnsi" w:cs="Courier New"/>
          <w:lang w:val="en"/>
        </w:rPr>
        <w:t xml:space="preserve"> </w:t>
      </w:r>
      <w:proofErr w:type="spellStart"/>
      <w:r w:rsidRPr="00766F91">
        <w:rPr>
          <w:rFonts w:asciiTheme="minorHAnsi" w:eastAsia="Times New Roman" w:hAnsiTheme="minorHAnsi" w:cs="Courier New"/>
          <w:lang w:val="en"/>
        </w:rPr>
        <w:t>Imnadze</w:t>
      </w:r>
      <w:proofErr w:type="spellEnd"/>
      <w:r w:rsidRPr="00766F91">
        <w:rPr>
          <w:rFonts w:asciiTheme="minorHAnsi" w:eastAsia="Times New Roman" w:hAnsiTheme="minorHAnsi" w:cs="Courier New"/>
          <w:lang w:val="en"/>
        </w:rPr>
        <w:t xml:space="preserve">, 2004-2005 </w:t>
      </w:r>
    </w:p>
    <w:p w14:paraId="3B456B2C" w14:textId="74736CD5" w:rsidR="00603D75" w:rsidRPr="00766F91" w:rsidRDefault="00603D75" w:rsidP="00603D75">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cs="Sylfaen"/>
          <w:color w:val="222222"/>
          <w:lang w:val="en"/>
        </w:rPr>
      </w:pPr>
      <w:r w:rsidRPr="00BA26B3">
        <w:rPr>
          <w:rFonts w:asciiTheme="minorHAnsi" w:eastAsia="Times New Roman" w:hAnsiTheme="minorHAnsi" w:cs="Sylfaen"/>
          <w:b/>
          <w:bCs/>
          <w:color w:val="222222"/>
          <w:lang w:val="en"/>
        </w:rPr>
        <w:t>European Advisory Committee on Health Research</w:t>
      </w:r>
      <w:r w:rsidR="00BA26B3">
        <w:rPr>
          <w:rFonts w:asciiTheme="minorHAnsi" w:eastAsia="Times New Roman" w:hAnsiTheme="minorHAnsi" w:cs="Sylfaen"/>
          <w:b/>
          <w:bCs/>
          <w:color w:val="222222"/>
          <w:lang w:val="en"/>
        </w:rPr>
        <w:t xml:space="preserve"> -</w:t>
      </w:r>
      <w:r w:rsidRPr="00766F91">
        <w:rPr>
          <w:rFonts w:asciiTheme="minorHAnsi" w:eastAsia="Times New Roman" w:hAnsiTheme="minorHAnsi" w:cs="Sylfaen"/>
          <w:color w:val="222222"/>
          <w:lang w:val="en"/>
        </w:rPr>
        <w:t xml:space="preserve"> Dr. </w:t>
      </w:r>
      <w:proofErr w:type="spellStart"/>
      <w:r w:rsidRPr="00766F91">
        <w:rPr>
          <w:rFonts w:asciiTheme="minorHAnsi" w:eastAsia="Times New Roman" w:hAnsiTheme="minorHAnsi" w:cs="Sylfaen"/>
          <w:color w:val="222222"/>
          <w:lang w:val="en"/>
        </w:rPr>
        <w:t>Amiran</w:t>
      </w:r>
      <w:proofErr w:type="spellEnd"/>
      <w:r w:rsidRPr="00766F91">
        <w:rPr>
          <w:rFonts w:asciiTheme="minorHAnsi" w:eastAsia="Times New Roman" w:hAnsiTheme="minorHAnsi" w:cs="Sylfaen"/>
          <w:color w:val="222222"/>
          <w:lang w:val="en"/>
        </w:rPr>
        <w:t xml:space="preserve"> Gamkrelidze, 2004-2007</w:t>
      </w:r>
    </w:p>
    <w:p w14:paraId="712D40A3" w14:textId="2D3A7D1B" w:rsidR="00603D75" w:rsidRPr="00766F91" w:rsidRDefault="00603D75" w:rsidP="00603D75">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cs="Courier New"/>
          <w:color w:val="222222"/>
          <w:lang w:val="en"/>
        </w:rPr>
      </w:pPr>
      <w:r w:rsidRPr="00BA26B3">
        <w:rPr>
          <w:rFonts w:asciiTheme="minorHAnsi" w:eastAsia="Times New Roman" w:hAnsiTheme="minorHAnsi" w:cs="Courier New"/>
          <w:b/>
          <w:bCs/>
          <w:color w:val="222222"/>
          <w:lang w:val="en"/>
        </w:rPr>
        <w:t>WHO European Technical Advisory Group of Experts on Immunization</w:t>
      </w:r>
      <w:r w:rsidR="00BA26B3">
        <w:rPr>
          <w:rFonts w:asciiTheme="minorHAnsi" w:eastAsia="Times New Roman" w:hAnsiTheme="minorHAnsi" w:cs="Courier New"/>
          <w:color w:val="222222"/>
          <w:lang w:val="en"/>
        </w:rPr>
        <w:t xml:space="preserve"> -</w:t>
      </w:r>
      <w:r w:rsidRPr="00766F91">
        <w:rPr>
          <w:rFonts w:asciiTheme="minorHAnsi" w:eastAsia="Times New Roman" w:hAnsiTheme="minorHAnsi" w:cs="Courier New"/>
          <w:color w:val="222222"/>
          <w:lang w:val="en"/>
        </w:rPr>
        <w:t xml:space="preserve"> Dr. </w:t>
      </w:r>
      <w:proofErr w:type="spellStart"/>
      <w:r w:rsidRPr="00766F91">
        <w:rPr>
          <w:rFonts w:asciiTheme="minorHAnsi" w:eastAsia="Times New Roman" w:hAnsiTheme="minorHAnsi" w:cs="Courier New"/>
          <w:color w:val="222222"/>
          <w:lang w:val="en"/>
        </w:rPr>
        <w:t>Paata</w:t>
      </w:r>
      <w:proofErr w:type="spellEnd"/>
      <w:r w:rsidRPr="00766F91">
        <w:rPr>
          <w:rFonts w:asciiTheme="minorHAnsi" w:eastAsia="Times New Roman" w:hAnsiTheme="minorHAnsi" w:cs="Courier New"/>
          <w:color w:val="222222"/>
          <w:lang w:val="en"/>
        </w:rPr>
        <w:t xml:space="preserve"> </w:t>
      </w:r>
      <w:proofErr w:type="spellStart"/>
      <w:r w:rsidRPr="00766F91">
        <w:rPr>
          <w:rFonts w:asciiTheme="minorHAnsi" w:eastAsia="Times New Roman" w:hAnsiTheme="minorHAnsi" w:cs="Courier New"/>
          <w:color w:val="222222"/>
          <w:lang w:val="en"/>
        </w:rPr>
        <w:t>Imnadze</w:t>
      </w:r>
      <w:proofErr w:type="spellEnd"/>
      <w:r w:rsidRPr="00766F91">
        <w:rPr>
          <w:rFonts w:asciiTheme="minorHAnsi" w:eastAsia="Times New Roman" w:hAnsiTheme="minorHAnsi" w:cs="Courier New"/>
          <w:color w:val="222222"/>
          <w:lang w:val="en"/>
        </w:rPr>
        <w:t>, 2005-2011</w:t>
      </w:r>
    </w:p>
    <w:p w14:paraId="70159C42" w14:textId="77777777" w:rsidR="00603D75" w:rsidRPr="00766F91" w:rsidRDefault="00603D75" w:rsidP="00603D75">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cs="Courier New"/>
          <w:color w:val="222222"/>
          <w:lang w:val="en"/>
        </w:rPr>
      </w:pPr>
      <w:r w:rsidRPr="00766F91">
        <w:rPr>
          <w:rFonts w:asciiTheme="minorHAnsi" w:eastAsia="Times New Roman" w:hAnsiTheme="minorHAnsi" w:cs="Courier New"/>
          <w:color w:val="222222"/>
          <w:lang w:val="en"/>
        </w:rPr>
        <w:t xml:space="preserve">Editorial Board for the report of the WHO European Region on "Health Inequality in Europe", Dr. </w:t>
      </w:r>
      <w:proofErr w:type="spellStart"/>
      <w:r w:rsidRPr="00766F91">
        <w:rPr>
          <w:rFonts w:asciiTheme="minorHAnsi" w:eastAsia="Times New Roman" w:hAnsiTheme="minorHAnsi" w:cs="Courier New"/>
          <w:color w:val="222222"/>
          <w:lang w:val="en"/>
        </w:rPr>
        <w:t>Paata</w:t>
      </w:r>
      <w:proofErr w:type="spellEnd"/>
      <w:r w:rsidRPr="00766F91">
        <w:rPr>
          <w:rFonts w:asciiTheme="minorHAnsi" w:eastAsia="Times New Roman" w:hAnsiTheme="minorHAnsi" w:cs="Courier New"/>
          <w:color w:val="222222"/>
          <w:lang w:val="en"/>
        </w:rPr>
        <w:t xml:space="preserve"> </w:t>
      </w:r>
      <w:proofErr w:type="spellStart"/>
      <w:r w:rsidRPr="00766F91">
        <w:rPr>
          <w:rFonts w:asciiTheme="minorHAnsi" w:eastAsia="Times New Roman" w:hAnsiTheme="minorHAnsi" w:cs="Courier New"/>
          <w:color w:val="222222"/>
          <w:lang w:val="en"/>
        </w:rPr>
        <w:t>Imnadze</w:t>
      </w:r>
      <w:proofErr w:type="spellEnd"/>
      <w:r w:rsidRPr="00766F91">
        <w:rPr>
          <w:rFonts w:asciiTheme="minorHAnsi" w:eastAsia="Times New Roman" w:hAnsiTheme="minorHAnsi" w:cs="Courier New"/>
          <w:color w:val="222222"/>
          <w:lang w:val="en"/>
        </w:rPr>
        <w:t>, 2012</w:t>
      </w:r>
    </w:p>
    <w:p w14:paraId="08187150" w14:textId="5754AF0B" w:rsidR="00603D75" w:rsidRPr="00BE6B8E" w:rsidRDefault="00603D75" w:rsidP="00603D75">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rFonts w:asciiTheme="minorHAnsi" w:hAnsiTheme="minorHAnsi" w:cs="Arial"/>
          <w:i w:val="0"/>
          <w:iCs w:val="0"/>
          <w:shd w:val="clear" w:color="auto" w:fill="FFFFFF"/>
        </w:rPr>
      </w:pPr>
      <w:r w:rsidRPr="00BA26B3">
        <w:rPr>
          <w:rStyle w:val="Emphasis"/>
          <w:rFonts w:asciiTheme="minorHAnsi" w:hAnsiTheme="minorHAnsi" w:cs="Arial"/>
          <w:b/>
          <w:bCs/>
          <w:i w:val="0"/>
          <w:iCs w:val="0"/>
          <w:shd w:val="clear" w:color="auto" w:fill="FFFFFF"/>
        </w:rPr>
        <w:t xml:space="preserve">IHR </w:t>
      </w:r>
      <w:r w:rsidRPr="00BA26B3">
        <w:rPr>
          <w:rFonts w:asciiTheme="minorHAnsi" w:hAnsiTheme="minorHAnsi" w:cs="Arial"/>
          <w:b/>
          <w:bCs/>
          <w:shd w:val="clear" w:color="auto" w:fill="FFFFFF"/>
        </w:rPr>
        <w:t xml:space="preserve">Emergency </w:t>
      </w:r>
      <w:r w:rsidRPr="00BA26B3">
        <w:rPr>
          <w:rStyle w:val="Emphasis"/>
          <w:rFonts w:asciiTheme="minorHAnsi" w:hAnsiTheme="minorHAnsi" w:cs="Arial"/>
          <w:b/>
          <w:bCs/>
          <w:i w:val="0"/>
          <w:iCs w:val="0"/>
          <w:shd w:val="clear" w:color="auto" w:fill="FFFFFF"/>
        </w:rPr>
        <w:t>Committee</w:t>
      </w:r>
      <w:r w:rsidRPr="00BA26B3">
        <w:rPr>
          <w:rFonts w:asciiTheme="minorHAnsi" w:hAnsiTheme="minorHAnsi" w:cs="Arial"/>
          <w:b/>
          <w:bCs/>
          <w:shd w:val="clear" w:color="auto" w:fill="FFFFFF"/>
        </w:rPr>
        <w:t xml:space="preserve"> concerning </w:t>
      </w:r>
      <w:r w:rsidRPr="00BA26B3">
        <w:rPr>
          <w:rStyle w:val="Emphasis"/>
          <w:rFonts w:asciiTheme="minorHAnsi" w:hAnsiTheme="minorHAnsi" w:cs="Arial"/>
          <w:b/>
          <w:bCs/>
          <w:i w:val="0"/>
          <w:iCs w:val="0"/>
          <w:shd w:val="clear" w:color="auto" w:fill="FFFFFF"/>
        </w:rPr>
        <w:t>Middle East respiratory syndrome coronavirus</w:t>
      </w:r>
      <w:r w:rsidR="00BA26B3">
        <w:rPr>
          <w:rStyle w:val="Emphasis"/>
          <w:rFonts w:asciiTheme="minorHAnsi" w:hAnsiTheme="minorHAnsi" w:cs="Arial"/>
          <w:i w:val="0"/>
          <w:iCs w:val="0"/>
          <w:shd w:val="clear" w:color="auto" w:fill="FFFFFF"/>
        </w:rPr>
        <w:t xml:space="preserve"> -</w:t>
      </w:r>
      <w:r w:rsidRPr="00BE6B8E">
        <w:rPr>
          <w:rStyle w:val="Emphasis"/>
          <w:rFonts w:asciiTheme="minorHAnsi" w:hAnsiTheme="minorHAnsi" w:cs="Arial"/>
          <w:i w:val="0"/>
          <w:iCs w:val="0"/>
          <w:shd w:val="clear" w:color="auto" w:fill="FFFFFF"/>
        </w:rPr>
        <w:t xml:space="preserve"> </w:t>
      </w:r>
      <w:r>
        <w:rPr>
          <w:rStyle w:val="Emphasis"/>
          <w:rFonts w:asciiTheme="minorHAnsi" w:hAnsiTheme="minorHAnsi" w:cs="Arial"/>
          <w:i w:val="0"/>
          <w:iCs w:val="0"/>
          <w:shd w:val="clear" w:color="auto" w:fill="FFFFFF"/>
        </w:rPr>
        <w:t xml:space="preserve">Dr. </w:t>
      </w:r>
      <w:proofErr w:type="spellStart"/>
      <w:r>
        <w:rPr>
          <w:rStyle w:val="Emphasis"/>
          <w:rFonts w:asciiTheme="minorHAnsi" w:hAnsiTheme="minorHAnsi" w:cs="Arial"/>
          <w:i w:val="0"/>
          <w:iCs w:val="0"/>
          <w:shd w:val="clear" w:color="auto" w:fill="FFFFFF"/>
        </w:rPr>
        <w:t>Paata</w:t>
      </w:r>
      <w:proofErr w:type="spellEnd"/>
      <w:r>
        <w:rPr>
          <w:rStyle w:val="Emphasis"/>
          <w:rFonts w:asciiTheme="minorHAnsi" w:hAnsiTheme="minorHAnsi" w:cs="Arial"/>
          <w:i w:val="0"/>
          <w:iCs w:val="0"/>
          <w:shd w:val="clear" w:color="auto" w:fill="FFFFFF"/>
        </w:rPr>
        <w:t xml:space="preserve"> </w:t>
      </w:r>
      <w:proofErr w:type="spellStart"/>
      <w:r>
        <w:rPr>
          <w:rStyle w:val="Emphasis"/>
          <w:rFonts w:asciiTheme="minorHAnsi" w:hAnsiTheme="minorHAnsi" w:cs="Arial"/>
          <w:i w:val="0"/>
          <w:iCs w:val="0"/>
          <w:shd w:val="clear" w:color="auto" w:fill="FFFFFF"/>
        </w:rPr>
        <w:t>Imnadze</w:t>
      </w:r>
      <w:proofErr w:type="spellEnd"/>
      <w:r>
        <w:rPr>
          <w:rStyle w:val="Emphasis"/>
          <w:rFonts w:asciiTheme="minorHAnsi" w:hAnsiTheme="minorHAnsi" w:cs="Arial"/>
          <w:i w:val="0"/>
          <w:iCs w:val="0"/>
          <w:shd w:val="clear" w:color="auto" w:fill="FFFFFF"/>
        </w:rPr>
        <w:t xml:space="preserve">, </w:t>
      </w:r>
      <w:r w:rsidRPr="00BE6B8E">
        <w:rPr>
          <w:rStyle w:val="Emphasis"/>
          <w:rFonts w:asciiTheme="minorHAnsi" w:hAnsiTheme="minorHAnsi" w:cs="Arial"/>
          <w:i w:val="0"/>
          <w:iCs w:val="0"/>
          <w:shd w:val="clear" w:color="auto" w:fill="FFFFFF"/>
        </w:rPr>
        <w:t>2013 to present</w:t>
      </w:r>
    </w:p>
    <w:p w14:paraId="2CBFBBBE" w14:textId="4BABB314" w:rsidR="00603D75" w:rsidRPr="007A3FEA" w:rsidRDefault="00603D75" w:rsidP="00603D75">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hd w:val="clear" w:color="auto" w:fill="FFFFFF"/>
        </w:rPr>
      </w:pPr>
      <w:r w:rsidRPr="00BA26B3">
        <w:rPr>
          <w:rFonts w:asciiTheme="minorHAnsi" w:eastAsia="Times New Roman" w:hAnsiTheme="minorHAnsi" w:cs="Sylfaen"/>
          <w:b/>
          <w:bCs/>
          <w:color w:val="222222"/>
          <w:lang w:val="en"/>
        </w:rPr>
        <w:t>European Health Systems Foresight Group</w:t>
      </w:r>
      <w:r w:rsidR="00BA26B3">
        <w:rPr>
          <w:rFonts w:asciiTheme="minorHAnsi" w:eastAsia="Times New Roman" w:hAnsiTheme="minorHAnsi" w:cs="Sylfaen"/>
          <w:color w:val="222222"/>
          <w:lang w:val="en"/>
        </w:rPr>
        <w:t xml:space="preserve"> -</w:t>
      </w:r>
      <w:r w:rsidRPr="00BE6B8E">
        <w:rPr>
          <w:rFonts w:asciiTheme="minorHAnsi" w:eastAsia="Times New Roman" w:hAnsiTheme="minorHAnsi" w:cs="Sylfaen"/>
          <w:color w:val="222222"/>
          <w:lang w:val="en"/>
        </w:rPr>
        <w:t xml:space="preserve"> Dr. </w:t>
      </w:r>
      <w:proofErr w:type="spellStart"/>
      <w:r w:rsidRPr="00BE6B8E">
        <w:rPr>
          <w:rFonts w:asciiTheme="minorHAnsi" w:eastAsia="Times New Roman" w:hAnsiTheme="minorHAnsi" w:cs="Sylfaen"/>
          <w:color w:val="222222"/>
          <w:lang w:val="en"/>
        </w:rPr>
        <w:t>Amiran</w:t>
      </w:r>
      <w:proofErr w:type="spellEnd"/>
      <w:r w:rsidRPr="00BE6B8E">
        <w:rPr>
          <w:rFonts w:asciiTheme="minorHAnsi" w:eastAsia="Times New Roman" w:hAnsiTheme="minorHAnsi" w:cs="Sylfaen"/>
          <w:color w:val="222222"/>
          <w:lang w:val="en"/>
        </w:rPr>
        <w:t xml:space="preserve"> Gamkrelidze, 2017-2019</w:t>
      </w:r>
    </w:p>
    <w:p w14:paraId="1DFB13BA" w14:textId="77777777" w:rsidR="00BA26B3" w:rsidRDefault="00BA26B3" w:rsidP="00BA26B3">
      <w:pPr>
        <w:spacing w:line="240" w:lineRule="auto"/>
        <w:contextualSpacing/>
        <w:jc w:val="both"/>
        <w:rPr>
          <w:rFonts w:cstheme="minorHAnsi"/>
          <w:b/>
          <w:bCs/>
          <w:shd w:val="clear" w:color="auto" w:fill="FFFFFF"/>
        </w:rPr>
      </w:pPr>
    </w:p>
    <w:p w14:paraId="3ED0A2F1" w14:textId="01BBD586" w:rsidR="007A3FEA" w:rsidRPr="007A3FEA" w:rsidRDefault="007A3FEA" w:rsidP="00BA26B3">
      <w:pPr>
        <w:spacing w:after="0" w:line="240" w:lineRule="auto"/>
        <w:contextualSpacing/>
        <w:jc w:val="both"/>
        <w:rPr>
          <w:rFonts w:cstheme="minorHAnsi"/>
          <w:shd w:val="clear" w:color="auto" w:fill="FFFFFF"/>
        </w:rPr>
      </w:pPr>
      <w:r w:rsidRPr="007A3FEA">
        <w:rPr>
          <w:rFonts w:cstheme="minorHAnsi"/>
          <w:b/>
          <w:bCs/>
          <w:shd w:val="clear" w:color="auto" w:fill="FFFFFF"/>
        </w:rPr>
        <w:t>WHO</w:t>
      </w:r>
      <w:r w:rsidRPr="007A3FEA">
        <w:rPr>
          <w:rFonts w:cstheme="minorHAnsi"/>
          <w:shd w:val="clear" w:color="auto" w:fill="FFFFFF"/>
        </w:rPr>
        <w:t> </w:t>
      </w:r>
      <w:r w:rsidRPr="007A3FEA">
        <w:rPr>
          <w:rStyle w:val="Emphasis"/>
          <w:rFonts w:cstheme="minorHAnsi"/>
          <w:b/>
          <w:bCs/>
          <w:i w:val="0"/>
          <w:iCs w:val="0"/>
          <w:shd w:val="clear" w:color="auto" w:fill="FFFFFF"/>
        </w:rPr>
        <w:t>awards prizes</w:t>
      </w:r>
      <w:r w:rsidRPr="007A3FEA">
        <w:rPr>
          <w:rFonts w:cstheme="minorHAnsi"/>
          <w:shd w:val="clear" w:color="auto" w:fill="FFFFFF"/>
        </w:rPr>
        <w:t> for excellence in </w:t>
      </w:r>
      <w:r w:rsidRPr="007A3FEA">
        <w:rPr>
          <w:rStyle w:val="Emphasis"/>
          <w:rFonts w:cstheme="minorHAnsi"/>
          <w:i w:val="0"/>
          <w:iCs w:val="0"/>
          <w:shd w:val="clear" w:color="auto" w:fill="FFFFFF"/>
        </w:rPr>
        <w:t>public</w:t>
      </w:r>
      <w:r w:rsidRPr="007A3FEA">
        <w:rPr>
          <w:rFonts w:cstheme="minorHAnsi"/>
          <w:shd w:val="clear" w:color="auto" w:fill="FFFFFF"/>
        </w:rPr>
        <w:t xml:space="preserve"> health</w:t>
      </w:r>
      <w:r w:rsidRPr="007A3FEA">
        <w:rPr>
          <w:rFonts w:cstheme="minorHAnsi"/>
          <w:shd w:val="clear" w:color="auto" w:fill="FFFFFF"/>
          <w:lang w:val="ka-GE"/>
        </w:rPr>
        <w:t xml:space="preserve">, </w:t>
      </w:r>
      <w:r w:rsidRPr="007A3FEA">
        <w:rPr>
          <w:rFonts w:cstheme="minorHAnsi"/>
          <w:shd w:val="clear" w:color="auto" w:fill="FFFFFF"/>
        </w:rPr>
        <w:t>which reward and recognize major achievements, with proven impact for health gains in countries. The prizes are established either in the name of eminent health professionals and international figures or by prominent foundations that commit to support international and global public health innovation and success. </w:t>
      </w:r>
    </w:p>
    <w:p w14:paraId="6507DF2D" w14:textId="77777777" w:rsidR="007A3FEA" w:rsidRPr="007A3FEA" w:rsidRDefault="007A3FEA" w:rsidP="00BA26B3">
      <w:pPr>
        <w:pStyle w:val="ListParagraph"/>
        <w:numPr>
          <w:ilvl w:val="0"/>
          <w:numId w:val="17"/>
        </w:numPr>
        <w:jc w:val="both"/>
        <w:rPr>
          <w:rFonts w:asciiTheme="minorHAnsi" w:hAnsiTheme="minorHAnsi" w:cstheme="minorHAnsi"/>
        </w:rPr>
      </w:pPr>
      <w:r w:rsidRPr="007A3FEA">
        <w:rPr>
          <w:rFonts w:asciiTheme="minorHAnsi" w:hAnsiTheme="minorHAnsi" w:cstheme="minorHAnsi"/>
        </w:rPr>
        <w:t xml:space="preserve">In 2002, WHO European regional Bureau awarded Dr. </w:t>
      </w:r>
      <w:proofErr w:type="spellStart"/>
      <w:r w:rsidRPr="007A3FEA">
        <w:rPr>
          <w:rFonts w:asciiTheme="minorHAnsi" w:hAnsiTheme="minorHAnsi" w:cstheme="minorHAnsi"/>
        </w:rPr>
        <w:t>Paata</w:t>
      </w:r>
      <w:proofErr w:type="spellEnd"/>
      <w:r w:rsidRPr="007A3FEA">
        <w:rPr>
          <w:rFonts w:asciiTheme="minorHAnsi" w:hAnsiTheme="minorHAnsi" w:cstheme="minorHAnsi"/>
        </w:rPr>
        <w:t xml:space="preserve"> </w:t>
      </w:r>
      <w:proofErr w:type="spellStart"/>
      <w:r w:rsidRPr="007A3FEA">
        <w:rPr>
          <w:rFonts w:asciiTheme="minorHAnsi" w:hAnsiTheme="minorHAnsi" w:cstheme="minorHAnsi"/>
        </w:rPr>
        <w:t>Imnadze</w:t>
      </w:r>
      <w:proofErr w:type="spellEnd"/>
      <w:r w:rsidRPr="007A3FEA">
        <w:rPr>
          <w:rFonts w:asciiTheme="minorHAnsi" w:hAnsiTheme="minorHAnsi" w:cstheme="minorHAnsi"/>
        </w:rPr>
        <w:t xml:space="preserve"> with </w:t>
      </w:r>
      <w:r w:rsidRPr="007A3FEA">
        <w:rPr>
          <w:rFonts w:asciiTheme="minorHAnsi" w:hAnsiTheme="minorHAnsi" w:cstheme="minorHAnsi"/>
          <w:b/>
          <w:bCs/>
        </w:rPr>
        <w:t>Gold Medal</w:t>
      </w:r>
      <w:r w:rsidRPr="007A3FEA">
        <w:rPr>
          <w:rFonts w:asciiTheme="minorHAnsi" w:hAnsiTheme="minorHAnsi" w:cstheme="minorHAnsi"/>
        </w:rPr>
        <w:t xml:space="preserve"> for his contribution to the declaration of European Region as a polio free.</w:t>
      </w:r>
    </w:p>
    <w:p w14:paraId="7A09A333" w14:textId="386571C2" w:rsidR="007A3FEA" w:rsidRPr="007A3FEA" w:rsidRDefault="007A3FEA" w:rsidP="00BA26B3">
      <w:pPr>
        <w:pStyle w:val="ListParagraph"/>
        <w:numPr>
          <w:ilvl w:val="0"/>
          <w:numId w:val="17"/>
        </w:numPr>
        <w:jc w:val="both"/>
        <w:rPr>
          <w:rFonts w:asciiTheme="minorHAnsi" w:hAnsiTheme="minorHAnsi" w:cstheme="minorHAnsi"/>
          <w:lang w:val="ka-GE"/>
        </w:rPr>
      </w:pPr>
      <w:r w:rsidRPr="007A3FEA">
        <w:rPr>
          <w:rFonts w:asciiTheme="minorHAnsi" w:hAnsiTheme="minorHAnsi" w:cstheme="minorHAnsi"/>
        </w:rPr>
        <w:t>In 2009, at the World Health Assembly</w:t>
      </w:r>
      <w:r w:rsidR="00BA26B3">
        <w:rPr>
          <w:rFonts w:asciiTheme="minorHAnsi" w:hAnsiTheme="minorHAnsi" w:cstheme="minorHAnsi"/>
        </w:rPr>
        <w:t xml:space="preserve"> awarded</w:t>
      </w:r>
      <w:r w:rsidRPr="007A3FEA">
        <w:rPr>
          <w:rFonts w:asciiTheme="minorHAnsi" w:hAnsiTheme="minorHAnsi" w:cstheme="minorHAnsi"/>
        </w:rPr>
        <w:t xml:space="preserve"> the Infectious Diseases, AIDS and Clinical Immunology Research Center (General Director Tengiz </w:t>
      </w:r>
      <w:proofErr w:type="spellStart"/>
      <w:r w:rsidRPr="007A3FEA">
        <w:rPr>
          <w:rFonts w:asciiTheme="minorHAnsi" w:hAnsiTheme="minorHAnsi" w:cstheme="minorHAnsi"/>
        </w:rPr>
        <w:t>Tsertsvadze</w:t>
      </w:r>
      <w:proofErr w:type="spellEnd"/>
      <w:r w:rsidRPr="007A3FEA">
        <w:rPr>
          <w:rFonts w:asciiTheme="minorHAnsi" w:hAnsiTheme="minorHAnsi" w:cstheme="minorHAnsi"/>
        </w:rPr>
        <w:t xml:space="preserve">) </w:t>
      </w:r>
      <w:r w:rsidR="00BA26B3">
        <w:rPr>
          <w:rFonts w:asciiTheme="minorHAnsi" w:hAnsiTheme="minorHAnsi" w:cstheme="minorHAnsi"/>
        </w:rPr>
        <w:t>with</w:t>
      </w:r>
      <w:r w:rsidRPr="007A3FEA">
        <w:rPr>
          <w:rFonts w:asciiTheme="minorHAnsi" w:hAnsiTheme="minorHAnsi" w:cstheme="minorHAnsi"/>
        </w:rPr>
        <w:t xml:space="preserve"> the </w:t>
      </w:r>
      <w:r w:rsidRPr="007A3FEA">
        <w:rPr>
          <w:rFonts w:asciiTheme="minorHAnsi" w:hAnsiTheme="minorHAnsi" w:cstheme="minorHAnsi"/>
          <w:b/>
          <w:bCs/>
        </w:rPr>
        <w:t xml:space="preserve">Lee Jong </w:t>
      </w:r>
      <w:proofErr w:type="spellStart"/>
      <w:r w:rsidRPr="007A3FEA">
        <w:rPr>
          <w:rFonts w:asciiTheme="minorHAnsi" w:hAnsiTheme="minorHAnsi" w:cstheme="minorHAnsi"/>
          <w:b/>
          <w:bCs/>
        </w:rPr>
        <w:t>Wook</w:t>
      </w:r>
      <w:proofErr w:type="spellEnd"/>
      <w:r w:rsidRPr="007A3FEA">
        <w:rPr>
          <w:rFonts w:asciiTheme="minorHAnsi" w:hAnsiTheme="minorHAnsi" w:cstheme="minorHAnsi"/>
          <w:b/>
          <w:bCs/>
        </w:rPr>
        <w:t xml:space="preserve"> Memorial Prize</w:t>
      </w:r>
      <w:r w:rsidRPr="007A3FEA">
        <w:rPr>
          <w:rFonts w:asciiTheme="minorHAnsi" w:hAnsiTheme="minorHAnsi" w:cstheme="minorHAnsi"/>
        </w:rPr>
        <w:t xml:space="preserve"> as the Best Infectious Diseases Institution in the European Region – to fight AIDS and Viral hepatitis, </w:t>
      </w:r>
      <w:proofErr w:type="spellStart"/>
      <w:r w:rsidRPr="007A3FEA">
        <w:rPr>
          <w:rFonts w:asciiTheme="minorHAnsi" w:hAnsiTheme="minorHAnsi" w:cstheme="minorHAnsi"/>
        </w:rPr>
        <w:t>i</w:t>
      </w:r>
      <w:proofErr w:type="spellEnd"/>
      <w:r w:rsidRPr="007A3FEA">
        <w:rPr>
          <w:rFonts w:asciiTheme="minorHAnsi" w:hAnsiTheme="minorHAnsi" w:cstheme="minorHAnsi"/>
          <w:lang w:val="ka-GE"/>
        </w:rPr>
        <w:t>n particular, for thei</w:t>
      </w:r>
      <w:r w:rsidRPr="007A3FEA">
        <w:rPr>
          <w:rFonts w:asciiTheme="minorHAnsi" w:hAnsiTheme="minorHAnsi" w:cstheme="minorHAnsi"/>
        </w:rPr>
        <w:t xml:space="preserve"> special and innovative way of </w:t>
      </w:r>
      <w:r w:rsidRPr="007A3FEA">
        <w:rPr>
          <w:rFonts w:asciiTheme="minorHAnsi" w:hAnsiTheme="minorHAnsi" w:cstheme="minorHAnsi"/>
          <w:lang w:val="ka-GE"/>
        </w:rPr>
        <w:t>the prevention</w:t>
      </w:r>
      <w:r w:rsidRPr="007A3FEA">
        <w:rPr>
          <w:rFonts w:asciiTheme="minorHAnsi" w:hAnsiTheme="minorHAnsi" w:cstheme="minorHAnsi"/>
        </w:rPr>
        <w:t>,</w:t>
      </w:r>
      <w:r w:rsidRPr="007A3FEA">
        <w:rPr>
          <w:rFonts w:asciiTheme="minorHAnsi" w:hAnsiTheme="minorHAnsi" w:cstheme="minorHAnsi"/>
          <w:lang w:val="ka-GE"/>
        </w:rPr>
        <w:t xml:space="preserve"> treatment and control </w:t>
      </w:r>
      <w:r w:rsidRPr="007A3FEA">
        <w:rPr>
          <w:rFonts w:asciiTheme="minorHAnsi" w:hAnsiTheme="minorHAnsi" w:cstheme="minorHAnsi"/>
        </w:rPr>
        <w:t>of these diseases and</w:t>
      </w:r>
      <w:r w:rsidRPr="007A3FEA">
        <w:rPr>
          <w:rFonts w:asciiTheme="minorHAnsi" w:hAnsiTheme="minorHAnsi" w:cstheme="minorHAnsi"/>
          <w:lang w:val="ka-GE"/>
        </w:rPr>
        <w:t xml:space="preserve"> contribution to the development of research potential. </w:t>
      </w:r>
    </w:p>
    <w:p w14:paraId="5EC6E445" w14:textId="05A4C4AA" w:rsidR="007A3FEA" w:rsidRPr="007A3FEA" w:rsidRDefault="007A3FEA" w:rsidP="007A3FEA">
      <w:pPr>
        <w:pStyle w:val="ListParagraph"/>
        <w:numPr>
          <w:ilvl w:val="0"/>
          <w:numId w:val="17"/>
        </w:numPr>
        <w:jc w:val="both"/>
        <w:rPr>
          <w:rFonts w:asciiTheme="minorHAnsi" w:hAnsiTheme="minorHAnsi" w:cstheme="minorHAnsi"/>
          <w:shd w:val="clear" w:color="auto" w:fill="FFFFFF"/>
        </w:rPr>
      </w:pPr>
      <w:r w:rsidRPr="007A3FEA">
        <w:rPr>
          <w:rFonts w:asciiTheme="minorHAnsi" w:hAnsiTheme="minorHAnsi" w:cstheme="minorHAnsi"/>
        </w:rPr>
        <w:t>The same year,</w:t>
      </w:r>
      <w:r w:rsidRPr="007A3FEA">
        <w:rPr>
          <w:rFonts w:asciiTheme="minorHAnsi" w:hAnsiTheme="minorHAnsi" w:cstheme="minorHAnsi"/>
          <w:shd w:val="clear" w:color="auto" w:fill="FFFFFF"/>
        </w:rPr>
        <w:t xml:space="preserve"> </w:t>
      </w:r>
      <w:r w:rsidRPr="007A3FEA">
        <w:rPr>
          <w:rFonts w:asciiTheme="minorHAnsi" w:hAnsiTheme="minorHAnsi" w:cstheme="minorHAnsi"/>
        </w:rPr>
        <w:t>at the World Health Assembly</w:t>
      </w:r>
      <w:r w:rsidR="00BA26B3">
        <w:rPr>
          <w:rFonts w:asciiTheme="minorHAnsi" w:hAnsiTheme="minorHAnsi" w:cstheme="minorHAnsi"/>
        </w:rPr>
        <w:t>,</w:t>
      </w:r>
      <w:r w:rsidRPr="007A3FEA">
        <w:rPr>
          <w:rFonts w:asciiTheme="minorHAnsi" w:hAnsiTheme="minorHAnsi" w:cstheme="minorHAnsi"/>
          <w:shd w:val="clear" w:color="auto" w:fill="FFFFFF"/>
        </w:rPr>
        <w:t xml:space="preserve"> </w:t>
      </w:r>
      <w:r w:rsidRPr="007A3FEA">
        <w:rPr>
          <w:rStyle w:val="Emphasis"/>
          <w:rFonts w:asciiTheme="minorHAnsi" w:hAnsiTheme="minorHAnsi" w:cstheme="minorHAnsi"/>
          <w:i w:val="0"/>
          <w:iCs w:val="0"/>
          <w:shd w:val="clear" w:color="auto" w:fill="FFFFFF"/>
        </w:rPr>
        <w:t>Georgian Respiratory Association</w:t>
      </w:r>
      <w:r w:rsidRPr="007A3FEA">
        <w:rPr>
          <w:rFonts w:asciiTheme="minorHAnsi" w:hAnsiTheme="minorHAnsi" w:cstheme="minorHAnsi"/>
          <w:shd w:val="clear" w:color="auto" w:fill="FFFFFF"/>
        </w:rPr>
        <w:t> (D</w:t>
      </w:r>
      <w:r w:rsidRPr="007A3FEA">
        <w:rPr>
          <w:rFonts w:asciiTheme="minorHAnsi" w:hAnsiTheme="minorHAnsi" w:cstheme="minorHAnsi"/>
          <w:lang w:val="ka-GE"/>
        </w:rPr>
        <w:t>r. Ivane Chkhaidze</w:t>
      </w:r>
      <w:r w:rsidRPr="007A3FEA">
        <w:rPr>
          <w:rFonts w:asciiTheme="minorHAnsi" w:hAnsiTheme="minorHAnsi" w:cstheme="minorHAnsi"/>
        </w:rPr>
        <w:t>,</w:t>
      </w:r>
      <w:r w:rsidRPr="007A3FEA">
        <w:rPr>
          <w:rFonts w:asciiTheme="minorHAnsi" w:hAnsiTheme="minorHAnsi" w:cstheme="minorHAnsi"/>
          <w:lang w:val="ka-GE"/>
        </w:rPr>
        <w:t xml:space="preserve"> President</w:t>
      </w:r>
      <w:r w:rsidRPr="007A3FEA">
        <w:rPr>
          <w:rFonts w:asciiTheme="minorHAnsi" w:hAnsiTheme="minorHAnsi" w:cstheme="minorHAnsi"/>
        </w:rPr>
        <w:t>)</w:t>
      </w:r>
      <w:r w:rsidRPr="007A3FEA">
        <w:rPr>
          <w:rFonts w:asciiTheme="minorHAnsi" w:hAnsiTheme="minorHAnsi" w:cstheme="minorHAnsi"/>
          <w:lang w:val="ka-GE"/>
        </w:rPr>
        <w:t xml:space="preserve"> </w:t>
      </w:r>
      <w:r w:rsidRPr="007A3FEA">
        <w:rPr>
          <w:rFonts w:asciiTheme="minorHAnsi" w:hAnsiTheme="minorHAnsi" w:cstheme="minorHAnsi"/>
          <w:shd w:val="clear" w:color="auto" w:fill="FFFFFF"/>
        </w:rPr>
        <w:t>was </w:t>
      </w:r>
      <w:r w:rsidRPr="007A3FEA">
        <w:rPr>
          <w:rStyle w:val="Emphasis"/>
          <w:rFonts w:asciiTheme="minorHAnsi" w:hAnsiTheme="minorHAnsi" w:cstheme="minorHAnsi"/>
          <w:i w:val="0"/>
          <w:iCs w:val="0"/>
          <w:shd w:val="clear" w:color="auto" w:fill="FFFFFF"/>
        </w:rPr>
        <w:t>awarded</w:t>
      </w:r>
      <w:r w:rsidRPr="007A3FEA">
        <w:rPr>
          <w:rFonts w:asciiTheme="minorHAnsi" w:hAnsiTheme="minorHAnsi" w:cstheme="minorHAnsi"/>
          <w:shd w:val="clear" w:color="auto" w:fill="FFFFFF"/>
        </w:rPr>
        <w:t> </w:t>
      </w:r>
      <w:r w:rsidR="00BA26B3">
        <w:rPr>
          <w:rFonts w:asciiTheme="minorHAnsi" w:hAnsiTheme="minorHAnsi" w:cstheme="minorHAnsi"/>
          <w:shd w:val="clear" w:color="auto" w:fill="FFFFFF"/>
        </w:rPr>
        <w:t>with</w:t>
      </w:r>
      <w:r w:rsidRPr="007A3FEA">
        <w:rPr>
          <w:rFonts w:asciiTheme="minorHAnsi" w:hAnsiTheme="minorHAnsi" w:cstheme="minorHAnsi"/>
          <w:shd w:val="clear" w:color="auto" w:fill="FFFFFF"/>
        </w:rPr>
        <w:t xml:space="preserve"> the </w:t>
      </w:r>
      <w:r w:rsidRPr="007A3FEA">
        <w:rPr>
          <w:rFonts w:asciiTheme="minorHAnsi" w:hAnsiTheme="minorHAnsi" w:cstheme="minorHAnsi"/>
          <w:b/>
          <w:bCs/>
          <w:shd w:val="clear" w:color="auto" w:fill="FFFFFF"/>
        </w:rPr>
        <w:t>United Arab Emirates Health Foundation Prize</w:t>
      </w:r>
    </w:p>
    <w:p w14:paraId="0F3017F1" w14:textId="7F808D5B" w:rsidR="007A3FEA" w:rsidRPr="007A3FEA" w:rsidRDefault="00BA26B3" w:rsidP="007A3FEA">
      <w:pPr>
        <w:pStyle w:val="ListParagraph"/>
        <w:numPr>
          <w:ilvl w:val="0"/>
          <w:numId w:val="17"/>
        </w:numPr>
        <w:jc w:val="both"/>
        <w:rPr>
          <w:rFonts w:asciiTheme="minorHAnsi" w:hAnsiTheme="minorHAnsi" w:cstheme="minorHAnsi"/>
          <w:lang w:val="ka-GE"/>
        </w:rPr>
      </w:pPr>
      <w:r>
        <w:rPr>
          <w:rFonts w:asciiTheme="minorHAnsi" w:hAnsiTheme="minorHAnsi" w:cstheme="minorHAnsi"/>
        </w:rPr>
        <w:t>T</w:t>
      </w:r>
      <w:r w:rsidR="007A3FEA" w:rsidRPr="007A3FEA">
        <w:rPr>
          <w:rFonts w:asciiTheme="minorHAnsi" w:hAnsiTheme="minorHAnsi" w:cstheme="minorHAnsi"/>
          <w:lang w:val="ka-GE"/>
        </w:rPr>
        <w:t>he same year</w:t>
      </w:r>
      <w:r>
        <w:rPr>
          <w:rFonts w:asciiTheme="minorHAnsi" w:hAnsiTheme="minorHAnsi" w:cstheme="minorHAnsi"/>
        </w:rPr>
        <w:t xml:space="preserve"> – in 2009</w:t>
      </w:r>
      <w:r w:rsidR="007A3FEA" w:rsidRPr="007A3FEA">
        <w:rPr>
          <w:rFonts w:asciiTheme="minorHAnsi" w:hAnsiTheme="minorHAnsi" w:cstheme="minorHAnsi"/>
          <w:lang w:val="ka-GE"/>
        </w:rPr>
        <w:t xml:space="preserve">, </w:t>
      </w:r>
      <w:r w:rsidR="007A3FEA" w:rsidRPr="007A3FEA">
        <w:rPr>
          <w:rFonts w:asciiTheme="minorHAnsi" w:hAnsiTheme="minorHAnsi" w:cstheme="minorHAnsi"/>
        </w:rPr>
        <w:t>WHO Director-General Dr</w:t>
      </w:r>
      <w:r w:rsidR="007A3FEA" w:rsidRPr="007A3FEA">
        <w:rPr>
          <w:rFonts w:asciiTheme="minorHAnsi" w:hAnsiTheme="minorHAnsi" w:cstheme="minorHAnsi"/>
          <w:lang w:val="ka-GE"/>
        </w:rPr>
        <w:t xml:space="preserve">. Margaret Chan presented </w:t>
      </w:r>
      <w:r w:rsidR="007A3FEA">
        <w:rPr>
          <w:rFonts w:asciiTheme="minorHAnsi" w:hAnsiTheme="minorHAnsi" w:cstheme="minorHAnsi"/>
        </w:rPr>
        <w:t>D</w:t>
      </w:r>
      <w:r w:rsidR="007A3FEA" w:rsidRPr="007A3FEA">
        <w:rPr>
          <w:rFonts w:asciiTheme="minorHAnsi" w:hAnsiTheme="minorHAnsi" w:cstheme="minorHAnsi"/>
          <w:lang w:val="ka-GE"/>
        </w:rPr>
        <w:t xml:space="preserve">r. Tamaz Maghlakelidze with the 2009 </w:t>
      </w:r>
      <w:r w:rsidR="007A3FEA" w:rsidRPr="007A3FEA">
        <w:rPr>
          <w:rFonts w:asciiTheme="minorHAnsi" w:hAnsiTheme="minorHAnsi" w:cstheme="minorHAnsi"/>
          <w:b/>
          <w:bCs/>
          <w:lang w:val="ka-GE"/>
        </w:rPr>
        <w:t>United Nations Prize</w:t>
      </w:r>
      <w:r w:rsidR="007A3FEA" w:rsidRPr="007A3FEA">
        <w:rPr>
          <w:rFonts w:asciiTheme="minorHAnsi" w:hAnsiTheme="minorHAnsi" w:cstheme="minorHAnsi"/>
          <w:lang w:val="ka-GE"/>
        </w:rPr>
        <w:t xml:space="preserve"> for </w:t>
      </w:r>
      <w:r w:rsidR="007A3FEA">
        <w:rPr>
          <w:rFonts w:asciiTheme="minorHAnsi" w:hAnsiTheme="minorHAnsi" w:cstheme="minorHAnsi"/>
        </w:rPr>
        <w:t>o</w:t>
      </w:r>
      <w:r w:rsidR="007A3FEA" w:rsidRPr="007A3FEA">
        <w:rPr>
          <w:rFonts w:asciiTheme="minorHAnsi" w:hAnsiTheme="minorHAnsi" w:cstheme="minorHAnsi"/>
          <w:lang w:val="ka-GE"/>
        </w:rPr>
        <w:t xml:space="preserve">utstanding </w:t>
      </w:r>
      <w:r w:rsidR="007A3FEA">
        <w:rPr>
          <w:rFonts w:asciiTheme="minorHAnsi" w:hAnsiTheme="minorHAnsi" w:cstheme="minorHAnsi"/>
        </w:rPr>
        <w:t>c</w:t>
      </w:r>
      <w:r w:rsidR="007A3FEA" w:rsidRPr="007A3FEA">
        <w:rPr>
          <w:rFonts w:asciiTheme="minorHAnsi" w:hAnsiTheme="minorHAnsi" w:cstheme="minorHAnsi"/>
          <w:lang w:val="ka-GE"/>
        </w:rPr>
        <w:t xml:space="preserve">ontribution to the </w:t>
      </w:r>
      <w:r w:rsidR="007A3FEA">
        <w:rPr>
          <w:rFonts w:asciiTheme="minorHAnsi" w:hAnsiTheme="minorHAnsi" w:cstheme="minorHAnsi"/>
        </w:rPr>
        <w:t>d</w:t>
      </w:r>
      <w:r w:rsidR="007A3FEA" w:rsidRPr="007A3FEA">
        <w:rPr>
          <w:rFonts w:asciiTheme="minorHAnsi" w:hAnsiTheme="minorHAnsi" w:cstheme="minorHAnsi"/>
          <w:lang w:val="ka-GE"/>
        </w:rPr>
        <w:t xml:space="preserve">evelopment of </w:t>
      </w:r>
      <w:r w:rsidR="007A3FEA">
        <w:rPr>
          <w:rFonts w:asciiTheme="minorHAnsi" w:hAnsiTheme="minorHAnsi" w:cstheme="minorHAnsi"/>
        </w:rPr>
        <w:t>m</w:t>
      </w:r>
      <w:r w:rsidR="007A3FEA" w:rsidRPr="007A3FEA">
        <w:rPr>
          <w:rFonts w:asciiTheme="minorHAnsi" w:hAnsiTheme="minorHAnsi" w:cstheme="minorHAnsi"/>
          <w:lang w:val="ka-GE"/>
        </w:rPr>
        <w:t>edicine.</w:t>
      </w:r>
    </w:p>
    <w:p w14:paraId="78587189" w14:textId="77777777" w:rsidR="00B23654" w:rsidRDefault="00B23654" w:rsidP="00B23654">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36A0E24A" w14:textId="77777777" w:rsidR="000D5F43" w:rsidRPr="00715912" w:rsidRDefault="000D5F43" w:rsidP="008F4D49">
      <w:pPr>
        <w:pStyle w:val="BodyText"/>
        <w:spacing w:after="0"/>
        <w:contextualSpacing/>
        <w:jc w:val="both"/>
        <w:rPr>
          <w:rFonts w:asciiTheme="minorHAnsi" w:hAnsiTheme="minorHAnsi" w:cstheme="minorHAnsi"/>
          <w:b/>
          <w:sz w:val="16"/>
          <w:szCs w:val="16"/>
        </w:rPr>
        <w:sectPr w:rsidR="000D5F43" w:rsidRPr="00715912" w:rsidSect="001B0241">
          <w:type w:val="continuous"/>
          <w:pgSz w:w="12240" w:h="15840"/>
          <w:pgMar w:top="709" w:right="850" w:bottom="284" w:left="851" w:header="720" w:footer="720" w:gutter="0"/>
          <w:cols w:space="181"/>
          <w:docGrid w:linePitch="360"/>
        </w:sectPr>
      </w:pPr>
    </w:p>
    <w:p w14:paraId="55160CE5" w14:textId="35FB3645" w:rsidR="00293207" w:rsidRPr="001F0CF9" w:rsidRDefault="00293207" w:rsidP="008F4D49">
      <w:pPr>
        <w:pStyle w:val="BodyText"/>
        <w:spacing w:after="0"/>
        <w:contextualSpacing/>
        <w:jc w:val="both"/>
        <w:rPr>
          <w:rFonts w:asciiTheme="minorHAnsi" w:hAnsiTheme="minorHAnsi" w:cstheme="minorHAnsi"/>
          <w:b/>
          <w:sz w:val="22"/>
          <w:szCs w:val="22"/>
        </w:rPr>
      </w:pPr>
      <w:r w:rsidRPr="001F0CF9">
        <w:rPr>
          <w:rFonts w:asciiTheme="minorHAnsi" w:hAnsiTheme="minorHAnsi" w:cstheme="minorHAnsi"/>
          <w:b/>
          <w:sz w:val="22"/>
          <w:szCs w:val="22"/>
        </w:rPr>
        <w:t xml:space="preserve">WHO </w:t>
      </w:r>
      <w:r w:rsidR="00603D75">
        <w:rPr>
          <w:rFonts w:asciiTheme="minorHAnsi" w:hAnsiTheme="minorHAnsi" w:cstheme="minorHAnsi"/>
          <w:b/>
          <w:sz w:val="22"/>
          <w:szCs w:val="22"/>
        </w:rPr>
        <w:t>work in Georgia</w:t>
      </w:r>
    </w:p>
    <w:p w14:paraId="49F98921" w14:textId="77777777" w:rsidR="00293207" w:rsidRPr="001F0CF9" w:rsidRDefault="00293207" w:rsidP="008F4D49">
      <w:pPr>
        <w:shd w:val="clear" w:color="auto" w:fill="FFFFFF"/>
        <w:spacing w:after="0" w:line="240" w:lineRule="auto"/>
        <w:contextualSpacing/>
        <w:jc w:val="both"/>
        <w:rPr>
          <w:rFonts w:cstheme="minorHAnsi"/>
        </w:rPr>
      </w:pPr>
      <w:r w:rsidRPr="001F0CF9">
        <w:rPr>
          <w:rFonts w:cstheme="minorHAnsi"/>
        </w:rPr>
        <w:t>The main strategic directions of WHO in Georgia, as well as in other countries in the world, are:</w:t>
      </w:r>
    </w:p>
    <w:p w14:paraId="050E8BF6" w14:textId="77777777" w:rsidR="00293207" w:rsidRPr="001F0CF9" w:rsidRDefault="00293207" w:rsidP="001B0241">
      <w:pPr>
        <w:pStyle w:val="ListParagraph"/>
        <w:numPr>
          <w:ilvl w:val="0"/>
          <w:numId w:val="1"/>
        </w:numPr>
        <w:shd w:val="clear" w:color="auto" w:fill="FFFFFF"/>
        <w:jc w:val="both"/>
        <w:rPr>
          <w:rFonts w:asciiTheme="minorHAnsi" w:hAnsiTheme="minorHAnsi" w:cstheme="minorHAnsi"/>
        </w:rPr>
      </w:pPr>
      <w:r w:rsidRPr="001F0CF9">
        <w:rPr>
          <w:rFonts w:asciiTheme="minorHAnsi" w:hAnsiTheme="minorHAnsi" w:cstheme="minorHAnsi"/>
        </w:rPr>
        <w:t>reducing excess mortality, morbidity and disability, especially in poor and marginalized populations;</w:t>
      </w:r>
    </w:p>
    <w:p w14:paraId="1A1C0F19" w14:textId="77777777" w:rsidR="00293207" w:rsidRPr="001F0CF9" w:rsidRDefault="00293207" w:rsidP="000D5F43">
      <w:pPr>
        <w:pStyle w:val="ListParagraph"/>
        <w:numPr>
          <w:ilvl w:val="0"/>
          <w:numId w:val="1"/>
        </w:numPr>
        <w:shd w:val="clear" w:color="auto" w:fill="FFFFFF"/>
        <w:ind w:left="360"/>
        <w:jc w:val="both"/>
        <w:rPr>
          <w:rFonts w:asciiTheme="minorHAnsi" w:hAnsiTheme="minorHAnsi" w:cstheme="minorHAnsi"/>
        </w:rPr>
      </w:pPr>
      <w:r w:rsidRPr="001F0CF9">
        <w:rPr>
          <w:rFonts w:asciiTheme="minorHAnsi" w:hAnsiTheme="minorHAnsi" w:cstheme="minorHAnsi"/>
        </w:rPr>
        <w:t>promoting healthy lifestyles and reducing risk factors to human health that arise from environ</w:t>
      </w:r>
      <w:r w:rsidR="000D5F43" w:rsidRPr="000D5F43">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1F0CF9">
        <w:rPr>
          <w:rFonts w:asciiTheme="minorHAnsi" w:hAnsiTheme="minorHAnsi" w:cstheme="minorHAnsi"/>
        </w:rPr>
        <w:t>mental, economic, social and behavioral causes;</w:t>
      </w:r>
    </w:p>
    <w:p w14:paraId="417BE46F" w14:textId="77777777" w:rsidR="00293207" w:rsidRPr="001F0CF9" w:rsidRDefault="00293207" w:rsidP="000D5F43">
      <w:pPr>
        <w:pStyle w:val="ListParagraph"/>
        <w:numPr>
          <w:ilvl w:val="0"/>
          <w:numId w:val="1"/>
        </w:numPr>
        <w:shd w:val="clear" w:color="auto" w:fill="FFFFFF"/>
        <w:ind w:left="360"/>
        <w:jc w:val="both"/>
        <w:rPr>
          <w:rFonts w:asciiTheme="minorHAnsi" w:hAnsiTheme="minorHAnsi" w:cstheme="minorHAnsi"/>
        </w:rPr>
      </w:pPr>
      <w:r w:rsidRPr="001F0CF9">
        <w:rPr>
          <w:rFonts w:asciiTheme="minorHAnsi" w:hAnsiTheme="minorHAnsi" w:cstheme="minorHAnsi"/>
        </w:rPr>
        <w:t>developing health systems that equitably improve health outcomes, respond to people’s legitimate demands, and are financially fair;</w:t>
      </w:r>
    </w:p>
    <w:p w14:paraId="48F75290" w14:textId="77777777" w:rsidR="00301157" w:rsidRPr="001F0CF9" w:rsidRDefault="00293207" w:rsidP="000D5F43">
      <w:pPr>
        <w:pStyle w:val="ListParagraph"/>
        <w:numPr>
          <w:ilvl w:val="0"/>
          <w:numId w:val="1"/>
        </w:numPr>
        <w:shd w:val="clear" w:color="auto" w:fill="FFFFFF"/>
        <w:ind w:left="360"/>
        <w:jc w:val="both"/>
        <w:rPr>
          <w:rFonts w:asciiTheme="minorHAnsi" w:hAnsiTheme="minorHAnsi" w:cstheme="minorHAnsi"/>
        </w:rPr>
      </w:pPr>
      <w:r w:rsidRPr="001F0CF9">
        <w:rPr>
          <w:rFonts w:asciiTheme="minorHAnsi" w:hAnsiTheme="minorHAnsi" w:cstheme="minorHAnsi"/>
        </w:rPr>
        <w:lastRenderedPageBreak/>
        <w:t>framing an enabling policy and creating an institutional environment for the health sector, and promoting an effective health dimension to social, economic, environmental and development policy.  </w:t>
      </w:r>
    </w:p>
    <w:p w14:paraId="532728CA" w14:textId="77777777" w:rsidR="00293207" w:rsidRPr="001F0CF9" w:rsidRDefault="00293207" w:rsidP="000D5F43">
      <w:pPr>
        <w:shd w:val="clear" w:color="auto" w:fill="FFFFFF"/>
        <w:spacing w:after="0" w:line="240" w:lineRule="auto"/>
        <w:ind w:left="360"/>
        <w:contextualSpacing/>
        <w:jc w:val="both"/>
        <w:rPr>
          <w:rFonts w:cstheme="minorHAnsi"/>
        </w:rPr>
      </w:pPr>
      <w:r w:rsidRPr="001F0CF9">
        <w:rPr>
          <w:rFonts w:cstheme="minorHAnsi"/>
        </w:rPr>
        <w:t>The overall goal of WHO in Georgia is to:</w:t>
      </w:r>
    </w:p>
    <w:p w14:paraId="2054BC5B" w14:textId="77777777" w:rsidR="00293207" w:rsidRPr="001F0CF9" w:rsidRDefault="00293207" w:rsidP="000D5F43">
      <w:pPr>
        <w:pStyle w:val="ListParagraph"/>
        <w:numPr>
          <w:ilvl w:val="0"/>
          <w:numId w:val="9"/>
        </w:numPr>
        <w:shd w:val="clear" w:color="auto" w:fill="FFFFFF"/>
        <w:ind w:left="360"/>
        <w:jc w:val="both"/>
        <w:rPr>
          <w:rFonts w:asciiTheme="minorHAnsi" w:hAnsiTheme="minorHAnsi" w:cstheme="minorHAnsi"/>
        </w:rPr>
      </w:pPr>
      <w:r w:rsidRPr="001F0CF9">
        <w:rPr>
          <w:rFonts w:asciiTheme="minorHAnsi" w:hAnsiTheme="minorHAnsi" w:cstheme="minorHAnsi"/>
        </w:rPr>
        <w:t>assist the government in developing its national health policy and strengthening healthcare systems;</w:t>
      </w:r>
    </w:p>
    <w:p w14:paraId="6DCAA2E8" w14:textId="77777777" w:rsidR="00293207" w:rsidRPr="001F0CF9" w:rsidRDefault="00293207" w:rsidP="000D5F43">
      <w:pPr>
        <w:pStyle w:val="ListParagraph"/>
        <w:numPr>
          <w:ilvl w:val="0"/>
          <w:numId w:val="9"/>
        </w:numPr>
        <w:shd w:val="clear" w:color="auto" w:fill="FFFFFF"/>
        <w:ind w:left="360"/>
        <w:jc w:val="both"/>
        <w:rPr>
          <w:rFonts w:asciiTheme="minorHAnsi" w:hAnsiTheme="minorHAnsi" w:cstheme="minorHAnsi"/>
        </w:rPr>
      </w:pPr>
      <w:r w:rsidRPr="001F0CF9">
        <w:rPr>
          <w:rFonts w:asciiTheme="minorHAnsi" w:hAnsiTheme="minorHAnsi" w:cstheme="minorHAnsi"/>
        </w:rPr>
        <w:t>provide needed technical assistance; improve preparedness for emergency situations;</w:t>
      </w:r>
    </w:p>
    <w:p w14:paraId="11D892CC" w14:textId="77777777" w:rsidR="00293207" w:rsidRPr="001F0CF9" w:rsidRDefault="00293207" w:rsidP="000D5F43">
      <w:pPr>
        <w:pStyle w:val="ListParagraph"/>
        <w:numPr>
          <w:ilvl w:val="0"/>
          <w:numId w:val="9"/>
        </w:numPr>
        <w:shd w:val="clear" w:color="auto" w:fill="FFFFFF"/>
        <w:ind w:left="360"/>
        <w:jc w:val="both"/>
        <w:rPr>
          <w:rFonts w:asciiTheme="minorHAnsi" w:hAnsiTheme="minorHAnsi" w:cstheme="minorHAnsi"/>
          <w:b/>
        </w:rPr>
      </w:pPr>
      <w:r w:rsidRPr="001F0CF9">
        <w:rPr>
          <w:rFonts w:asciiTheme="minorHAnsi" w:hAnsiTheme="minorHAnsi" w:cstheme="minorHAnsi"/>
        </w:rPr>
        <w:t>promote up-dated standards of education and training in the healthcare sector;</w:t>
      </w:r>
    </w:p>
    <w:p w14:paraId="3C8460F8" w14:textId="07EB5F8B" w:rsidR="00293207" w:rsidRPr="001F0CF9" w:rsidRDefault="00293207" w:rsidP="000D5F43">
      <w:pPr>
        <w:pStyle w:val="ListParagraph"/>
        <w:numPr>
          <w:ilvl w:val="0"/>
          <w:numId w:val="9"/>
        </w:numPr>
        <w:shd w:val="clear" w:color="auto" w:fill="FFFFFF"/>
        <w:ind w:left="360"/>
        <w:jc w:val="both"/>
        <w:rPr>
          <w:rFonts w:asciiTheme="minorHAnsi" w:hAnsiTheme="minorHAnsi" w:cstheme="minorHAnsi"/>
          <w:b/>
        </w:rPr>
      </w:pPr>
      <w:r w:rsidRPr="001F0CF9">
        <w:rPr>
          <w:rFonts w:asciiTheme="minorHAnsi" w:hAnsiTheme="minorHAnsi" w:cstheme="minorHAnsi"/>
        </w:rPr>
        <w:t xml:space="preserve">provide </w:t>
      </w:r>
      <w:r w:rsidR="00603D75" w:rsidRPr="001F0CF9">
        <w:rPr>
          <w:rFonts w:asciiTheme="minorHAnsi" w:hAnsiTheme="minorHAnsi" w:cstheme="minorHAnsi"/>
        </w:rPr>
        <w:t>evidence-based</w:t>
      </w:r>
      <w:r w:rsidRPr="001F0CF9">
        <w:rPr>
          <w:rFonts w:asciiTheme="minorHAnsi" w:hAnsiTheme="minorHAnsi" w:cstheme="minorHAnsi"/>
        </w:rPr>
        <w:t xml:space="preserve"> expertise and information in the healthcare sector to take all necessary actions to attain WHO objectives. </w:t>
      </w:r>
    </w:p>
    <w:p w14:paraId="3D88E129" w14:textId="77777777" w:rsidR="00293207" w:rsidRPr="001F0CF9" w:rsidRDefault="00293207" w:rsidP="008F4D49">
      <w:pPr>
        <w:pStyle w:val="BodyText"/>
        <w:spacing w:after="0"/>
        <w:contextualSpacing/>
        <w:jc w:val="both"/>
        <w:rPr>
          <w:rFonts w:asciiTheme="minorHAnsi" w:hAnsiTheme="minorHAnsi" w:cstheme="minorHAnsi"/>
          <w:sz w:val="22"/>
          <w:szCs w:val="22"/>
        </w:rPr>
      </w:pPr>
    </w:p>
    <w:p w14:paraId="4732BE48" w14:textId="77777777" w:rsidR="00FC6D08" w:rsidRDefault="00293207" w:rsidP="002E2C23">
      <w:pPr>
        <w:pStyle w:val="BodyText"/>
        <w:spacing w:after="0"/>
        <w:contextualSpacing/>
        <w:jc w:val="both"/>
        <w:rPr>
          <w:rFonts w:cstheme="minorHAnsi"/>
        </w:rPr>
      </w:pPr>
      <w:r w:rsidRPr="001F0CF9">
        <w:rPr>
          <w:rFonts w:asciiTheme="minorHAnsi" w:hAnsiTheme="minorHAnsi" w:cstheme="minorHAnsi"/>
          <w:sz w:val="22"/>
          <w:szCs w:val="22"/>
        </w:rPr>
        <w:t>Georgia became a member of WHO on 16 May 1992. In 1993 a Liaison office was opened in Tbilisi. The Basic Agreement between Georgia and WHO has been signed in 1994. In 2005 the name of the office was changed to WHO Country Office in Georgia. Georgia acceded the Convention on the Privileges and Immunities of the Specialized Agencies on 28 February 2007.</w:t>
      </w:r>
    </w:p>
    <w:p w14:paraId="572D1B51" w14:textId="3FB2906E" w:rsidR="00C04F75" w:rsidRDefault="00293207" w:rsidP="008F4D49">
      <w:pPr>
        <w:shd w:val="clear" w:color="auto" w:fill="FFFFFF"/>
        <w:spacing w:after="0" w:line="240" w:lineRule="auto"/>
        <w:contextualSpacing/>
        <w:jc w:val="both"/>
        <w:rPr>
          <w:rFonts w:cstheme="minorHAnsi"/>
        </w:rPr>
      </w:pPr>
      <w:r w:rsidRPr="001F0CF9">
        <w:rPr>
          <w:rFonts w:cstheme="minorHAnsi"/>
        </w:rPr>
        <w:t xml:space="preserve">The first Head of WHO Country Office (WHO CO) was Prof. </w:t>
      </w:r>
      <w:proofErr w:type="spellStart"/>
      <w:r w:rsidRPr="001F0CF9">
        <w:rPr>
          <w:rFonts w:cstheme="minorHAnsi"/>
        </w:rPr>
        <w:t>Tamaz</w:t>
      </w:r>
      <w:proofErr w:type="spellEnd"/>
      <w:r w:rsidRPr="001F0CF9">
        <w:rPr>
          <w:rFonts w:cstheme="minorHAnsi"/>
        </w:rPr>
        <w:t xml:space="preserve"> </w:t>
      </w:r>
      <w:proofErr w:type="spellStart"/>
      <w:r w:rsidRPr="001F0CF9">
        <w:rPr>
          <w:rFonts w:cstheme="minorHAnsi"/>
        </w:rPr>
        <w:t>Kereselidze</w:t>
      </w:r>
      <w:proofErr w:type="spellEnd"/>
      <w:r w:rsidRPr="001F0CF9">
        <w:rPr>
          <w:rFonts w:cstheme="minorHAnsi"/>
        </w:rPr>
        <w:t xml:space="preserve">, who was one of the active </w:t>
      </w:r>
      <w:r w:rsidR="00C04F75" w:rsidRPr="001F0CF9">
        <w:rPr>
          <w:rFonts w:cstheme="minorHAnsi"/>
        </w:rPr>
        <w:t>participants</w:t>
      </w:r>
      <w:r w:rsidRPr="001F0CF9">
        <w:rPr>
          <w:rFonts w:cstheme="minorHAnsi"/>
        </w:rPr>
        <w:t xml:space="preserve"> of Global Smallpox Eradication campaign from WHO in 1970-ies. In 1999-2016 </w:t>
      </w:r>
      <w:r w:rsidR="00CD6673" w:rsidRPr="001F0CF9">
        <w:rPr>
          <w:rFonts w:cstheme="minorHAnsi"/>
        </w:rPr>
        <w:t>Head of WHO CO GEO</w:t>
      </w:r>
      <w:r w:rsidR="00CD6673">
        <w:rPr>
          <w:rFonts w:cstheme="minorHAnsi"/>
        </w:rPr>
        <w:t xml:space="preserve"> </w:t>
      </w:r>
      <w:r w:rsidR="00CD6673">
        <w:rPr>
          <w:rFonts w:cstheme="minorHAnsi"/>
        </w:rPr>
        <w:t xml:space="preserve">was </w:t>
      </w:r>
      <w:r w:rsidRPr="001F0CF9">
        <w:rPr>
          <w:rFonts w:cstheme="minorHAnsi"/>
        </w:rPr>
        <w:t xml:space="preserve">Dr. </w:t>
      </w:r>
      <w:proofErr w:type="spellStart"/>
      <w:r w:rsidRPr="001F0CF9">
        <w:rPr>
          <w:rFonts w:cstheme="minorHAnsi"/>
        </w:rPr>
        <w:t>Rusudan</w:t>
      </w:r>
      <w:proofErr w:type="spellEnd"/>
      <w:r w:rsidRPr="001F0CF9">
        <w:rPr>
          <w:rFonts w:cstheme="minorHAnsi"/>
        </w:rPr>
        <w:t xml:space="preserve"> </w:t>
      </w:r>
      <w:proofErr w:type="spellStart"/>
      <w:r w:rsidRPr="001F0CF9">
        <w:rPr>
          <w:rFonts w:cstheme="minorHAnsi"/>
        </w:rPr>
        <w:t>Klimiashvili</w:t>
      </w:r>
      <w:proofErr w:type="spellEnd"/>
      <w:r w:rsidR="00CD6673">
        <w:rPr>
          <w:rFonts w:cstheme="minorHAnsi"/>
        </w:rPr>
        <w:t xml:space="preserve"> </w:t>
      </w:r>
      <w:r w:rsidR="00C04F75">
        <w:rPr>
          <w:rFonts w:cstheme="minorHAnsi"/>
        </w:rPr>
        <w:t>and i</w:t>
      </w:r>
      <w:r w:rsidR="00B23654">
        <w:rPr>
          <w:rFonts w:cstheme="minorHAnsi"/>
        </w:rPr>
        <w:t xml:space="preserve">n 2016-2019 </w:t>
      </w:r>
      <w:r w:rsidR="00C04F75">
        <w:rPr>
          <w:rFonts w:cstheme="minorHAnsi"/>
        </w:rPr>
        <w:t>-</w:t>
      </w:r>
      <w:r w:rsidRPr="001F0CF9">
        <w:rPr>
          <w:rFonts w:cstheme="minorHAnsi"/>
        </w:rPr>
        <w:t xml:space="preserve"> Dr.</w:t>
      </w:r>
      <w:r w:rsidR="00301157" w:rsidRPr="001F0CF9">
        <w:rPr>
          <w:rFonts w:cstheme="minorHAnsi"/>
        </w:rPr>
        <w:t xml:space="preserve"> </w:t>
      </w:r>
      <w:proofErr w:type="spellStart"/>
      <w:r w:rsidR="00301157" w:rsidRPr="001F0CF9">
        <w:rPr>
          <w:rFonts w:cstheme="minorHAnsi"/>
        </w:rPr>
        <w:t>Marijan</w:t>
      </w:r>
      <w:proofErr w:type="spellEnd"/>
      <w:r w:rsidR="00301157" w:rsidRPr="001F0CF9">
        <w:rPr>
          <w:rFonts w:cstheme="minorHAnsi"/>
        </w:rPr>
        <w:t xml:space="preserve"> </w:t>
      </w:r>
      <w:proofErr w:type="spellStart"/>
      <w:r w:rsidR="00301157" w:rsidRPr="001F0CF9">
        <w:rPr>
          <w:rFonts w:cstheme="minorHAnsi"/>
        </w:rPr>
        <w:t>Ivanusa</w:t>
      </w:r>
      <w:proofErr w:type="spellEnd"/>
      <w:r w:rsidR="00301157" w:rsidRPr="001F0CF9">
        <w:rPr>
          <w:rFonts w:cstheme="minorHAnsi"/>
        </w:rPr>
        <w:t>.</w:t>
      </w:r>
      <w:r w:rsidR="00C04F75">
        <w:rPr>
          <w:rFonts w:cstheme="minorHAnsi"/>
        </w:rPr>
        <w:t xml:space="preserve"> S</w:t>
      </w:r>
      <w:r w:rsidR="00B23654">
        <w:rPr>
          <w:rFonts w:cstheme="minorHAnsi"/>
        </w:rPr>
        <w:t xml:space="preserve">ince </w:t>
      </w:r>
      <w:r w:rsidR="00A45BEB">
        <w:rPr>
          <w:rFonts w:cstheme="minorHAnsi"/>
        </w:rPr>
        <w:t>March</w:t>
      </w:r>
      <w:r w:rsidR="00B23654">
        <w:rPr>
          <w:rFonts w:cstheme="minorHAnsi"/>
        </w:rPr>
        <w:t xml:space="preserve"> 2019 </w:t>
      </w:r>
      <w:r w:rsidR="00C04F75" w:rsidRPr="001F0CF9">
        <w:rPr>
          <w:rFonts w:cstheme="minorHAnsi"/>
        </w:rPr>
        <w:t xml:space="preserve">WHO Country </w:t>
      </w:r>
      <w:r w:rsidR="00CD6673">
        <w:rPr>
          <w:rFonts w:cstheme="minorHAnsi"/>
        </w:rPr>
        <w:t>O</w:t>
      </w:r>
      <w:r w:rsidR="00C04F75" w:rsidRPr="001F0CF9">
        <w:rPr>
          <w:rFonts w:cstheme="minorHAnsi"/>
        </w:rPr>
        <w:t>ffice</w:t>
      </w:r>
      <w:r w:rsidR="00C04F75">
        <w:rPr>
          <w:rFonts w:cstheme="minorHAnsi"/>
        </w:rPr>
        <w:t xml:space="preserve"> </w:t>
      </w:r>
      <w:r w:rsidR="00C04F75">
        <w:rPr>
          <w:rFonts w:cstheme="minorHAnsi"/>
        </w:rPr>
        <w:t>is</w:t>
      </w:r>
      <w:r w:rsidR="00C04F75" w:rsidRPr="001F0CF9">
        <w:rPr>
          <w:rFonts w:cstheme="minorHAnsi"/>
        </w:rPr>
        <w:t xml:space="preserve"> headed</w:t>
      </w:r>
      <w:r w:rsidR="00C04F75">
        <w:rPr>
          <w:rFonts w:cstheme="minorHAnsi"/>
        </w:rPr>
        <w:t xml:space="preserve"> by Dr. </w:t>
      </w:r>
      <w:proofErr w:type="spellStart"/>
      <w:r w:rsidR="00C04F75">
        <w:rPr>
          <w:rFonts w:cstheme="minorHAnsi"/>
        </w:rPr>
        <w:t>Silviu</w:t>
      </w:r>
      <w:proofErr w:type="spellEnd"/>
      <w:r w:rsidR="00C04F75">
        <w:rPr>
          <w:rFonts w:cstheme="minorHAnsi"/>
        </w:rPr>
        <w:t xml:space="preserve"> </w:t>
      </w:r>
      <w:proofErr w:type="spellStart"/>
      <w:r w:rsidR="00C04F75">
        <w:rPr>
          <w:rFonts w:cstheme="minorHAnsi"/>
        </w:rPr>
        <w:t>Domente</w:t>
      </w:r>
      <w:proofErr w:type="spellEnd"/>
      <w:r w:rsidR="00C04F75">
        <w:rPr>
          <w:rFonts w:cstheme="minorHAnsi"/>
        </w:rPr>
        <w:t xml:space="preserve">. </w:t>
      </w:r>
    </w:p>
    <w:p w14:paraId="405B952B" w14:textId="77777777" w:rsidR="00A87421" w:rsidRDefault="00A87421" w:rsidP="008F4D49">
      <w:pPr>
        <w:shd w:val="clear" w:color="auto" w:fill="FFFFFF"/>
        <w:spacing w:after="0" w:line="240" w:lineRule="auto"/>
        <w:contextualSpacing/>
        <w:jc w:val="both"/>
        <w:rPr>
          <w:rFonts w:cstheme="minorHAnsi"/>
        </w:rPr>
      </w:pPr>
    </w:p>
    <w:p w14:paraId="00BAA893" w14:textId="3CCE7361" w:rsidR="00024A1B" w:rsidRPr="001F0CF9" w:rsidRDefault="00293207" w:rsidP="008F4D49">
      <w:pPr>
        <w:shd w:val="clear" w:color="auto" w:fill="FFFFFF"/>
        <w:spacing w:after="0" w:line="240" w:lineRule="auto"/>
        <w:contextualSpacing/>
        <w:jc w:val="both"/>
        <w:rPr>
          <w:rFonts w:cstheme="minorHAnsi"/>
        </w:rPr>
      </w:pPr>
      <w:r w:rsidRPr="001F0CF9">
        <w:rPr>
          <w:rFonts w:cstheme="minorHAnsi"/>
        </w:rPr>
        <w:t>The WHO Country Office in Georgia is subordinated to the Regional Office for Europe. The Country Office plays a crucial role in administration, consolidation, management and enhancement of WHO collaboration in the country. It also contributes to interfacing between the Government and WHO, assists in informing the Government regarding WHO policies in a timely manner and elaborates strategies and activities while providing advice on healthcare sector development and inter-sectoral issues for health.</w:t>
      </w:r>
    </w:p>
    <w:p w14:paraId="13E1CFC5" w14:textId="77777777" w:rsidR="008F4D49" w:rsidRPr="001F0CF9" w:rsidRDefault="008F4D49" w:rsidP="008F4D49">
      <w:pPr>
        <w:shd w:val="clear" w:color="auto" w:fill="FFFFFF"/>
        <w:spacing w:after="0" w:line="240" w:lineRule="auto"/>
        <w:contextualSpacing/>
        <w:jc w:val="both"/>
        <w:rPr>
          <w:rFonts w:cstheme="minorHAnsi"/>
        </w:rPr>
      </w:pPr>
    </w:p>
    <w:p w14:paraId="58EC6D2B" w14:textId="10E49549" w:rsidR="008F4D49" w:rsidRPr="001F0CF9" w:rsidRDefault="00293207" w:rsidP="008F4D49">
      <w:pPr>
        <w:shd w:val="clear" w:color="auto" w:fill="FFFFFF"/>
        <w:spacing w:after="0" w:line="240" w:lineRule="auto"/>
        <w:contextualSpacing/>
        <w:jc w:val="both"/>
        <w:rPr>
          <w:rFonts w:cstheme="minorHAnsi"/>
        </w:rPr>
      </w:pPr>
      <w:r w:rsidRPr="001F0CF9">
        <w:rPr>
          <w:rFonts w:cstheme="minorHAnsi"/>
        </w:rPr>
        <w:t xml:space="preserve">The WHO Country Office implements its activities in the country in close collaboration with the Ministry of </w:t>
      </w:r>
      <w:r w:rsidR="00B23654">
        <w:rPr>
          <w:rFonts w:cstheme="minorHAnsi"/>
        </w:rPr>
        <w:t xml:space="preserve">Internally Displaced Persons from the Occupied Territories, </w:t>
      </w:r>
      <w:proofErr w:type="spellStart"/>
      <w:r w:rsidRPr="001F0CF9">
        <w:rPr>
          <w:rFonts w:cstheme="minorHAnsi"/>
        </w:rPr>
        <w:t>Labour</w:t>
      </w:r>
      <w:proofErr w:type="spellEnd"/>
      <w:r w:rsidRPr="001F0CF9">
        <w:rPr>
          <w:rFonts w:cstheme="minorHAnsi"/>
        </w:rPr>
        <w:t xml:space="preserve">, Health and Social Affairs of Georgia, UN agencies, governmental and non-governmental organizations and is active in the healthcare sector. The national counterpart for strategic collaboration with WHO </w:t>
      </w:r>
      <w:r w:rsidR="001F0CF9" w:rsidRPr="001F0CF9">
        <w:rPr>
          <w:rFonts w:cstheme="minorHAnsi"/>
        </w:rPr>
        <w:t xml:space="preserve">in Georgia </w:t>
      </w:r>
      <w:r w:rsidRPr="001F0CF9">
        <w:rPr>
          <w:rFonts w:cstheme="minorHAnsi"/>
        </w:rPr>
        <w:t xml:space="preserve">is Dr. </w:t>
      </w:r>
      <w:r w:rsidR="00B23654">
        <w:rPr>
          <w:rFonts w:cstheme="minorHAnsi"/>
        </w:rPr>
        <w:t xml:space="preserve">Tamar </w:t>
      </w:r>
      <w:proofErr w:type="spellStart"/>
      <w:r w:rsidR="00B23654">
        <w:rPr>
          <w:rFonts w:cstheme="minorHAnsi"/>
        </w:rPr>
        <w:t>Gabunia</w:t>
      </w:r>
      <w:proofErr w:type="spellEnd"/>
      <w:r w:rsidRPr="001F0CF9">
        <w:rPr>
          <w:rFonts w:cstheme="minorHAnsi"/>
        </w:rPr>
        <w:t xml:space="preserve">, </w:t>
      </w:r>
      <w:r w:rsidR="00B23654">
        <w:rPr>
          <w:rFonts w:cstheme="minorHAnsi"/>
        </w:rPr>
        <w:t xml:space="preserve">First </w:t>
      </w:r>
      <w:r w:rsidR="008F4D49" w:rsidRPr="001F0CF9">
        <w:rPr>
          <w:rFonts w:cstheme="minorHAnsi"/>
        </w:rPr>
        <w:t>D</w:t>
      </w:r>
      <w:r w:rsidRPr="001F0CF9">
        <w:rPr>
          <w:rFonts w:cstheme="minorHAnsi"/>
        </w:rPr>
        <w:t xml:space="preserve">eputy </w:t>
      </w:r>
      <w:r w:rsidR="008F4D49" w:rsidRPr="001F0CF9">
        <w:rPr>
          <w:rFonts w:cstheme="minorHAnsi"/>
        </w:rPr>
        <w:t>M</w:t>
      </w:r>
      <w:r w:rsidRPr="001F0CF9">
        <w:rPr>
          <w:rFonts w:cstheme="minorHAnsi"/>
        </w:rPr>
        <w:t>inister</w:t>
      </w:r>
      <w:r w:rsidR="008F4D49" w:rsidRPr="001F0CF9">
        <w:rPr>
          <w:rFonts w:cstheme="minorHAnsi"/>
        </w:rPr>
        <w:t xml:space="preserve"> of </w:t>
      </w:r>
      <w:r w:rsidR="00C04F75">
        <w:rPr>
          <w:rFonts w:cstheme="minorHAnsi"/>
        </w:rPr>
        <w:t>Internally Displaced Persons from the Occupied Territories</w:t>
      </w:r>
      <w:r w:rsidR="00C04F75">
        <w:rPr>
          <w:rFonts w:cstheme="minorHAnsi"/>
        </w:rPr>
        <w:t xml:space="preserve">, </w:t>
      </w:r>
      <w:proofErr w:type="spellStart"/>
      <w:r w:rsidR="008F4D49" w:rsidRPr="001F0CF9">
        <w:rPr>
          <w:rFonts w:cstheme="minorHAnsi"/>
        </w:rPr>
        <w:t>Labour</w:t>
      </w:r>
      <w:proofErr w:type="spellEnd"/>
      <w:r w:rsidR="008F4D49" w:rsidRPr="001F0CF9">
        <w:rPr>
          <w:rFonts w:cstheme="minorHAnsi"/>
        </w:rPr>
        <w:t>, Health and Social Affairs</w:t>
      </w:r>
      <w:r w:rsidR="00C04F75">
        <w:rPr>
          <w:rFonts w:cstheme="minorHAnsi"/>
        </w:rPr>
        <w:t xml:space="preserve"> of Georgia</w:t>
      </w:r>
      <w:r w:rsidR="001F0CF9" w:rsidRPr="001F0CF9">
        <w:rPr>
          <w:rFonts w:cstheme="minorHAnsi"/>
        </w:rPr>
        <w:t>.</w:t>
      </w:r>
    </w:p>
    <w:p w14:paraId="0124DD3C" w14:textId="77777777" w:rsidR="001F0CF9" w:rsidRPr="00715912" w:rsidRDefault="001F0CF9" w:rsidP="008F4D49">
      <w:pPr>
        <w:shd w:val="clear" w:color="auto" w:fill="FFFFFF"/>
        <w:spacing w:after="0" w:line="240" w:lineRule="auto"/>
        <w:contextualSpacing/>
        <w:jc w:val="both"/>
        <w:rPr>
          <w:rFonts w:cstheme="minorHAnsi"/>
          <w:sz w:val="16"/>
          <w:szCs w:val="16"/>
        </w:rPr>
      </w:pPr>
    </w:p>
    <w:p w14:paraId="7E47F10E" w14:textId="77777777" w:rsidR="00293207" w:rsidRPr="001F0CF9" w:rsidRDefault="00293207" w:rsidP="008F4D49">
      <w:pPr>
        <w:spacing w:after="0" w:line="240" w:lineRule="auto"/>
        <w:contextualSpacing/>
        <w:jc w:val="both"/>
        <w:rPr>
          <w:rFonts w:cstheme="minorHAnsi"/>
        </w:rPr>
      </w:pPr>
      <w:r w:rsidRPr="001F0CF9">
        <w:rPr>
          <w:rFonts w:cstheme="minorHAnsi"/>
        </w:rPr>
        <w:t xml:space="preserve">There is close collaboration between WHO country office, respective technical units in the regional office or headquarters and the National Center for Disease Control and Public Health of Georgia, including Lugar center.  </w:t>
      </w:r>
    </w:p>
    <w:p w14:paraId="28F79103" w14:textId="77777777" w:rsidR="008F4D49" w:rsidRPr="00715912" w:rsidRDefault="008F4D49" w:rsidP="008F4D49">
      <w:pPr>
        <w:spacing w:after="0" w:line="240" w:lineRule="auto"/>
        <w:contextualSpacing/>
        <w:jc w:val="both"/>
        <w:rPr>
          <w:rFonts w:cstheme="minorHAnsi"/>
          <w:sz w:val="16"/>
          <w:szCs w:val="16"/>
        </w:rPr>
      </w:pPr>
    </w:p>
    <w:p w14:paraId="3C82E6E6" w14:textId="5FD34EC9" w:rsidR="001F0CF9" w:rsidRDefault="00293207" w:rsidP="008F4D49">
      <w:pPr>
        <w:shd w:val="clear" w:color="auto" w:fill="FFFFFF"/>
        <w:spacing w:after="0" w:line="240" w:lineRule="auto"/>
        <w:contextualSpacing/>
        <w:jc w:val="both"/>
        <w:rPr>
          <w:rFonts w:cstheme="minorHAnsi"/>
        </w:rPr>
      </w:pPr>
      <w:r w:rsidRPr="001F0CF9">
        <w:rPr>
          <w:rFonts w:cstheme="minorHAnsi"/>
        </w:rPr>
        <w:t>The WHO significantly contributes to capacity-building in the country. Georgian medical professionals regularly participate in WHO meetings, confe</w:t>
      </w:r>
      <w:r w:rsidR="001F0CF9" w:rsidRPr="001F0CF9">
        <w:rPr>
          <w:rFonts w:cstheme="minorHAnsi"/>
        </w:rPr>
        <w:t xml:space="preserve">rences, workshops and trainings. </w:t>
      </w:r>
      <w:r w:rsidRPr="001F0CF9">
        <w:rPr>
          <w:rFonts w:cstheme="minorHAnsi"/>
        </w:rPr>
        <w:t>WHO</w:t>
      </w:r>
      <w:r w:rsidR="001F0CF9" w:rsidRPr="001F0CF9">
        <w:rPr>
          <w:rFonts w:cstheme="minorHAnsi"/>
        </w:rPr>
        <w:t xml:space="preserve"> experts and</w:t>
      </w:r>
      <w:r w:rsidRPr="001F0CF9">
        <w:rPr>
          <w:rFonts w:cstheme="minorHAnsi"/>
        </w:rPr>
        <w:t xml:space="preserve"> consultants regularly visit Georgia to provide technical assistance to local professionals in their efforts to meet the country’s needs and requirements. In line with WHO policy, the Ministry on a yearly basis actively participates in the work of WHO governing bodies, World Health Assemblies and Regional Committees. </w:t>
      </w:r>
    </w:p>
    <w:p w14:paraId="4D2AB17B" w14:textId="77777777" w:rsidR="00603D75" w:rsidRDefault="00603D75" w:rsidP="008F4D49">
      <w:pPr>
        <w:shd w:val="clear" w:color="auto" w:fill="FFFFFF"/>
        <w:spacing w:after="0" w:line="240" w:lineRule="auto"/>
        <w:contextualSpacing/>
        <w:jc w:val="both"/>
        <w:rPr>
          <w:rFonts w:cstheme="minorHAnsi"/>
        </w:rPr>
      </w:pPr>
    </w:p>
    <w:p w14:paraId="3FE46E83" w14:textId="5FAC5933" w:rsidR="00293207" w:rsidRPr="00FC6D08" w:rsidRDefault="00293207" w:rsidP="008F4D49">
      <w:pPr>
        <w:shd w:val="clear" w:color="auto" w:fill="FFFFFF"/>
        <w:spacing w:after="0" w:line="240" w:lineRule="auto"/>
        <w:contextualSpacing/>
        <w:jc w:val="both"/>
        <w:rPr>
          <w:rFonts w:cstheme="minorHAnsi"/>
        </w:rPr>
      </w:pPr>
      <w:r w:rsidRPr="00FC6D08">
        <w:rPr>
          <w:rFonts w:cstheme="minorHAnsi"/>
        </w:rPr>
        <w:t xml:space="preserve">WHO cooperates with Georgia, as with all other countries, in the frame of </w:t>
      </w:r>
      <w:r w:rsidRPr="00FC6D08">
        <w:rPr>
          <w:rFonts w:cstheme="minorHAnsi"/>
          <w:b/>
        </w:rPr>
        <w:t>Biennial Collaborative Agreements</w:t>
      </w:r>
      <w:r w:rsidRPr="00FC6D08">
        <w:rPr>
          <w:rFonts w:cstheme="minorHAnsi"/>
        </w:rPr>
        <w:t xml:space="preserve"> (BCA), which defines the priorities for collaboration.  BCA documents are elaborated through successive stages of </w:t>
      </w:r>
      <w:r w:rsidR="00CD6673">
        <w:rPr>
          <w:rFonts w:cstheme="minorHAnsi"/>
        </w:rPr>
        <w:t>consultations</w:t>
      </w:r>
      <w:r w:rsidRPr="00FC6D08">
        <w:rPr>
          <w:rFonts w:cstheme="minorHAnsi"/>
        </w:rPr>
        <w:t xml:space="preserve"> between the national health authorities and the regional and country levels of WHO offices.</w:t>
      </w:r>
    </w:p>
    <w:p w14:paraId="397079BF" w14:textId="77777777" w:rsidR="00293207" w:rsidRPr="00FC6D08" w:rsidRDefault="00293207" w:rsidP="008F4D49">
      <w:pPr>
        <w:shd w:val="clear" w:color="auto" w:fill="FFFFFF"/>
        <w:spacing w:after="0" w:line="240" w:lineRule="auto"/>
        <w:contextualSpacing/>
        <w:jc w:val="both"/>
        <w:rPr>
          <w:rFonts w:cstheme="minorHAnsi"/>
        </w:rPr>
      </w:pPr>
      <w:r w:rsidRPr="00FC6D08">
        <w:rPr>
          <w:rFonts w:cstheme="minorHAnsi"/>
        </w:rPr>
        <w:t>Since early 1990s, the BCA between the WHO Regional Office for Europe and the Government of Georgia was focusing on the following cooperative priorities:</w:t>
      </w:r>
    </w:p>
    <w:p w14:paraId="2AFB6C47" w14:textId="77777777" w:rsidR="001B0241" w:rsidRDefault="001B0241" w:rsidP="001B0241">
      <w:pPr>
        <w:pStyle w:val="Default"/>
        <w:numPr>
          <w:ilvl w:val="0"/>
          <w:numId w:val="2"/>
        </w:numPr>
        <w:contextualSpacing/>
        <w:jc w:val="both"/>
        <w:rPr>
          <w:rFonts w:asciiTheme="minorHAnsi" w:hAnsiTheme="minorHAnsi" w:cstheme="minorHAnsi"/>
          <w:color w:val="auto"/>
          <w:sz w:val="22"/>
          <w:szCs w:val="22"/>
          <w:lang w:val="en-GB"/>
        </w:rPr>
        <w:sectPr w:rsidR="001B0241" w:rsidSect="0074442B">
          <w:type w:val="continuous"/>
          <w:pgSz w:w="12240" w:h="15840"/>
          <w:pgMar w:top="709" w:right="850" w:bottom="284" w:left="851" w:header="720" w:footer="720" w:gutter="0"/>
          <w:cols w:space="720"/>
          <w:docGrid w:linePitch="360"/>
        </w:sectPr>
      </w:pPr>
    </w:p>
    <w:p w14:paraId="0A75BC1C" w14:textId="77777777" w:rsidR="00293207" w:rsidRPr="001F0CF9" w:rsidRDefault="00293207" w:rsidP="001B0241">
      <w:pPr>
        <w:pStyle w:val="Default"/>
        <w:numPr>
          <w:ilvl w:val="0"/>
          <w:numId w:val="2"/>
        </w:numPr>
        <w:contextualSpacing/>
        <w:jc w:val="both"/>
        <w:rPr>
          <w:rFonts w:asciiTheme="minorHAnsi" w:hAnsiTheme="minorHAnsi" w:cstheme="minorHAnsi"/>
          <w:color w:val="auto"/>
          <w:sz w:val="22"/>
          <w:szCs w:val="22"/>
          <w:lang w:val="en-GB"/>
        </w:rPr>
      </w:pPr>
      <w:r w:rsidRPr="001F0CF9">
        <w:rPr>
          <w:rFonts w:asciiTheme="minorHAnsi" w:hAnsiTheme="minorHAnsi" w:cstheme="minorHAnsi"/>
          <w:color w:val="auto"/>
          <w:sz w:val="22"/>
          <w:szCs w:val="22"/>
          <w:lang w:val="en-GB"/>
        </w:rPr>
        <w:t>Development of National Health Policy,</w:t>
      </w:r>
      <w:r w:rsidRPr="001F0CF9">
        <w:rPr>
          <w:rFonts w:asciiTheme="minorHAnsi" w:hAnsiTheme="minorHAnsi" w:cstheme="minorHAnsi"/>
          <w:color w:val="auto"/>
          <w:sz w:val="22"/>
          <w:szCs w:val="22"/>
          <w:lang w:val="en-US"/>
        </w:rPr>
        <w:t xml:space="preserve"> Health Strategies and Action Plans;</w:t>
      </w:r>
    </w:p>
    <w:p w14:paraId="61BE2941" w14:textId="77777777" w:rsidR="00293207" w:rsidRPr="001F0CF9" w:rsidRDefault="00293207" w:rsidP="001B0241">
      <w:pPr>
        <w:pStyle w:val="Default"/>
        <w:numPr>
          <w:ilvl w:val="0"/>
          <w:numId w:val="2"/>
        </w:numPr>
        <w:contextualSpacing/>
        <w:jc w:val="both"/>
        <w:rPr>
          <w:rFonts w:asciiTheme="minorHAnsi" w:hAnsiTheme="minorHAnsi" w:cstheme="minorHAnsi"/>
          <w:color w:val="auto"/>
          <w:sz w:val="22"/>
          <w:szCs w:val="22"/>
          <w:lang w:val="en-GB"/>
        </w:rPr>
      </w:pPr>
      <w:r w:rsidRPr="001F0CF9">
        <w:rPr>
          <w:rFonts w:asciiTheme="minorHAnsi" w:hAnsiTheme="minorHAnsi" w:cstheme="minorHAnsi"/>
          <w:color w:val="auto"/>
          <w:sz w:val="22"/>
          <w:szCs w:val="22"/>
          <w:lang w:val="en-GB"/>
        </w:rPr>
        <w:t>Strengthening of Health Systems and Public Health:</w:t>
      </w:r>
    </w:p>
    <w:p w14:paraId="57418D76" w14:textId="77777777" w:rsidR="00293207" w:rsidRPr="00FC6D08" w:rsidRDefault="00293207" w:rsidP="001B0241">
      <w:pPr>
        <w:pStyle w:val="Default"/>
        <w:numPr>
          <w:ilvl w:val="0"/>
          <w:numId w:val="3"/>
        </w:numPr>
        <w:tabs>
          <w:tab w:val="left" w:pos="1080"/>
        </w:tabs>
        <w:contextualSpacing/>
        <w:jc w:val="both"/>
        <w:rPr>
          <w:rStyle w:val="Strong"/>
          <w:rFonts w:asciiTheme="minorHAnsi" w:hAnsiTheme="minorHAnsi" w:cstheme="minorHAnsi"/>
          <w:b w:val="0"/>
          <w:bCs w:val="0"/>
          <w:color w:val="auto"/>
          <w:sz w:val="22"/>
          <w:szCs w:val="22"/>
          <w:lang w:val="en-GB"/>
        </w:rPr>
      </w:pPr>
      <w:r w:rsidRPr="00FC6D08">
        <w:rPr>
          <w:rFonts w:asciiTheme="minorHAnsi" w:hAnsiTheme="minorHAnsi" w:cstheme="minorHAnsi"/>
          <w:bCs/>
          <w:color w:val="auto"/>
          <w:sz w:val="22"/>
          <w:szCs w:val="22"/>
          <w:lang w:val="en-GB"/>
        </w:rPr>
        <w:t xml:space="preserve">Strengthening National Surveillance System </w:t>
      </w:r>
      <w:r w:rsidRPr="00FC6D08">
        <w:rPr>
          <w:rFonts w:asciiTheme="minorHAnsi" w:hAnsiTheme="minorHAnsi" w:cstheme="minorHAnsi"/>
          <w:sz w:val="22"/>
          <w:szCs w:val="22"/>
          <w:lang w:val="en-US"/>
        </w:rPr>
        <w:t xml:space="preserve">and Laboratory Capacities for communicable diseases – 3 laboratories within the Lugar Center (polio, measles/rubella, influenza) are getting WHO accreditation annually and 5 laboratories are included in the WHO laboratory network (Rota and others); </w:t>
      </w:r>
      <w:r w:rsidRPr="00FC6D08">
        <w:rPr>
          <w:rFonts w:asciiTheme="minorHAnsi" w:hAnsiTheme="minorHAnsi" w:cstheme="minorHAnsi"/>
          <w:bCs/>
          <w:color w:val="auto"/>
          <w:sz w:val="22"/>
          <w:szCs w:val="22"/>
          <w:lang w:val="en-GB"/>
        </w:rPr>
        <w:t>Health System Performance Assessment (HSPA);</w:t>
      </w:r>
      <w:r w:rsidR="00FC6D08" w:rsidRPr="00FC6D08">
        <w:rPr>
          <w:rFonts w:ascii="Sylfaen" w:hAnsi="Sylfaen" w:cstheme="minorHAnsi"/>
          <w:bCs/>
          <w:color w:val="auto"/>
          <w:sz w:val="22"/>
          <w:szCs w:val="22"/>
          <w:lang w:val="ka-GE"/>
        </w:rPr>
        <w:t xml:space="preserve"> </w:t>
      </w:r>
      <w:r w:rsidRPr="00FC6D08">
        <w:rPr>
          <w:rFonts w:asciiTheme="minorHAnsi" w:hAnsiTheme="minorHAnsi" w:cstheme="minorHAnsi"/>
          <w:bCs/>
          <w:color w:val="auto"/>
          <w:sz w:val="22"/>
          <w:szCs w:val="22"/>
          <w:lang w:val="en-GB"/>
        </w:rPr>
        <w:t>Assessment of Georgian Public Health System;</w:t>
      </w:r>
      <w:r w:rsidR="00FC6D08" w:rsidRPr="00FC6D08">
        <w:rPr>
          <w:rFonts w:ascii="Sylfaen" w:hAnsi="Sylfaen" w:cstheme="minorHAnsi"/>
          <w:bCs/>
          <w:color w:val="auto"/>
          <w:sz w:val="22"/>
          <w:szCs w:val="22"/>
          <w:lang w:val="ka-GE"/>
        </w:rPr>
        <w:t xml:space="preserve"> </w:t>
      </w:r>
      <w:r w:rsidRPr="00FC6D08">
        <w:rPr>
          <w:rFonts w:asciiTheme="minorHAnsi" w:hAnsiTheme="minorHAnsi" w:cstheme="minorHAnsi"/>
          <w:bCs/>
          <w:color w:val="auto"/>
          <w:sz w:val="22"/>
          <w:szCs w:val="22"/>
          <w:lang w:val="en-GB"/>
        </w:rPr>
        <w:t>Health Financing/Inequality in health;</w:t>
      </w:r>
      <w:r w:rsidR="00FC6D08" w:rsidRPr="00FC6D08">
        <w:rPr>
          <w:rFonts w:ascii="Sylfaen" w:hAnsi="Sylfaen" w:cstheme="minorHAnsi"/>
          <w:bCs/>
          <w:color w:val="auto"/>
          <w:sz w:val="22"/>
          <w:szCs w:val="22"/>
          <w:lang w:val="ka-GE"/>
        </w:rPr>
        <w:t xml:space="preserve"> </w:t>
      </w:r>
      <w:r w:rsidRPr="00FC6D08">
        <w:rPr>
          <w:rFonts w:asciiTheme="minorHAnsi" w:hAnsiTheme="minorHAnsi" w:cstheme="minorHAnsi"/>
          <w:sz w:val="22"/>
          <w:szCs w:val="22"/>
          <w:shd w:val="clear" w:color="auto" w:fill="FFFFFF"/>
          <w:lang w:val="en-US"/>
        </w:rPr>
        <w:t>National System of Health Accounts</w:t>
      </w:r>
      <w:r w:rsidR="00FC6D08" w:rsidRPr="00FC6D08">
        <w:rPr>
          <w:rFonts w:ascii="Sylfaen" w:hAnsi="Sylfaen" w:cstheme="minorHAnsi"/>
          <w:sz w:val="22"/>
          <w:szCs w:val="22"/>
          <w:shd w:val="clear" w:color="auto" w:fill="FFFFFF"/>
          <w:lang w:val="ka-GE"/>
        </w:rPr>
        <w:t xml:space="preserve">; </w:t>
      </w:r>
      <w:r w:rsidRPr="00FC6D08">
        <w:rPr>
          <w:rFonts w:asciiTheme="minorHAnsi" w:hAnsiTheme="minorHAnsi" w:cstheme="minorHAnsi"/>
          <w:bCs/>
          <w:color w:val="auto"/>
          <w:sz w:val="22"/>
          <w:szCs w:val="22"/>
          <w:lang w:val="en-GB"/>
        </w:rPr>
        <w:t>Human Resources for Health;</w:t>
      </w:r>
      <w:r w:rsidR="00FC6D08" w:rsidRPr="00FC6D08">
        <w:rPr>
          <w:rFonts w:ascii="Sylfaen" w:hAnsi="Sylfaen" w:cstheme="minorHAnsi"/>
          <w:bCs/>
          <w:color w:val="auto"/>
          <w:sz w:val="22"/>
          <w:szCs w:val="22"/>
          <w:lang w:val="ka-GE"/>
        </w:rPr>
        <w:t xml:space="preserve"> </w:t>
      </w:r>
      <w:r w:rsidRPr="00FC6D08">
        <w:rPr>
          <w:rStyle w:val="Strong"/>
          <w:rFonts w:asciiTheme="minorHAnsi" w:hAnsiTheme="minorHAnsi" w:cstheme="minorHAnsi"/>
          <w:b w:val="0"/>
          <w:iCs/>
          <w:sz w:val="22"/>
          <w:szCs w:val="22"/>
          <w:lang w:val="en-US"/>
        </w:rPr>
        <w:t>Support of Primary Health Care</w:t>
      </w:r>
      <w:r w:rsidR="00FC6D08">
        <w:rPr>
          <w:rStyle w:val="Strong"/>
          <w:rFonts w:ascii="Sylfaen" w:hAnsi="Sylfaen" w:cstheme="minorHAnsi"/>
          <w:b w:val="0"/>
          <w:iCs/>
          <w:sz w:val="22"/>
          <w:szCs w:val="22"/>
          <w:lang w:val="ka-GE"/>
        </w:rPr>
        <w:t>.</w:t>
      </w:r>
    </w:p>
    <w:p w14:paraId="08DCC276" w14:textId="77777777" w:rsidR="00293207" w:rsidRPr="001F0CF9" w:rsidRDefault="00293207" w:rsidP="001B0241">
      <w:pPr>
        <w:pStyle w:val="ListParagraph"/>
        <w:numPr>
          <w:ilvl w:val="0"/>
          <w:numId w:val="2"/>
        </w:numPr>
        <w:tabs>
          <w:tab w:val="left" w:pos="720"/>
        </w:tabs>
        <w:jc w:val="both"/>
        <w:rPr>
          <w:rFonts w:asciiTheme="minorHAnsi" w:hAnsiTheme="minorHAnsi" w:cstheme="minorHAnsi"/>
        </w:rPr>
      </w:pPr>
      <w:r w:rsidRPr="001F0CF9">
        <w:rPr>
          <w:rFonts w:asciiTheme="minorHAnsi" w:hAnsiTheme="minorHAnsi" w:cstheme="minorHAnsi"/>
        </w:rPr>
        <w:t>Universal Health Coverage;</w:t>
      </w:r>
    </w:p>
    <w:p w14:paraId="181CCD23" w14:textId="77777777" w:rsidR="00293207" w:rsidRPr="001F0CF9" w:rsidRDefault="00293207" w:rsidP="001B0241">
      <w:pPr>
        <w:pStyle w:val="ListParagraph"/>
        <w:numPr>
          <w:ilvl w:val="0"/>
          <w:numId w:val="2"/>
        </w:numPr>
        <w:tabs>
          <w:tab w:val="left" w:pos="720"/>
        </w:tabs>
        <w:jc w:val="both"/>
        <w:rPr>
          <w:rFonts w:asciiTheme="minorHAnsi" w:hAnsiTheme="minorHAnsi" w:cstheme="minorHAnsi"/>
        </w:rPr>
      </w:pPr>
      <w:r w:rsidRPr="001F0CF9">
        <w:rPr>
          <w:rFonts w:asciiTheme="minorHAnsi" w:hAnsiTheme="minorHAnsi" w:cstheme="minorHAnsi"/>
          <w:bCs/>
          <w:lang w:val="en-GB"/>
        </w:rPr>
        <w:t xml:space="preserve">Strengthening </w:t>
      </w:r>
      <w:r w:rsidRPr="001F0CF9">
        <w:rPr>
          <w:rFonts w:asciiTheme="minorHAnsi" w:hAnsiTheme="minorHAnsi" w:cstheme="minorHAnsi"/>
        </w:rPr>
        <w:t xml:space="preserve">national health information systems: </w:t>
      </w:r>
      <w:r w:rsidRPr="001F0CF9">
        <w:rPr>
          <w:rStyle w:val="x210"/>
          <w:rFonts w:asciiTheme="minorHAnsi" w:hAnsiTheme="minorHAnsi" w:cstheme="minorHAnsi"/>
          <w:b w:val="0"/>
          <w:color w:val="auto"/>
        </w:rPr>
        <w:t>capacity building for morbidity and mortality data quality improvement;</w:t>
      </w:r>
    </w:p>
    <w:p w14:paraId="23F667E5" w14:textId="77777777" w:rsidR="00293207" w:rsidRPr="001F0CF9" w:rsidRDefault="00293207" w:rsidP="001B0241">
      <w:pPr>
        <w:numPr>
          <w:ilvl w:val="0"/>
          <w:numId w:val="2"/>
        </w:numPr>
        <w:spacing w:after="0" w:line="240" w:lineRule="auto"/>
        <w:contextualSpacing/>
        <w:jc w:val="both"/>
        <w:rPr>
          <w:rFonts w:cstheme="minorHAnsi"/>
        </w:rPr>
      </w:pPr>
      <w:r w:rsidRPr="001F0CF9">
        <w:rPr>
          <w:rFonts w:cstheme="minorHAnsi"/>
        </w:rPr>
        <w:lastRenderedPageBreak/>
        <w:t>Cooperation in global strategies, such as Millennium Development Goals, Health 2020 Policy and Sustainable Development Goals (Health related goals);</w:t>
      </w:r>
    </w:p>
    <w:p w14:paraId="3EFC8E2A" w14:textId="77777777" w:rsidR="00293207" w:rsidRPr="001F0CF9" w:rsidRDefault="00293207" w:rsidP="001B0241">
      <w:pPr>
        <w:pStyle w:val="CM35"/>
        <w:numPr>
          <w:ilvl w:val="0"/>
          <w:numId w:val="2"/>
        </w:numPr>
        <w:spacing w:after="0"/>
        <w:contextualSpacing/>
        <w:jc w:val="both"/>
        <w:rPr>
          <w:rFonts w:asciiTheme="minorHAnsi" w:hAnsiTheme="minorHAnsi" w:cstheme="minorHAnsi"/>
          <w:bCs/>
          <w:sz w:val="22"/>
          <w:szCs w:val="22"/>
          <w:lang w:val="en-GB"/>
        </w:rPr>
      </w:pPr>
      <w:r w:rsidRPr="001F0CF9">
        <w:rPr>
          <w:rFonts w:asciiTheme="minorHAnsi" w:hAnsiTheme="minorHAnsi" w:cstheme="minorHAnsi"/>
          <w:bCs/>
          <w:sz w:val="22"/>
          <w:szCs w:val="22"/>
          <w:lang w:val="en-GB"/>
        </w:rPr>
        <w:t>Maternal and Child Health;</w:t>
      </w:r>
    </w:p>
    <w:p w14:paraId="79E6B027" w14:textId="77777777" w:rsidR="00293207" w:rsidRPr="001F0CF9" w:rsidRDefault="00293207" w:rsidP="001B0241">
      <w:pPr>
        <w:pStyle w:val="Default"/>
        <w:numPr>
          <w:ilvl w:val="0"/>
          <w:numId w:val="5"/>
        </w:numPr>
        <w:contextualSpacing/>
        <w:jc w:val="both"/>
        <w:rPr>
          <w:rFonts w:asciiTheme="minorHAnsi" w:hAnsiTheme="minorHAnsi" w:cstheme="minorHAnsi"/>
          <w:sz w:val="22"/>
          <w:szCs w:val="22"/>
          <w:lang w:val="en-US"/>
        </w:rPr>
      </w:pPr>
      <w:r w:rsidRPr="001F0CF9">
        <w:rPr>
          <w:rStyle w:val="xc2"/>
          <w:rFonts w:asciiTheme="minorHAnsi" w:hAnsiTheme="minorHAnsi" w:cstheme="minorHAnsi"/>
          <w:color w:val="auto"/>
          <w:sz w:val="22"/>
          <w:szCs w:val="22"/>
          <w:lang w:val="en-US"/>
        </w:rPr>
        <w:t>selective purchasing of selected services in the area of reproductive health;</w:t>
      </w:r>
    </w:p>
    <w:p w14:paraId="2200D2A3" w14:textId="77777777" w:rsidR="00293207" w:rsidRPr="001F0CF9" w:rsidRDefault="00293207" w:rsidP="001B0241">
      <w:pPr>
        <w:pStyle w:val="Default"/>
        <w:numPr>
          <w:ilvl w:val="0"/>
          <w:numId w:val="11"/>
        </w:numPr>
        <w:ind w:left="360"/>
        <w:contextualSpacing/>
        <w:jc w:val="both"/>
        <w:rPr>
          <w:rStyle w:val="xc2"/>
          <w:rFonts w:asciiTheme="minorHAnsi" w:hAnsiTheme="minorHAnsi" w:cstheme="minorHAnsi"/>
          <w:bCs/>
          <w:color w:val="auto"/>
          <w:sz w:val="22"/>
          <w:szCs w:val="22"/>
          <w:lang w:val="en-US"/>
        </w:rPr>
      </w:pPr>
      <w:r w:rsidRPr="001F0CF9">
        <w:rPr>
          <w:rFonts w:asciiTheme="minorHAnsi" w:hAnsiTheme="minorHAnsi" w:cstheme="minorHAnsi"/>
          <w:bCs/>
          <w:color w:val="auto"/>
          <w:sz w:val="22"/>
          <w:szCs w:val="22"/>
          <w:lang w:val="en-GB"/>
        </w:rPr>
        <w:t>Strengthening National Immunization Systems, such as:</w:t>
      </w:r>
      <w:r w:rsidR="001F0CF9" w:rsidRPr="001F0CF9">
        <w:rPr>
          <w:rFonts w:asciiTheme="minorHAnsi" w:hAnsiTheme="minorHAnsi" w:cstheme="minorHAnsi"/>
          <w:bCs/>
          <w:color w:val="auto"/>
          <w:sz w:val="22"/>
          <w:szCs w:val="22"/>
          <w:lang w:val="en-GB"/>
        </w:rPr>
        <w:t xml:space="preserve"> </w:t>
      </w:r>
      <w:r w:rsidRPr="001F0CF9">
        <w:rPr>
          <w:rFonts w:asciiTheme="minorHAnsi" w:hAnsiTheme="minorHAnsi" w:cstheme="minorHAnsi"/>
          <w:bCs/>
          <w:color w:val="auto"/>
          <w:sz w:val="22"/>
          <w:szCs w:val="22"/>
          <w:lang w:val="en-GB"/>
        </w:rPr>
        <w:t xml:space="preserve">Measles / Rubella / Influenza; </w:t>
      </w:r>
      <w:r w:rsidRPr="001F0CF9">
        <w:rPr>
          <w:rFonts w:asciiTheme="minorHAnsi" w:hAnsiTheme="minorHAnsi" w:cstheme="minorHAnsi"/>
          <w:sz w:val="22"/>
          <w:szCs w:val="22"/>
          <w:lang w:val="en-US"/>
        </w:rPr>
        <w:t xml:space="preserve">Introducing new vaccines in National Immunization </w:t>
      </w:r>
      <w:proofErr w:type="spellStart"/>
      <w:r w:rsidRPr="001F0CF9">
        <w:rPr>
          <w:rFonts w:asciiTheme="minorHAnsi" w:hAnsiTheme="minorHAnsi" w:cstheme="minorHAnsi"/>
          <w:sz w:val="22"/>
          <w:szCs w:val="22"/>
          <w:lang w:val="en-US"/>
        </w:rPr>
        <w:t>Programme</w:t>
      </w:r>
      <w:proofErr w:type="spellEnd"/>
      <w:r w:rsidRPr="001F0CF9">
        <w:rPr>
          <w:rFonts w:asciiTheme="minorHAnsi" w:hAnsiTheme="minorHAnsi" w:cstheme="minorHAnsi"/>
          <w:sz w:val="22"/>
          <w:szCs w:val="22"/>
          <w:lang w:val="en-US"/>
        </w:rPr>
        <w:t xml:space="preserve"> (Hepatitis B, Rota, </w:t>
      </w:r>
      <w:proofErr w:type="spellStart"/>
      <w:r w:rsidRPr="001F0CF9">
        <w:rPr>
          <w:rFonts w:asciiTheme="minorHAnsi" w:hAnsiTheme="minorHAnsi" w:cstheme="minorHAnsi"/>
          <w:sz w:val="22"/>
          <w:szCs w:val="22"/>
          <w:lang w:val="en-US"/>
        </w:rPr>
        <w:t>Pneumo</w:t>
      </w:r>
      <w:proofErr w:type="spellEnd"/>
      <w:r w:rsidRPr="001F0CF9">
        <w:rPr>
          <w:rFonts w:asciiTheme="minorHAnsi" w:hAnsiTheme="minorHAnsi" w:cstheme="minorHAnsi"/>
          <w:sz w:val="22"/>
          <w:szCs w:val="22"/>
          <w:lang w:val="en-US"/>
        </w:rPr>
        <w:t xml:space="preserve">, </w:t>
      </w:r>
      <w:proofErr w:type="spellStart"/>
      <w:r w:rsidRPr="001F0CF9">
        <w:rPr>
          <w:rFonts w:asciiTheme="minorHAnsi" w:hAnsiTheme="minorHAnsi" w:cstheme="minorHAnsi"/>
          <w:sz w:val="22"/>
          <w:szCs w:val="22"/>
          <w:lang w:val="en-US"/>
        </w:rPr>
        <w:t>Hexa</w:t>
      </w:r>
      <w:proofErr w:type="spellEnd"/>
      <w:r w:rsidRPr="001F0CF9">
        <w:rPr>
          <w:rFonts w:asciiTheme="minorHAnsi" w:hAnsiTheme="minorHAnsi" w:cstheme="minorHAnsi"/>
          <w:sz w:val="22"/>
          <w:szCs w:val="22"/>
          <w:lang w:val="en-US"/>
        </w:rPr>
        <w:t>, HPV);</w:t>
      </w:r>
      <w:r w:rsidR="001F0CF9" w:rsidRPr="001F0CF9">
        <w:rPr>
          <w:rFonts w:asciiTheme="minorHAnsi" w:hAnsiTheme="minorHAnsi" w:cstheme="minorHAnsi"/>
          <w:sz w:val="22"/>
          <w:szCs w:val="22"/>
          <w:lang w:val="en-US"/>
        </w:rPr>
        <w:t xml:space="preserve"> </w:t>
      </w:r>
      <w:r w:rsidRPr="001F0CF9">
        <w:rPr>
          <w:rStyle w:val="x210"/>
          <w:rFonts w:asciiTheme="minorHAnsi" w:hAnsiTheme="minorHAnsi" w:cstheme="minorHAnsi"/>
          <w:b w:val="0"/>
          <w:color w:val="auto"/>
          <w:sz w:val="22"/>
          <w:szCs w:val="22"/>
          <w:lang w:val="en-US"/>
        </w:rPr>
        <w:t>Implementation and monitoring of the global vaccine action plan to achieve the goals for the Decade of Vaccines;</w:t>
      </w:r>
      <w:r w:rsidR="001F0CF9" w:rsidRPr="001F0CF9">
        <w:rPr>
          <w:rStyle w:val="x210"/>
          <w:rFonts w:asciiTheme="minorHAnsi" w:hAnsiTheme="minorHAnsi" w:cstheme="minorHAnsi"/>
          <w:b w:val="0"/>
          <w:color w:val="auto"/>
          <w:sz w:val="22"/>
          <w:szCs w:val="22"/>
          <w:lang w:val="en-US"/>
        </w:rPr>
        <w:t xml:space="preserve"> </w:t>
      </w:r>
      <w:r w:rsidRPr="001F0CF9">
        <w:rPr>
          <w:rStyle w:val="x210"/>
          <w:rFonts w:asciiTheme="minorHAnsi" w:hAnsiTheme="minorHAnsi" w:cstheme="minorHAnsi"/>
          <w:b w:val="0"/>
          <w:color w:val="auto"/>
          <w:sz w:val="22"/>
          <w:szCs w:val="22"/>
          <w:lang w:val="en-US"/>
        </w:rPr>
        <w:t>Assessment of Vaccine Procurement System in Georgia.</w:t>
      </w:r>
    </w:p>
    <w:p w14:paraId="149D8478" w14:textId="77777777" w:rsidR="00293207" w:rsidRPr="001F0CF9" w:rsidRDefault="00293207" w:rsidP="001B0241">
      <w:pPr>
        <w:pStyle w:val="CM35"/>
        <w:numPr>
          <w:ilvl w:val="0"/>
          <w:numId w:val="2"/>
        </w:numPr>
        <w:spacing w:after="0"/>
        <w:contextualSpacing/>
        <w:jc w:val="both"/>
        <w:rPr>
          <w:rFonts w:asciiTheme="minorHAnsi" w:hAnsiTheme="minorHAnsi" w:cstheme="minorHAnsi"/>
          <w:bCs/>
          <w:sz w:val="22"/>
          <w:szCs w:val="22"/>
          <w:lang w:val="en-GB"/>
        </w:rPr>
      </w:pPr>
      <w:r w:rsidRPr="001F0CF9">
        <w:rPr>
          <w:rFonts w:asciiTheme="minorHAnsi" w:hAnsiTheme="minorHAnsi" w:cstheme="minorHAnsi"/>
          <w:sz w:val="22"/>
          <w:szCs w:val="22"/>
          <w:lang w:val="en-US"/>
        </w:rPr>
        <w:t>Addressing Communicable Diseases, such as:</w:t>
      </w:r>
      <w:r w:rsidRPr="001F0CF9">
        <w:rPr>
          <w:rFonts w:asciiTheme="minorHAnsi" w:hAnsiTheme="minorHAnsi" w:cstheme="minorHAnsi"/>
          <w:bCs/>
          <w:sz w:val="22"/>
          <w:szCs w:val="22"/>
          <w:lang w:val="en-GB"/>
        </w:rPr>
        <w:tab/>
      </w:r>
    </w:p>
    <w:p w14:paraId="79EFAD7B" w14:textId="77777777" w:rsidR="00293207" w:rsidRPr="001F0CF9" w:rsidRDefault="00293207" w:rsidP="005C0EDE">
      <w:pPr>
        <w:pStyle w:val="ListParagraph"/>
        <w:numPr>
          <w:ilvl w:val="0"/>
          <w:numId w:val="7"/>
        </w:numPr>
        <w:ind w:left="450" w:hanging="180"/>
        <w:jc w:val="both"/>
        <w:rPr>
          <w:rFonts w:asciiTheme="minorHAnsi" w:hAnsiTheme="minorHAnsi" w:cstheme="minorHAnsi"/>
        </w:rPr>
      </w:pPr>
      <w:r w:rsidRPr="001F0CF9">
        <w:rPr>
          <w:rFonts w:asciiTheme="minorHAnsi" w:hAnsiTheme="minorHAnsi" w:cstheme="minorHAnsi"/>
          <w:bCs/>
          <w:lang w:val="en-GB"/>
        </w:rPr>
        <w:t xml:space="preserve">HIV/AIDS/STI, including the process of </w:t>
      </w:r>
      <w:r w:rsidRPr="001F0CF9">
        <w:rPr>
          <w:rStyle w:val="xc2"/>
          <w:rFonts w:asciiTheme="minorHAnsi" w:hAnsiTheme="minorHAnsi" w:cstheme="minorHAnsi"/>
        </w:rPr>
        <w:t xml:space="preserve">obtaining status of “Free from Mother to Child transmission of HIV and Syphilis”; </w:t>
      </w:r>
    </w:p>
    <w:p w14:paraId="7ADF493B" w14:textId="77777777" w:rsidR="00293207" w:rsidRPr="001F0CF9" w:rsidRDefault="00293207" w:rsidP="005C0EDE">
      <w:pPr>
        <w:pStyle w:val="Default"/>
        <w:numPr>
          <w:ilvl w:val="0"/>
          <w:numId w:val="7"/>
        </w:numPr>
        <w:ind w:left="450" w:hanging="180"/>
        <w:contextualSpacing/>
        <w:jc w:val="both"/>
        <w:rPr>
          <w:rFonts w:asciiTheme="minorHAnsi" w:hAnsiTheme="minorHAnsi" w:cstheme="minorHAnsi"/>
          <w:color w:val="auto"/>
          <w:sz w:val="22"/>
          <w:szCs w:val="22"/>
          <w:lang w:val="en-GB"/>
        </w:rPr>
      </w:pPr>
      <w:r w:rsidRPr="001F0CF9">
        <w:rPr>
          <w:rFonts w:asciiTheme="minorHAnsi" w:hAnsiTheme="minorHAnsi" w:cstheme="minorHAnsi"/>
          <w:bCs/>
          <w:color w:val="auto"/>
          <w:sz w:val="22"/>
          <w:szCs w:val="22"/>
          <w:lang w:val="en-GB"/>
        </w:rPr>
        <w:t>Viral Hepatitis  /</w:t>
      </w:r>
      <w:r w:rsidRPr="001F0CF9">
        <w:rPr>
          <w:rStyle w:val="xc2"/>
          <w:rFonts w:asciiTheme="minorHAnsi" w:hAnsiTheme="minorHAnsi" w:cstheme="minorHAnsi"/>
          <w:color w:val="auto"/>
          <w:sz w:val="22"/>
          <w:szCs w:val="22"/>
          <w:lang w:val="en-US"/>
        </w:rPr>
        <w:t xml:space="preserve"> Hepatitis C Elimination Strategy</w:t>
      </w:r>
      <w:r w:rsidRPr="001F0CF9">
        <w:rPr>
          <w:rFonts w:asciiTheme="minorHAnsi" w:hAnsiTheme="minorHAnsi" w:cstheme="minorHAnsi"/>
          <w:bCs/>
          <w:color w:val="auto"/>
          <w:sz w:val="22"/>
          <w:szCs w:val="22"/>
          <w:lang w:val="en-GB"/>
        </w:rPr>
        <w:t xml:space="preserve"> </w:t>
      </w:r>
      <w:r w:rsidRPr="001F0CF9">
        <w:rPr>
          <w:rStyle w:val="xc2"/>
          <w:rFonts w:asciiTheme="minorHAnsi" w:hAnsiTheme="minorHAnsi" w:cstheme="minorHAnsi"/>
          <w:color w:val="auto"/>
          <w:sz w:val="22"/>
          <w:szCs w:val="22"/>
          <w:lang w:val="en-US"/>
        </w:rPr>
        <w:t>for Georgia;</w:t>
      </w:r>
    </w:p>
    <w:p w14:paraId="63095EE2" w14:textId="77777777" w:rsidR="00293207" w:rsidRPr="001F0CF9" w:rsidRDefault="00293207" w:rsidP="005C0EDE">
      <w:pPr>
        <w:pStyle w:val="CM35"/>
        <w:numPr>
          <w:ilvl w:val="0"/>
          <w:numId w:val="7"/>
        </w:numPr>
        <w:spacing w:after="0"/>
        <w:ind w:left="450" w:hanging="180"/>
        <w:contextualSpacing/>
        <w:jc w:val="both"/>
        <w:rPr>
          <w:rFonts w:asciiTheme="minorHAnsi" w:hAnsiTheme="minorHAnsi" w:cstheme="minorHAnsi"/>
          <w:bCs/>
          <w:sz w:val="22"/>
          <w:szCs w:val="22"/>
          <w:lang w:val="en-GB"/>
        </w:rPr>
      </w:pPr>
      <w:r w:rsidRPr="001F0CF9">
        <w:rPr>
          <w:rFonts w:asciiTheme="minorHAnsi" w:hAnsiTheme="minorHAnsi" w:cstheme="minorHAnsi"/>
          <w:bCs/>
          <w:sz w:val="22"/>
          <w:szCs w:val="22"/>
          <w:lang w:val="en-GB"/>
        </w:rPr>
        <w:t>Tuberculosis/Multidrug resistance Tuberculosis (MDR-TB);</w:t>
      </w:r>
    </w:p>
    <w:p w14:paraId="7989E714" w14:textId="77777777" w:rsidR="00293207" w:rsidRPr="001F0CF9" w:rsidRDefault="00293207" w:rsidP="005C0EDE">
      <w:pPr>
        <w:pStyle w:val="Default"/>
        <w:numPr>
          <w:ilvl w:val="0"/>
          <w:numId w:val="7"/>
        </w:numPr>
        <w:ind w:left="450" w:hanging="180"/>
        <w:contextualSpacing/>
        <w:jc w:val="both"/>
        <w:rPr>
          <w:rFonts w:asciiTheme="minorHAnsi" w:hAnsiTheme="minorHAnsi" w:cstheme="minorHAnsi"/>
          <w:bCs/>
          <w:color w:val="auto"/>
          <w:sz w:val="22"/>
          <w:szCs w:val="22"/>
          <w:lang w:val="en-GB"/>
        </w:rPr>
      </w:pPr>
      <w:r w:rsidRPr="001F0CF9">
        <w:rPr>
          <w:rFonts w:asciiTheme="minorHAnsi" w:hAnsiTheme="minorHAnsi" w:cstheme="minorHAnsi"/>
          <w:bCs/>
          <w:color w:val="auto"/>
          <w:sz w:val="22"/>
          <w:szCs w:val="22"/>
          <w:lang w:val="en-GB"/>
        </w:rPr>
        <w:t xml:space="preserve">Influenza; </w:t>
      </w:r>
    </w:p>
    <w:p w14:paraId="3A72E872" w14:textId="77777777" w:rsidR="00293207" w:rsidRPr="001F0CF9" w:rsidRDefault="00293207" w:rsidP="005C0EDE">
      <w:pPr>
        <w:pStyle w:val="Default"/>
        <w:numPr>
          <w:ilvl w:val="0"/>
          <w:numId w:val="7"/>
        </w:numPr>
        <w:ind w:left="450" w:hanging="180"/>
        <w:contextualSpacing/>
        <w:jc w:val="both"/>
        <w:rPr>
          <w:rFonts w:asciiTheme="minorHAnsi" w:hAnsiTheme="minorHAnsi" w:cstheme="minorHAnsi"/>
          <w:bCs/>
          <w:color w:val="auto"/>
          <w:sz w:val="22"/>
          <w:szCs w:val="22"/>
          <w:lang w:val="en-GB"/>
        </w:rPr>
      </w:pPr>
      <w:r w:rsidRPr="001F0CF9">
        <w:rPr>
          <w:rFonts w:asciiTheme="minorHAnsi" w:hAnsiTheme="minorHAnsi" w:cstheme="minorHAnsi"/>
          <w:color w:val="auto"/>
          <w:sz w:val="22"/>
          <w:szCs w:val="22"/>
        </w:rPr>
        <w:t>Malaria</w:t>
      </w:r>
      <w:r w:rsidRPr="001F0CF9">
        <w:rPr>
          <w:rFonts w:asciiTheme="minorHAnsi" w:hAnsiTheme="minorHAnsi" w:cstheme="minorHAnsi"/>
          <w:sz w:val="22"/>
          <w:szCs w:val="22"/>
        </w:rPr>
        <w:t xml:space="preserve"> </w:t>
      </w:r>
      <w:r w:rsidRPr="001F0CF9">
        <w:rPr>
          <w:rFonts w:asciiTheme="minorHAnsi" w:hAnsiTheme="minorHAnsi" w:cstheme="minorHAnsi"/>
          <w:color w:val="auto"/>
          <w:sz w:val="22"/>
          <w:szCs w:val="22"/>
        </w:rPr>
        <w:t xml:space="preserve">elimination </w:t>
      </w:r>
      <w:r w:rsidRPr="001F0CF9">
        <w:rPr>
          <w:rFonts w:asciiTheme="minorHAnsi" w:hAnsiTheme="minorHAnsi" w:cstheme="minorHAnsi"/>
          <w:color w:val="auto"/>
          <w:sz w:val="22"/>
          <w:szCs w:val="22"/>
          <w:lang w:val="en-US"/>
        </w:rPr>
        <w:t>/</w:t>
      </w:r>
      <w:r w:rsidRPr="001F0CF9">
        <w:rPr>
          <w:rFonts w:asciiTheme="minorHAnsi" w:hAnsiTheme="minorHAnsi" w:cstheme="minorHAnsi"/>
          <w:color w:val="auto"/>
          <w:sz w:val="22"/>
          <w:szCs w:val="22"/>
        </w:rPr>
        <w:t>Leishmaniasis</w:t>
      </w:r>
      <w:r w:rsidRPr="001F0CF9">
        <w:rPr>
          <w:rFonts w:asciiTheme="minorHAnsi" w:hAnsiTheme="minorHAnsi" w:cstheme="minorHAnsi"/>
          <w:color w:val="auto"/>
          <w:sz w:val="22"/>
          <w:szCs w:val="22"/>
          <w:lang w:val="en-US"/>
        </w:rPr>
        <w:t>;</w:t>
      </w:r>
    </w:p>
    <w:p w14:paraId="654C32C1" w14:textId="77777777" w:rsidR="00293207" w:rsidRPr="001F0CF9" w:rsidRDefault="00293207" w:rsidP="005C0EDE">
      <w:pPr>
        <w:pStyle w:val="Default"/>
        <w:numPr>
          <w:ilvl w:val="0"/>
          <w:numId w:val="7"/>
        </w:numPr>
        <w:ind w:left="450" w:hanging="180"/>
        <w:contextualSpacing/>
        <w:jc w:val="both"/>
        <w:rPr>
          <w:rFonts w:asciiTheme="minorHAnsi" w:hAnsiTheme="minorHAnsi" w:cstheme="minorHAnsi"/>
          <w:bCs/>
          <w:color w:val="auto"/>
          <w:sz w:val="22"/>
          <w:szCs w:val="22"/>
          <w:lang w:val="en-GB"/>
        </w:rPr>
      </w:pPr>
      <w:r w:rsidRPr="001F0CF9">
        <w:rPr>
          <w:rFonts w:asciiTheme="minorHAnsi" w:hAnsiTheme="minorHAnsi" w:cstheme="minorHAnsi"/>
          <w:sz w:val="22"/>
          <w:szCs w:val="22"/>
          <w:lang w:val="en-US"/>
        </w:rPr>
        <w:t>Laboratory based surveillance of Acute Flaccid Paralysis (AFP) and environmental samples to maintain polio-free status;</w:t>
      </w:r>
    </w:p>
    <w:p w14:paraId="3744120C" w14:textId="77777777" w:rsidR="00293207" w:rsidRPr="001F0CF9" w:rsidRDefault="00293207" w:rsidP="005C0EDE">
      <w:pPr>
        <w:pStyle w:val="CM35"/>
        <w:numPr>
          <w:ilvl w:val="0"/>
          <w:numId w:val="7"/>
        </w:numPr>
        <w:tabs>
          <w:tab w:val="left" w:pos="1080"/>
        </w:tabs>
        <w:spacing w:after="0"/>
        <w:ind w:left="450" w:hanging="180"/>
        <w:contextualSpacing/>
        <w:jc w:val="both"/>
        <w:rPr>
          <w:rFonts w:asciiTheme="minorHAnsi" w:hAnsiTheme="minorHAnsi" w:cstheme="minorHAnsi"/>
          <w:bCs/>
          <w:sz w:val="22"/>
          <w:szCs w:val="22"/>
          <w:lang w:val="en-GB"/>
        </w:rPr>
      </w:pPr>
      <w:r w:rsidRPr="001F0CF9">
        <w:rPr>
          <w:rFonts w:asciiTheme="minorHAnsi" w:hAnsiTheme="minorHAnsi" w:cstheme="minorHAnsi"/>
          <w:bCs/>
          <w:sz w:val="22"/>
          <w:szCs w:val="22"/>
          <w:lang w:val="en-GB"/>
        </w:rPr>
        <w:t>International Health regulations (IHR);</w:t>
      </w:r>
    </w:p>
    <w:p w14:paraId="49751A78" w14:textId="77777777" w:rsidR="00293207" w:rsidRPr="001F0CF9" w:rsidRDefault="00293207" w:rsidP="005C0EDE">
      <w:pPr>
        <w:pStyle w:val="Default"/>
        <w:numPr>
          <w:ilvl w:val="0"/>
          <w:numId w:val="7"/>
        </w:numPr>
        <w:tabs>
          <w:tab w:val="left" w:pos="1080"/>
        </w:tabs>
        <w:ind w:left="450" w:hanging="180"/>
        <w:contextualSpacing/>
        <w:jc w:val="both"/>
        <w:rPr>
          <w:rFonts w:asciiTheme="minorHAnsi" w:hAnsiTheme="minorHAnsi" w:cstheme="minorHAnsi"/>
          <w:bCs/>
          <w:color w:val="auto"/>
          <w:sz w:val="22"/>
          <w:szCs w:val="22"/>
          <w:lang w:val="en-GB"/>
        </w:rPr>
      </w:pPr>
      <w:r w:rsidRPr="001F0CF9">
        <w:rPr>
          <w:rFonts w:asciiTheme="minorHAnsi" w:hAnsiTheme="minorHAnsi" w:cstheme="minorHAnsi"/>
          <w:color w:val="auto"/>
          <w:sz w:val="22"/>
          <w:szCs w:val="22"/>
          <w:lang w:val="en-GB"/>
        </w:rPr>
        <w:t xml:space="preserve">Disaster Preparedness and Response; </w:t>
      </w:r>
    </w:p>
    <w:p w14:paraId="2C854BB5" w14:textId="77777777" w:rsidR="00293207" w:rsidRPr="001F0CF9" w:rsidRDefault="00293207" w:rsidP="005C0EDE">
      <w:pPr>
        <w:pStyle w:val="Default"/>
        <w:numPr>
          <w:ilvl w:val="0"/>
          <w:numId w:val="7"/>
        </w:numPr>
        <w:tabs>
          <w:tab w:val="left" w:pos="1080"/>
        </w:tabs>
        <w:ind w:left="450" w:hanging="180"/>
        <w:contextualSpacing/>
        <w:jc w:val="both"/>
        <w:rPr>
          <w:rFonts w:asciiTheme="minorHAnsi" w:hAnsiTheme="minorHAnsi" w:cstheme="minorHAnsi"/>
          <w:bCs/>
          <w:color w:val="auto"/>
          <w:sz w:val="22"/>
          <w:szCs w:val="22"/>
          <w:lang w:val="en-GB"/>
        </w:rPr>
      </w:pPr>
      <w:r w:rsidRPr="001F0CF9">
        <w:rPr>
          <w:rFonts w:asciiTheme="minorHAnsi" w:hAnsiTheme="minorHAnsi" w:cstheme="minorHAnsi"/>
          <w:bCs/>
          <w:color w:val="auto"/>
          <w:sz w:val="22"/>
          <w:szCs w:val="22"/>
          <w:lang w:val="en-GB"/>
        </w:rPr>
        <w:t>Antimicrobial Resistance: National Strategy, Global action plan;</w:t>
      </w:r>
    </w:p>
    <w:p w14:paraId="10B617A1" w14:textId="77777777" w:rsidR="00293207" w:rsidRPr="001F0CF9" w:rsidRDefault="00293207" w:rsidP="001B0241">
      <w:pPr>
        <w:pStyle w:val="Default"/>
        <w:numPr>
          <w:ilvl w:val="0"/>
          <w:numId w:val="6"/>
        </w:numPr>
        <w:ind w:left="360" w:hanging="270"/>
        <w:contextualSpacing/>
        <w:jc w:val="both"/>
        <w:rPr>
          <w:rFonts w:asciiTheme="minorHAnsi" w:hAnsiTheme="minorHAnsi" w:cstheme="minorHAnsi"/>
          <w:bCs/>
          <w:color w:val="auto"/>
          <w:sz w:val="22"/>
          <w:szCs w:val="22"/>
          <w:lang w:val="en-GB"/>
        </w:rPr>
      </w:pPr>
      <w:r w:rsidRPr="001F0CF9">
        <w:rPr>
          <w:rFonts w:asciiTheme="minorHAnsi" w:hAnsiTheme="minorHAnsi" w:cstheme="minorHAnsi"/>
          <w:sz w:val="22"/>
          <w:szCs w:val="22"/>
          <w:lang w:val="en-US"/>
        </w:rPr>
        <w:t>Addressing Non-Communicable Diseases such as:</w:t>
      </w:r>
      <w:r w:rsidRPr="001F0CF9">
        <w:rPr>
          <w:rFonts w:asciiTheme="minorHAnsi" w:hAnsiTheme="minorHAnsi" w:cstheme="minorHAnsi"/>
          <w:bCs/>
          <w:sz w:val="22"/>
          <w:szCs w:val="22"/>
          <w:lang w:val="en-GB"/>
        </w:rPr>
        <w:tab/>
      </w:r>
    </w:p>
    <w:p w14:paraId="34B529CC" w14:textId="77777777" w:rsidR="00293207" w:rsidRPr="001F0CF9" w:rsidRDefault="00293207" w:rsidP="002E2C23">
      <w:pPr>
        <w:pStyle w:val="ListParagraph"/>
        <w:numPr>
          <w:ilvl w:val="0"/>
          <w:numId w:val="8"/>
        </w:numPr>
        <w:shd w:val="clear" w:color="auto" w:fill="FFFFFF"/>
        <w:ind w:left="630" w:right="-275"/>
        <w:jc w:val="both"/>
        <w:rPr>
          <w:rFonts w:asciiTheme="minorHAnsi" w:hAnsiTheme="minorHAnsi" w:cstheme="minorHAnsi"/>
        </w:rPr>
      </w:pPr>
      <w:r w:rsidRPr="001F0CF9">
        <w:rPr>
          <w:rFonts w:asciiTheme="minorHAnsi" w:hAnsiTheme="minorHAnsi" w:cstheme="minorHAnsi"/>
        </w:rPr>
        <w:t>Developing integrated NCD prevention and control policies and strategies;</w:t>
      </w:r>
    </w:p>
    <w:p w14:paraId="25113454" w14:textId="77777777" w:rsidR="00293207" w:rsidRPr="001F0CF9" w:rsidRDefault="00293207" w:rsidP="002E2C23">
      <w:pPr>
        <w:pStyle w:val="ListParagraph"/>
        <w:numPr>
          <w:ilvl w:val="0"/>
          <w:numId w:val="8"/>
        </w:numPr>
        <w:shd w:val="clear" w:color="auto" w:fill="FFFFFF"/>
        <w:ind w:left="630" w:right="-275"/>
        <w:jc w:val="both"/>
        <w:rPr>
          <w:rStyle w:val="x210"/>
          <w:rFonts w:asciiTheme="minorHAnsi" w:hAnsiTheme="minorHAnsi" w:cstheme="minorHAnsi"/>
          <w:b w:val="0"/>
          <w:bCs w:val="0"/>
          <w:color w:val="auto"/>
        </w:rPr>
      </w:pPr>
      <w:r w:rsidRPr="001F0CF9">
        <w:rPr>
          <w:rStyle w:val="x210"/>
          <w:rFonts w:asciiTheme="minorHAnsi" w:hAnsiTheme="minorHAnsi" w:cstheme="minorHAnsi"/>
          <w:b w:val="0"/>
          <w:color w:val="auto"/>
        </w:rPr>
        <w:t>STEPs Surveys;</w:t>
      </w:r>
    </w:p>
    <w:p w14:paraId="20113D5B" w14:textId="77777777" w:rsidR="00293207" w:rsidRPr="001F0CF9" w:rsidRDefault="00293207" w:rsidP="002E2C23">
      <w:pPr>
        <w:pStyle w:val="ListParagraph"/>
        <w:numPr>
          <w:ilvl w:val="0"/>
          <w:numId w:val="8"/>
        </w:numPr>
        <w:shd w:val="clear" w:color="auto" w:fill="FFFFFF"/>
        <w:ind w:left="630" w:right="-275"/>
        <w:jc w:val="both"/>
        <w:rPr>
          <w:rFonts w:asciiTheme="minorHAnsi" w:hAnsiTheme="minorHAnsi" w:cstheme="minorHAnsi"/>
        </w:rPr>
      </w:pPr>
      <w:r w:rsidRPr="001F0CF9">
        <w:rPr>
          <w:rStyle w:val="x210"/>
          <w:rFonts w:asciiTheme="minorHAnsi" w:hAnsiTheme="minorHAnsi" w:cstheme="minorHAnsi"/>
          <w:b w:val="0"/>
          <w:color w:val="auto"/>
        </w:rPr>
        <w:t xml:space="preserve">Surveys on NCD risk-factors – </w:t>
      </w:r>
      <w:r w:rsidRPr="001F0CF9">
        <w:rPr>
          <w:rFonts w:asciiTheme="minorHAnsi" w:hAnsiTheme="minorHAnsi" w:cstheme="minorHAnsi"/>
          <w:bCs/>
          <w:kern w:val="36"/>
        </w:rPr>
        <w:t>Childhood Obesity Surveillance Initiative</w:t>
      </w:r>
      <w:r w:rsidRPr="001F0CF9">
        <w:rPr>
          <w:rStyle w:val="x210"/>
          <w:rFonts w:asciiTheme="minorHAnsi" w:hAnsiTheme="minorHAnsi" w:cstheme="minorHAnsi"/>
          <w:b w:val="0"/>
          <w:color w:val="auto"/>
        </w:rPr>
        <w:t xml:space="preserve"> (COSI), </w:t>
      </w:r>
      <w:r w:rsidRPr="001F0CF9">
        <w:rPr>
          <w:rFonts w:asciiTheme="minorHAnsi" w:hAnsiTheme="minorHAnsi" w:cstheme="minorHAnsi"/>
        </w:rPr>
        <w:t xml:space="preserve">Health </w:t>
      </w:r>
      <w:proofErr w:type="spellStart"/>
      <w:r w:rsidRPr="001F0CF9">
        <w:rPr>
          <w:rFonts w:asciiTheme="minorHAnsi" w:hAnsiTheme="minorHAnsi" w:cstheme="minorHAnsi"/>
        </w:rPr>
        <w:t>Behaviour</w:t>
      </w:r>
      <w:proofErr w:type="spellEnd"/>
      <w:r w:rsidRPr="001F0CF9">
        <w:rPr>
          <w:rFonts w:asciiTheme="minorHAnsi" w:hAnsiTheme="minorHAnsi" w:cstheme="minorHAnsi"/>
        </w:rPr>
        <w:t xml:space="preserve"> in School-aged Children</w:t>
      </w:r>
      <w:r w:rsidRPr="001F0CF9">
        <w:rPr>
          <w:rStyle w:val="x210"/>
          <w:rFonts w:asciiTheme="minorHAnsi" w:hAnsiTheme="minorHAnsi" w:cstheme="minorHAnsi"/>
          <w:b w:val="0"/>
          <w:color w:val="auto"/>
        </w:rPr>
        <w:t xml:space="preserve"> (HBSC), </w:t>
      </w:r>
      <w:r w:rsidRPr="001F0CF9">
        <w:rPr>
          <w:rFonts w:asciiTheme="minorHAnsi" w:hAnsiTheme="minorHAnsi" w:cstheme="minorHAnsi"/>
        </w:rPr>
        <w:t>Global Youth Tobacco Survey (GYTS), etc.;</w:t>
      </w:r>
    </w:p>
    <w:p w14:paraId="506B806F" w14:textId="77777777" w:rsidR="00293207" w:rsidRPr="001F0CF9" w:rsidRDefault="00293207" w:rsidP="002E2C23">
      <w:pPr>
        <w:pStyle w:val="ListParagraph"/>
        <w:numPr>
          <w:ilvl w:val="0"/>
          <w:numId w:val="8"/>
        </w:numPr>
        <w:shd w:val="clear" w:color="auto" w:fill="FFFFFF"/>
        <w:ind w:left="630" w:right="-275"/>
        <w:jc w:val="both"/>
        <w:rPr>
          <w:rStyle w:val="x210"/>
          <w:rFonts w:asciiTheme="minorHAnsi" w:hAnsiTheme="minorHAnsi" w:cstheme="minorHAnsi"/>
          <w:b w:val="0"/>
          <w:bCs w:val="0"/>
          <w:color w:val="auto"/>
        </w:rPr>
      </w:pPr>
      <w:r w:rsidRPr="001F0CF9">
        <w:rPr>
          <w:rFonts w:asciiTheme="minorHAnsi" w:hAnsiTheme="minorHAnsi" w:cstheme="minorHAnsi"/>
        </w:rPr>
        <w:t>Strengthening capacity of primary healthcare professionals personnel on NCD prevention and control;</w:t>
      </w:r>
    </w:p>
    <w:p w14:paraId="472AFAE4" w14:textId="77777777" w:rsidR="00293207" w:rsidRPr="001F0CF9" w:rsidRDefault="00293207" w:rsidP="002E2C23">
      <w:pPr>
        <w:pStyle w:val="ListParagraph"/>
        <w:numPr>
          <w:ilvl w:val="0"/>
          <w:numId w:val="8"/>
        </w:numPr>
        <w:shd w:val="clear" w:color="auto" w:fill="FFFFFF"/>
        <w:ind w:left="630" w:right="-275"/>
        <w:jc w:val="both"/>
        <w:rPr>
          <w:rFonts w:asciiTheme="minorHAnsi" w:hAnsiTheme="minorHAnsi" w:cstheme="minorHAnsi"/>
        </w:rPr>
      </w:pPr>
      <w:r w:rsidRPr="001F0CF9">
        <w:rPr>
          <w:rFonts w:asciiTheme="minorHAnsi" w:hAnsiTheme="minorHAnsi" w:cstheme="minorHAnsi"/>
        </w:rPr>
        <w:t>Strengthening tobacco control;</w:t>
      </w:r>
      <w:r w:rsidR="002E2C23">
        <w:rPr>
          <w:rFonts w:cstheme="minorHAnsi"/>
          <w:lang w:val="ka-GE"/>
        </w:rPr>
        <w:t xml:space="preserve">              </w:t>
      </w:r>
    </w:p>
    <w:p w14:paraId="56E7CB21" w14:textId="488255E7" w:rsidR="002E2C23" w:rsidRPr="002E2C23" w:rsidRDefault="001F0CF9" w:rsidP="002E2C23">
      <w:pPr>
        <w:pStyle w:val="ListParagraph"/>
        <w:numPr>
          <w:ilvl w:val="0"/>
          <w:numId w:val="8"/>
        </w:numPr>
        <w:shd w:val="clear" w:color="auto" w:fill="FFFFFF"/>
        <w:tabs>
          <w:tab w:val="left" w:pos="990"/>
        </w:tabs>
        <w:ind w:left="450" w:right="-275" w:hanging="180"/>
        <w:jc w:val="both"/>
        <w:rPr>
          <w:rFonts w:asciiTheme="minorHAnsi" w:hAnsiTheme="minorHAnsi" w:cstheme="minorHAnsi"/>
          <w:bCs/>
        </w:rPr>
      </w:pPr>
      <w:r>
        <w:rPr>
          <w:rFonts w:asciiTheme="minorHAnsi" w:hAnsiTheme="minorHAnsi" w:cstheme="minorHAnsi"/>
        </w:rPr>
        <w:t xml:space="preserve">  </w:t>
      </w:r>
      <w:r w:rsidR="002E2C23">
        <w:rPr>
          <w:rFonts w:cstheme="minorHAnsi"/>
          <w:lang w:val="ka-GE"/>
        </w:rPr>
        <w:t xml:space="preserve"> </w:t>
      </w:r>
      <w:r w:rsidR="00293207" w:rsidRPr="001F0CF9">
        <w:rPr>
          <w:rFonts w:asciiTheme="minorHAnsi" w:hAnsiTheme="minorHAnsi" w:cstheme="minorHAnsi"/>
        </w:rPr>
        <w:t>National Environmental Health Action Plan (NEHAP);</w:t>
      </w:r>
      <w:r w:rsidR="002E2C23">
        <w:rPr>
          <w:rFonts w:cstheme="minorHAnsi"/>
          <w:lang w:val="ka-GE"/>
        </w:rPr>
        <w:t xml:space="preserve"> </w:t>
      </w:r>
    </w:p>
    <w:p w14:paraId="156883B6" w14:textId="77777777" w:rsidR="00293207" w:rsidRPr="002E2C23" w:rsidRDefault="00293207" w:rsidP="002E2C23">
      <w:pPr>
        <w:pStyle w:val="ListParagraph"/>
        <w:numPr>
          <w:ilvl w:val="0"/>
          <w:numId w:val="8"/>
        </w:numPr>
        <w:shd w:val="clear" w:color="auto" w:fill="FFFFFF"/>
        <w:tabs>
          <w:tab w:val="left" w:pos="990"/>
        </w:tabs>
        <w:ind w:left="450" w:right="-275" w:hanging="180"/>
        <w:jc w:val="both"/>
        <w:rPr>
          <w:rFonts w:asciiTheme="minorHAnsi" w:hAnsiTheme="minorHAnsi" w:cstheme="minorHAnsi"/>
          <w:bCs/>
        </w:rPr>
      </w:pPr>
      <w:r w:rsidRPr="002E2C23">
        <w:rPr>
          <w:rFonts w:asciiTheme="minorHAnsi" w:hAnsiTheme="minorHAnsi" w:cstheme="minorHAnsi"/>
          <w:bCs/>
        </w:rPr>
        <w:t xml:space="preserve">Chemical safety </w:t>
      </w:r>
      <w:r w:rsidRPr="002E2C23">
        <w:rPr>
          <w:rFonts w:asciiTheme="minorHAnsi" w:hAnsiTheme="minorHAnsi" w:cstheme="minorHAnsi"/>
          <w:bCs/>
          <w:lang w:val="ka-GE"/>
        </w:rPr>
        <w:t>–</w:t>
      </w:r>
      <w:r w:rsidRPr="002E2C23">
        <w:rPr>
          <w:rFonts w:asciiTheme="minorHAnsi" w:hAnsiTheme="minorHAnsi" w:cstheme="minorHAnsi"/>
          <w:color w:val="000000" w:themeColor="text1"/>
        </w:rPr>
        <w:t xml:space="preserve"> “Development of legislative and operational framework for collection and sharing of information </w:t>
      </w:r>
      <w:r w:rsidR="002E2C23">
        <w:rPr>
          <w:rFonts w:cstheme="minorHAnsi"/>
          <w:color w:val="000000" w:themeColor="text1"/>
          <w:lang w:val="ka-GE"/>
        </w:rPr>
        <w:t xml:space="preserve"> </w:t>
      </w:r>
      <w:r w:rsidRPr="002E2C23">
        <w:rPr>
          <w:rFonts w:asciiTheme="minorHAnsi" w:hAnsiTheme="minorHAnsi" w:cstheme="minorHAnsi"/>
          <w:color w:val="000000" w:themeColor="text1"/>
        </w:rPr>
        <w:t>on hazardous chemicals in Georgia”;</w:t>
      </w:r>
      <w:r w:rsidR="002275C6" w:rsidRPr="002275C6">
        <w:rPr>
          <w:noProof/>
        </w:rPr>
        <w:t xml:space="preserve"> </w:t>
      </w:r>
    </w:p>
    <w:p w14:paraId="6591A4F9" w14:textId="77777777" w:rsidR="00293207" w:rsidRPr="001F0CF9" w:rsidRDefault="00293207" w:rsidP="002E2C23">
      <w:pPr>
        <w:pStyle w:val="Title"/>
        <w:numPr>
          <w:ilvl w:val="0"/>
          <w:numId w:val="8"/>
        </w:numPr>
        <w:ind w:left="450" w:hanging="180"/>
        <w:contextualSpacing/>
        <w:jc w:val="both"/>
        <w:rPr>
          <w:rFonts w:asciiTheme="minorHAnsi" w:hAnsiTheme="minorHAnsi" w:cstheme="minorHAnsi"/>
          <w:bCs/>
          <w:sz w:val="22"/>
          <w:szCs w:val="22"/>
        </w:rPr>
      </w:pPr>
      <w:r w:rsidRPr="001F0CF9">
        <w:rPr>
          <w:rFonts w:asciiTheme="minorHAnsi" w:hAnsiTheme="minorHAnsi" w:cstheme="minorHAnsi"/>
          <w:bCs/>
          <w:sz w:val="22"/>
          <w:szCs w:val="22"/>
        </w:rPr>
        <w:t xml:space="preserve">GLAAS - </w:t>
      </w:r>
      <w:r w:rsidRPr="001F0CF9">
        <w:rPr>
          <w:rFonts w:asciiTheme="minorHAnsi" w:hAnsiTheme="minorHAnsi" w:cstheme="minorHAnsi"/>
          <w:sz w:val="22"/>
          <w:szCs w:val="22"/>
        </w:rPr>
        <w:t>Global analysis and Assessment of Sanitation and Drinking-Water 2016/2017 Survey;</w:t>
      </w:r>
      <w:r w:rsidRPr="001F0CF9">
        <w:rPr>
          <w:rFonts w:asciiTheme="minorHAnsi" w:hAnsiTheme="minorHAnsi" w:cstheme="minorHAnsi"/>
          <w:bCs/>
          <w:sz w:val="22"/>
          <w:szCs w:val="22"/>
        </w:rPr>
        <w:t xml:space="preserve">  </w:t>
      </w:r>
    </w:p>
    <w:p w14:paraId="1F72C5B7" w14:textId="77777777" w:rsidR="002E2C23" w:rsidRDefault="002E2C23" w:rsidP="002E2C23">
      <w:pPr>
        <w:pStyle w:val="ListParagraph"/>
        <w:numPr>
          <w:ilvl w:val="0"/>
          <w:numId w:val="8"/>
        </w:numPr>
        <w:shd w:val="clear" w:color="auto" w:fill="FFFFFF"/>
        <w:tabs>
          <w:tab w:val="num" w:pos="1428"/>
        </w:tabs>
        <w:ind w:left="450" w:right="-275" w:hanging="180"/>
        <w:jc w:val="both"/>
        <w:rPr>
          <w:rFonts w:asciiTheme="minorHAnsi" w:hAnsiTheme="minorHAnsi" w:cstheme="minorHAnsi"/>
        </w:rPr>
        <w:sectPr w:rsidR="002E2C23" w:rsidSect="0074442B">
          <w:type w:val="continuous"/>
          <w:pgSz w:w="12240" w:h="15840"/>
          <w:pgMar w:top="709" w:right="850" w:bottom="284" w:left="851" w:header="720" w:footer="720" w:gutter="0"/>
          <w:cols w:space="720"/>
          <w:docGrid w:linePitch="360"/>
        </w:sectPr>
      </w:pPr>
    </w:p>
    <w:p w14:paraId="1117CE7B" w14:textId="77777777" w:rsidR="00293207" w:rsidRPr="001F0CF9" w:rsidRDefault="00293207" w:rsidP="002E2C23">
      <w:pPr>
        <w:pStyle w:val="ListParagraph"/>
        <w:numPr>
          <w:ilvl w:val="0"/>
          <w:numId w:val="8"/>
        </w:numPr>
        <w:shd w:val="clear" w:color="auto" w:fill="FFFFFF"/>
        <w:tabs>
          <w:tab w:val="num" w:pos="1428"/>
        </w:tabs>
        <w:ind w:left="450" w:right="-275" w:hanging="180"/>
        <w:jc w:val="both"/>
        <w:rPr>
          <w:rFonts w:asciiTheme="minorHAnsi" w:hAnsiTheme="minorHAnsi" w:cstheme="minorHAnsi"/>
        </w:rPr>
      </w:pPr>
      <w:r w:rsidRPr="001F0CF9">
        <w:rPr>
          <w:rFonts w:asciiTheme="minorHAnsi" w:hAnsiTheme="minorHAnsi" w:cstheme="minorHAnsi"/>
        </w:rPr>
        <w:t>Implementation of mental health strategy in accordance with Helsinki Declaration;</w:t>
      </w:r>
    </w:p>
    <w:p w14:paraId="595905B8" w14:textId="77777777" w:rsidR="001B0241" w:rsidRDefault="001B0241" w:rsidP="002E2C23">
      <w:pPr>
        <w:pStyle w:val="ListParagraph"/>
        <w:numPr>
          <w:ilvl w:val="0"/>
          <w:numId w:val="8"/>
        </w:numPr>
        <w:shd w:val="clear" w:color="auto" w:fill="FFFFFF"/>
        <w:tabs>
          <w:tab w:val="num" w:pos="1428"/>
        </w:tabs>
        <w:ind w:left="450" w:hanging="180"/>
        <w:jc w:val="both"/>
        <w:rPr>
          <w:rStyle w:val="x210"/>
          <w:rFonts w:asciiTheme="minorHAnsi" w:hAnsiTheme="minorHAnsi" w:cstheme="minorHAnsi"/>
          <w:b w:val="0"/>
          <w:color w:val="auto"/>
        </w:rPr>
        <w:sectPr w:rsidR="001B0241" w:rsidSect="002E2C23">
          <w:type w:val="continuous"/>
          <w:pgSz w:w="12240" w:h="15840"/>
          <w:pgMar w:top="709" w:right="850" w:bottom="284" w:left="851" w:header="720" w:footer="720" w:gutter="0"/>
          <w:cols w:space="720"/>
          <w:docGrid w:linePitch="360"/>
        </w:sectPr>
      </w:pPr>
    </w:p>
    <w:p w14:paraId="473D5729" w14:textId="77777777" w:rsidR="00293207" w:rsidRPr="001F0CF9" w:rsidRDefault="00293207" w:rsidP="002E2C23">
      <w:pPr>
        <w:pStyle w:val="ListParagraph"/>
        <w:numPr>
          <w:ilvl w:val="0"/>
          <w:numId w:val="8"/>
        </w:numPr>
        <w:shd w:val="clear" w:color="auto" w:fill="FFFFFF"/>
        <w:tabs>
          <w:tab w:val="num" w:pos="1428"/>
        </w:tabs>
        <w:ind w:left="450" w:hanging="180"/>
        <w:jc w:val="both"/>
        <w:rPr>
          <w:rFonts w:asciiTheme="minorHAnsi" w:hAnsiTheme="minorHAnsi" w:cstheme="minorHAnsi"/>
        </w:rPr>
      </w:pPr>
      <w:r w:rsidRPr="001F0CF9">
        <w:rPr>
          <w:rStyle w:val="x210"/>
          <w:rFonts w:asciiTheme="minorHAnsi" w:hAnsiTheme="minorHAnsi" w:cstheme="minorHAnsi"/>
          <w:b w:val="0"/>
          <w:color w:val="auto"/>
        </w:rPr>
        <w:t>Cancer Strategy;</w:t>
      </w:r>
    </w:p>
    <w:p w14:paraId="17458847" w14:textId="77777777" w:rsidR="002E2C23" w:rsidRPr="002E2C23" w:rsidRDefault="00293207" w:rsidP="002E2C23">
      <w:pPr>
        <w:pStyle w:val="Title"/>
        <w:numPr>
          <w:ilvl w:val="0"/>
          <w:numId w:val="8"/>
        </w:numPr>
        <w:ind w:left="450" w:hanging="180"/>
        <w:contextualSpacing/>
        <w:jc w:val="both"/>
        <w:rPr>
          <w:rFonts w:asciiTheme="minorHAnsi" w:hAnsiTheme="minorHAnsi" w:cstheme="minorHAnsi"/>
          <w:bCs/>
          <w:sz w:val="22"/>
          <w:szCs w:val="22"/>
        </w:rPr>
      </w:pPr>
      <w:r w:rsidRPr="001F0CF9">
        <w:rPr>
          <w:rFonts w:asciiTheme="minorHAnsi" w:hAnsiTheme="minorHAnsi" w:cstheme="minorHAnsi"/>
        </w:rPr>
        <w:t>Epilepsy demonstration Project;</w:t>
      </w:r>
      <w:r w:rsidR="002E2C23" w:rsidRPr="002E2C23">
        <w:rPr>
          <w:rFonts w:asciiTheme="minorHAnsi" w:hAnsiTheme="minorHAnsi" w:cstheme="minorHAnsi"/>
          <w:sz w:val="22"/>
          <w:szCs w:val="22"/>
        </w:rPr>
        <w:t xml:space="preserve"> </w:t>
      </w:r>
    </w:p>
    <w:p w14:paraId="6189D11A" w14:textId="77777777" w:rsidR="002E2C23" w:rsidRPr="001B0241" w:rsidRDefault="002E2C23" w:rsidP="002E2C23">
      <w:pPr>
        <w:pStyle w:val="Title"/>
        <w:numPr>
          <w:ilvl w:val="0"/>
          <w:numId w:val="8"/>
        </w:numPr>
        <w:ind w:left="450" w:hanging="180"/>
        <w:contextualSpacing/>
        <w:jc w:val="both"/>
        <w:rPr>
          <w:rFonts w:asciiTheme="minorHAnsi" w:hAnsiTheme="minorHAnsi" w:cstheme="minorHAnsi"/>
          <w:bCs/>
          <w:sz w:val="22"/>
          <w:szCs w:val="22"/>
        </w:rPr>
      </w:pPr>
      <w:r w:rsidRPr="001B0241">
        <w:rPr>
          <w:rFonts w:asciiTheme="minorHAnsi" w:hAnsiTheme="minorHAnsi" w:cstheme="minorHAnsi"/>
          <w:sz w:val="22"/>
          <w:szCs w:val="22"/>
        </w:rPr>
        <w:t>Road Safety.</w:t>
      </w:r>
      <w:r w:rsidRPr="001B0241">
        <w:rPr>
          <w:rFonts w:asciiTheme="minorHAnsi" w:hAnsiTheme="minorHAnsi" w:cstheme="minorHAnsi"/>
          <w:bCs/>
          <w:sz w:val="22"/>
          <w:szCs w:val="22"/>
        </w:rPr>
        <w:t xml:space="preserve"> </w:t>
      </w:r>
    </w:p>
    <w:p w14:paraId="7F27ACF5" w14:textId="77777777" w:rsidR="002E2C23" w:rsidRDefault="002E2C23" w:rsidP="002E2C23">
      <w:pPr>
        <w:pStyle w:val="Default"/>
        <w:numPr>
          <w:ilvl w:val="0"/>
          <w:numId w:val="6"/>
        </w:numPr>
        <w:shd w:val="clear" w:color="auto" w:fill="FFFFFF"/>
        <w:ind w:left="450" w:right="-275" w:hanging="180"/>
        <w:contextualSpacing/>
        <w:jc w:val="both"/>
        <w:rPr>
          <w:rFonts w:asciiTheme="minorHAnsi" w:hAnsiTheme="minorHAnsi" w:cstheme="minorHAnsi"/>
          <w:color w:val="auto"/>
          <w:sz w:val="22"/>
          <w:szCs w:val="22"/>
          <w:lang w:val="en-US"/>
        </w:rPr>
        <w:sectPr w:rsidR="002E2C23" w:rsidSect="002E2C23">
          <w:type w:val="continuous"/>
          <w:pgSz w:w="12240" w:h="15840"/>
          <w:pgMar w:top="709" w:right="850" w:bottom="284" w:left="851" w:header="720" w:footer="720" w:gutter="0"/>
          <w:cols w:space="720"/>
          <w:docGrid w:linePitch="360"/>
        </w:sectPr>
      </w:pPr>
    </w:p>
    <w:p w14:paraId="30231D07" w14:textId="77777777" w:rsidR="00293207" w:rsidRPr="00C065F9" w:rsidRDefault="00293207" w:rsidP="001B0241">
      <w:pPr>
        <w:pStyle w:val="Default"/>
        <w:numPr>
          <w:ilvl w:val="0"/>
          <w:numId w:val="6"/>
        </w:numPr>
        <w:shd w:val="clear" w:color="auto" w:fill="FFFFFF"/>
        <w:ind w:right="-275"/>
        <w:contextualSpacing/>
        <w:jc w:val="both"/>
        <w:rPr>
          <w:rFonts w:asciiTheme="minorHAnsi" w:hAnsiTheme="minorHAnsi" w:cstheme="minorHAnsi"/>
          <w:b/>
          <w:lang w:val="en-US"/>
        </w:rPr>
      </w:pPr>
      <w:r w:rsidRPr="001B0241">
        <w:rPr>
          <w:rFonts w:asciiTheme="minorHAnsi" w:hAnsiTheme="minorHAnsi" w:cstheme="minorHAnsi"/>
          <w:color w:val="auto"/>
          <w:sz w:val="22"/>
          <w:szCs w:val="22"/>
          <w:lang w:val="en-US"/>
        </w:rPr>
        <w:t>Strengthening Blood Safety System:</w:t>
      </w:r>
      <w:r w:rsidR="001F0CF9" w:rsidRPr="001B0241">
        <w:rPr>
          <w:rFonts w:asciiTheme="minorHAnsi" w:hAnsiTheme="minorHAnsi" w:cstheme="minorHAnsi"/>
          <w:color w:val="auto"/>
          <w:sz w:val="22"/>
          <w:szCs w:val="22"/>
          <w:lang w:val="en-US"/>
        </w:rPr>
        <w:t xml:space="preserve"> </w:t>
      </w:r>
      <w:r w:rsidRPr="001B0241">
        <w:rPr>
          <w:rFonts w:asciiTheme="minorHAnsi" w:hAnsiTheme="minorHAnsi" w:cstheme="minorHAnsi"/>
          <w:sz w:val="22"/>
          <w:szCs w:val="22"/>
          <w:lang w:val="en-US"/>
        </w:rPr>
        <w:t>Assessing blood establishments;</w:t>
      </w:r>
      <w:r w:rsidR="001F0CF9" w:rsidRPr="001B0241">
        <w:rPr>
          <w:rFonts w:asciiTheme="minorHAnsi" w:hAnsiTheme="minorHAnsi" w:cstheme="minorHAnsi"/>
          <w:sz w:val="22"/>
          <w:szCs w:val="22"/>
          <w:lang w:val="en-US"/>
        </w:rPr>
        <w:t xml:space="preserve"> </w:t>
      </w:r>
      <w:r w:rsidRPr="001B0241">
        <w:rPr>
          <w:rFonts w:asciiTheme="minorHAnsi" w:hAnsiTheme="minorHAnsi" w:cstheme="minorHAnsi"/>
          <w:sz w:val="22"/>
          <w:szCs w:val="22"/>
          <w:lang w:val="en-US"/>
        </w:rPr>
        <w:t>Setting recommendations for upgrading of blood transfusion system in Georgia.</w:t>
      </w:r>
    </w:p>
    <w:p w14:paraId="4E1D7048" w14:textId="77777777" w:rsidR="00293207" w:rsidRPr="001F0CF9" w:rsidRDefault="00293207" w:rsidP="008F4D49">
      <w:pPr>
        <w:spacing w:after="0" w:line="240" w:lineRule="auto"/>
        <w:ind w:left="-120" w:right="-482"/>
        <w:contextualSpacing/>
        <w:jc w:val="both"/>
        <w:rPr>
          <w:rFonts w:cstheme="minorHAnsi"/>
          <w:b/>
        </w:rPr>
      </w:pPr>
      <w:r w:rsidRPr="001F0CF9">
        <w:rPr>
          <w:rFonts w:cstheme="minorHAnsi"/>
          <w:b/>
          <w:bCs/>
        </w:rPr>
        <w:t xml:space="preserve">BCA 2016-2017 </w:t>
      </w:r>
    </w:p>
    <w:p w14:paraId="5A6952B8" w14:textId="77777777" w:rsidR="00293207" w:rsidRPr="001F0CF9" w:rsidRDefault="00293207" w:rsidP="008F4D49">
      <w:pPr>
        <w:spacing w:after="0" w:line="240" w:lineRule="auto"/>
        <w:ind w:left="-120" w:right="-482"/>
        <w:contextualSpacing/>
        <w:jc w:val="both"/>
        <w:rPr>
          <w:rFonts w:cstheme="minorHAnsi"/>
          <w:bCs/>
        </w:rPr>
      </w:pPr>
      <w:r w:rsidRPr="001F0CF9">
        <w:rPr>
          <w:rFonts w:cstheme="minorHAnsi"/>
          <w:bCs/>
        </w:rPr>
        <w:t xml:space="preserve">The BCA between the WHO Regional Office for Europe (WHO/EURO) and the Government of Georgia for 2016-2017 </w:t>
      </w:r>
      <w:r w:rsidR="006A0535">
        <w:rPr>
          <w:rFonts w:cstheme="minorHAnsi"/>
          <w:bCs/>
        </w:rPr>
        <w:t xml:space="preserve">was </w:t>
      </w:r>
      <w:r w:rsidRPr="001F0CF9">
        <w:rPr>
          <w:rFonts w:cstheme="minorHAnsi"/>
          <w:bCs/>
        </w:rPr>
        <w:t>focuse</w:t>
      </w:r>
      <w:r w:rsidR="006A0535">
        <w:rPr>
          <w:rFonts w:cstheme="minorHAnsi"/>
          <w:bCs/>
        </w:rPr>
        <w:t>d</w:t>
      </w:r>
      <w:r w:rsidRPr="001F0CF9">
        <w:rPr>
          <w:rFonts w:cstheme="minorHAnsi"/>
          <w:bCs/>
        </w:rPr>
        <w:t xml:space="preserve"> on the following areas: </w:t>
      </w:r>
    </w:p>
    <w:p w14:paraId="15975183" w14:textId="4B265370" w:rsidR="00293207" w:rsidRPr="001F0CF9" w:rsidRDefault="00293207" w:rsidP="001B0241">
      <w:pPr>
        <w:pStyle w:val="ListParagraph"/>
        <w:numPr>
          <w:ilvl w:val="0"/>
          <w:numId w:val="4"/>
        </w:numPr>
        <w:ind w:right="-475"/>
        <w:jc w:val="both"/>
        <w:rPr>
          <w:rFonts w:asciiTheme="minorHAnsi" w:hAnsiTheme="minorHAnsi" w:cstheme="minorHAnsi"/>
          <w:bCs/>
          <w:lang w:val="en-GB"/>
        </w:rPr>
      </w:pPr>
      <w:r w:rsidRPr="001F0CF9">
        <w:rPr>
          <w:rFonts w:asciiTheme="minorHAnsi" w:hAnsiTheme="minorHAnsi" w:cstheme="minorHAnsi"/>
          <w:bCs/>
          <w:lang w:val="en-GB"/>
        </w:rPr>
        <w:t>National health policies, strategies and plans (tools and consultations in the processes of developing/implementing comprehensive national policies in accordance to the “Health 2020”</w:t>
      </w:r>
      <w:r w:rsidR="00D22199">
        <w:rPr>
          <w:rFonts w:cstheme="minorHAnsi"/>
          <w:bCs/>
          <w:lang w:val="ka-GE"/>
        </w:rPr>
        <w:t>)</w:t>
      </w:r>
      <w:r w:rsidRPr="001F0CF9">
        <w:rPr>
          <w:rFonts w:asciiTheme="minorHAnsi" w:hAnsiTheme="minorHAnsi" w:cstheme="minorHAnsi"/>
          <w:bCs/>
          <w:lang w:val="en-GB"/>
        </w:rPr>
        <w:t xml:space="preserve">; Health Financing: assistance in monitoring of </w:t>
      </w:r>
      <w:r w:rsidRPr="00D17968">
        <w:rPr>
          <w:rFonts w:asciiTheme="minorHAnsi" w:hAnsiTheme="minorHAnsi" w:cstheme="minorHAnsi"/>
          <w:bCs/>
          <w:lang w:val="en-GB"/>
        </w:rPr>
        <w:t>Universal Health Coverage</w:t>
      </w:r>
      <w:r w:rsidRPr="001F0CF9">
        <w:rPr>
          <w:rFonts w:asciiTheme="minorHAnsi" w:hAnsiTheme="minorHAnsi" w:cstheme="minorHAnsi"/>
          <w:bCs/>
          <w:lang w:val="en-GB"/>
        </w:rPr>
        <w:t xml:space="preserve"> (UHC) program; </w:t>
      </w:r>
    </w:p>
    <w:p w14:paraId="691EBAF2" w14:textId="77777777" w:rsidR="00293207" w:rsidRPr="001F0CF9" w:rsidRDefault="00293207" w:rsidP="001B0241">
      <w:pPr>
        <w:pStyle w:val="ListParagraph"/>
        <w:numPr>
          <w:ilvl w:val="0"/>
          <w:numId w:val="4"/>
        </w:numPr>
        <w:ind w:right="-475"/>
        <w:jc w:val="both"/>
        <w:rPr>
          <w:rFonts w:asciiTheme="minorHAnsi" w:hAnsiTheme="minorHAnsi" w:cstheme="minorHAnsi"/>
          <w:bCs/>
          <w:lang w:val="en-GB"/>
        </w:rPr>
      </w:pPr>
      <w:r w:rsidRPr="001F0CF9">
        <w:rPr>
          <w:rFonts w:asciiTheme="minorHAnsi" w:hAnsiTheme="minorHAnsi" w:cstheme="minorHAnsi"/>
          <w:bCs/>
          <w:lang w:val="en-GB"/>
        </w:rPr>
        <w:t xml:space="preserve">Environmental Health: development and implementation of the </w:t>
      </w:r>
      <w:r w:rsidRPr="00D17968">
        <w:rPr>
          <w:rFonts w:asciiTheme="minorHAnsi" w:hAnsiTheme="minorHAnsi" w:cstheme="minorHAnsi"/>
          <w:bCs/>
          <w:lang w:val="en-GB"/>
        </w:rPr>
        <w:t>National Environmental Health Action Plan-NEHAP)</w:t>
      </w:r>
      <w:r w:rsidRPr="001F0CF9">
        <w:rPr>
          <w:rFonts w:asciiTheme="minorHAnsi" w:hAnsiTheme="minorHAnsi" w:cstheme="minorHAnsi"/>
          <w:bCs/>
          <w:lang w:val="en-GB"/>
        </w:rPr>
        <w:t xml:space="preserve">; </w:t>
      </w:r>
    </w:p>
    <w:p w14:paraId="5AF6C422" w14:textId="77777777" w:rsidR="00293207" w:rsidRPr="001F0CF9" w:rsidRDefault="00293207" w:rsidP="001B0241">
      <w:pPr>
        <w:pStyle w:val="ListParagraph"/>
        <w:numPr>
          <w:ilvl w:val="0"/>
          <w:numId w:val="4"/>
        </w:numPr>
        <w:ind w:right="-475"/>
        <w:jc w:val="both"/>
        <w:rPr>
          <w:rFonts w:asciiTheme="minorHAnsi" w:hAnsiTheme="minorHAnsi" w:cstheme="minorHAnsi"/>
          <w:bCs/>
          <w:lang w:val="en-GB"/>
        </w:rPr>
      </w:pPr>
      <w:r w:rsidRPr="001F0CF9">
        <w:rPr>
          <w:rFonts w:asciiTheme="minorHAnsi" w:hAnsiTheme="minorHAnsi" w:cstheme="minorHAnsi"/>
          <w:bCs/>
          <w:lang w:val="en-GB"/>
        </w:rPr>
        <w:t xml:space="preserve">Health Systems, Information and Evidence (strengthening of the national Health information systems; Technical assistance for the </w:t>
      </w:r>
      <w:r w:rsidRPr="00D17968">
        <w:rPr>
          <w:rFonts w:asciiTheme="minorHAnsi" w:hAnsiTheme="minorHAnsi" w:cstheme="minorHAnsi"/>
          <w:bCs/>
          <w:lang w:val="en-GB"/>
        </w:rPr>
        <w:t>improvement of data quality</w:t>
      </w:r>
      <w:r w:rsidRPr="001F0CF9">
        <w:rPr>
          <w:rFonts w:asciiTheme="minorHAnsi" w:hAnsiTheme="minorHAnsi" w:cstheme="minorHAnsi"/>
          <w:bCs/>
          <w:lang w:val="en-GB"/>
        </w:rPr>
        <w:t xml:space="preserve">); </w:t>
      </w:r>
    </w:p>
    <w:p w14:paraId="47CF2D9C" w14:textId="77777777" w:rsidR="00293207" w:rsidRPr="001F0CF9" w:rsidRDefault="00293207" w:rsidP="001B0241">
      <w:pPr>
        <w:pStyle w:val="ListParagraph"/>
        <w:numPr>
          <w:ilvl w:val="0"/>
          <w:numId w:val="4"/>
        </w:numPr>
        <w:ind w:right="-475"/>
        <w:jc w:val="both"/>
        <w:rPr>
          <w:rFonts w:asciiTheme="minorHAnsi" w:hAnsiTheme="minorHAnsi" w:cstheme="minorHAnsi"/>
          <w:bCs/>
          <w:lang w:val="en-GB"/>
        </w:rPr>
      </w:pPr>
      <w:r w:rsidRPr="001F0CF9">
        <w:rPr>
          <w:rFonts w:asciiTheme="minorHAnsi" w:hAnsiTheme="minorHAnsi" w:cstheme="minorHAnsi"/>
          <w:bCs/>
          <w:lang w:val="en-GB"/>
        </w:rPr>
        <w:t xml:space="preserve">Development and implementation of national multisectoral policies and plans to prevent and control </w:t>
      </w:r>
      <w:r w:rsidRPr="00D17968">
        <w:rPr>
          <w:rFonts w:asciiTheme="minorHAnsi" w:hAnsiTheme="minorHAnsi" w:cstheme="minorHAnsi"/>
          <w:bCs/>
          <w:lang w:val="en-GB"/>
        </w:rPr>
        <w:t>Noncommunicable Diseases</w:t>
      </w:r>
      <w:r w:rsidRPr="001F0CF9">
        <w:rPr>
          <w:rFonts w:asciiTheme="minorHAnsi" w:hAnsiTheme="minorHAnsi" w:cstheme="minorHAnsi"/>
          <w:bCs/>
          <w:lang w:val="en-GB"/>
        </w:rPr>
        <w:t xml:space="preserve"> (NCD); Implementation of strategies to reduce modifiable risk factors for NCD, including </w:t>
      </w:r>
      <w:r w:rsidRPr="00D17968">
        <w:rPr>
          <w:rFonts w:asciiTheme="minorHAnsi" w:hAnsiTheme="minorHAnsi" w:cstheme="minorHAnsi"/>
          <w:bCs/>
          <w:lang w:val="en-GB"/>
        </w:rPr>
        <w:t>Tobacco control</w:t>
      </w:r>
      <w:r w:rsidRPr="001F0CF9">
        <w:rPr>
          <w:rFonts w:asciiTheme="minorHAnsi" w:hAnsiTheme="minorHAnsi" w:cstheme="minorHAnsi"/>
          <w:bCs/>
          <w:lang w:val="en-GB"/>
        </w:rPr>
        <w:t xml:space="preserve">; </w:t>
      </w:r>
    </w:p>
    <w:p w14:paraId="72158AAB" w14:textId="77777777" w:rsidR="00293207" w:rsidRPr="001F0CF9" w:rsidRDefault="00293207" w:rsidP="001B0241">
      <w:pPr>
        <w:pStyle w:val="ListParagraph"/>
        <w:numPr>
          <w:ilvl w:val="0"/>
          <w:numId w:val="4"/>
        </w:numPr>
        <w:ind w:right="-475"/>
        <w:jc w:val="both"/>
        <w:rPr>
          <w:rFonts w:asciiTheme="minorHAnsi" w:hAnsiTheme="minorHAnsi" w:cstheme="minorHAnsi"/>
          <w:bCs/>
          <w:lang w:val="en-GB"/>
        </w:rPr>
      </w:pPr>
      <w:r w:rsidRPr="001F0CF9">
        <w:rPr>
          <w:rFonts w:asciiTheme="minorHAnsi" w:hAnsiTheme="minorHAnsi" w:cstheme="minorHAnsi"/>
          <w:bCs/>
          <w:lang w:val="en-GB"/>
        </w:rPr>
        <w:t xml:space="preserve">Promoting </w:t>
      </w:r>
      <w:r w:rsidRPr="00D17968">
        <w:rPr>
          <w:rFonts w:asciiTheme="minorHAnsi" w:hAnsiTheme="minorHAnsi" w:cstheme="minorHAnsi"/>
          <w:bCs/>
          <w:lang w:val="en-GB"/>
        </w:rPr>
        <w:t>health through the life course</w:t>
      </w:r>
      <w:r w:rsidRPr="001F0CF9">
        <w:rPr>
          <w:rFonts w:asciiTheme="minorHAnsi" w:hAnsiTheme="minorHAnsi" w:cstheme="minorHAnsi"/>
          <w:bCs/>
          <w:lang w:val="en-GB"/>
        </w:rPr>
        <w:t xml:space="preserve"> (improvement quality of </w:t>
      </w:r>
      <w:proofErr w:type="spellStart"/>
      <w:r w:rsidRPr="001F0CF9">
        <w:rPr>
          <w:rFonts w:asciiTheme="minorHAnsi" w:hAnsiTheme="minorHAnsi" w:cstheme="minorHAnsi"/>
          <w:bCs/>
          <w:lang w:val="en-GB"/>
        </w:rPr>
        <w:t>pediatric</w:t>
      </w:r>
      <w:proofErr w:type="spellEnd"/>
      <w:r w:rsidRPr="001F0CF9">
        <w:rPr>
          <w:rFonts w:asciiTheme="minorHAnsi" w:hAnsiTheme="minorHAnsi" w:cstheme="minorHAnsi"/>
          <w:bCs/>
          <w:lang w:val="en-GB"/>
        </w:rPr>
        <w:t xml:space="preserve"> care at primary health care and hospital care levels);</w:t>
      </w:r>
    </w:p>
    <w:p w14:paraId="3F75A986" w14:textId="77777777" w:rsidR="00293207" w:rsidRPr="001F0CF9" w:rsidRDefault="00293207" w:rsidP="001B0241">
      <w:pPr>
        <w:pStyle w:val="ListParagraph"/>
        <w:numPr>
          <w:ilvl w:val="0"/>
          <w:numId w:val="4"/>
        </w:numPr>
        <w:ind w:right="-475"/>
        <w:jc w:val="both"/>
        <w:rPr>
          <w:rFonts w:asciiTheme="minorHAnsi" w:hAnsiTheme="minorHAnsi" w:cstheme="minorHAnsi"/>
          <w:bCs/>
          <w:lang w:val="en-GB"/>
        </w:rPr>
      </w:pPr>
      <w:r w:rsidRPr="00D17968">
        <w:rPr>
          <w:rFonts w:asciiTheme="minorHAnsi" w:hAnsiTheme="minorHAnsi" w:cstheme="minorHAnsi"/>
          <w:bCs/>
          <w:lang w:val="en-GB"/>
        </w:rPr>
        <w:t>Communicable diseases</w:t>
      </w:r>
      <w:r w:rsidRPr="001F0CF9">
        <w:rPr>
          <w:rFonts w:asciiTheme="minorHAnsi" w:hAnsiTheme="minorHAnsi" w:cstheme="minorHAnsi"/>
          <w:bCs/>
          <w:lang w:val="en-GB"/>
        </w:rPr>
        <w:t xml:space="preserve"> (Vaccine-preventable diseases, measles/rubella, Polio, Viral Hepatitis, Tuberculosis); </w:t>
      </w:r>
    </w:p>
    <w:p w14:paraId="1FF546A2" w14:textId="77777777" w:rsidR="00293207" w:rsidRPr="002E2C23" w:rsidRDefault="00293207" w:rsidP="003B3AA4">
      <w:pPr>
        <w:pStyle w:val="ListParagraph"/>
        <w:numPr>
          <w:ilvl w:val="0"/>
          <w:numId w:val="4"/>
        </w:numPr>
        <w:ind w:right="-475"/>
        <w:jc w:val="both"/>
        <w:rPr>
          <w:rFonts w:cstheme="minorHAnsi"/>
        </w:rPr>
      </w:pPr>
      <w:r w:rsidRPr="002E2C23">
        <w:rPr>
          <w:rFonts w:asciiTheme="minorHAnsi" w:hAnsiTheme="minorHAnsi" w:cstheme="minorHAnsi"/>
          <w:bCs/>
          <w:lang w:val="en-GB"/>
        </w:rPr>
        <w:t>Preparedness, Surveillance and Response (Support to maintain International Health Regulations (</w:t>
      </w:r>
      <w:r w:rsidRPr="006E3991">
        <w:rPr>
          <w:rFonts w:asciiTheme="minorHAnsi" w:hAnsiTheme="minorHAnsi" w:cstheme="minorHAnsi"/>
          <w:bCs/>
          <w:lang w:val="en-GB"/>
        </w:rPr>
        <w:t>IHR</w:t>
      </w:r>
      <w:r w:rsidRPr="002E2C23">
        <w:rPr>
          <w:rFonts w:asciiTheme="minorHAnsi" w:hAnsiTheme="minorHAnsi" w:cstheme="minorHAnsi"/>
          <w:bCs/>
          <w:lang w:val="en-GB"/>
        </w:rPr>
        <w:t xml:space="preserve">) capacity; strengthening surveillance systems for </w:t>
      </w:r>
      <w:r w:rsidRPr="00D17968">
        <w:rPr>
          <w:rFonts w:asciiTheme="minorHAnsi" w:hAnsiTheme="minorHAnsi" w:cstheme="minorHAnsi"/>
          <w:bCs/>
          <w:lang w:val="en-GB"/>
        </w:rPr>
        <w:t>Anti-microbial resistance</w:t>
      </w:r>
      <w:r w:rsidRPr="002E2C23">
        <w:rPr>
          <w:rFonts w:asciiTheme="minorHAnsi" w:hAnsiTheme="minorHAnsi" w:cstheme="minorHAnsi"/>
          <w:bCs/>
          <w:lang w:val="en-GB"/>
        </w:rPr>
        <w:t xml:space="preserve"> (AMR).</w:t>
      </w:r>
      <w:r w:rsidRPr="002E2C23">
        <w:rPr>
          <w:rFonts w:cstheme="minorHAnsi"/>
        </w:rPr>
        <w:t xml:space="preserve"> </w:t>
      </w:r>
    </w:p>
    <w:p w14:paraId="1FA37D3C" w14:textId="77777777" w:rsidR="00293207" w:rsidRPr="001F0CF9" w:rsidRDefault="00293207" w:rsidP="008F4D49">
      <w:pPr>
        <w:spacing w:after="0" w:line="240" w:lineRule="auto"/>
        <w:contextualSpacing/>
        <w:jc w:val="both"/>
        <w:rPr>
          <w:rFonts w:cstheme="minorHAnsi"/>
          <w:b/>
        </w:rPr>
      </w:pPr>
      <w:r w:rsidRPr="001F0CF9">
        <w:rPr>
          <w:rFonts w:cstheme="minorHAnsi"/>
          <w:b/>
        </w:rPr>
        <w:lastRenderedPageBreak/>
        <w:t>BCA 2018-2019</w:t>
      </w:r>
    </w:p>
    <w:p w14:paraId="5E082C1B" w14:textId="77777777" w:rsidR="00293207" w:rsidRPr="001F0CF9" w:rsidRDefault="00293207" w:rsidP="008F4D49">
      <w:pPr>
        <w:spacing w:after="0" w:line="240" w:lineRule="auto"/>
        <w:contextualSpacing/>
        <w:jc w:val="both"/>
        <w:rPr>
          <w:rFonts w:cstheme="minorHAnsi"/>
        </w:rPr>
      </w:pPr>
      <w:r w:rsidRPr="001F0CF9">
        <w:rPr>
          <w:rFonts w:cstheme="minorHAnsi"/>
        </w:rPr>
        <w:t xml:space="preserve">BCA 2018-2019, which has been signed on 28 November 2017, defines the technical collaboration/assistance in the following </w:t>
      </w:r>
      <w:proofErr w:type="spellStart"/>
      <w:r w:rsidRPr="001F0CF9">
        <w:rPr>
          <w:rFonts w:cstheme="minorHAnsi"/>
        </w:rPr>
        <w:t>programme</w:t>
      </w:r>
      <w:proofErr w:type="spellEnd"/>
      <w:r w:rsidRPr="001F0CF9">
        <w:rPr>
          <w:rFonts w:cstheme="minorHAnsi"/>
        </w:rPr>
        <w:t xml:space="preserve"> areas: </w:t>
      </w:r>
    </w:p>
    <w:p w14:paraId="7A90E252" w14:textId="77777777" w:rsidR="00293207" w:rsidRPr="001F0CF9" w:rsidRDefault="00293207" w:rsidP="001B0241">
      <w:pPr>
        <w:pStyle w:val="ListParagraph"/>
        <w:numPr>
          <w:ilvl w:val="0"/>
          <w:numId w:val="10"/>
        </w:numPr>
        <w:jc w:val="both"/>
        <w:rPr>
          <w:rFonts w:asciiTheme="minorHAnsi" w:hAnsiTheme="minorHAnsi" w:cstheme="minorHAnsi"/>
        </w:rPr>
      </w:pPr>
      <w:r w:rsidRPr="001F0CF9">
        <w:rPr>
          <w:rFonts w:asciiTheme="minorHAnsi" w:hAnsiTheme="minorHAnsi" w:cstheme="minorHAnsi"/>
        </w:rPr>
        <w:t>Communicable diseases: hepatitis, tuberculosis, vaccine-preventable infections, antimicrobial resistance;</w:t>
      </w:r>
    </w:p>
    <w:p w14:paraId="23474DD1" w14:textId="77777777" w:rsidR="00293207" w:rsidRPr="001F0CF9" w:rsidRDefault="00293207" w:rsidP="001B0241">
      <w:pPr>
        <w:pStyle w:val="ListParagraph"/>
        <w:numPr>
          <w:ilvl w:val="0"/>
          <w:numId w:val="10"/>
        </w:numPr>
        <w:jc w:val="both"/>
        <w:rPr>
          <w:rFonts w:asciiTheme="minorHAnsi" w:hAnsiTheme="minorHAnsi" w:cstheme="minorHAnsi"/>
        </w:rPr>
      </w:pPr>
      <w:r w:rsidRPr="001F0CF9">
        <w:rPr>
          <w:rFonts w:asciiTheme="minorHAnsi" w:hAnsiTheme="minorHAnsi" w:cstheme="minorHAnsi"/>
        </w:rPr>
        <w:t>Non-communicable diseases: population-based prevention measures and tobacco-control;</w:t>
      </w:r>
    </w:p>
    <w:p w14:paraId="0180FF4E" w14:textId="77777777" w:rsidR="00293207" w:rsidRPr="001F0CF9" w:rsidRDefault="00293207" w:rsidP="001B0241">
      <w:pPr>
        <w:pStyle w:val="ListParagraph"/>
        <w:numPr>
          <w:ilvl w:val="0"/>
          <w:numId w:val="10"/>
        </w:numPr>
        <w:jc w:val="both"/>
        <w:rPr>
          <w:rFonts w:asciiTheme="minorHAnsi" w:hAnsiTheme="minorHAnsi" w:cstheme="minorHAnsi"/>
        </w:rPr>
      </w:pPr>
      <w:r w:rsidRPr="001F0CF9">
        <w:rPr>
          <w:rFonts w:asciiTheme="minorHAnsi" w:hAnsiTheme="minorHAnsi" w:cstheme="minorHAnsi"/>
        </w:rPr>
        <w:t>Reproductive, maternal, newborn, child, adolescent health as well as environment and health;</w:t>
      </w:r>
    </w:p>
    <w:p w14:paraId="4CCF058A" w14:textId="77777777" w:rsidR="00293207" w:rsidRPr="001F0CF9" w:rsidRDefault="00293207" w:rsidP="001B0241">
      <w:pPr>
        <w:pStyle w:val="ListParagraph"/>
        <w:numPr>
          <w:ilvl w:val="0"/>
          <w:numId w:val="10"/>
        </w:numPr>
        <w:jc w:val="both"/>
        <w:rPr>
          <w:rFonts w:asciiTheme="minorHAnsi" w:hAnsiTheme="minorHAnsi" w:cstheme="minorHAnsi"/>
        </w:rPr>
      </w:pPr>
      <w:r w:rsidRPr="001F0CF9">
        <w:rPr>
          <w:rFonts w:asciiTheme="minorHAnsi" w:hAnsiTheme="minorHAnsi" w:cstheme="minorHAnsi"/>
        </w:rPr>
        <w:t>Health system strengthening, in particular Universal Health Coverage (incl. strategic purchasing, selective contracting, SSA capacity building, Primary Health Care etc.) as well as information and evidence (in support for policy development);</w:t>
      </w:r>
    </w:p>
    <w:p w14:paraId="3D144D6F" w14:textId="77777777" w:rsidR="00293207" w:rsidRPr="001F0CF9" w:rsidRDefault="00293207" w:rsidP="001B0241">
      <w:pPr>
        <w:pStyle w:val="ListParagraph"/>
        <w:numPr>
          <w:ilvl w:val="0"/>
          <w:numId w:val="10"/>
        </w:numPr>
        <w:jc w:val="both"/>
        <w:rPr>
          <w:rFonts w:asciiTheme="minorHAnsi" w:hAnsiTheme="minorHAnsi" w:cstheme="minorHAnsi"/>
        </w:rPr>
      </w:pPr>
      <w:r w:rsidRPr="001F0CF9">
        <w:rPr>
          <w:rFonts w:asciiTheme="minorHAnsi" w:hAnsiTheme="minorHAnsi" w:cstheme="minorHAnsi"/>
        </w:rPr>
        <w:t>Emergency preparedness.</w:t>
      </w:r>
    </w:p>
    <w:p w14:paraId="4EEB7982" w14:textId="77777777" w:rsidR="00293207" w:rsidRPr="001F0CF9" w:rsidRDefault="00293207" w:rsidP="008F4D49">
      <w:pPr>
        <w:spacing w:after="0" w:line="240" w:lineRule="auto"/>
        <w:contextualSpacing/>
        <w:jc w:val="both"/>
        <w:rPr>
          <w:rFonts w:cstheme="minorHAnsi"/>
        </w:rPr>
      </w:pPr>
      <w:r w:rsidRPr="001F0CF9">
        <w:rPr>
          <w:rFonts w:cstheme="minorHAnsi"/>
        </w:rPr>
        <w:t>The planned value of technical assistance in 2018-2019 will exceed 1,000,000 USD (excluded WHO staff costs).</w:t>
      </w:r>
    </w:p>
    <w:p w14:paraId="3AA1566E" w14:textId="6C3C8755" w:rsidR="00EA39DE" w:rsidRDefault="00293207" w:rsidP="008F4D49">
      <w:pPr>
        <w:spacing w:after="0" w:line="240" w:lineRule="auto"/>
        <w:contextualSpacing/>
        <w:jc w:val="both"/>
        <w:rPr>
          <w:rFonts w:cstheme="minorHAnsi"/>
        </w:rPr>
      </w:pPr>
      <w:r w:rsidRPr="001F0CF9">
        <w:rPr>
          <w:rFonts w:cstheme="minorHAnsi"/>
        </w:rPr>
        <w:t>WHO advocates for stronger support to the area of health at meetings with other national and international partners, including the World Bank, The Global Fund, the European Commission, GAVI and others.</w:t>
      </w:r>
    </w:p>
    <w:p w14:paraId="21B2A52B" w14:textId="77777777" w:rsidR="001714CE" w:rsidRPr="00D0617A" w:rsidRDefault="001714CE" w:rsidP="001714CE">
      <w:pPr>
        <w:spacing w:after="0" w:line="240" w:lineRule="auto"/>
        <w:contextualSpacing/>
        <w:jc w:val="both"/>
        <w:rPr>
          <w:rFonts w:ascii="Calibri" w:hAnsi="Calibri" w:cs="Calibri"/>
          <w:b/>
          <w:bCs/>
        </w:rPr>
      </w:pPr>
      <w:r w:rsidRPr="00D0617A">
        <w:rPr>
          <w:rFonts w:ascii="Calibri" w:hAnsi="Calibri" w:cs="Calibri"/>
          <w:b/>
          <w:bCs/>
        </w:rPr>
        <w:t>BCA 2020-2021</w:t>
      </w:r>
    </w:p>
    <w:p w14:paraId="3C5B3178" w14:textId="6BBCFE88" w:rsidR="001714CE" w:rsidRPr="00D0617A" w:rsidRDefault="001714CE" w:rsidP="001714CE">
      <w:pPr>
        <w:spacing w:after="0" w:line="240" w:lineRule="auto"/>
        <w:contextualSpacing/>
        <w:jc w:val="both"/>
        <w:rPr>
          <w:rFonts w:ascii="Calibri" w:hAnsi="Calibri" w:cs="Calibri"/>
        </w:rPr>
      </w:pPr>
      <w:r w:rsidRPr="00D0617A">
        <w:rPr>
          <w:rFonts w:ascii="Calibri" w:hAnsi="Calibri" w:cs="Calibri"/>
        </w:rPr>
        <w:t xml:space="preserve">As a response to the key health challenges and in line with Health 2020 and 2030 Agenda in Georgia, as well as with the WHO 13th General </w:t>
      </w:r>
      <w:proofErr w:type="spellStart"/>
      <w:r w:rsidRPr="00D0617A">
        <w:rPr>
          <w:rFonts w:ascii="Calibri" w:hAnsi="Calibri" w:cs="Calibri"/>
        </w:rPr>
        <w:t>Programme</w:t>
      </w:r>
      <w:proofErr w:type="spellEnd"/>
      <w:r w:rsidRPr="00D0617A">
        <w:rPr>
          <w:rFonts w:ascii="Calibri" w:hAnsi="Calibri" w:cs="Calibri"/>
        </w:rPr>
        <w:t xml:space="preserve"> of Work (GPW13) the following high priority areas have been agreed for collaboration in 2020-2021: </w:t>
      </w:r>
    </w:p>
    <w:p w14:paraId="501C9DD4" w14:textId="24218EEC" w:rsidR="001714CE" w:rsidRPr="00D0617A" w:rsidRDefault="001714CE" w:rsidP="00D0617A">
      <w:pPr>
        <w:pStyle w:val="ListParagraph"/>
        <w:numPr>
          <w:ilvl w:val="0"/>
          <w:numId w:val="12"/>
        </w:numPr>
        <w:jc w:val="both"/>
        <w:rPr>
          <w:rFonts w:ascii="Calibri" w:hAnsi="Calibri" w:cs="Calibri"/>
        </w:rPr>
      </w:pPr>
      <w:r w:rsidRPr="00D0617A">
        <w:rPr>
          <w:rFonts w:ascii="Calibri" w:hAnsi="Calibri" w:cs="Calibri"/>
        </w:rPr>
        <w:t xml:space="preserve">Improved access to quality essential health services </w:t>
      </w:r>
    </w:p>
    <w:p w14:paraId="4670491D" w14:textId="35F11946" w:rsidR="001714CE" w:rsidRPr="00D0617A" w:rsidRDefault="001714CE" w:rsidP="00D0617A">
      <w:pPr>
        <w:pStyle w:val="ListParagraph"/>
        <w:numPr>
          <w:ilvl w:val="0"/>
          <w:numId w:val="12"/>
        </w:numPr>
        <w:jc w:val="both"/>
        <w:rPr>
          <w:rFonts w:ascii="Calibri" w:hAnsi="Calibri" w:cs="Calibri"/>
        </w:rPr>
      </w:pPr>
      <w:r w:rsidRPr="00D0617A">
        <w:rPr>
          <w:rFonts w:ascii="Calibri" w:hAnsi="Calibri" w:cs="Calibri"/>
        </w:rPr>
        <w:t xml:space="preserve">Reduced number of people suffering financial hardships </w:t>
      </w:r>
    </w:p>
    <w:p w14:paraId="29C064F2" w14:textId="226B34FD" w:rsidR="001714CE" w:rsidRPr="00D0617A" w:rsidRDefault="001714CE" w:rsidP="00D0617A">
      <w:pPr>
        <w:pStyle w:val="ListParagraph"/>
        <w:numPr>
          <w:ilvl w:val="0"/>
          <w:numId w:val="12"/>
        </w:numPr>
        <w:jc w:val="both"/>
        <w:rPr>
          <w:rFonts w:ascii="Calibri" w:hAnsi="Calibri" w:cs="Calibri"/>
        </w:rPr>
      </w:pPr>
      <w:r w:rsidRPr="00D0617A">
        <w:rPr>
          <w:rFonts w:ascii="Calibri" w:hAnsi="Calibri" w:cs="Calibri"/>
        </w:rPr>
        <w:t xml:space="preserve">Country health emergency preparedness strengthened </w:t>
      </w:r>
    </w:p>
    <w:p w14:paraId="2F7A811A" w14:textId="391267C0" w:rsidR="001714CE" w:rsidRPr="00D0617A" w:rsidRDefault="001714CE" w:rsidP="00D0617A">
      <w:pPr>
        <w:pStyle w:val="ListParagraph"/>
        <w:numPr>
          <w:ilvl w:val="0"/>
          <w:numId w:val="12"/>
        </w:numPr>
        <w:jc w:val="both"/>
        <w:rPr>
          <w:rFonts w:ascii="Calibri" w:hAnsi="Calibri" w:cs="Calibri"/>
        </w:rPr>
      </w:pPr>
      <w:r w:rsidRPr="00D0617A">
        <w:rPr>
          <w:rFonts w:ascii="Calibri" w:hAnsi="Calibri" w:cs="Calibri"/>
        </w:rPr>
        <w:t xml:space="preserve">Health emergencies rapidly detected and responded to </w:t>
      </w:r>
    </w:p>
    <w:p w14:paraId="4F8C3328" w14:textId="07AEA157" w:rsidR="001714CE" w:rsidRPr="00D0617A" w:rsidRDefault="001714CE" w:rsidP="00D0617A">
      <w:pPr>
        <w:pStyle w:val="ListParagraph"/>
        <w:numPr>
          <w:ilvl w:val="0"/>
          <w:numId w:val="12"/>
        </w:numPr>
        <w:jc w:val="both"/>
        <w:rPr>
          <w:rFonts w:ascii="Calibri" w:hAnsi="Calibri" w:cs="Calibri"/>
        </w:rPr>
      </w:pPr>
      <w:r w:rsidRPr="00D0617A">
        <w:rPr>
          <w:rFonts w:ascii="Calibri" w:hAnsi="Calibri" w:cs="Calibri"/>
        </w:rPr>
        <w:t xml:space="preserve">Determinants of health addressed leaving no one behind </w:t>
      </w:r>
    </w:p>
    <w:p w14:paraId="50936836" w14:textId="77777777" w:rsidR="001714CE" w:rsidRPr="00D0617A" w:rsidRDefault="001714CE" w:rsidP="001714CE">
      <w:pPr>
        <w:spacing w:after="0" w:line="240" w:lineRule="auto"/>
        <w:contextualSpacing/>
        <w:jc w:val="both"/>
        <w:rPr>
          <w:rFonts w:ascii="Calibri" w:hAnsi="Calibri" w:cs="Calibri"/>
        </w:rPr>
      </w:pPr>
      <w:r w:rsidRPr="00D0617A">
        <w:rPr>
          <w:rFonts w:ascii="Calibri" w:hAnsi="Calibri" w:cs="Calibri"/>
        </w:rPr>
        <w:t xml:space="preserve"> In addition, collaboration will be extended in the following areas: </w:t>
      </w:r>
    </w:p>
    <w:p w14:paraId="3B4D5D89" w14:textId="4827C2C5" w:rsidR="001714CE" w:rsidRPr="00D0617A" w:rsidRDefault="001714CE" w:rsidP="00D0617A">
      <w:pPr>
        <w:pStyle w:val="ListParagraph"/>
        <w:numPr>
          <w:ilvl w:val="0"/>
          <w:numId w:val="14"/>
        </w:numPr>
        <w:jc w:val="both"/>
        <w:rPr>
          <w:rFonts w:ascii="Calibri" w:hAnsi="Calibri" w:cs="Calibri"/>
        </w:rPr>
      </w:pPr>
      <w:r w:rsidRPr="00D0617A">
        <w:rPr>
          <w:rFonts w:ascii="Calibri" w:hAnsi="Calibri" w:cs="Calibri"/>
        </w:rPr>
        <w:t xml:space="preserve">Improved availability of essential medicines, vaccines, diagnostics and devices for primary health care </w:t>
      </w:r>
    </w:p>
    <w:p w14:paraId="3E496090" w14:textId="2EE8A8C8" w:rsidR="001714CE" w:rsidRDefault="001714CE" w:rsidP="00D0617A">
      <w:pPr>
        <w:pStyle w:val="ListParagraph"/>
        <w:numPr>
          <w:ilvl w:val="0"/>
          <w:numId w:val="14"/>
        </w:numPr>
        <w:jc w:val="both"/>
        <w:rPr>
          <w:rFonts w:ascii="Calibri" w:hAnsi="Calibri" w:cs="Calibri"/>
        </w:rPr>
      </w:pPr>
      <w:r w:rsidRPr="00D0617A">
        <w:rPr>
          <w:rFonts w:ascii="Calibri" w:hAnsi="Calibri" w:cs="Calibri"/>
        </w:rPr>
        <w:t>Reduced risk factors through multi sectoral approaches</w:t>
      </w:r>
      <w:r w:rsidR="00CD6673">
        <w:rPr>
          <w:rFonts w:ascii="Calibri" w:hAnsi="Calibri" w:cs="Calibri"/>
        </w:rPr>
        <w:t>.</w:t>
      </w:r>
    </w:p>
    <w:p w14:paraId="088A27C0" w14:textId="77777777" w:rsidR="006933BD" w:rsidRDefault="006933BD" w:rsidP="006933BD">
      <w:pPr>
        <w:spacing w:after="0" w:line="240" w:lineRule="auto"/>
        <w:contextualSpacing/>
        <w:rPr>
          <w:rFonts w:cstheme="minorHAnsi"/>
          <w:b/>
          <w:bCs/>
        </w:rPr>
      </w:pPr>
    </w:p>
    <w:p w14:paraId="4DC17598" w14:textId="281663D7" w:rsidR="006933BD" w:rsidRPr="006933BD" w:rsidRDefault="006933BD" w:rsidP="004A4FD5">
      <w:pPr>
        <w:spacing w:after="0" w:line="240" w:lineRule="auto"/>
        <w:contextualSpacing/>
        <w:jc w:val="both"/>
        <w:rPr>
          <w:rFonts w:cstheme="minorHAnsi"/>
        </w:rPr>
      </w:pPr>
      <w:r w:rsidRPr="006933BD">
        <w:rPr>
          <w:rFonts w:cstheme="minorHAnsi"/>
          <w:b/>
          <w:bCs/>
        </w:rPr>
        <w:t xml:space="preserve">In 2020 </w:t>
      </w:r>
      <w:r w:rsidRPr="006933BD">
        <w:rPr>
          <w:rFonts w:cstheme="minorHAnsi"/>
          <w:b/>
          <w:bCs/>
        </w:rPr>
        <w:t>WHO supported Georgia During the COVID-19 pandemic</w:t>
      </w:r>
      <w:r w:rsidRPr="006933BD">
        <w:rPr>
          <w:rFonts w:cstheme="minorHAnsi"/>
        </w:rPr>
        <w:t xml:space="preserve"> with technical assistance, expert consultancy etc</w:t>
      </w:r>
      <w:r w:rsidR="004A4FD5">
        <w:rPr>
          <w:rFonts w:cstheme="minorHAnsi"/>
        </w:rPr>
        <w:t xml:space="preserve">. </w:t>
      </w:r>
      <w:r w:rsidRPr="006933BD">
        <w:rPr>
          <w:rFonts w:cstheme="minorHAnsi"/>
        </w:rPr>
        <w:t xml:space="preserve">WHO assisted the Ministry of Internally Displaced Persons from the Occupied Territories, </w:t>
      </w:r>
      <w:proofErr w:type="spellStart"/>
      <w:r w:rsidRPr="006933BD">
        <w:rPr>
          <w:rFonts w:cstheme="minorHAnsi"/>
        </w:rPr>
        <w:t>Labour</w:t>
      </w:r>
      <w:proofErr w:type="spellEnd"/>
      <w:r w:rsidRPr="006933BD">
        <w:rPr>
          <w:rFonts w:cstheme="minorHAnsi"/>
        </w:rPr>
        <w:t xml:space="preserve">, Health and Social Affairs of Georgia with certain amount of essential </w:t>
      </w:r>
      <w:r w:rsidRPr="006933BD">
        <w:rPr>
          <w:rFonts w:cstheme="minorHAnsi"/>
          <w:b/>
          <w:bCs/>
        </w:rPr>
        <w:t>personal protective equipment</w:t>
      </w:r>
      <w:r w:rsidRPr="006933BD">
        <w:rPr>
          <w:rFonts w:cstheme="minorHAnsi"/>
        </w:rPr>
        <w:t xml:space="preserve">: 10,000 surgical masks and 200 masks type FFP2; nitrile examination gloves (10,000), protective goggles (200), medical gowns AAMI level 3 (1400), </w:t>
      </w:r>
    </w:p>
    <w:p w14:paraId="11C934F1" w14:textId="77777777" w:rsidR="006933BD" w:rsidRPr="006933BD" w:rsidRDefault="006933BD" w:rsidP="006933BD">
      <w:pPr>
        <w:spacing w:after="0" w:line="240" w:lineRule="auto"/>
        <w:contextualSpacing/>
        <w:jc w:val="both"/>
        <w:rPr>
          <w:rFonts w:cstheme="minorHAnsi"/>
          <w:b/>
          <w:bCs/>
        </w:rPr>
      </w:pPr>
      <w:r w:rsidRPr="006933BD">
        <w:rPr>
          <w:rFonts w:cstheme="minorHAnsi"/>
          <w:b/>
          <w:bCs/>
        </w:rPr>
        <w:t>With WHO technical assistance and expert consultancy were conducted:</w:t>
      </w:r>
    </w:p>
    <w:p w14:paraId="6F00CA87" w14:textId="77777777" w:rsidR="006933BD" w:rsidRPr="006933BD" w:rsidRDefault="006933BD" w:rsidP="006933BD">
      <w:pPr>
        <w:pStyle w:val="ListParagraph"/>
        <w:numPr>
          <w:ilvl w:val="0"/>
          <w:numId w:val="19"/>
        </w:numPr>
        <w:jc w:val="both"/>
        <w:rPr>
          <w:rFonts w:asciiTheme="minorHAnsi" w:hAnsiTheme="minorHAnsi" w:cstheme="minorHAnsi"/>
        </w:rPr>
      </w:pPr>
      <w:r w:rsidRPr="006933BD">
        <w:rPr>
          <w:rFonts w:asciiTheme="minorHAnsi" w:hAnsiTheme="minorHAnsi" w:cstheme="minorHAnsi"/>
        </w:rPr>
        <w:t xml:space="preserve">Hospital Readiness Assessment </w:t>
      </w:r>
    </w:p>
    <w:p w14:paraId="0C669A1A" w14:textId="77777777" w:rsidR="006933BD" w:rsidRPr="006933BD" w:rsidRDefault="006933BD" w:rsidP="006933BD">
      <w:pPr>
        <w:pStyle w:val="ListParagraph"/>
        <w:numPr>
          <w:ilvl w:val="0"/>
          <w:numId w:val="19"/>
        </w:numPr>
        <w:jc w:val="both"/>
        <w:rPr>
          <w:rFonts w:asciiTheme="minorHAnsi" w:hAnsiTheme="minorHAnsi" w:cstheme="minorHAnsi"/>
        </w:rPr>
      </w:pPr>
      <w:r w:rsidRPr="006933BD">
        <w:rPr>
          <w:rFonts w:asciiTheme="minorHAnsi" w:hAnsiTheme="minorHAnsi" w:cstheme="minorHAnsi"/>
        </w:rPr>
        <w:t xml:space="preserve">Tabletop Exercise on COVID19 preparedness and clinical management took place, organized by the Ministry and NCDC </w:t>
      </w:r>
    </w:p>
    <w:p w14:paraId="57329110" w14:textId="529E2180" w:rsidR="006933BD" w:rsidRPr="006933BD" w:rsidRDefault="006933BD" w:rsidP="006933BD">
      <w:pPr>
        <w:pStyle w:val="ListParagraph"/>
        <w:numPr>
          <w:ilvl w:val="0"/>
          <w:numId w:val="19"/>
        </w:numPr>
        <w:jc w:val="both"/>
        <w:rPr>
          <w:rFonts w:asciiTheme="minorHAnsi" w:hAnsiTheme="minorHAnsi" w:cstheme="minorHAnsi"/>
        </w:rPr>
      </w:pPr>
      <w:r w:rsidRPr="006933BD">
        <w:rPr>
          <w:rFonts w:asciiTheme="minorHAnsi" w:hAnsiTheme="minorHAnsi" w:cstheme="minorHAnsi"/>
        </w:rPr>
        <w:t xml:space="preserve">Distance training on clinical management of severe cases  </w:t>
      </w:r>
    </w:p>
    <w:p w14:paraId="49F406CD" w14:textId="177811B5" w:rsidR="006933BD" w:rsidRPr="006933BD" w:rsidRDefault="006933BD" w:rsidP="006933BD">
      <w:pPr>
        <w:pStyle w:val="ListParagraph"/>
        <w:numPr>
          <w:ilvl w:val="0"/>
          <w:numId w:val="19"/>
        </w:numPr>
        <w:jc w:val="both"/>
        <w:rPr>
          <w:rFonts w:asciiTheme="minorHAnsi" w:hAnsiTheme="minorHAnsi" w:cstheme="minorHAnsi"/>
        </w:rPr>
      </w:pPr>
      <w:r w:rsidRPr="006933BD">
        <w:rPr>
          <w:rFonts w:asciiTheme="minorHAnsi" w:hAnsiTheme="minorHAnsi" w:cstheme="minorHAnsi"/>
        </w:rPr>
        <w:t xml:space="preserve">Translation and printing of communication materials </w:t>
      </w:r>
    </w:p>
    <w:p w14:paraId="31B5C735" w14:textId="744C0DF0" w:rsidR="006933BD" w:rsidRPr="006933BD" w:rsidRDefault="006933BD" w:rsidP="006933BD">
      <w:pPr>
        <w:pStyle w:val="ListParagraph"/>
        <w:numPr>
          <w:ilvl w:val="0"/>
          <w:numId w:val="19"/>
        </w:numPr>
        <w:jc w:val="both"/>
        <w:rPr>
          <w:rFonts w:asciiTheme="minorHAnsi" w:hAnsiTheme="minorHAnsi" w:cstheme="minorHAnsi"/>
        </w:rPr>
      </w:pPr>
      <w:r w:rsidRPr="006933BD">
        <w:rPr>
          <w:rFonts w:asciiTheme="minorHAnsi" w:hAnsiTheme="minorHAnsi" w:cstheme="minorHAnsi"/>
        </w:rPr>
        <w:t>Equipping Public Health Emergency Operations Center (PHEOC) at the NCDC with videoconferencing equipment to ensure a 24/7 connection between NCDC regional branches,</w:t>
      </w:r>
      <w:r w:rsidR="004A4FD5">
        <w:rPr>
          <w:rFonts w:asciiTheme="minorHAnsi" w:hAnsiTheme="minorHAnsi" w:cstheme="minorHAnsi"/>
        </w:rPr>
        <w:t xml:space="preserve"> </w:t>
      </w:r>
      <w:proofErr w:type="spellStart"/>
      <w:r w:rsidR="004A4FD5">
        <w:rPr>
          <w:rFonts w:asciiTheme="minorHAnsi" w:hAnsiTheme="minorHAnsi" w:cstheme="minorHAnsi"/>
        </w:rPr>
        <w:t>MoH</w:t>
      </w:r>
      <w:proofErr w:type="spellEnd"/>
      <w:r w:rsidR="004A4FD5">
        <w:rPr>
          <w:rFonts w:asciiTheme="minorHAnsi" w:hAnsiTheme="minorHAnsi" w:cstheme="minorHAnsi"/>
        </w:rPr>
        <w:t>,</w:t>
      </w:r>
      <w:r w:rsidRPr="006933BD">
        <w:rPr>
          <w:rFonts w:asciiTheme="minorHAnsi" w:hAnsiTheme="minorHAnsi" w:cstheme="minorHAnsi"/>
        </w:rPr>
        <w:t xml:space="preserve"> designated healthcare </w:t>
      </w:r>
      <w:proofErr w:type="spellStart"/>
      <w:r w:rsidRPr="006933BD">
        <w:rPr>
          <w:rFonts w:asciiTheme="minorHAnsi" w:hAnsiTheme="minorHAnsi" w:cstheme="minorHAnsi"/>
        </w:rPr>
        <w:t>facilities,and</w:t>
      </w:r>
      <w:proofErr w:type="spellEnd"/>
      <w:r w:rsidRPr="006933BD">
        <w:rPr>
          <w:rFonts w:asciiTheme="minorHAnsi" w:hAnsiTheme="minorHAnsi" w:cstheme="minorHAnsi"/>
        </w:rPr>
        <w:t xml:space="preserve"> the WHO (in process)</w:t>
      </w:r>
    </w:p>
    <w:p w14:paraId="0F660E1C" w14:textId="77777777" w:rsidR="00CD6673" w:rsidRPr="006933BD" w:rsidRDefault="00CD6673" w:rsidP="006933BD">
      <w:pPr>
        <w:spacing w:after="0" w:line="240" w:lineRule="auto"/>
        <w:contextualSpacing/>
        <w:jc w:val="both"/>
        <w:rPr>
          <w:rFonts w:cstheme="minorHAnsi"/>
        </w:rPr>
      </w:pPr>
    </w:p>
    <w:p w14:paraId="487CA5DC" w14:textId="77777777" w:rsidR="00EA39DE" w:rsidRPr="00B56AAD" w:rsidRDefault="00EA39DE" w:rsidP="008F4D49">
      <w:pPr>
        <w:spacing w:after="0" w:line="240" w:lineRule="auto"/>
        <w:contextualSpacing/>
        <w:jc w:val="both"/>
        <w:rPr>
          <w:rFonts w:ascii="Calibri" w:hAnsi="Calibri" w:cs="Calibri"/>
          <w:bCs/>
          <w:color w:val="365F91" w:themeColor="accent1" w:themeShade="BF"/>
          <w:sz w:val="24"/>
          <w:szCs w:val="24"/>
          <w:lang w:val="en-GB"/>
        </w:rPr>
      </w:pPr>
    </w:p>
    <w:sectPr w:rsidR="00EA39DE" w:rsidRPr="00B56AAD" w:rsidSect="0074442B">
      <w:type w:val="continuous"/>
      <w:pgSz w:w="12240" w:h="15840"/>
      <w:pgMar w:top="709" w:right="850"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02CE9"/>
    <w:multiLevelType w:val="hybridMultilevel"/>
    <w:tmpl w:val="6A6C4E98"/>
    <w:lvl w:ilvl="0" w:tplc="5F2EEF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27960"/>
    <w:multiLevelType w:val="hybridMultilevel"/>
    <w:tmpl w:val="556A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F10FE"/>
    <w:multiLevelType w:val="hybridMultilevel"/>
    <w:tmpl w:val="25F8059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 w15:restartNumberingAfterBreak="0">
    <w:nsid w:val="0CB41815"/>
    <w:multiLevelType w:val="hybridMultilevel"/>
    <w:tmpl w:val="33B4C75C"/>
    <w:lvl w:ilvl="0" w:tplc="5F2EEF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663E9"/>
    <w:multiLevelType w:val="hybridMultilevel"/>
    <w:tmpl w:val="E8DC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43894"/>
    <w:multiLevelType w:val="hybridMultilevel"/>
    <w:tmpl w:val="82D47F7A"/>
    <w:lvl w:ilvl="0" w:tplc="2A38F2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7015D"/>
    <w:multiLevelType w:val="hybridMultilevel"/>
    <w:tmpl w:val="5720BFEE"/>
    <w:lvl w:ilvl="0" w:tplc="68AE37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514846"/>
    <w:multiLevelType w:val="hybridMultilevel"/>
    <w:tmpl w:val="C4267D9A"/>
    <w:lvl w:ilvl="0" w:tplc="5F2EEF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E4923"/>
    <w:multiLevelType w:val="hybridMultilevel"/>
    <w:tmpl w:val="32DEDCDC"/>
    <w:lvl w:ilvl="0" w:tplc="0E367C24">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C662F"/>
    <w:multiLevelType w:val="hybridMultilevel"/>
    <w:tmpl w:val="88E43412"/>
    <w:lvl w:ilvl="0" w:tplc="1B060BDE">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7C4504"/>
    <w:multiLevelType w:val="hybridMultilevel"/>
    <w:tmpl w:val="46C097A2"/>
    <w:lvl w:ilvl="0" w:tplc="0E367C2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37B8A"/>
    <w:multiLevelType w:val="hybridMultilevel"/>
    <w:tmpl w:val="52282946"/>
    <w:lvl w:ilvl="0" w:tplc="0E367C2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499517E4"/>
    <w:multiLevelType w:val="hybridMultilevel"/>
    <w:tmpl w:val="86E0E938"/>
    <w:lvl w:ilvl="0" w:tplc="5F2EEF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735FA"/>
    <w:multiLevelType w:val="hybridMultilevel"/>
    <w:tmpl w:val="BCEC28EA"/>
    <w:lvl w:ilvl="0" w:tplc="0E367C24">
      <w:numFmt w:val="bullet"/>
      <w:lvlText w:val="-"/>
      <w:lvlJc w:val="left"/>
      <w:pPr>
        <w:tabs>
          <w:tab w:val="num" w:pos="720"/>
        </w:tabs>
        <w:ind w:left="720" w:hanging="360"/>
      </w:pPr>
      <w:rPr>
        <w:rFonts w:ascii="Arial" w:eastAsia="Times New Roman" w:hAnsi="Arial" w:cs="Arial"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B8E1911"/>
    <w:multiLevelType w:val="hybridMultilevel"/>
    <w:tmpl w:val="880C955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5578C4"/>
    <w:multiLevelType w:val="hybridMultilevel"/>
    <w:tmpl w:val="998E63A0"/>
    <w:lvl w:ilvl="0" w:tplc="5F2EEF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67EFE"/>
    <w:multiLevelType w:val="hybridMultilevel"/>
    <w:tmpl w:val="5B7C0C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6F794DED"/>
    <w:multiLevelType w:val="hybridMultilevel"/>
    <w:tmpl w:val="87AC771E"/>
    <w:lvl w:ilvl="0" w:tplc="476099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7333E"/>
    <w:multiLevelType w:val="hybridMultilevel"/>
    <w:tmpl w:val="1D7C7F10"/>
    <w:lvl w:ilvl="0" w:tplc="5F2EEF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9"/>
  </w:num>
  <w:num w:numId="4">
    <w:abstractNumId w:val="17"/>
  </w:num>
  <w:num w:numId="5">
    <w:abstractNumId w:val="13"/>
  </w:num>
  <w:num w:numId="6">
    <w:abstractNumId w:val="4"/>
  </w:num>
  <w:num w:numId="7">
    <w:abstractNumId w:val="11"/>
  </w:num>
  <w:num w:numId="8">
    <w:abstractNumId w:val="10"/>
  </w:num>
  <w:num w:numId="9">
    <w:abstractNumId w:val="2"/>
  </w:num>
  <w:num w:numId="10">
    <w:abstractNumId w:val="8"/>
  </w:num>
  <w:num w:numId="11">
    <w:abstractNumId w:val="1"/>
  </w:num>
  <w:num w:numId="12">
    <w:abstractNumId w:val="15"/>
  </w:num>
  <w:num w:numId="13">
    <w:abstractNumId w:val="5"/>
  </w:num>
  <w:num w:numId="14">
    <w:abstractNumId w:val="0"/>
  </w:num>
  <w:num w:numId="15">
    <w:abstractNumId w:val="6"/>
  </w:num>
  <w:num w:numId="16">
    <w:abstractNumId w:val="18"/>
  </w:num>
  <w:num w:numId="17">
    <w:abstractNumId w:val="12"/>
  </w:num>
  <w:num w:numId="18">
    <w:abstractNumId w:val="7"/>
  </w:num>
  <w:num w:numId="1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CD"/>
    <w:rsid w:val="0000292E"/>
    <w:rsid w:val="000039A3"/>
    <w:rsid w:val="00016B01"/>
    <w:rsid w:val="00024A1B"/>
    <w:rsid w:val="00031DCD"/>
    <w:rsid w:val="00033336"/>
    <w:rsid w:val="00044869"/>
    <w:rsid w:val="000510A7"/>
    <w:rsid w:val="00055201"/>
    <w:rsid w:val="000557DA"/>
    <w:rsid w:val="00072345"/>
    <w:rsid w:val="000949D3"/>
    <w:rsid w:val="00094C07"/>
    <w:rsid w:val="000B290E"/>
    <w:rsid w:val="000B74CA"/>
    <w:rsid w:val="000C4C9D"/>
    <w:rsid w:val="000D5F43"/>
    <w:rsid w:val="000E51B4"/>
    <w:rsid w:val="001017BF"/>
    <w:rsid w:val="00107966"/>
    <w:rsid w:val="00112B40"/>
    <w:rsid w:val="00123A73"/>
    <w:rsid w:val="0012404C"/>
    <w:rsid w:val="00126245"/>
    <w:rsid w:val="0012710C"/>
    <w:rsid w:val="001366E5"/>
    <w:rsid w:val="001374C0"/>
    <w:rsid w:val="001579FE"/>
    <w:rsid w:val="00157D56"/>
    <w:rsid w:val="001714CE"/>
    <w:rsid w:val="00184A75"/>
    <w:rsid w:val="00184AD7"/>
    <w:rsid w:val="0018658C"/>
    <w:rsid w:val="00187A2D"/>
    <w:rsid w:val="0019199B"/>
    <w:rsid w:val="001A5B22"/>
    <w:rsid w:val="001B0241"/>
    <w:rsid w:val="001B6080"/>
    <w:rsid w:val="001B64CB"/>
    <w:rsid w:val="001D623A"/>
    <w:rsid w:val="001D7017"/>
    <w:rsid w:val="001E58E5"/>
    <w:rsid w:val="001F010E"/>
    <w:rsid w:val="001F0CF9"/>
    <w:rsid w:val="00204E29"/>
    <w:rsid w:val="0020724B"/>
    <w:rsid w:val="00210F2B"/>
    <w:rsid w:val="00212690"/>
    <w:rsid w:val="00223522"/>
    <w:rsid w:val="00227346"/>
    <w:rsid w:val="002275C6"/>
    <w:rsid w:val="0024034F"/>
    <w:rsid w:val="00241BAC"/>
    <w:rsid w:val="002430DE"/>
    <w:rsid w:val="002472CD"/>
    <w:rsid w:val="002530C2"/>
    <w:rsid w:val="002548AE"/>
    <w:rsid w:val="00256BC5"/>
    <w:rsid w:val="002800FC"/>
    <w:rsid w:val="00282A31"/>
    <w:rsid w:val="00293207"/>
    <w:rsid w:val="002939B4"/>
    <w:rsid w:val="0029671B"/>
    <w:rsid w:val="0029701A"/>
    <w:rsid w:val="002D644C"/>
    <w:rsid w:val="002E2C23"/>
    <w:rsid w:val="002E51DE"/>
    <w:rsid w:val="002F0776"/>
    <w:rsid w:val="00301157"/>
    <w:rsid w:val="003063CD"/>
    <w:rsid w:val="00306FF8"/>
    <w:rsid w:val="00311E8E"/>
    <w:rsid w:val="00312CF3"/>
    <w:rsid w:val="003372EF"/>
    <w:rsid w:val="00340473"/>
    <w:rsid w:val="0034346A"/>
    <w:rsid w:val="00351A5F"/>
    <w:rsid w:val="00353940"/>
    <w:rsid w:val="00356B78"/>
    <w:rsid w:val="00356F32"/>
    <w:rsid w:val="00360339"/>
    <w:rsid w:val="00371754"/>
    <w:rsid w:val="00383826"/>
    <w:rsid w:val="0038775C"/>
    <w:rsid w:val="00390E57"/>
    <w:rsid w:val="00395423"/>
    <w:rsid w:val="003B2BFE"/>
    <w:rsid w:val="003C7A05"/>
    <w:rsid w:val="003D5B12"/>
    <w:rsid w:val="003E0DBF"/>
    <w:rsid w:val="003F1BFC"/>
    <w:rsid w:val="003F398B"/>
    <w:rsid w:val="003F487D"/>
    <w:rsid w:val="004039F4"/>
    <w:rsid w:val="004326E5"/>
    <w:rsid w:val="00435D37"/>
    <w:rsid w:val="004446B0"/>
    <w:rsid w:val="004639E5"/>
    <w:rsid w:val="004728C2"/>
    <w:rsid w:val="00482381"/>
    <w:rsid w:val="004A4FD5"/>
    <w:rsid w:val="004B69C4"/>
    <w:rsid w:val="004B6C03"/>
    <w:rsid w:val="004C1B73"/>
    <w:rsid w:val="004D22C3"/>
    <w:rsid w:val="004D2E14"/>
    <w:rsid w:val="004D630A"/>
    <w:rsid w:val="004E084C"/>
    <w:rsid w:val="004E4CFC"/>
    <w:rsid w:val="004F3FAE"/>
    <w:rsid w:val="004F7126"/>
    <w:rsid w:val="00504E7D"/>
    <w:rsid w:val="00507728"/>
    <w:rsid w:val="0051596D"/>
    <w:rsid w:val="00520C73"/>
    <w:rsid w:val="005220A6"/>
    <w:rsid w:val="005238DA"/>
    <w:rsid w:val="00525CA5"/>
    <w:rsid w:val="00536846"/>
    <w:rsid w:val="00536CB0"/>
    <w:rsid w:val="0055575F"/>
    <w:rsid w:val="0056359E"/>
    <w:rsid w:val="005639C8"/>
    <w:rsid w:val="00566891"/>
    <w:rsid w:val="00567A7E"/>
    <w:rsid w:val="00567EC7"/>
    <w:rsid w:val="0058400E"/>
    <w:rsid w:val="00587619"/>
    <w:rsid w:val="005A34F4"/>
    <w:rsid w:val="005B0BEC"/>
    <w:rsid w:val="005B4CBA"/>
    <w:rsid w:val="005C0EDE"/>
    <w:rsid w:val="005C4C14"/>
    <w:rsid w:val="005C4E5E"/>
    <w:rsid w:val="005E1B55"/>
    <w:rsid w:val="005E321E"/>
    <w:rsid w:val="005F129B"/>
    <w:rsid w:val="005F1D1D"/>
    <w:rsid w:val="005F3625"/>
    <w:rsid w:val="005F508E"/>
    <w:rsid w:val="0060162C"/>
    <w:rsid w:val="00603D75"/>
    <w:rsid w:val="00607312"/>
    <w:rsid w:val="0061420E"/>
    <w:rsid w:val="00624442"/>
    <w:rsid w:val="006369EE"/>
    <w:rsid w:val="006433AD"/>
    <w:rsid w:val="00657B84"/>
    <w:rsid w:val="006613BD"/>
    <w:rsid w:val="00667D34"/>
    <w:rsid w:val="00683D97"/>
    <w:rsid w:val="006857A1"/>
    <w:rsid w:val="00692F7C"/>
    <w:rsid w:val="006933BD"/>
    <w:rsid w:val="006A0535"/>
    <w:rsid w:val="006B0FD6"/>
    <w:rsid w:val="006B473C"/>
    <w:rsid w:val="006E3991"/>
    <w:rsid w:val="00700842"/>
    <w:rsid w:val="00710559"/>
    <w:rsid w:val="00715912"/>
    <w:rsid w:val="00717BD5"/>
    <w:rsid w:val="00721226"/>
    <w:rsid w:val="007316EA"/>
    <w:rsid w:val="007329DB"/>
    <w:rsid w:val="0074442B"/>
    <w:rsid w:val="007477A4"/>
    <w:rsid w:val="00751958"/>
    <w:rsid w:val="00752829"/>
    <w:rsid w:val="007629DA"/>
    <w:rsid w:val="00766F91"/>
    <w:rsid w:val="00767C6F"/>
    <w:rsid w:val="00780955"/>
    <w:rsid w:val="00785062"/>
    <w:rsid w:val="007A3FEA"/>
    <w:rsid w:val="007B33FE"/>
    <w:rsid w:val="007B5DDB"/>
    <w:rsid w:val="007C17A7"/>
    <w:rsid w:val="007C55BF"/>
    <w:rsid w:val="007D0C57"/>
    <w:rsid w:val="007D74A5"/>
    <w:rsid w:val="007E0B08"/>
    <w:rsid w:val="007E4B9C"/>
    <w:rsid w:val="007F46AD"/>
    <w:rsid w:val="007F65B7"/>
    <w:rsid w:val="008001BE"/>
    <w:rsid w:val="00811D09"/>
    <w:rsid w:val="0081264B"/>
    <w:rsid w:val="00815F3F"/>
    <w:rsid w:val="00817A95"/>
    <w:rsid w:val="00822D33"/>
    <w:rsid w:val="0082360C"/>
    <w:rsid w:val="00827C8C"/>
    <w:rsid w:val="00832DC0"/>
    <w:rsid w:val="00834D5E"/>
    <w:rsid w:val="00840126"/>
    <w:rsid w:val="00853E34"/>
    <w:rsid w:val="008570D3"/>
    <w:rsid w:val="00860E6F"/>
    <w:rsid w:val="00864473"/>
    <w:rsid w:val="008723B4"/>
    <w:rsid w:val="00887D4E"/>
    <w:rsid w:val="008A2237"/>
    <w:rsid w:val="008A262F"/>
    <w:rsid w:val="008A45F4"/>
    <w:rsid w:val="008C4F16"/>
    <w:rsid w:val="008C6327"/>
    <w:rsid w:val="008E0231"/>
    <w:rsid w:val="008F4D49"/>
    <w:rsid w:val="00901601"/>
    <w:rsid w:val="009078A0"/>
    <w:rsid w:val="00921BFA"/>
    <w:rsid w:val="00923187"/>
    <w:rsid w:val="00950D3D"/>
    <w:rsid w:val="00954B01"/>
    <w:rsid w:val="00974150"/>
    <w:rsid w:val="00974E86"/>
    <w:rsid w:val="0098043E"/>
    <w:rsid w:val="0098738C"/>
    <w:rsid w:val="00991553"/>
    <w:rsid w:val="00995174"/>
    <w:rsid w:val="009A615E"/>
    <w:rsid w:val="009B12EC"/>
    <w:rsid w:val="009B56F7"/>
    <w:rsid w:val="009B6680"/>
    <w:rsid w:val="009C6D72"/>
    <w:rsid w:val="009D453A"/>
    <w:rsid w:val="009D6984"/>
    <w:rsid w:val="009E066E"/>
    <w:rsid w:val="009E60D5"/>
    <w:rsid w:val="009E613B"/>
    <w:rsid w:val="009F0834"/>
    <w:rsid w:val="009F2DBD"/>
    <w:rsid w:val="00A03423"/>
    <w:rsid w:val="00A15CBF"/>
    <w:rsid w:val="00A20206"/>
    <w:rsid w:val="00A265D9"/>
    <w:rsid w:val="00A32FA1"/>
    <w:rsid w:val="00A40338"/>
    <w:rsid w:val="00A45BEB"/>
    <w:rsid w:val="00A53861"/>
    <w:rsid w:val="00A56BB0"/>
    <w:rsid w:val="00A67373"/>
    <w:rsid w:val="00A87421"/>
    <w:rsid w:val="00A87586"/>
    <w:rsid w:val="00A90983"/>
    <w:rsid w:val="00AA067A"/>
    <w:rsid w:val="00AA4DEA"/>
    <w:rsid w:val="00AB5C6F"/>
    <w:rsid w:val="00AB7B78"/>
    <w:rsid w:val="00AD112A"/>
    <w:rsid w:val="00AD27BA"/>
    <w:rsid w:val="00AE0CD0"/>
    <w:rsid w:val="00AF7298"/>
    <w:rsid w:val="00B0321E"/>
    <w:rsid w:val="00B07245"/>
    <w:rsid w:val="00B10534"/>
    <w:rsid w:val="00B10E0A"/>
    <w:rsid w:val="00B15D6E"/>
    <w:rsid w:val="00B23654"/>
    <w:rsid w:val="00B311F2"/>
    <w:rsid w:val="00B436AB"/>
    <w:rsid w:val="00B5118A"/>
    <w:rsid w:val="00B528F5"/>
    <w:rsid w:val="00B567CD"/>
    <w:rsid w:val="00B56AAD"/>
    <w:rsid w:val="00B71C65"/>
    <w:rsid w:val="00B735E6"/>
    <w:rsid w:val="00B77C05"/>
    <w:rsid w:val="00B90F38"/>
    <w:rsid w:val="00BA26B3"/>
    <w:rsid w:val="00BA2CA6"/>
    <w:rsid w:val="00BA3552"/>
    <w:rsid w:val="00BA500F"/>
    <w:rsid w:val="00BC1C91"/>
    <w:rsid w:val="00BE6B8E"/>
    <w:rsid w:val="00BE7D66"/>
    <w:rsid w:val="00BF0F64"/>
    <w:rsid w:val="00BF6263"/>
    <w:rsid w:val="00C0323C"/>
    <w:rsid w:val="00C03394"/>
    <w:rsid w:val="00C04F75"/>
    <w:rsid w:val="00C065F9"/>
    <w:rsid w:val="00C1321C"/>
    <w:rsid w:val="00C17689"/>
    <w:rsid w:val="00C2622E"/>
    <w:rsid w:val="00C340D1"/>
    <w:rsid w:val="00C45161"/>
    <w:rsid w:val="00C457B7"/>
    <w:rsid w:val="00C52C34"/>
    <w:rsid w:val="00C52EC4"/>
    <w:rsid w:val="00C60052"/>
    <w:rsid w:val="00C74B74"/>
    <w:rsid w:val="00C824C0"/>
    <w:rsid w:val="00C829C7"/>
    <w:rsid w:val="00C9028C"/>
    <w:rsid w:val="00CB6EAF"/>
    <w:rsid w:val="00CC0614"/>
    <w:rsid w:val="00CD13CB"/>
    <w:rsid w:val="00CD35EA"/>
    <w:rsid w:val="00CD6673"/>
    <w:rsid w:val="00CE3565"/>
    <w:rsid w:val="00CE3BE1"/>
    <w:rsid w:val="00CF3AB1"/>
    <w:rsid w:val="00CF4CA6"/>
    <w:rsid w:val="00D0617A"/>
    <w:rsid w:val="00D109F1"/>
    <w:rsid w:val="00D17173"/>
    <w:rsid w:val="00D17968"/>
    <w:rsid w:val="00D21782"/>
    <w:rsid w:val="00D22199"/>
    <w:rsid w:val="00D60EA0"/>
    <w:rsid w:val="00D72EB2"/>
    <w:rsid w:val="00D76616"/>
    <w:rsid w:val="00D80A9D"/>
    <w:rsid w:val="00D8176E"/>
    <w:rsid w:val="00D833CF"/>
    <w:rsid w:val="00D83AEB"/>
    <w:rsid w:val="00D86A5B"/>
    <w:rsid w:val="00D90850"/>
    <w:rsid w:val="00D93BF2"/>
    <w:rsid w:val="00DA269C"/>
    <w:rsid w:val="00DB0FAF"/>
    <w:rsid w:val="00DC0DA0"/>
    <w:rsid w:val="00DD4298"/>
    <w:rsid w:val="00DE3C2D"/>
    <w:rsid w:val="00DE7190"/>
    <w:rsid w:val="00DF0621"/>
    <w:rsid w:val="00DF2532"/>
    <w:rsid w:val="00E05CD3"/>
    <w:rsid w:val="00E353BE"/>
    <w:rsid w:val="00E37D14"/>
    <w:rsid w:val="00E47758"/>
    <w:rsid w:val="00E51845"/>
    <w:rsid w:val="00E522B7"/>
    <w:rsid w:val="00E6295F"/>
    <w:rsid w:val="00E66938"/>
    <w:rsid w:val="00E92327"/>
    <w:rsid w:val="00E94E92"/>
    <w:rsid w:val="00EA39DE"/>
    <w:rsid w:val="00EB153D"/>
    <w:rsid w:val="00EB359C"/>
    <w:rsid w:val="00EB7B58"/>
    <w:rsid w:val="00EC5F70"/>
    <w:rsid w:val="00ED7BD0"/>
    <w:rsid w:val="00EF51CB"/>
    <w:rsid w:val="00F03B9A"/>
    <w:rsid w:val="00F06BA4"/>
    <w:rsid w:val="00F16A69"/>
    <w:rsid w:val="00F24787"/>
    <w:rsid w:val="00F3438B"/>
    <w:rsid w:val="00F34459"/>
    <w:rsid w:val="00F3663E"/>
    <w:rsid w:val="00F406AE"/>
    <w:rsid w:val="00F47320"/>
    <w:rsid w:val="00F473DB"/>
    <w:rsid w:val="00F56480"/>
    <w:rsid w:val="00F7073F"/>
    <w:rsid w:val="00F73FA2"/>
    <w:rsid w:val="00F9426F"/>
    <w:rsid w:val="00FA1043"/>
    <w:rsid w:val="00FB225E"/>
    <w:rsid w:val="00FB7915"/>
    <w:rsid w:val="00FC6D08"/>
    <w:rsid w:val="00FE3399"/>
    <w:rsid w:val="00FF0078"/>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DF20"/>
  <w15:docId w15:val="{C42CB30B-C4BC-407C-A53D-89F603D1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080"/>
  </w:style>
  <w:style w:type="paragraph" w:styleId="Heading2">
    <w:name w:val="heading 2"/>
    <w:basedOn w:val="Normal"/>
    <w:link w:val="Heading2Char"/>
    <w:uiPriority w:val="1"/>
    <w:qFormat/>
    <w:rsid w:val="00B311F2"/>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3CB"/>
    <w:pPr>
      <w:spacing w:after="0" w:line="240" w:lineRule="auto"/>
      <w:ind w:left="720"/>
      <w:contextualSpacing/>
    </w:pPr>
    <w:rPr>
      <w:rFonts w:ascii="Sylfaen" w:hAnsi="Sylfaen" w:cs="Times New Roman"/>
    </w:rPr>
  </w:style>
  <w:style w:type="table" w:styleId="TableGrid">
    <w:name w:val="Table Grid"/>
    <w:basedOn w:val="TableNormal"/>
    <w:uiPriority w:val="59"/>
    <w:rsid w:val="00F5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D14"/>
    <w:rPr>
      <w:sz w:val="16"/>
      <w:szCs w:val="16"/>
    </w:rPr>
  </w:style>
  <w:style w:type="paragraph" w:styleId="CommentText">
    <w:name w:val="annotation text"/>
    <w:basedOn w:val="Normal"/>
    <w:link w:val="CommentTextChar"/>
    <w:uiPriority w:val="99"/>
    <w:semiHidden/>
    <w:unhideWhenUsed/>
    <w:rsid w:val="00E37D14"/>
    <w:pPr>
      <w:spacing w:line="240" w:lineRule="auto"/>
    </w:pPr>
    <w:rPr>
      <w:sz w:val="20"/>
      <w:szCs w:val="20"/>
    </w:rPr>
  </w:style>
  <w:style w:type="character" w:customStyle="1" w:styleId="CommentTextChar">
    <w:name w:val="Comment Text Char"/>
    <w:basedOn w:val="DefaultParagraphFont"/>
    <w:link w:val="CommentText"/>
    <w:uiPriority w:val="99"/>
    <w:semiHidden/>
    <w:rsid w:val="00E37D14"/>
    <w:rPr>
      <w:sz w:val="20"/>
      <w:szCs w:val="20"/>
    </w:rPr>
  </w:style>
  <w:style w:type="paragraph" w:styleId="CommentSubject">
    <w:name w:val="annotation subject"/>
    <w:basedOn w:val="CommentText"/>
    <w:next w:val="CommentText"/>
    <w:link w:val="CommentSubjectChar"/>
    <w:uiPriority w:val="99"/>
    <w:semiHidden/>
    <w:unhideWhenUsed/>
    <w:rsid w:val="00E37D14"/>
    <w:rPr>
      <w:b/>
      <w:bCs/>
    </w:rPr>
  </w:style>
  <w:style w:type="character" w:customStyle="1" w:styleId="CommentSubjectChar">
    <w:name w:val="Comment Subject Char"/>
    <w:basedOn w:val="CommentTextChar"/>
    <w:link w:val="CommentSubject"/>
    <w:uiPriority w:val="99"/>
    <w:semiHidden/>
    <w:rsid w:val="00E37D14"/>
    <w:rPr>
      <w:b/>
      <w:bCs/>
      <w:sz w:val="20"/>
      <w:szCs w:val="20"/>
    </w:rPr>
  </w:style>
  <w:style w:type="paragraph" w:styleId="BalloonText">
    <w:name w:val="Balloon Text"/>
    <w:basedOn w:val="Normal"/>
    <w:link w:val="BalloonTextChar"/>
    <w:uiPriority w:val="99"/>
    <w:semiHidden/>
    <w:unhideWhenUsed/>
    <w:rsid w:val="00E37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D14"/>
    <w:rPr>
      <w:rFonts w:ascii="Segoe UI" w:hAnsi="Segoe UI" w:cs="Segoe UI"/>
      <w:sz w:val="18"/>
      <w:szCs w:val="18"/>
    </w:rPr>
  </w:style>
  <w:style w:type="paragraph" w:styleId="NormalWeb">
    <w:name w:val="Normal (Web)"/>
    <w:basedOn w:val="Normal"/>
    <w:uiPriority w:val="99"/>
    <w:unhideWhenUsed/>
    <w:rsid w:val="00860E6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B6EAF"/>
    <w:pPr>
      <w:spacing w:after="0" w:line="240" w:lineRule="auto"/>
    </w:pPr>
  </w:style>
  <w:style w:type="character" w:customStyle="1" w:styleId="Heading2Char">
    <w:name w:val="Heading 2 Char"/>
    <w:basedOn w:val="DefaultParagraphFont"/>
    <w:link w:val="Heading2"/>
    <w:uiPriority w:val="1"/>
    <w:rsid w:val="00B311F2"/>
    <w:rPr>
      <w:rFonts w:ascii="Times New Roman" w:eastAsia="Times New Roman" w:hAnsi="Times New Roman"/>
      <w:b/>
      <w:bCs/>
      <w:i/>
      <w:sz w:val="24"/>
      <w:szCs w:val="24"/>
    </w:rPr>
  </w:style>
  <w:style w:type="paragraph" w:styleId="BodyText">
    <w:name w:val="Body Text"/>
    <w:basedOn w:val="Normal"/>
    <w:link w:val="BodyTextChar"/>
    <w:rsid w:val="0029320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3207"/>
    <w:rPr>
      <w:rFonts w:ascii="Times New Roman" w:eastAsia="Times New Roman" w:hAnsi="Times New Roman" w:cs="Times New Roman"/>
      <w:sz w:val="24"/>
      <w:szCs w:val="24"/>
    </w:rPr>
  </w:style>
  <w:style w:type="character" w:styleId="Strong">
    <w:name w:val="Strong"/>
    <w:basedOn w:val="DefaultParagraphFont"/>
    <w:qFormat/>
    <w:rsid w:val="00293207"/>
    <w:rPr>
      <w:b/>
      <w:bCs/>
    </w:rPr>
  </w:style>
  <w:style w:type="paragraph" w:styleId="Title">
    <w:name w:val="Title"/>
    <w:basedOn w:val="Normal"/>
    <w:link w:val="TitleChar"/>
    <w:qFormat/>
    <w:rsid w:val="00293207"/>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293207"/>
    <w:rPr>
      <w:rFonts w:ascii="Times New Roman" w:eastAsia="Times New Roman" w:hAnsi="Times New Roman" w:cs="Times New Roman"/>
      <w:sz w:val="24"/>
      <w:szCs w:val="20"/>
    </w:rPr>
  </w:style>
  <w:style w:type="paragraph" w:customStyle="1" w:styleId="Default">
    <w:name w:val="Default"/>
    <w:rsid w:val="00293207"/>
    <w:pPr>
      <w:widowControl w:val="0"/>
      <w:autoSpaceDE w:val="0"/>
      <w:autoSpaceDN w:val="0"/>
      <w:adjustRightInd w:val="0"/>
      <w:spacing w:after="0" w:line="240" w:lineRule="auto"/>
    </w:pPr>
    <w:rPr>
      <w:rFonts w:ascii="Times" w:eastAsia="Times New Roman" w:hAnsi="Times" w:cs="Times"/>
      <w:color w:val="000000"/>
      <w:sz w:val="24"/>
      <w:szCs w:val="24"/>
      <w:lang w:val="ru-RU" w:eastAsia="ru-RU"/>
    </w:rPr>
  </w:style>
  <w:style w:type="paragraph" w:customStyle="1" w:styleId="CM35">
    <w:name w:val="CM35"/>
    <w:basedOn w:val="Default"/>
    <w:next w:val="Default"/>
    <w:rsid w:val="00293207"/>
    <w:pPr>
      <w:spacing w:after="115"/>
    </w:pPr>
    <w:rPr>
      <w:color w:val="auto"/>
    </w:rPr>
  </w:style>
  <w:style w:type="character" w:customStyle="1" w:styleId="xc2">
    <w:name w:val="xc2"/>
    <w:basedOn w:val="DefaultParagraphFont"/>
    <w:rsid w:val="00293207"/>
    <w:rPr>
      <w:rFonts w:ascii="Tahoma" w:hAnsi="Tahoma" w:cs="Tahoma" w:hint="default"/>
      <w:b w:val="0"/>
      <w:bCs w:val="0"/>
      <w:color w:val="3C3C3C"/>
    </w:rPr>
  </w:style>
  <w:style w:type="character" w:customStyle="1" w:styleId="x210">
    <w:name w:val="x210"/>
    <w:basedOn w:val="DefaultParagraphFont"/>
    <w:rsid w:val="00293207"/>
    <w:rPr>
      <w:rFonts w:ascii="Tahoma" w:hAnsi="Tahoma" w:cs="Tahoma" w:hint="default"/>
      <w:b/>
      <w:bCs/>
      <w:color w:val="3C3C3C"/>
    </w:rPr>
  </w:style>
  <w:style w:type="paragraph" w:customStyle="1" w:styleId="Head222">
    <w:name w:val="Head 222"/>
    <w:basedOn w:val="Normal"/>
    <w:link w:val="Head222Char"/>
    <w:uiPriority w:val="1"/>
    <w:qFormat/>
    <w:rsid w:val="00B90F38"/>
    <w:pPr>
      <w:spacing w:after="160" w:line="259" w:lineRule="auto"/>
    </w:pPr>
    <w:rPr>
      <w:rFonts w:eastAsiaTheme="majorEastAsia" w:cstheme="minorHAnsi"/>
      <w:b/>
      <w:color w:val="365F91" w:themeColor="accent1" w:themeShade="BF"/>
    </w:rPr>
  </w:style>
  <w:style w:type="character" w:customStyle="1" w:styleId="Head222Char">
    <w:name w:val="Head 222 Char"/>
    <w:basedOn w:val="DefaultParagraphFont"/>
    <w:link w:val="Head222"/>
    <w:uiPriority w:val="1"/>
    <w:rsid w:val="00B90F38"/>
    <w:rPr>
      <w:rFonts w:eastAsiaTheme="majorEastAsia" w:cstheme="minorHAnsi"/>
      <w:b/>
      <w:color w:val="365F91" w:themeColor="accent1" w:themeShade="BF"/>
    </w:rPr>
  </w:style>
  <w:style w:type="character" w:styleId="Emphasis">
    <w:name w:val="Emphasis"/>
    <w:basedOn w:val="DefaultParagraphFont"/>
    <w:uiPriority w:val="20"/>
    <w:qFormat/>
    <w:rsid w:val="00766F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55936">
      <w:bodyDiv w:val="1"/>
      <w:marLeft w:val="0"/>
      <w:marRight w:val="0"/>
      <w:marTop w:val="0"/>
      <w:marBottom w:val="0"/>
      <w:divBdr>
        <w:top w:val="none" w:sz="0" w:space="0" w:color="auto"/>
        <w:left w:val="none" w:sz="0" w:space="0" w:color="auto"/>
        <w:bottom w:val="none" w:sz="0" w:space="0" w:color="auto"/>
        <w:right w:val="none" w:sz="0" w:space="0" w:color="auto"/>
      </w:divBdr>
    </w:div>
    <w:div w:id="1026515654">
      <w:bodyDiv w:val="1"/>
      <w:marLeft w:val="0"/>
      <w:marRight w:val="0"/>
      <w:marTop w:val="0"/>
      <w:marBottom w:val="0"/>
      <w:divBdr>
        <w:top w:val="none" w:sz="0" w:space="0" w:color="auto"/>
        <w:left w:val="none" w:sz="0" w:space="0" w:color="auto"/>
        <w:bottom w:val="none" w:sz="0" w:space="0" w:color="auto"/>
        <w:right w:val="none" w:sz="0" w:space="0" w:color="auto"/>
      </w:divBdr>
    </w:div>
    <w:div w:id="1104301688">
      <w:bodyDiv w:val="1"/>
      <w:marLeft w:val="0"/>
      <w:marRight w:val="0"/>
      <w:marTop w:val="0"/>
      <w:marBottom w:val="0"/>
      <w:divBdr>
        <w:top w:val="none" w:sz="0" w:space="0" w:color="auto"/>
        <w:left w:val="none" w:sz="0" w:space="0" w:color="auto"/>
        <w:bottom w:val="none" w:sz="0" w:space="0" w:color="auto"/>
        <w:right w:val="none" w:sz="0" w:space="0" w:color="auto"/>
      </w:divBdr>
    </w:div>
    <w:div w:id="1304388670">
      <w:bodyDiv w:val="1"/>
      <w:marLeft w:val="0"/>
      <w:marRight w:val="0"/>
      <w:marTop w:val="0"/>
      <w:marBottom w:val="0"/>
      <w:divBdr>
        <w:top w:val="none" w:sz="0" w:space="0" w:color="auto"/>
        <w:left w:val="none" w:sz="0" w:space="0" w:color="auto"/>
        <w:bottom w:val="none" w:sz="0" w:space="0" w:color="auto"/>
        <w:right w:val="none" w:sz="0" w:space="0" w:color="auto"/>
      </w:divBdr>
    </w:div>
    <w:div w:id="1346782817">
      <w:bodyDiv w:val="1"/>
      <w:marLeft w:val="0"/>
      <w:marRight w:val="0"/>
      <w:marTop w:val="0"/>
      <w:marBottom w:val="0"/>
      <w:divBdr>
        <w:top w:val="none" w:sz="0" w:space="0" w:color="auto"/>
        <w:left w:val="none" w:sz="0" w:space="0" w:color="auto"/>
        <w:bottom w:val="none" w:sz="0" w:space="0" w:color="auto"/>
        <w:right w:val="none" w:sz="0" w:space="0" w:color="auto"/>
      </w:divBdr>
    </w:div>
    <w:div w:id="1439452236">
      <w:bodyDiv w:val="1"/>
      <w:marLeft w:val="0"/>
      <w:marRight w:val="0"/>
      <w:marTop w:val="0"/>
      <w:marBottom w:val="0"/>
      <w:divBdr>
        <w:top w:val="none" w:sz="0" w:space="0" w:color="auto"/>
        <w:left w:val="none" w:sz="0" w:space="0" w:color="auto"/>
        <w:bottom w:val="none" w:sz="0" w:space="0" w:color="auto"/>
        <w:right w:val="none" w:sz="0" w:space="0" w:color="auto"/>
      </w:divBdr>
      <w:divsChild>
        <w:div w:id="23141581">
          <w:marLeft w:val="360"/>
          <w:marRight w:val="0"/>
          <w:marTop w:val="200"/>
          <w:marBottom w:val="0"/>
          <w:divBdr>
            <w:top w:val="none" w:sz="0" w:space="0" w:color="auto"/>
            <w:left w:val="none" w:sz="0" w:space="0" w:color="auto"/>
            <w:bottom w:val="none" w:sz="0" w:space="0" w:color="auto"/>
            <w:right w:val="none" w:sz="0" w:space="0" w:color="auto"/>
          </w:divBdr>
        </w:div>
        <w:div w:id="216010564">
          <w:marLeft w:val="360"/>
          <w:marRight w:val="0"/>
          <w:marTop w:val="200"/>
          <w:marBottom w:val="0"/>
          <w:divBdr>
            <w:top w:val="none" w:sz="0" w:space="0" w:color="auto"/>
            <w:left w:val="none" w:sz="0" w:space="0" w:color="auto"/>
            <w:bottom w:val="none" w:sz="0" w:space="0" w:color="auto"/>
            <w:right w:val="none" w:sz="0" w:space="0" w:color="auto"/>
          </w:divBdr>
        </w:div>
        <w:div w:id="289630662">
          <w:marLeft w:val="360"/>
          <w:marRight w:val="0"/>
          <w:marTop w:val="200"/>
          <w:marBottom w:val="0"/>
          <w:divBdr>
            <w:top w:val="none" w:sz="0" w:space="0" w:color="auto"/>
            <w:left w:val="none" w:sz="0" w:space="0" w:color="auto"/>
            <w:bottom w:val="none" w:sz="0" w:space="0" w:color="auto"/>
            <w:right w:val="none" w:sz="0" w:space="0" w:color="auto"/>
          </w:divBdr>
        </w:div>
        <w:div w:id="918175544">
          <w:marLeft w:val="360"/>
          <w:marRight w:val="0"/>
          <w:marTop w:val="200"/>
          <w:marBottom w:val="0"/>
          <w:divBdr>
            <w:top w:val="none" w:sz="0" w:space="0" w:color="auto"/>
            <w:left w:val="none" w:sz="0" w:space="0" w:color="auto"/>
            <w:bottom w:val="none" w:sz="0" w:space="0" w:color="auto"/>
            <w:right w:val="none" w:sz="0" w:space="0" w:color="auto"/>
          </w:divBdr>
        </w:div>
        <w:div w:id="1735811192">
          <w:marLeft w:val="360"/>
          <w:marRight w:val="0"/>
          <w:marTop w:val="200"/>
          <w:marBottom w:val="0"/>
          <w:divBdr>
            <w:top w:val="none" w:sz="0" w:space="0" w:color="auto"/>
            <w:left w:val="none" w:sz="0" w:space="0" w:color="auto"/>
            <w:bottom w:val="none" w:sz="0" w:space="0" w:color="auto"/>
            <w:right w:val="none" w:sz="0" w:space="0" w:color="auto"/>
          </w:divBdr>
        </w:div>
      </w:divsChild>
    </w:div>
    <w:div w:id="1484543030">
      <w:bodyDiv w:val="1"/>
      <w:marLeft w:val="0"/>
      <w:marRight w:val="0"/>
      <w:marTop w:val="0"/>
      <w:marBottom w:val="0"/>
      <w:divBdr>
        <w:top w:val="none" w:sz="0" w:space="0" w:color="auto"/>
        <w:left w:val="none" w:sz="0" w:space="0" w:color="auto"/>
        <w:bottom w:val="none" w:sz="0" w:space="0" w:color="auto"/>
        <w:right w:val="none" w:sz="0" w:space="0" w:color="auto"/>
      </w:divBdr>
      <w:divsChild>
        <w:div w:id="622883794">
          <w:marLeft w:val="360"/>
          <w:marRight w:val="0"/>
          <w:marTop w:val="120"/>
          <w:marBottom w:val="0"/>
          <w:divBdr>
            <w:top w:val="none" w:sz="0" w:space="0" w:color="auto"/>
            <w:left w:val="none" w:sz="0" w:space="0" w:color="auto"/>
            <w:bottom w:val="none" w:sz="0" w:space="0" w:color="auto"/>
            <w:right w:val="none" w:sz="0" w:space="0" w:color="auto"/>
          </w:divBdr>
        </w:div>
        <w:div w:id="1527332652">
          <w:marLeft w:val="360"/>
          <w:marRight w:val="0"/>
          <w:marTop w:val="200"/>
          <w:marBottom w:val="0"/>
          <w:divBdr>
            <w:top w:val="none" w:sz="0" w:space="0" w:color="auto"/>
            <w:left w:val="none" w:sz="0" w:space="0" w:color="auto"/>
            <w:bottom w:val="none" w:sz="0" w:space="0" w:color="auto"/>
            <w:right w:val="none" w:sz="0" w:space="0" w:color="auto"/>
          </w:divBdr>
        </w:div>
      </w:divsChild>
    </w:div>
    <w:div w:id="1548298621">
      <w:bodyDiv w:val="1"/>
      <w:marLeft w:val="0"/>
      <w:marRight w:val="0"/>
      <w:marTop w:val="0"/>
      <w:marBottom w:val="0"/>
      <w:divBdr>
        <w:top w:val="none" w:sz="0" w:space="0" w:color="auto"/>
        <w:left w:val="none" w:sz="0" w:space="0" w:color="auto"/>
        <w:bottom w:val="none" w:sz="0" w:space="0" w:color="auto"/>
        <w:right w:val="none" w:sz="0" w:space="0" w:color="auto"/>
      </w:divBdr>
      <w:divsChild>
        <w:div w:id="864562441">
          <w:marLeft w:val="360"/>
          <w:marRight w:val="0"/>
          <w:marTop w:val="0"/>
          <w:marBottom w:val="0"/>
          <w:divBdr>
            <w:top w:val="none" w:sz="0" w:space="0" w:color="auto"/>
            <w:left w:val="none" w:sz="0" w:space="0" w:color="auto"/>
            <w:bottom w:val="none" w:sz="0" w:space="0" w:color="auto"/>
            <w:right w:val="none" w:sz="0" w:space="0" w:color="auto"/>
          </w:divBdr>
        </w:div>
        <w:div w:id="1083339249">
          <w:marLeft w:val="360"/>
          <w:marRight w:val="0"/>
          <w:marTop w:val="0"/>
          <w:marBottom w:val="0"/>
          <w:divBdr>
            <w:top w:val="none" w:sz="0" w:space="0" w:color="auto"/>
            <w:left w:val="none" w:sz="0" w:space="0" w:color="auto"/>
            <w:bottom w:val="none" w:sz="0" w:space="0" w:color="auto"/>
            <w:right w:val="none" w:sz="0" w:space="0" w:color="auto"/>
          </w:divBdr>
        </w:div>
        <w:div w:id="1125082248">
          <w:marLeft w:val="360"/>
          <w:marRight w:val="0"/>
          <w:marTop w:val="0"/>
          <w:marBottom w:val="0"/>
          <w:divBdr>
            <w:top w:val="none" w:sz="0" w:space="0" w:color="auto"/>
            <w:left w:val="none" w:sz="0" w:space="0" w:color="auto"/>
            <w:bottom w:val="none" w:sz="0" w:space="0" w:color="auto"/>
            <w:right w:val="none" w:sz="0" w:space="0" w:color="auto"/>
          </w:divBdr>
        </w:div>
        <w:div w:id="1273630243">
          <w:marLeft w:val="360"/>
          <w:marRight w:val="0"/>
          <w:marTop w:val="0"/>
          <w:marBottom w:val="0"/>
          <w:divBdr>
            <w:top w:val="none" w:sz="0" w:space="0" w:color="auto"/>
            <w:left w:val="none" w:sz="0" w:space="0" w:color="auto"/>
            <w:bottom w:val="none" w:sz="0" w:space="0" w:color="auto"/>
            <w:right w:val="none" w:sz="0" w:space="0" w:color="auto"/>
          </w:divBdr>
        </w:div>
        <w:div w:id="1446728629">
          <w:marLeft w:val="360"/>
          <w:marRight w:val="0"/>
          <w:marTop w:val="0"/>
          <w:marBottom w:val="0"/>
          <w:divBdr>
            <w:top w:val="none" w:sz="0" w:space="0" w:color="auto"/>
            <w:left w:val="none" w:sz="0" w:space="0" w:color="auto"/>
            <w:bottom w:val="none" w:sz="0" w:space="0" w:color="auto"/>
            <w:right w:val="none" w:sz="0" w:space="0" w:color="auto"/>
          </w:divBdr>
        </w:div>
        <w:div w:id="1780101155">
          <w:marLeft w:val="360"/>
          <w:marRight w:val="0"/>
          <w:marTop w:val="0"/>
          <w:marBottom w:val="0"/>
          <w:divBdr>
            <w:top w:val="none" w:sz="0" w:space="0" w:color="auto"/>
            <w:left w:val="none" w:sz="0" w:space="0" w:color="auto"/>
            <w:bottom w:val="none" w:sz="0" w:space="0" w:color="auto"/>
            <w:right w:val="none" w:sz="0" w:space="0" w:color="auto"/>
          </w:divBdr>
        </w:div>
      </w:divsChild>
    </w:div>
    <w:div w:id="1570580889">
      <w:bodyDiv w:val="1"/>
      <w:marLeft w:val="0"/>
      <w:marRight w:val="0"/>
      <w:marTop w:val="0"/>
      <w:marBottom w:val="0"/>
      <w:divBdr>
        <w:top w:val="none" w:sz="0" w:space="0" w:color="auto"/>
        <w:left w:val="none" w:sz="0" w:space="0" w:color="auto"/>
        <w:bottom w:val="none" w:sz="0" w:space="0" w:color="auto"/>
        <w:right w:val="none" w:sz="0" w:space="0" w:color="auto"/>
      </w:divBdr>
    </w:div>
    <w:div w:id="1590844202">
      <w:bodyDiv w:val="1"/>
      <w:marLeft w:val="0"/>
      <w:marRight w:val="0"/>
      <w:marTop w:val="0"/>
      <w:marBottom w:val="0"/>
      <w:divBdr>
        <w:top w:val="none" w:sz="0" w:space="0" w:color="auto"/>
        <w:left w:val="none" w:sz="0" w:space="0" w:color="auto"/>
        <w:bottom w:val="none" w:sz="0" w:space="0" w:color="auto"/>
        <w:right w:val="none" w:sz="0" w:space="0" w:color="auto"/>
      </w:divBdr>
    </w:div>
    <w:div w:id="1814759380">
      <w:bodyDiv w:val="1"/>
      <w:marLeft w:val="0"/>
      <w:marRight w:val="0"/>
      <w:marTop w:val="0"/>
      <w:marBottom w:val="0"/>
      <w:divBdr>
        <w:top w:val="none" w:sz="0" w:space="0" w:color="auto"/>
        <w:left w:val="none" w:sz="0" w:space="0" w:color="auto"/>
        <w:bottom w:val="none" w:sz="0" w:space="0" w:color="auto"/>
        <w:right w:val="none" w:sz="0" w:space="0" w:color="auto"/>
      </w:divBdr>
      <w:divsChild>
        <w:div w:id="217208614">
          <w:marLeft w:val="720"/>
          <w:marRight w:val="0"/>
          <w:marTop w:val="0"/>
          <w:marBottom w:val="0"/>
          <w:divBdr>
            <w:top w:val="none" w:sz="0" w:space="0" w:color="auto"/>
            <w:left w:val="none" w:sz="0" w:space="0" w:color="auto"/>
            <w:bottom w:val="none" w:sz="0" w:space="0" w:color="auto"/>
            <w:right w:val="none" w:sz="0" w:space="0" w:color="auto"/>
          </w:divBdr>
        </w:div>
        <w:div w:id="454257739">
          <w:marLeft w:val="720"/>
          <w:marRight w:val="0"/>
          <w:marTop w:val="0"/>
          <w:marBottom w:val="0"/>
          <w:divBdr>
            <w:top w:val="none" w:sz="0" w:space="0" w:color="auto"/>
            <w:left w:val="none" w:sz="0" w:space="0" w:color="auto"/>
            <w:bottom w:val="none" w:sz="0" w:space="0" w:color="auto"/>
            <w:right w:val="none" w:sz="0" w:space="0" w:color="auto"/>
          </w:divBdr>
        </w:div>
        <w:div w:id="1246961807">
          <w:marLeft w:val="720"/>
          <w:marRight w:val="0"/>
          <w:marTop w:val="0"/>
          <w:marBottom w:val="0"/>
          <w:divBdr>
            <w:top w:val="none" w:sz="0" w:space="0" w:color="auto"/>
            <w:left w:val="none" w:sz="0" w:space="0" w:color="auto"/>
            <w:bottom w:val="none" w:sz="0" w:space="0" w:color="auto"/>
            <w:right w:val="none" w:sz="0" w:space="0" w:color="auto"/>
          </w:divBdr>
        </w:div>
        <w:div w:id="1473131666">
          <w:marLeft w:val="720"/>
          <w:marRight w:val="0"/>
          <w:marTop w:val="0"/>
          <w:marBottom w:val="0"/>
          <w:divBdr>
            <w:top w:val="none" w:sz="0" w:space="0" w:color="auto"/>
            <w:left w:val="none" w:sz="0" w:space="0" w:color="auto"/>
            <w:bottom w:val="none" w:sz="0" w:space="0" w:color="auto"/>
            <w:right w:val="none" w:sz="0" w:space="0" w:color="auto"/>
          </w:divBdr>
        </w:div>
        <w:div w:id="1517621731">
          <w:marLeft w:val="720"/>
          <w:marRight w:val="0"/>
          <w:marTop w:val="0"/>
          <w:marBottom w:val="0"/>
          <w:divBdr>
            <w:top w:val="none" w:sz="0" w:space="0" w:color="auto"/>
            <w:left w:val="none" w:sz="0" w:space="0" w:color="auto"/>
            <w:bottom w:val="none" w:sz="0" w:space="0" w:color="auto"/>
            <w:right w:val="none" w:sz="0" w:space="0" w:color="auto"/>
          </w:divBdr>
        </w:div>
        <w:div w:id="1677221120">
          <w:marLeft w:val="720"/>
          <w:marRight w:val="0"/>
          <w:marTop w:val="0"/>
          <w:marBottom w:val="0"/>
          <w:divBdr>
            <w:top w:val="none" w:sz="0" w:space="0" w:color="auto"/>
            <w:left w:val="none" w:sz="0" w:space="0" w:color="auto"/>
            <w:bottom w:val="none" w:sz="0" w:space="0" w:color="auto"/>
            <w:right w:val="none" w:sz="0" w:space="0" w:color="auto"/>
          </w:divBdr>
        </w:div>
        <w:div w:id="1896159746">
          <w:marLeft w:val="720"/>
          <w:marRight w:val="0"/>
          <w:marTop w:val="0"/>
          <w:marBottom w:val="0"/>
          <w:divBdr>
            <w:top w:val="none" w:sz="0" w:space="0" w:color="auto"/>
            <w:left w:val="none" w:sz="0" w:space="0" w:color="auto"/>
            <w:bottom w:val="none" w:sz="0" w:space="0" w:color="auto"/>
            <w:right w:val="none" w:sz="0" w:space="0" w:color="auto"/>
          </w:divBdr>
        </w:div>
        <w:div w:id="1975330229">
          <w:marLeft w:val="720"/>
          <w:marRight w:val="0"/>
          <w:marTop w:val="0"/>
          <w:marBottom w:val="0"/>
          <w:divBdr>
            <w:top w:val="none" w:sz="0" w:space="0" w:color="auto"/>
            <w:left w:val="none" w:sz="0" w:space="0" w:color="auto"/>
            <w:bottom w:val="none" w:sz="0" w:space="0" w:color="auto"/>
            <w:right w:val="none" w:sz="0" w:space="0" w:color="auto"/>
          </w:divBdr>
        </w:div>
        <w:div w:id="1995835393">
          <w:marLeft w:val="720"/>
          <w:marRight w:val="0"/>
          <w:marTop w:val="0"/>
          <w:marBottom w:val="0"/>
          <w:divBdr>
            <w:top w:val="none" w:sz="0" w:space="0" w:color="auto"/>
            <w:left w:val="none" w:sz="0" w:space="0" w:color="auto"/>
            <w:bottom w:val="none" w:sz="0" w:space="0" w:color="auto"/>
            <w:right w:val="none" w:sz="0" w:space="0" w:color="auto"/>
          </w:divBdr>
        </w:div>
      </w:divsChild>
    </w:div>
    <w:div w:id="1898781807">
      <w:bodyDiv w:val="1"/>
      <w:marLeft w:val="0"/>
      <w:marRight w:val="0"/>
      <w:marTop w:val="0"/>
      <w:marBottom w:val="0"/>
      <w:divBdr>
        <w:top w:val="none" w:sz="0" w:space="0" w:color="auto"/>
        <w:left w:val="none" w:sz="0" w:space="0" w:color="auto"/>
        <w:bottom w:val="none" w:sz="0" w:space="0" w:color="auto"/>
        <w:right w:val="none" w:sz="0" w:space="0" w:color="auto"/>
      </w:divBdr>
      <w:divsChild>
        <w:div w:id="328675948">
          <w:marLeft w:val="360"/>
          <w:marRight w:val="0"/>
          <w:marTop w:val="200"/>
          <w:marBottom w:val="0"/>
          <w:divBdr>
            <w:top w:val="none" w:sz="0" w:space="0" w:color="auto"/>
            <w:left w:val="none" w:sz="0" w:space="0" w:color="auto"/>
            <w:bottom w:val="none" w:sz="0" w:space="0" w:color="auto"/>
            <w:right w:val="none" w:sz="0" w:space="0" w:color="auto"/>
          </w:divBdr>
        </w:div>
        <w:div w:id="349528936">
          <w:marLeft w:val="360"/>
          <w:marRight w:val="0"/>
          <w:marTop w:val="200"/>
          <w:marBottom w:val="0"/>
          <w:divBdr>
            <w:top w:val="none" w:sz="0" w:space="0" w:color="auto"/>
            <w:left w:val="none" w:sz="0" w:space="0" w:color="auto"/>
            <w:bottom w:val="none" w:sz="0" w:space="0" w:color="auto"/>
            <w:right w:val="none" w:sz="0" w:space="0" w:color="auto"/>
          </w:divBdr>
        </w:div>
        <w:div w:id="1081176099">
          <w:marLeft w:val="360"/>
          <w:marRight w:val="0"/>
          <w:marTop w:val="200"/>
          <w:marBottom w:val="0"/>
          <w:divBdr>
            <w:top w:val="none" w:sz="0" w:space="0" w:color="auto"/>
            <w:left w:val="none" w:sz="0" w:space="0" w:color="auto"/>
            <w:bottom w:val="none" w:sz="0" w:space="0" w:color="auto"/>
            <w:right w:val="none" w:sz="0" w:space="0" w:color="auto"/>
          </w:divBdr>
        </w:div>
        <w:div w:id="1893998730">
          <w:marLeft w:val="360"/>
          <w:marRight w:val="0"/>
          <w:marTop w:val="200"/>
          <w:marBottom w:val="0"/>
          <w:divBdr>
            <w:top w:val="none" w:sz="0" w:space="0" w:color="auto"/>
            <w:left w:val="none" w:sz="0" w:space="0" w:color="auto"/>
            <w:bottom w:val="none" w:sz="0" w:space="0" w:color="auto"/>
            <w:right w:val="none" w:sz="0" w:space="0" w:color="auto"/>
          </w:divBdr>
        </w:div>
      </w:divsChild>
    </w:div>
    <w:div w:id="210036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Nana Kavtaradze</cp:lastModifiedBy>
  <cp:revision>6</cp:revision>
  <cp:lastPrinted>2017-11-24T15:37:00Z</cp:lastPrinted>
  <dcterms:created xsi:type="dcterms:W3CDTF">2020-06-08T18:14:00Z</dcterms:created>
  <dcterms:modified xsi:type="dcterms:W3CDTF">2020-06-08T18:55:00Z</dcterms:modified>
</cp:coreProperties>
</file>