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30D" w:rsidRPr="008B15D8" w:rsidRDefault="000F630D" w:rsidP="000F630D">
      <w:pPr>
        <w:ind w:left="360"/>
        <w:rPr>
          <w:b/>
          <w:sz w:val="28"/>
        </w:rPr>
      </w:pPr>
      <w:proofErr w:type="spellStart"/>
      <w:r w:rsidRPr="008B15D8">
        <w:rPr>
          <w:b/>
          <w:sz w:val="28"/>
        </w:rPr>
        <w:t>Thersmo</w:t>
      </w:r>
      <w:proofErr w:type="spellEnd"/>
      <w:r w:rsidRPr="008B15D8">
        <w:rPr>
          <w:b/>
          <w:sz w:val="28"/>
        </w:rPr>
        <w:t xml:space="preserve"> Scientifics   COVID-19 tests. </w:t>
      </w:r>
      <w:bookmarkStart w:id="0" w:name="_GoBack"/>
      <w:bookmarkEnd w:id="0"/>
    </w:p>
    <w:p w:rsidR="000F630D" w:rsidRPr="008B15D8" w:rsidRDefault="000F630D" w:rsidP="000F63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B15D8">
        <w:rPr>
          <w:sz w:val="24"/>
          <w:szCs w:val="24"/>
        </w:rPr>
        <w:t>Supplier:   LTD ABM</w:t>
      </w:r>
    </w:p>
    <w:p w:rsidR="000F630D" w:rsidRPr="008B15D8" w:rsidRDefault="000F630D" w:rsidP="008B15D8">
      <w:pPr>
        <w:pStyle w:val="ListParagraph"/>
        <w:numPr>
          <w:ilvl w:val="0"/>
          <w:numId w:val="1"/>
        </w:numPr>
        <w:ind w:left="360" w:firstLine="0"/>
        <w:rPr>
          <w:sz w:val="24"/>
          <w:szCs w:val="24"/>
        </w:rPr>
      </w:pPr>
      <w:r w:rsidRPr="008B15D8">
        <w:rPr>
          <w:sz w:val="24"/>
          <w:szCs w:val="24"/>
        </w:rPr>
        <w:t xml:space="preserve">Contact Person:  Alexandre </w:t>
      </w:r>
      <w:proofErr w:type="spellStart"/>
      <w:r w:rsidRPr="008B15D8">
        <w:rPr>
          <w:sz w:val="24"/>
          <w:szCs w:val="24"/>
        </w:rPr>
        <w:t>Khetereli</w:t>
      </w:r>
      <w:proofErr w:type="spellEnd"/>
      <w:r w:rsidRPr="008B15D8">
        <w:rPr>
          <w:sz w:val="24"/>
          <w:szCs w:val="24"/>
        </w:rPr>
        <w:t>;</w:t>
      </w:r>
      <w:r w:rsidR="008B15D8" w:rsidRPr="008B15D8">
        <w:rPr>
          <w:sz w:val="24"/>
          <w:szCs w:val="24"/>
          <w:lang w:val="ka-GE"/>
        </w:rPr>
        <w:t xml:space="preserve"> </w:t>
      </w:r>
      <w:r w:rsidRPr="008B15D8">
        <w:rPr>
          <w:sz w:val="24"/>
          <w:szCs w:val="24"/>
        </w:rPr>
        <w:t xml:space="preserve"> mob: 591210099; mail:  </w:t>
      </w:r>
      <w:hyperlink r:id="rId5" w:history="1">
        <w:r w:rsidRPr="008B15D8">
          <w:rPr>
            <w:rStyle w:val="Hyperlink"/>
            <w:sz w:val="24"/>
            <w:szCs w:val="24"/>
          </w:rPr>
          <w:t>info@abm.com.ge</w:t>
        </w:r>
      </w:hyperlink>
      <w:r w:rsidRPr="008B15D8">
        <w:rPr>
          <w:sz w:val="24"/>
          <w:szCs w:val="24"/>
        </w:rPr>
        <w:t xml:space="preserve"> </w:t>
      </w:r>
    </w:p>
    <w:p w:rsidR="000F630D" w:rsidRPr="008B15D8" w:rsidRDefault="000F630D" w:rsidP="000F630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B15D8">
        <w:rPr>
          <w:sz w:val="24"/>
          <w:szCs w:val="24"/>
        </w:rPr>
        <w:t>Director</w:t>
      </w:r>
      <w:r w:rsidRPr="008B15D8">
        <w:rPr>
          <w:sz w:val="24"/>
          <w:szCs w:val="24"/>
          <w:lang w:val="ka-GE"/>
        </w:rPr>
        <w:t xml:space="preserve">: </w:t>
      </w:r>
      <w:r w:rsidRPr="008B15D8">
        <w:rPr>
          <w:sz w:val="24"/>
          <w:szCs w:val="24"/>
        </w:rPr>
        <w:t xml:space="preserve">Alexandre </w:t>
      </w:r>
      <w:proofErr w:type="spellStart"/>
      <w:r w:rsidRPr="008B15D8">
        <w:rPr>
          <w:sz w:val="24"/>
          <w:szCs w:val="24"/>
        </w:rPr>
        <w:t>Khetereli</w:t>
      </w:r>
      <w:proofErr w:type="spellEnd"/>
      <w:r w:rsidRPr="008B15D8">
        <w:rPr>
          <w:sz w:val="24"/>
          <w:szCs w:val="24"/>
        </w:rPr>
        <w:t>;</w:t>
      </w:r>
    </w:p>
    <w:tbl>
      <w:tblPr>
        <w:tblW w:w="6000" w:type="pct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829"/>
        <w:gridCol w:w="1734"/>
        <w:gridCol w:w="1001"/>
        <w:gridCol w:w="1069"/>
        <w:gridCol w:w="768"/>
        <w:gridCol w:w="1259"/>
        <w:gridCol w:w="1489"/>
        <w:gridCol w:w="1166"/>
        <w:gridCol w:w="821"/>
        <w:gridCol w:w="1246"/>
        <w:gridCol w:w="1088"/>
        <w:gridCol w:w="889"/>
        <w:gridCol w:w="1054"/>
      </w:tblGrid>
      <w:tr w:rsidR="000F630D" w:rsidRPr="000F630D" w:rsidTr="000F630D">
        <w:trPr>
          <w:trHeight w:val="300"/>
        </w:trPr>
        <w:tc>
          <w:tcPr>
            <w:tcW w:w="363" w:type="pct"/>
            <w:shd w:val="clear" w:color="auto" w:fill="auto"/>
            <w:noWrap/>
            <w:vAlign w:val="bottom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  <w:noWrap/>
            <w:vAlign w:val="bottom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pct"/>
            <w:shd w:val="clear" w:color="auto" w:fill="auto"/>
            <w:noWrap/>
            <w:vAlign w:val="bottom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  <w:shd w:val="clear" w:color="auto" w:fill="auto"/>
            <w:noWrap/>
            <w:vAlign w:val="bottom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  <w:noWrap/>
            <w:vAlign w:val="bottom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shd w:val="clear" w:color="auto" w:fill="auto"/>
            <w:noWrap/>
            <w:vAlign w:val="bottom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noWrap/>
            <w:vAlign w:val="bottom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shd w:val="clear" w:color="auto" w:fill="auto"/>
            <w:noWrap/>
            <w:vAlign w:val="bottom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pct"/>
            <w:gridSpan w:val="5"/>
            <w:shd w:val="clear" w:color="auto" w:fill="auto"/>
            <w:noWrap/>
            <w:vAlign w:val="bottom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630D">
              <w:rPr>
                <w:rFonts w:ascii="Calibri" w:eastAsia="Times New Roman" w:hAnsi="Calibri" w:cs="Calibri"/>
                <w:b/>
                <w:bCs/>
                <w:color w:val="000000"/>
              </w:rPr>
              <w:t>Delivery schedule</w:t>
            </w:r>
          </w:p>
        </w:tc>
      </w:tr>
      <w:tr w:rsidR="000F630D" w:rsidRPr="000F630D" w:rsidTr="008B15D8">
        <w:trPr>
          <w:trHeight w:val="600"/>
        </w:trPr>
        <w:tc>
          <w:tcPr>
            <w:tcW w:w="363" w:type="pct"/>
            <w:shd w:val="clear" w:color="FF9900" w:fill="FF9900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630D">
              <w:rPr>
                <w:rFonts w:ascii="Calibri" w:eastAsia="Times New Roman" w:hAnsi="Calibri" w:cs="Calibri"/>
                <w:b/>
                <w:bCs/>
                <w:color w:val="000000"/>
              </w:rPr>
              <w:t>Item</w:t>
            </w:r>
          </w:p>
        </w:tc>
        <w:tc>
          <w:tcPr>
            <w:tcW w:w="267" w:type="pct"/>
            <w:shd w:val="clear" w:color="FF9900" w:fill="FF9900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630D">
              <w:rPr>
                <w:rFonts w:ascii="Calibri" w:eastAsia="Times New Roman" w:hAnsi="Calibri" w:cs="Calibri"/>
                <w:b/>
                <w:bCs/>
                <w:color w:val="000000"/>
              </w:rPr>
              <w:t>Catalogue Number</w:t>
            </w:r>
          </w:p>
        </w:tc>
        <w:tc>
          <w:tcPr>
            <w:tcW w:w="558" w:type="pct"/>
            <w:shd w:val="clear" w:color="FF9900" w:fill="FF9900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630D">
              <w:rPr>
                <w:rFonts w:ascii="Calibri" w:eastAsia="Times New Roman" w:hAnsi="Calibri" w:cs="Calibri"/>
                <w:b/>
                <w:bCs/>
                <w:color w:val="000000"/>
              </w:rPr>
              <w:t>Specifications</w:t>
            </w:r>
          </w:p>
        </w:tc>
        <w:tc>
          <w:tcPr>
            <w:tcW w:w="322" w:type="pct"/>
            <w:shd w:val="clear" w:color="C0504D" w:fill="C0504D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F630D">
              <w:rPr>
                <w:rFonts w:ascii="Calibri" w:eastAsia="Times New Roman" w:hAnsi="Calibri" w:cs="Calibri"/>
                <w:b/>
                <w:bCs/>
                <w:color w:val="FFFFFF"/>
              </w:rPr>
              <w:t xml:space="preserve"> Quantity </w:t>
            </w:r>
          </w:p>
        </w:tc>
        <w:tc>
          <w:tcPr>
            <w:tcW w:w="344" w:type="pct"/>
            <w:shd w:val="clear" w:color="C0504D" w:fill="C0504D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F630D">
              <w:rPr>
                <w:rFonts w:ascii="Calibri" w:eastAsia="Times New Roman" w:hAnsi="Calibri" w:cs="Calibri"/>
                <w:b/>
                <w:bCs/>
                <w:color w:val="FFFFFF"/>
              </w:rPr>
              <w:t>Manufacturer</w:t>
            </w:r>
          </w:p>
        </w:tc>
        <w:tc>
          <w:tcPr>
            <w:tcW w:w="247" w:type="pct"/>
            <w:shd w:val="clear" w:color="C0504D" w:fill="C0504D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F630D">
              <w:rPr>
                <w:rFonts w:ascii="Calibri" w:eastAsia="Times New Roman" w:hAnsi="Calibri" w:cs="Calibri"/>
                <w:b/>
                <w:bCs/>
                <w:color w:val="FFFFFF"/>
              </w:rPr>
              <w:t>Manufacturing country</w:t>
            </w:r>
          </w:p>
        </w:tc>
        <w:tc>
          <w:tcPr>
            <w:tcW w:w="405" w:type="pct"/>
            <w:shd w:val="clear" w:color="C0504D" w:fill="C0504D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F630D">
              <w:rPr>
                <w:rFonts w:ascii="Calibri" w:eastAsia="Times New Roman" w:hAnsi="Calibri" w:cs="Calibri"/>
                <w:b/>
                <w:bCs/>
                <w:color w:val="FFFFFF"/>
              </w:rPr>
              <w:t>Unit price</w:t>
            </w:r>
          </w:p>
        </w:tc>
        <w:tc>
          <w:tcPr>
            <w:tcW w:w="479" w:type="pct"/>
            <w:shd w:val="clear" w:color="C0504D" w:fill="C0504D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F630D">
              <w:rPr>
                <w:rFonts w:ascii="Calibri" w:eastAsia="Times New Roman" w:hAnsi="Calibri" w:cs="Calibri"/>
                <w:b/>
                <w:bCs/>
                <w:color w:val="FFFFFF"/>
              </w:rPr>
              <w:t>Total value</w:t>
            </w:r>
          </w:p>
        </w:tc>
        <w:tc>
          <w:tcPr>
            <w:tcW w:w="375" w:type="pct"/>
            <w:shd w:val="clear" w:color="C0504D" w:fill="C0504D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0F630D">
              <w:rPr>
                <w:rFonts w:ascii="Calibri" w:eastAsia="Times New Roman" w:hAnsi="Calibri" w:cs="Calibri"/>
                <w:b/>
                <w:bCs/>
                <w:color w:val="FFFFFF"/>
              </w:rPr>
              <w:t>contract price (18.05.2020)</w:t>
            </w:r>
          </w:p>
        </w:tc>
        <w:tc>
          <w:tcPr>
            <w:tcW w:w="264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1 Months  </w:t>
            </w:r>
          </w:p>
        </w:tc>
        <w:tc>
          <w:tcPr>
            <w:tcW w:w="401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2 Months </w:t>
            </w:r>
          </w:p>
        </w:tc>
        <w:tc>
          <w:tcPr>
            <w:tcW w:w="350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3Months </w:t>
            </w:r>
          </w:p>
        </w:tc>
        <w:tc>
          <w:tcPr>
            <w:tcW w:w="286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4 Months </w:t>
            </w:r>
          </w:p>
        </w:tc>
        <w:tc>
          <w:tcPr>
            <w:tcW w:w="339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 Term of shelf life </w:t>
            </w:r>
          </w:p>
        </w:tc>
      </w:tr>
      <w:tr w:rsidR="000F630D" w:rsidRPr="000F630D" w:rsidTr="008B15D8">
        <w:trPr>
          <w:trHeight w:val="2240"/>
        </w:trPr>
        <w:tc>
          <w:tcPr>
            <w:tcW w:w="363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F630D">
              <w:rPr>
                <w:rFonts w:ascii="Calibri" w:eastAsia="Times New Roman" w:hAnsi="Calibri" w:cs="Calibri"/>
              </w:rPr>
              <w:t>TaqPath</w:t>
            </w:r>
            <w:proofErr w:type="spellEnd"/>
            <w:r w:rsidRPr="000F630D">
              <w:rPr>
                <w:rFonts w:ascii="Calibri" w:eastAsia="Times New Roman" w:hAnsi="Calibri" w:cs="Calibri"/>
              </w:rPr>
              <w:t>™ COVID-19 CE-IVD RT-PCR Kit, 1000 tests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630D">
              <w:rPr>
                <w:rFonts w:ascii="Calibri" w:eastAsia="Times New Roman" w:hAnsi="Calibri" w:cs="Calibri"/>
              </w:rPr>
              <w:t>A48067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F630D">
              <w:rPr>
                <w:rFonts w:ascii="Calibri" w:eastAsia="Times New Roman" w:hAnsi="Calibri" w:cs="Calibri"/>
              </w:rPr>
              <w:t>TaqPath</w:t>
            </w:r>
            <w:proofErr w:type="spellEnd"/>
            <w:r w:rsidRPr="000F630D">
              <w:rPr>
                <w:rFonts w:ascii="Calibri" w:eastAsia="Times New Roman" w:hAnsi="Calibri" w:cs="Calibri"/>
              </w:rPr>
              <w:t>™ COVID</w:t>
            </w:r>
            <w:r w:rsidRPr="000F630D">
              <w:rPr>
                <w:rFonts w:ascii="Calibri" w:eastAsia="Times New Roman" w:hAnsi="Calibri" w:cs="Calibri"/>
              </w:rPr>
              <w:noBreakHyphen/>
              <w:t>19 Assay Multiplex—Multiplexed assays that contain three</w:t>
            </w:r>
            <w:r w:rsidRPr="000F630D">
              <w:rPr>
                <w:rFonts w:ascii="Calibri" w:eastAsia="Times New Roman" w:hAnsi="Calibri" w:cs="Calibri"/>
              </w:rPr>
              <w:br/>
              <w:t>primer/probe sets specific to different SARS-CoV-2 genomic regions and</w:t>
            </w:r>
            <w:r w:rsidRPr="000F630D">
              <w:rPr>
                <w:rFonts w:ascii="Calibri" w:eastAsia="Times New Roman" w:hAnsi="Calibri" w:cs="Calibri"/>
              </w:rPr>
              <w:br/>
              <w:t>primers/probes for bacteriophage MS2.</w:t>
            </w:r>
            <w:r w:rsidRPr="000F630D">
              <w:rPr>
                <w:rFonts w:ascii="Calibri" w:eastAsia="Times New Roman" w:hAnsi="Calibri" w:cs="Calibri"/>
              </w:rPr>
              <w:br/>
              <w:t>– MS2 Phage Control—RNA control to verify the efficacy of the sample</w:t>
            </w:r>
            <w:r w:rsidRPr="000F630D">
              <w:rPr>
                <w:rFonts w:ascii="Calibri" w:eastAsia="Times New Roman" w:hAnsi="Calibri" w:cs="Calibri"/>
              </w:rPr>
              <w:br/>
              <w:t>preparation and the absence of inhibitors in the PCR reaction. To perform</w:t>
            </w:r>
            <w:r w:rsidRPr="000F630D">
              <w:rPr>
                <w:rFonts w:ascii="Calibri" w:eastAsia="Times New Roman" w:hAnsi="Calibri" w:cs="Calibri"/>
              </w:rPr>
              <w:br/>
              <w:t xml:space="preserve">the control, add </w:t>
            </w:r>
            <w:r w:rsidRPr="000F630D">
              <w:rPr>
                <w:rFonts w:ascii="Calibri" w:eastAsia="Times New Roman" w:hAnsi="Calibri" w:cs="Calibri"/>
              </w:rPr>
              <w:lastRenderedPageBreak/>
              <w:t>MS2 Phage Control to the samples before extraction of the</w:t>
            </w:r>
            <w:r w:rsidRPr="000F630D">
              <w:rPr>
                <w:rFonts w:ascii="Calibri" w:eastAsia="Times New Roman" w:hAnsi="Calibri" w:cs="Calibri"/>
              </w:rPr>
              <w:br/>
              <w:t>RNA.</w:t>
            </w:r>
          </w:p>
        </w:tc>
        <w:tc>
          <w:tcPr>
            <w:tcW w:w="322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               250 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>Thermo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$      18,900.00 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$   4,725,000.00 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$         18,900.00 </w:t>
            </w:r>
          </w:p>
        </w:tc>
        <w:tc>
          <w:tcPr>
            <w:tcW w:w="264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20 </w:t>
            </w:r>
          </w:p>
        </w:tc>
        <w:tc>
          <w:tcPr>
            <w:tcW w:w="401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25 </w:t>
            </w:r>
          </w:p>
        </w:tc>
        <w:tc>
          <w:tcPr>
            <w:tcW w:w="350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100 </w:t>
            </w:r>
          </w:p>
        </w:tc>
        <w:tc>
          <w:tcPr>
            <w:tcW w:w="286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105 </w:t>
            </w:r>
          </w:p>
        </w:tc>
        <w:tc>
          <w:tcPr>
            <w:tcW w:w="339" w:type="pct"/>
            <w:shd w:val="clear" w:color="000000" w:fill="F2DCDB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no less </w:t>
            </w:r>
            <w:proofErr w:type="spellStart"/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then</w:t>
            </w:r>
            <w:proofErr w:type="spellEnd"/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5 months  </w:t>
            </w:r>
          </w:p>
        </w:tc>
      </w:tr>
      <w:tr w:rsidR="000F630D" w:rsidRPr="000F630D" w:rsidTr="008B15D8">
        <w:trPr>
          <w:trHeight w:val="1430"/>
        </w:trPr>
        <w:tc>
          <w:tcPr>
            <w:tcW w:w="363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F630D">
              <w:rPr>
                <w:rFonts w:ascii="Calibri" w:eastAsia="Times New Roman" w:hAnsi="Calibri" w:cs="Calibri"/>
              </w:rPr>
              <w:lastRenderedPageBreak/>
              <w:t>MagMAX</w:t>
            </w:r>
            <w:proofErr w:type="spellEnd"/>
            <w:r w:rsidRPr="000F630D">
              <w:rPr>
                <w:rFonts w:ascii="Calibri" w:eastAsia="Times New Roman" w:hAnsi="Calibri" w:cs="Calibri"/>
              </w:rPr>
              <w:t>™ Viral/Pathogen II (MVP II) Nucleic Acid Isolation Kit, 2,000 preps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630D">
              <w:rPr>
                <w:rFonts w:ascii="Calibri" w:eastAsia="Times New Roman" w:hAnsi="Calibri" w:cs="Calibri"/>
              </w:rPr>
              <w:t>A48383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630D">
              <w:rPr>
                <w:rFonts w:ascii="Calibri" w:eastAsia="Times New Roman" w:hAnsi="Calibri" w:cs="Calibri"/>
              </w:rPr>
              <w:t xml:space="preserve">The </w:t>
            </w:r>
            <w:proofErr w:type="spellStart"/>
            <w:r w:rsidRPr="000F630D">
              <w:rPr>
                <w:rFonts w:ascii="Calibri" w:eastAsia="Times New Roman" w:hAnsi="Calibri" w:cs="Calibri"/>
              </w:rPr>
              <w:t>MagMAX</w:t>
            </w:r>
            <w:proofErr w:type="spellEnd"/>
            <w:r w:rsidRPr="000F630D">
              <w:rPr>
                <w:rFonts w:ascii="Calibri" w:eastAsia="Times New Roman" w:hAnsi="Calibri" w:cs="Calibri"/>
              </w:rPr>
              <w:t xml:space="preserve"> Viral/Pathogen II (MVP II) Nucleic Acid Isolation Kit is specifically designed to recover RNA and DNA from viral particles contained in viral transport media (VTM).The kit is designed for "</w:t>
            </w:r>
            <w:proofErr w:type="spellStart"/>
            <w:r w:rsidRPr="000F630D">
              <w:rPr>
                <w:rFonts w:ascii="Calibri" w:eastAsia="Times New Roman" w:hAnsi="Calibri" w:cs="Calibri"/>
              </w:rPr>
              <w:t>KingFisher</w:t>
            </w:r>
            <w:proofErr w:type="spellEnd"/>
            <w:r w:rsidRPr="000F630D">
              <w:rPr>
                <w:rFonts w:ascii="Calibri" w:eastAsia="Times New Roman" w:hAnsi="Calibri" w:cs="Calibri"/>
              </w:rPr>
              <w:t xml:space="preserve"> FLEX" extraction machine, it is recommended to diagnose a new coronavirus, Up to 2,000 preps.</w:t>
            </w:r>
          </w:p>
        </w:tc>
        <w:tc>
          <w:tcPr>
            <w:tcW w:w="322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150 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>Thermo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$        3,500.00 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$       525,000.00 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$           3,500.00 </w:t>
            </w:r>
          </w:p>
        </w:tc>
        <w:tc>
          <w:tcPr>
            <w:tcW w:w="264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38 </w:t>
            </w:r>
          </w:p>
        </w:tc>
        <w:tc>
          <w:tcPr>
            <w:tcW w:w="401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38 </w:t>
            </w:r>
          </w:p>
        </w:tc>
        <w:tc>
          <w:tcPr>
            <w:tcW w:w="350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37 </w:t>
            </w:r>
          </w:p>
        </w:tc>
        <w:tc>
          <w:tcPr>
            <w:tcW w:w="286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37 </w:t>
            </w:r>
          </w:p>
        </w:tc>
        <w:tc>
          <w:tcPr>
            <w:tcW w:w="339" w:type="pct"/>
            <w:shd w:val="clear" w:color="000000" w:fill="F2DCDB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no less </w:t>
            </w:r>
            <w:proofErr w:type="spellStart"/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then</w:t>
            </w:r>
            <w:proofErr w:type="spellEnd"/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6 months  </w:t>
            </w:r>
          </w:p>
        </w:tc>
      </w:tr>
      <w:tr w:rsidR="000F630D" w:rsidRPr="000F630D" w:rsidTr="008B15D8">
        <w:trPr>
          <w:trHeight w:val="2400"/>
        </w:trPr>
        <w:tc>
          <w:tcPr>
            <w:tcW w:w="363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F630D">
              <w:rPr>
                <w:rFonts w:ascii="Calibri" w:eastAsia="Times New Roman" w:hAnsi="Calibri" w:cs="Calibri"/>
              </w:rPr>
              <w:lastRenderedPageBreak/>
              <w:t>KingFisher</w:t>
            </w:r>
            <w:proofErr w:type="spellEnd"/>
            <w:r w:rsidRPr="000F630D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0F630D">
              <w:rPr>
                <w:rFonts w:ascii="Calibri" w:eastAsia="Times New Roman" w:hAnsi="Calibri" w:cs="Calibri"/>
              </w:rPr>
              <w:t>Deepwell</w:t>
            </w:r>
            <w:proofErr w:type="spellEnd"/>
            <w:r w:rsidRPr="000F630D">
              <w:rPr>
                <w:rFonts w:ascii="Calibri" w:eastAsia="Times New Roman" w:hAnsi="Calibri" w:cs="Calibri"/>
              </w:rPr>
              <w:t xml:space="preserve"> 96 Plate, V-bottom, polypropylene, case of 60 plates 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630D">
              <w:rPr>
                <w:rFonts w:ascii="Calibri" w:eastAsia="Times New Roman" w:hAnsi="Calibri" w:cs="Calibri"/>
              </w:rPr>
              <w:t>95040450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F630D">
              <w:rPr>
                <w:rFonts w:ascii="Calibri" w:eastAsia="Times New Roman" w:hAnsi="Calibri" w:cs="Calibri"/>
              </w:rPr>
              <w:t>KingFisher</w:t>
            </w:r>
            <w:proofErr w:type="spellEnd"/>
            <w:r w:rsidRPr="000F630D">
              <w:rPr>
                <w:rFonts w:ascii="Calibri" w:eastAsia="Times New Roman" w:hAnsi="Calibri" w:cs="Calibri"/>
              </w:rPr>
              <w:t xml:space="preserve"> 96 deep-well plate, v-bottom, polypropylene (for Duo Prime, Flex, Apex and Presto)</w:t>
            </w:r>
            <w:r w:rsidRPr="000F630D">
              <w:rPr>
                <w:rFonts w:ascii="Calibri" w:eastAsia="Times New Roman" w:hAnsi="Calibri" w:cs="Calibri"/>
              </w:rPr>
              <w:br/>
              <w:t>For Use With (Equipment) For Use With (</w:t>
            </w:r>
            <w:proofErr w:type="spellStart"/>
            <w:r w:rsidRPr="000F630D">
              <w:rPr>
                <w:rFonts w:ascii="Calibri" w:eastAsia="Times New Roman" w:hAnsi="Calibri" w:cs="Calibri"/>
              </w:rPr>
              <w:t>KingFisher</w:t>
            </w:r>
            <w:proofErr w:type="spellEnd"/>
            <w:r w:rsidRPr="000F630D">
              <w:rPr>
                <w:rFonts w:ascii="Calibri" w:eastAsia="Times New Roman" w:hAnsi="Calibri" w:cs="Calibri"/>
              </w:rPr>
              <w:t xml:space="preserve"> Duo Prime, Flex, Apex and Presto)</w:t>
            </w:r>
            <w:r w:rsidRPr="000F630D">
              <w:rPr>
                <w:rFonts w:ascii="Calibri" w:eastAsia="Times New Roman" w:hAnsi="Calibri" w:cs="Calibri"/>
              </w:rPr>
              <w:br/>
              <w:t xml:space="preserve"> </w:t>
            </w:r>
            <w:proofErr w:type="spellStart"/>
            <w:r w:rsidRPr="000F630D">
              <w:rPr>
                <w:rFonts w:ascii="Calibri" w:eastAsia="Times New Roman" w:hAnsi="Calibri" w:cs="Calibri"/>
              </w:rPr>
              <w:t>KingFisher</w:t>
            </w:r>
            <w:proofErr w:type="spellEnd"/>
            <w:r w:rsidRPr="000F630D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Pr="000F630D">
              <w:rPr>
                <w:rFonts w:ascii="Calibri" w:eastAsia="Times New Roman" w:hAnsi="Calibri" w:cs="Calibri"/>
              </w:rPr>
              <w:t>Deepwell</w:t>
            </w:r>
            <w:proofErr w:type="spellEnd"/>
            <w:r w:rsidRPr="000F630D">
              <w:rPr>
                <w:rFonts w:ascii="Calibri" w:eastAsia="Times New Roman" w:hAnsi="Calibri" w:cs="Calibri"/>
              </w:rPr>
              <w:t xml:space="preserve"> 96 Plate, V-bottom, polypropylene (50 plates)</w:t>
            </w:r>
          </w:p>
        </w:tc>
        <w:tc>
          <w:tcPr>
            <w:tcW w:w="322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400 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>Thermo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$            234.00 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$         93,600.00 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$               234.00 </w:t>
            </w:r>
          </w:p>
        </w:tc>
        <w:tc>
          <w:tcPr>
            <w:tcW w:w="264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100 </w:t>
            </w:r>
          </w:p>
        </w:tc>
        <w:tc>
          <w:tcPr>
            <w:tcW w:w="401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100 </w:t>
            </w:r>
          </w:p>
        </w:tc>
        <w:tc>
          <w:tcPr>
            <w:tcW w:w="350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100 </w:t>
            </w:r>
          </w:p>
        </w:tc>
        <w:tc>
          <w:tcPr>
            <w:tcW w:w="286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100 </w:t>
            </w:r>
          </w:p>
        </w:tc>
        <w:tc>
          <w:tcPr>
            <w:tcW w:w="339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long term </w:t>
            </w:r>
          </w:p>
        </w:tc>
      </w:tr>
      <w:tr w:rsidR="000F630D" w:rsidRPr="000F630D" w:rsidTr="008B15D8">
        <w:trPr>
          <w:trHeight w:val="1110"/>
        </w:trPr>
        <w:tc>
          <w:tcPr>
            <w:tcW w:w="363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F630D">
              <w:rPr>
                <w:rFonts w:ascii="Calibri" w:eastAsia="Times New Roman" w:hAnsi="Calibri" w:cs="Calibri"/>
              </w:rPr>
              <w:t>KingFisher</w:t>
            </w:r>
            <w:proofErr w:type="spellEnd"/>
            <w:r w:rsidRPr="000F630D">
              <w:rPr>
                <w:rFonts w:ascii="Calibri" w:eastAsia="Times New Roman" w:hAnsi="Calibri" w:cs="Calibri"/>
              </w:rPr>
              <w:t xml:space="preserve"> 96 KF </w:t>
            </w:r>
            <w:proofErr w:type="spellStart"/>
            <w:r w:rsidRPr="000F630D">
              <w:rPr>
                <w:rFonts w:ascii="Calibri" w:eastAsia="Times New Roman" w:hAnsi="Calibri" w:cs="Calibri"/>
              </w:rPr>
              <w:t>microplate</w:t>
            </w:r>
            <w:proofErr w:type="spellEnd"/>
            <w:r w:rsidRPr="000F630D">
              <w:rPr>
                <w:rFonts w:ascii="Calibri" w:eastAsia="Times New Roman" w:hAnsi="Calibri" w:cs="Calibri"/>
              </w:rPr>
              <w:t xml:space="preserve"> (200μL) case of 48 plates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630D">
              <w:rPr>
                <w:rFonts w:ascii="Calibri" w:eastAsia="Times New Roman" w:hAnsi="Calibri" w:cs="Calibri"/>
              </w:rPr>
              <w:t>97002540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630D">
              <w:rPr>
                <w:rFonts w:ascii="Calibri" w:eastAsia="Times New Roman" w:hAnsi="Calibri" w:cs="Calibri"/>
              </w:rPr>
              <w:t xml:space="preserve">Designed for </w:t>
            </w:r>
            <w:proofErr w:type="spellStart"/>
            <w:r w:rsidRPr="000F630D">
              <w:rPr>
                <w:rFonts w:ascii="Calibri" w:eastAsia="Times New Roman" w:hAnsi="Calibri" w:cs="Calibri"/>
              </w:rPr>
              <w:t>KingFisher</w:t>
            </w:r>
            <w:proofErr w:type="spellEnd"/>
            <w:r w:rsidRPr="000F630D">
              <w:rPr>
                <w:rFonts w:ascii="Calibri" w:eastAsia="Times New Roman" w:hAnsi="Calibri" w:cs="Calibri"/>
              </w:rPr>
              <w:t xml:space="preserve"> FLEX extraction machine, specifically for DNA / RNA elution</w:t>
            </w:r>
          </w:p>
        </w:tc>
        <w:tc>
          <w:tcPr>
            <w:tcW w:w="322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200 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>Thermo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$            165.00 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$         33,000.00 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$               165.00 </w:t>
            </w:r>
          </w:p>
        </w:tc>
        <w:tc>
          <w:tcPr>
            <w:tcW w:w="264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50 </w:t>
            </w:r>
          </w:p>
        </w:tc>
        <w:tc>
          <w:tcPr>
            <w:tcW w:w="401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50 </w:t>
            </w:r>
          </w:p>
        </w:tc>
        <w:tc>
          <w:tcPr>
            <w:tcW w:w="350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50 </w:t>
            </w:r>
          </w:p>
        </w:tc>
        <w:tc>
          <w:tcPr>
            <w:tcW w:w="286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50 </w:t>
            </w:r>
          </w:p>
        </w:tc>
        <w:tc>
          <w:tcPr>
            <w:tcW w:w="339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long term </w:t>
            </w:r>
          </w:p>
        </w:tc>
      </w:tr>
      <w:tr w:rsidR="000F630D" w:rsidRPr="000F630D" w:rsidTr="008B15D8">
        <w:trPr>
          <w:trHeight w:val="1050"/>
        </w:trPr>
        <w:tc>
          <w:tcPr>
            <w:tcW w:w="363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F630D">
              <w:rPr>
                <w:rFonts w:ascii="Calibri" w:eastAsia="Times New Roman" w:hAnsi="Calibri" w:cs="Calibri"/>
              </w:rPr>
              <w:t>KingFisher</w:t>
            </w:r>
            <w:proofErr w:type="spellEnd"/>
            <w:r w:rsidRPr="000F630D">
              <w:rPr>
                <w:rFonts w:ascii="Calibri" w:eastAsia="Times New Roman" w:hAnsi="Calibri" w:cs="Calibri"/>
              </w:rPr>
              <w:t xml:space="preserve"> 96 tip comb for DW magnets, 10 x 10 pcs/box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0F630D">
              <w:rPr>
                <w:rFonts w:ascii="Calibri" w:eastAsia="Times New Roman" w:hAnsi="Calibri" w:cs="Calibri"/>
              </w:rPr>
              <w:t>97002534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0F630D">
              <w:rPr>
                <w:rFonts w:ascii="Calibri" w:eastAsia="Times New Roman" w:hAnsi="Calibri" w:cs="Calibri"/>
              </w:rPr>
              <w:t>KingFisher</w:t>
            </w:r>
            <w:proofErr w:type="spellEnd"/>
            <w:r w:rsidRPr="000F630D">
              <w:rPr>
                <w:rFonts w:ascii="Calibri" w:eastAsia="Times New Roman" w:hAnsi="Calibri" w:cs="Calibri"/>
              </w:rPr>
              <w:t xml:space="preserve"> 96 tip comb for deep-well magnets, 10 x 10 pcs/box (for Flex, Apex and Presto)</w:t>
            </w:r>
          </w:p>
        </w:tc>
        <w:tc>
          <w:tcPr>
            <w:tcW w:w="322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300 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>Thermo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$            570.00 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$       171,000.00 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$               570.00 </w:t>
            </w:r>
          </w:p>
        </w:tc>
        <w:tc>
          <w:tcPr>
            <w:tcW w:w="264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75 </w:t>
            </w:r>
          </w:p>
        </w:tc>
        <w:tc>
          <w:tcPr>
            <w:tcW w:w="401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75 </w:t>
            </w:r>
          </w:p>
        </w:tc>
        <w:tc>
          <w:tcPr>
            <w:tcW w:w="350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75 </w:t>
            </w:r>
          </w:p>
        </w:tc>
        <w:tc>
          <w:tcPr>
            <w:tcW w:w="286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75 </w:t>
            </w:r>
          </w:p>
        </w:tc>
        <w:tc>
          <w:tcPr>
            <w:tcW w:w="339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long term </w:t>
            </w:r>
          </w:p>
        </w:tc>
      </w:tr>
      <w:tr w:rsidR="000F630D" w:rsidRPr="000F630D" w:rsidTr="008B15D8">
        <w:trPr>
          <w:trHeight w:val="1200"/>
        </w:trPr>
        <w:tc>
          <w:tcPr>
            <w:tcW w:w="363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630D">
              <w:rPr>
                <w:rFonts w:ascii="Calibri" w:eastAsia="Times New Roman" w:hAnsi="Calibri" w:cs="Calibri"/>
              </w:rPr>
              <w:t>Thermo Scientific™ Matrix™ 850-</w:t>
            </w:r>
            <w:r w:rsidRPr="000F630D">
              <w:rPr>
                <w:rFonts w:ascii="Calibri" w:eastAsia="Times New Roman" w:hAnsi="Calibri" w:cs="Calibri"/>
              </w:rPr>
              <w:lastRenderedPageBreak/>
              <w:t>1250ul Pipette Filter Tips (960 per case)</w:t>
            </w:r>
          </w:p>
        </w:tc>
        <w:tc>
          <w:tcPr>
            <w:tcW w:w="267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lastRenderedPageBreak/>
              <w:t>8045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630D">
              <w:rPr>
                <w:rFonts w:ascii="Calibri" w:eastAsia="Times New Roman" w:hAnsi="Calibri" w:cs="Calibri"/>
              </w:rPr>
              <w:t>Thermo Scientific™ Matrix Impact 850-1250μL</w:t>
            </w:r>
            <w:r w:rsidRPr="000F630D">
              <w:rPr>
                <w:rFonts w:ascii="Calibri" w:eastAsia="Times New Roman" w:hAnsi="Calibri" w:cs="Calibri"/>
              </w:rPr>
              <w:br/>
              <w:t xml:space="preserve"> Volume (Metric) </w:t>
            </w:r>
            <w:r w:rsidRPr="000F630D">
              <w:rPr>
                <w:rFonts w:ascii="Calibri" w:eastAsia="Times New Roman" w:hAnsi="Calibri" w:cs="Calibri"/>
              </w:rPr>
              <w:lastRenderedPageBreak/>
              <w:t>1250μL</w:t>
            </w:r>
            <w:r w:rsidRPr="000F630D">
              <w:rPr>
                <w:rFonts w:ascii="Calibri" w:eastAsia="Times New Roman" w:hAnsi="Calibri" w:cs="Calibri"/>
              </w:rPr>
              <w:br/>
              <w:t>Filtered, Sterile, Thermo Scientific™ Matrix Impact 850-1250μL, Unit Size Case of 960</w:t>
            </w:r>
          </w:p>
        </w:tc>
        <w:tc>
          <w:tcPr>
            <w:tcW w:w="322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               500 </w:t>
            </w:r>
          </w:p>
        </w:tc>
        <w:tc>
          <w:tcPr>
            <w:tcW w:w="344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>Thermo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>USA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$            275.00 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630D">
              <w:rPr>
                <w:rFonts w:ascii="Calibri" w:eastAsia="Times New Roman" w:hAnsi="Calibri" w:cs="Calibri"/>
                <w:color w:val="000000"/>
              </w:rPr>
              <w:t xml:space="preserve"> $       137,500.00 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4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125 </w:t>
            </w:r>
          </w:p>
        </w:tc>
        <w:tc>
          <w:tcPr>
            <w:tcW w:w="401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125 </w:t>
            </w:r>
          </w:p>
        </w:tc>
        <w:tc>
          <w:tcPr>
            <w:tcW w:w="350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125 </w:t>
            </w:r>
          </w:p>
        </w:tc>
        <w:tc>
          <w:tcPr>
            <w:tcW w:w="286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125 </w:t>
            </w:r>
          </w:p>
        </w:tc>
        <w:tc>
          <w:tcPr>
            <w:tcW w:w="339" w:type="pct"/>
            <w:shd w:val="clear" w:color="000000" w:fill="F2DCDB"/>
            <w:noWrap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0F63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long term </w:t>
            </w:r>
          </w:p>
        </w:tc>
      </w:tr>
      <w:tr w:rsidR="000F630D" w:rsidRPr="000F630D" w:rsidTr="008B15D8">
        <w:trPr>
          <w:trHeight w:val="300"/>
        </w:trPr>
        <w:tc>
          <w:tcPr>
            <w:tcW w:w="2100" w:type="pct"/>
            <w:gridSpan w:val="6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F630D">
              <w:rPr>
                <w:rFonts w:ascii="Calibri" w:eastAsia="Times New Roman" w:hAnsi="Calibri" w:cs="Calibri"/>
                <w:b/>
                <w:bCs/>
              </w:rPr>
              <w:lastRenderedPageBreak/>
              <w:t>Total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630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79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F630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5,685,100.00 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64" w:type="pct"/>
            <w:shd w:val="clear" w:color="auto" w:fill="auto"/>
            <w:noWrap/>
            <w:vAlign w:val="bottom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pct"/>
            <w:shd w:val="clear" w:color="auto" w:fill="auto"/>
            <w:noWrap/>
            <w:vAlign w:val="bottom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  <w:noWrap/>
            <w:vAlign w:val="bottom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  <w:vAlign w:val="bottom"/>
            <w:hideMark/>
          </w:tcPr>
          <w:p w:rsidR="000F630D" w:rsidRPr="000F630D" w:rsidRDefault="000F630D" w:rsidP="000F6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F630D" w:rsidRDefault="000F630D" w:rsidP="000F630D"/>
    <w:sectPr w:rsidR="000F630D" w:rsidSect="008B15D8">
      <w:pgSz w:w="15840" w:h="12240" w:orient="landscape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3C19B2"/>
    <w:multiLevelType w:val="hybridMultilevel"/>
    <w:tmpl w:val="1A50B752"/>
    <w:lvl w:ilvl="0" w:tplc="6C0ECCB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30D"/>
    <w:rsid w:val="000F630D"/>
    <w:rsid w:val="008B15D8"/>
    <w:rsid w:val="00DA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94AFA-0ED4-4ACF-B2FE-2C5DC7F3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3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63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4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bm.com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Asmat Metreveli</dc:creator>
  <cp:keywords/>
  <dc:description/>
  <cp:lastModifiedBy>Otar Namicheishvili</cp:lastModifiedBy>
  <cp:revision>2</cp:revision>
  <dcterms:created xsi:type="dcterms:W3CDTF">2020-06-18T14:42:00Z</dcterms:created>
  <dcterms:modified xsi:type="dcterms:W3CDTF">2020-06-18T14:42:00Z</dcterms:modified>
</cp:coreProperties>
</file>