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26BA1BC" w14:textId="77777777" w:rsidR="00203876" w:rsidRDefault="00043488" w:rsidP="001572B0">
      <w:pPr>
        <w:pStyle w:val="Normal1"/>
        <w:ind w:left="2250" w:firstLine="630"/>
        <w:rPr>
          <w:rFonts w:ascii="Sylfaen" w:eastAsia="Calibri" w:hAnsi="Sylfaen" w:cs="Calibri"/>
          <w:b/>
          <w:sz w:val="40"/>
          <w:szCs w:val="40"/>
        </w:rPr>
      </w:pPr>
      <w:r>
        <w:rPr>
          <w:rFonts w:ascii="Sylfaen" w:eastAsia="Calibri" w:hAnsi="Sylfaen" w:cs="Calibri"/>
          <w:b/>
          <w:noProof/>
          <w:sz w:val="40"/>
          <w:szCs w:val="40"/>
          <w:lang w:val="ka-GE" w:eastAsia="ka-GE"/>
        </w:rPr>
        <w:drawing>
          <wp:inline distT="0" distB="0" distL="0" distR="0" wp14:anchorId="09B4563F" wp14:editId="665D75D8">
            <wp:extent cx="1217295" cy="731872"/>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tish-flag-medium.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44695" cy="748346"/>
                    </a:xfrm>
                    <a:prstGeom prst="rect">
                      <a:avLst/>
                    </a:prstGeom>
                  </pic:spPr>
                </pic:pic>
              </a:graphicData>
            </a:graphic>
          </wp:inline>
        </w:drawing>
      </w:r>
      <w:r>
        <w:rPr>
          <w:rFonts w:ascii="Sylfaen" w:eastAsia="Calibri" w:hAnsi="Sylfaen" w:cs="Calibri"/>
          <w:b/>
          <w:noProof/>
          <w:sz w:val="40"/>
          <w:szCs w:val="40"/>
          <w:lang w:val="ka-GE" w:eastAsia="ka-GE"/>
        </w:rPr>
        <w:drawing>
          <wp:inline distT="0" distB="0" distL="0" distR="0" wp14:anchorId="2A7EB9D5" wp14:editId="5AABFC77">
            <wp:extent cx="1172224" cy="78105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800px-Flag_of_Georgia.svg.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90035" cy="792918"/>
                    </a:xfrm>
                    <a:prstGeom prst="rect">
                      <a:avLst/>
                    </a:prstGeom>
                  </pic:spPr>
                </pic:pic>
              </a:graphicData>
            </a:graphic>
          </wp:inline>
        </w:drawing>
      </w:r>
    </w:p>
    <w:p w14:paraId="46285CB3" w14:textId="77777777" w:rsidR="005A7C65" w:rsidRDefault="005A7C65" w:rsidP="001572B0">
      <w:pPr>
        <w:pStyle w:val="Normal1"/>
        <w:ind w:left="2970" w:firstLine="630"/>
        <w:rPr>
          <w:rFonts w:ascii="Sylfaen" w:eastAsia="Calibri" w:hAnsi="Sylfaen" w:cs="Calibri"/>
          <w:b/>
          <w:sz w:val="40"/>
          <w:szCs w:val="40"/>
        </w:rPr>
      </w:pPr>
    </w:p>
    <w:p w14:paraId="1579153C" w14:textId="77777777" w:rsidR="000030A2" w:rsidRDefault="005A7C65" w:rsidP="001572B0">
      <w:pPr>
        <w:pStyle w:val="Normal1"/>
        <w:jc w:val="center"/>
        <w:rPr>
          <w:rFonts w:ascii="Sylfaen" w:eastAsia="Calibri" w:hAnsi="Sylfaen" w:cs="Calibri"/>
          <w:b/>
          <w:sz w:val="40"/>
          <w:szCs w:val="40"/>
        </w:rPr>
      </w:pPr>
      <w:r>
        <w:rPr>
          <w:rFonts w:ascii="Sylfaen" w:eastAsia="Calibri" w:hAnsi="Sylfaen" w:cs="Calibri"/>
          <w:b/>
          <w:sz w:val="40"/>
          <w:szCs w:val="40"/>
        </w:rPr>
        <w:t xml:space="preserve">Bilateral </w:t>
      </w:r>
      <w:r w:rsidR="00043488">
        <w:rPr>
          <w:rFonts w:ascii="Sylfaen" w:eastAsia="Calibri" w:hAnsi="Sylfaen" w:cs="Calibri"/>
          <w:b/>
          <w:sz w:val="40"/>
          <w:szCs w:val="40"/>
        </w:rPr>
        <w:t>Collaboration with</w:t>
      </w:r>
      <w:r w:rsidR="000030A2" w:rsidRPr="0097531E">
        <w:rPr>
          <w:rFonts w:ascii="Sylfaen" w:eastAsia="Calibri" w:hAnsi="Sylfaen" w:cs="Calibri"/>
          <w:b/>
          <w:sz w:val="40"/>
          <w:szCs w:val="40"/>
        </w:rPr>
        <w:t xml:space="preserve"> UK </w:t>
      </w:r>
      <w:r w:rsidR="00043488">
        <w:rPr>
          <w:rFonts w:ascii="Sylfaen" w:eastAsia="Calibri" w:hAnsi="Sylfaen" w:cs="Calibri"/>
          <w:b/>
          <w:sz w:val="40"/>
          <w:szCs w:val="40"/>
        </w:rPr>
        <w:t>in Health</w:t>
      </w:r>
      <w:r w:rsidR="00B31E40">
        <w:rPr>
          <w:rFonts w:ascii="Sylfaen" w:eastAsia="Calibri" w:hAnsi="Sylfaen" w:cs="Calibri"/>
          <w:b/>
          <w:sz w:val="40"/>
          <w:szCs w:val="40"/>
        </w:rPr>
        <w:t xml:space="preserve"> and Bio-</w:t>
      </w:r>
      <w:r w:rsidR="001572B0">
        <w:rPr>
          <w:rFonts w:ascii="Sylfaen" w:eastAsia="Calibri" w:hAnsi="Sylfaen" w:cs="Calibri"/>
          <w:b/>
          <w:sz w:val="40"/>
          <w:szCs w:val="40"/>
        </w:rPr>
        <w:t xml:space="preserve">           </w:t>
      </w:r>
      <w:r w:rsidR="00B31E40">
        <w:rPr>
          <w:rFonts w:ascii="Sylfaen" w:eastAsia="Calibri" w:hAnsi="Sylfaen" w:cs="Calibri"/>
          <w:b/>
          <w:sz w:val="40"/>
          <w:szCs w:val="40"/>
        </w:rPr>
        <w:t>medical sciences</w:t>
      </w:r>
    </w:p>
    <w:p w14:paraId="613064A1" w14:textId="77777777" w:rsidR="001572B0" w:rsidRDefault="005A7C65" w:rsidP="005A7C65">
      <w:pPr>
        <w:pStyle w:val="Normal1"/>
        <w:jc w:val="center"/>
        <w:rPr>
          <w:rFonts w:ascii="Sylfaen" w:eastAsia="Calibri" w:hAnsi="Sylfaen" w:cs="Calibri"/>
          <w:b/>
          <w:sz w:val="28"/>
          <w:szCs w:val="28"/>
        </w:rPr>
      </w:pPr>
      <w:r>
        <w:rPr>
          <w:rFonts w:ascii="Sylfaen" w:eastAsia="Calibri" w:hAnsi="Sylfaen" w:cs="Calibri"/>
          <w:b/>
          <w:sz w:val="28"/>
          <w:szCs w:val="28"/>
        </w:rPr>
        <w:t xml:space="preserve">     </w:t>
      </w:r>
      <w:r w:rsidR="00B31E40">
        <w:rPr>
          <w:rFonts w:ascii="Sylfaen" w:eastAsia="Calibri" w:hAnsi="Sylfaen" w:cs="Calibri"/>
          <w:b/>
          <w:sz w:val="28"/>
          <w:szCs w:val="28"/>
        </w:rPr>
        <w:tab/>
      </w:r>
      <w:r>
        <w:rPr>
          <w:rFonts w:ascii="Sylfaen" w:eastAsia="Calibri" w:hAnsi="Sylfaen" w:cs="Calibri"/>
          <w:b/>
          <w:sz w:val="28"/>
          <w:szCs w:val="28"/>
        </w:rPr>
        <w:t xml:space="preserve"> </w:t>
      </w:r>
    </w:p>
    <w:p w14:paraId="1891596B" w14:textId="77777777" w:rsidR="00043488" w:rsidRPr="005A7C65" w:rsidRDefault="00043488" w:rsidP="005A7C65">
      <w:pPr>
        <w:pStyle w:val="Normal1"/>
        <w:jc w:val="center"/>
        <w:rPr>
          <w:rFonts w:ascii="Sylfaen" w:eastAsia="Calibri" w:hAnsi="Sylfaen" w:cs="Calibri"/>
          <w:b/>
          <w:sz w:val="28"/>
          <w:szCs w:val="28"/>
        </w:rPr>
      </w:pPr>
      <w:r w:rsidRPr="005A7C65">
        <w:rPr>
          <w:rFonts w:ascii="Sylfaen" w:eastAsia="Calibri" w:hAnsi="Sylfaen" w:cs="Calibri"/>
          <w:b/>
          <w:sz w:val="28"/>
          <w:szCs w:val="28"/>
        </w:rPr>
        <w:t>Summary o</w:t>
      </w:r>
      <w:r w:rsidR="005A7C65" w:rsidRPr="005A7C65">
        <w:rPr>
          <w:rFonts w:ascii="Sylfaen" w:eastAsia="Calibri" w:hAnsi="Sylfaen" w:cs="Calibri"/>
          <w:b/>
          <w:sz w:val="28"/>
          <w:szCs w:val="28"/>
        </w:rPr>
        <w:t>n Completed and Current Projects</w:t>
      </w:r>
    </w:p>
    <w:p w14:paraId="1B202B0D" w14:textId="77777777" w:rsidR="00F248BD" w:rsidRDefault="00F248BD" w:rsidP="005A7C65">
      <w:pPr>
        <w:pStyle w:val="Normal1"/>
        <w:jc w:val="both"/>
        <w:rPr>
          <w:rFonts w:ascii="Sylfaen" w:eastAsia="Calibri" w:hAnsi="Sylfaen" w:cs="Calibri"/>
          <w:b/>
          <w:sz w:val="24"/>
          <w:szCs w:val="24"/>
          <w:u w:val="single"/>
        </w:rPr>
      </w:pPr>
    </w:p>
    <w:p w14:paraId="3C2048A5" w14:textId="77777777" w:rsidR="000030A2" w:rsidRPr="0097531E" w:rsidRDefault="0097531E" w:rsidP="005A7C65">
      <w:pPr>
        <w:pStyle w:val="Normal1"/>
        <w:jc w:val="both"/>
        <w:rPr>
          <w:rFonts w:ascii="Sylfaen" w:eastAsia="Calibri" w:hAnsi="Sylfaen" w:cs="Calibri"/>
          <w:b/>
          <w:sz w:val="24"/>
          <w:szCs w:val="24"/>
          <w:u w:val="single"/>
        </w:rPr>
      </w:pPr>
      <w:r w:rsidRPr="0097531E">
        <w:rPr>
          <w:rFonts w:ascii="Sylfaen" w:eastAsia="Calibri" w:hAnsi="Sylfaen" w:cs="Calibri"/>
          <w:b/>
          <w:sz w:val="24"/>
          <w:szCs w:val="24"/>
          <w:u w:val="single"/>
        </w:rPr>
        <w:t xml:space="preserve">The </w:t>
      </w:r>
      <w:r w:rsidR="000030A2" w:rsidRPr="0097531E">
        <w:rPr>
          <w:rFonts w:ascii="Sylfaen" w:eastAsia="Calibri" w:hAnsi="Sylfaen" w:cs="Calibri"/>
          <w:b/>
          <w:sz w:val="24"/>
          <w:szCs w:val="24"/>
          <w:u w:val="single"/>
        </w:rPr>
        <w:t>Year of 2016</w:t>
      </w:r>
      <w:r w:rsidR="00AC5EA7">
        <w:rPr>
          <w:rFonts w:ascii="Sylfaen" w:eastAsia="Calibri" w:hAnsi="Sylfaen" w:cs="Calibri"/>
          <w:b/>
          <w:sz w:val="24"/>
          <w:szCs w:val="24"/>
          <w:u w:val="single"/>
        </w:rPr>
        <w:t>-2019</w:t>
      </w:r>
      <w:r w:rsidR="000030A2" w:rsidRPr="0097531E">
        <w:rPr>
          <w:rFonts w:ascii="Sylfaen" w:eastAsia="Calibri" w:hAnsi="Sylfaen" w:cs="Calibri"/>
          <w:b/>
          <w:sz w:val="24"/>
          <w:szCs w:val="24"/>
          <w:u w:val="single"/>
        </w:rPr>
        <w:t>:</w:t>
      </w:r>
    </w:p>
    <w:p w14:paraId="3D8FC140" w14:textId="77777777" w:rsidR="000030A2" w:rsidRPr="0097531E" w:rsidRDefault="000030A2" w:rsidP="0097531E">
      <w:pPr>
        <w:pStyle w:val="Normal1"/>
        <w:jc w:val="both"/>
        <w:rPr>
          <w:rFonts w:ascii="Sylfaen" w:eastAsia="Calibri" w:hAnsi="Sylfaen" w:cs="Calibri"/>
          <w:b/>
          <w:sz w:val="24"/>
          <w:szCs w:val="24"/>
        </w:rPr>
      </w:pPr>
    </w:p>
    <w:p w14:paraId="4EF58FE3" w14:textId="74BD92AB" w:rsidR="00CE4A27" w:rsidRPr="00B31E40" w:rsidRDefault="00D36A0D" w:rsidP="0097531E">
      <w:pPr>
        <w:pStyle w:val="Normal1"/>
        <w:jc w:val="both"/>
        <w:rPr>
          <w:rFonts w:ascii="Sylfaen" w:hAnsi="Sylfaen"/>
          <w:sz w:val="20"/>
          <w:szCs w:val="20"/>
        </w:rPr>
      </w:pPr>
      <w:r w:rsidRPr="00B31E40">
        <w:rPr>
          <w:rFonts w:ascii="Sylfaen" w:eastAsia="Calibri" w:hAnsi="Sylfaen" w:cs="Calibri"/>
          <w:b/>
          <w:sz w:val="20"/>
          <w:szCs w:val="20"/>
        </w:rPr>
        <w:t>BMJ educational initiative for healthcare professionals</w:t>
      </w:r>
      <w:r w:rsidR="000030A2" w:rsidRPr="00B31E40">
        <w:rPr>
          <w:rFonts w:ascii="Sylfaen" w:eastAsia="Calibri" w:hAnsi="Sylfaen" w:cs="Calibri"/>
          <w:b/>
          <w:sz w:val="20"/>
          <w:szCs w:val="20"/>
        </w:rPr>
        <w:t xml:space="preserve"> – establishment of new e-Learning Platform</w:t>
      </w:r>
    </w:p>
    <w:p w14:paraId="3D9DD6ED" w14:textId="77777777" w:rsidR="000030A2" w:rsidRPr="00B31E40" w:rsidRDefault="00D36A0D" w:rsidP="0097531E">
      <w:pPr>
        <w:pStyle w:val="Normal1"/>
        <w:jc w:val="both"/>
        <w:rPr>
          <w:rFonts w:ascii="Sylfaen" w:hAnsi="Sylfaen"/>
          <w:sz w:val="20"/>
          <w:szCs w:val="20"/>
        </w:rPr>
      </w:pPr>
      <w:r w:rsidRPr="00B31E40">
        <w:rPr>
          <w:rFonts w:ascii="Sylfaen" w:eastAsia="Calibri" w:hAnsi="Sylfaen" w:cs="Calibri"/>
          <w:sz w:val="20"/>
          <w:szCs w:val="20"/>
        </w:rPr>
        <w:t xml:space="preserve"> </w:t>
      </w:r>
    </w:p>
    <w:p w14:paraId="6B4B054E" w14:textId="77777777" w:rsidR="00CE4A27" w:rsidRPr="00B31E40" w:rsidRDefault="00493466" w:rsidP="0097531E">
      <w:pPr>
        <w:pStyle w:val="Normal1"/>
        <w:jc w:val="both"/>
        <w:rPr>
          <w:rFonts w:ascii="Sylfaen" w:eastAsia="Calibri" w:hAnsi="Sylfaen" w:cs="Calibri"/>
          <w:sz w:val="20"/>
          <w:szCs w:val="20"/>
        </w:rPr>
      </w:pPr>
      <w:r>
        <w:rPr>
          <w:rFonts w:ascii="Sylfaen" w:eastAsia="Calibri" w:hAnsi="Sylfaen" w:cs="Calibri"/>
          <w:sz w:val="20"/>
          <w:szCs w:val="20"/>
        </w:rPr>
        <w:t>In 2016 u</w:t>
      </w:r>
      <w:r w:rsidR="000030A2" w:rsidRPr="00B31E40">
        <w:rPr>
          <w:rFonts w:ascii="Sylfaen" w:eastAsia="Calibri" w:hAnsi="Sylfaen" w:cs="Calibri"/>
          <w:sz w:val="20"/>
          <w:szCs w:val="20"/>
        </w:rPr>
        <w:t xml:space="preserve">nder the initiative of the Ministry of </w:t>
      </w:r>
      <w:r w:rsidR="00AC5EA7">
        <w:rPr>
          <w:rFonts w:ascii="Sylfaen" w:eastAsia="Calibri" w:hAnsi="Sylfaen" w:cs="Calibri"/>
          <w:sz w:val="20"/>
          <w:szCs w:val="20"/>
        </w:rPr>
        <w:t xml:space="preserve">Internally Displaced Persons from the Occupied Territories, </w:t>
      </w:r>
      <w:proofErr w:type="spellStart"/>
      <w:r w:rsidR="000030A2" w:rsidRPr="00B31E40">
        <w:rPr>
          <w:rFonts w:ascii="Sylfaen" w:eastAsia="Calibri" w:hAnsi="Sylfaen" w:cs="Calibri"/>
          <w:sz w:val="20"/>
          <w:szCs w:val="20"/>
        </w:rPr>
        <w:t>Labour</w:t>
      </w:r>
      <w:proofErr w:type="spellEnd"/>
      <w:r w:rsidR="000030A2" w:rsidRPr="00B31E40">
        <w:rPr>
          <w:rFonts w:ascii="Sylfaen" w:eastAsia="Calibri" w:hAnsi="Sylfaen" w:cs="Calibri"/>
          <w:sz w:val="20"/>
          <w:szCs w:val="20"/>
        </w:rPr>
        <w:t xml:space="preserve">, Health and Social Affairs of Georgia, the </w:t>
      </w:r>
      <w:hyperlink r:id="rId6">
        <w:r w:rsidR="000030A2" w:rsidRPr="00B31E40">
          <w:rPr>
            <w:rFonts w:ascii="Sylfaen" w:eastAsia="Calibri" w:hAnsi="Sylfaen" w:cs="Calibri"/>
            <w:sz w:val="20"/>
            <w:szCs w:val="20"/>
            <w:highlight w:val="white"/>
          </w:rPr>
          <w:t xml:space="preserve">National Center for Disease Control and Public </w:t>
        </w:r>
      </w:hyperlink>
      <w:hyperlink r:id="rId7">
        <w:r w:rsidR="000030A2" w:rsidRPr="00B31E40">
          <w:rPr>
            <w:rFonts w:ascii="Sylfaen" w:eastAsia="Calibri" w:hAnsi="Sylfaen" w:cs="Calibri"/>
            <w:sz w:val="20"/>
            <w:szCs w:val="20"/>
            <w:highlight w:val="white"/>
          </w:rPr>
          <w:t>Health</w:t>
        </w:r>
      </w:hyperlink>
      <w:r w:rsidR="000030A2" w:rsidRPr="00B31E40">
        <w:rPr>
          <w:rFonts w:ascii="Sylfaen" w:eastAsia="Calibri" w:hAnsi="Sylfaen" w:cs="Calibri"/>
          <w:sz w:val="20"/>
          <w:szCs w:val="20"/>
        </w:rPr>
        <w:t xml:space="preserve"> (</w:t>
      </w:r>
      <w:hyperlink r:id="rId8">
        <w:r w:rsidR="000030A2" w:rsidRPr="00B31E40">
          <w:rPr>
            <w:rFonts w:ascii="Sylfaen" w:eastAsia="Calibri" w:hAnsi="Sylfaen" w:cs="Calibri"/>
            <w:sz w:val="20"/>
            <w:szCs w:val="20"/>
            <w:highlight w:val="white"/>
          </w:rPr>
          <w:t>NCDC</w:t>
        </w:r>
      </w:hyperlink>
      <w:r w:rsidR="000030A2" w:rsidRPr="00B31E40">
        <w:rPr>
          <w:rFonts w:ascii="Sylfaen" w:eastAsia="Calibri" w:hAnsi="Sylfaen" w:cs="Calibri"/>
          <w:sz w:val="20"/>
          <w:szCs w:val="20"/>
        </w:rPr>
        <w:t xml:space="preserve">) together with the US Defense Threat Reduction Agency (DTRA) coordinated the negotiations and established </w:t>
      </w:r>
      <w:r w:rsidR="000B4AC7" w:rsidRPr="00B31E40">
        <w:rPr>
          <w:rFonts w:ascii="Sylfaen" w:eastAsia="Calibri" w:hAnsi="Sylfaen" w:cs="Calibri"/>
          <w:sz w:val="20"/>
          <w:szCs w:val="20"/>
        </w:rPr>
        <w:t xml:space="preserve">the partnership relationship with the British Medical Journal </w:t>
      </w:r>
      <w:r w:rsidR="000B4AC7" w:rsidRPr="00B31E40">
        <w:rPr>
          <w:rFonts w:ascii="Sylfaen" w:eastAsia="Calibri" w:hAnsi="Sylfaen" w:cs="Calibri"/>
          <w:b/>
          <w:sz w:val="20"/>
          <w:szCs w:val="20"/>
        </w:rPr>
        <w:t>(BMJ</w:t>
      </w:r>
      <w:r w:rsidR="000B4AC7" w:rsidRPr="00B31E40">
        <w:rPr>
          <w:rFonts w:ascii="Sylfaen" w:eastAsia="Calibri" w:hAnsi="Sylfaen" w:cs="Calibri"/>
          <w:sz w:val="20"/>
          <w:szCs w:val="20"/>
        </w:rPr>
        <w:t>)</w:t>
      </w:r>
      <w:r w:rsidR="00063D81">
        <w:rPr>
          <w:rFonts w:ascii="Sylfaen" w:eastAsia="Calibri" w:hAnsi="Sylfaen" w:cs="Calibri"/>
          <w:sz w:val="20"/>
          <w:szCs w:val="20"/>
        </w:rPr>
        <w:t xml:space="preserve"> </w:t>
      </w:r>
      <w:r w:rsidR="000B4AC7" w:rsidRPr="00B31E40">
        <w:rPr>
          <w:rFonts w:ascii="Sylfaen" w:eastAsia="Calibri" w:hAnsi="Sylfaen" w:cs="Calibri"/>
          <w:sz w:val="20"/>
          <w:szCs w:val="20"/>
        </w:rPr>
        <w:t>who decided to support Georgian physicians with</w:t>
      </w:r>
      <w:r w:rsidR="000030A2" w:rsidRPr="00B31E40">
        <w:rPr>
          <w:rFonts w:ascii="Sylfaen" w:eastAsia="Calibri" w:hAnsi="Sylfaen" w:cs="Calibri"/>
          <w:sz w:val="20"/>
          <w:szCs w:val="20"/>
        </w:rPr>
        <w:t xml:space="preserve"> BMJ </w:t>
      </w:r>
      <w:r w:rsidR="000B4AC7" w:rsidRPr="00B31E40">
        <w:rPr>
          <w:rFonts w:ascii="Sylfaen" w:eastAsia="Calibri" w:hAnsi="Sylfaen" w:cs="Calibri"/>
          <w:sz w:val="20"/>
          <w:szCs w:val="20"/>
        </w:rPr>
        <w:t>e-learning platform</w:t>
      </w:r>
      <w:r>
        <w:rPr>
          <w:rFonts w:ascii="Sylfaen" w:eastAsia="Calibri" w:hAnsi="Sylfaen" w:cs="Calibri"/>
          <w:sz w:val="20"/>
          <w:szCs w:val="20"/>
        </w:rPr>
        <w:t xml:space="preserve"> </w:t>
      </w:r>
      <w:r w:rsidR="00063D81">
        <w:rPr>
          <w:rFonts w:ascii="Sylfaen" w:eastAsia="Calibri" w:hAnsi="Sylfaen" w:cs="Calibri"/>
          <w:sz w:val="20"/>
          <w:szCs w:val="20"/>
        </w:rPr>
        <w:t xml:space="preserve">and </w:t>
      </w:r>
      <w:r>
        <w:rPr>
          <w:rFonts w:ascii="Sylfaen" w:eastAsia="Calibri" w:hAnsi="Sylfaen" w:cs="Calibri"/>
          <w:sz w:val="20"/>
          <w:szCs w:val="20"/>
        </w:rPr>
        <w:t>Clinical Decision Support Initiative</w:t>
      </w:r>
      <w:r w:rsidR="00063D81">
        <w:rPr>
          <w:rFonts w:ascii="Sylfaen" w:eastAsia="Calibri" w:hAnsi="Sylfaen" w:cs="Calibri"/>
          <w:sz w:val="20"/>
          <w:szCs w:val="20"/>
        </w:rPr>
        <w:t xml:space="preserve"> CDS. The platform has a capacity and </w:t>
      </w:r>
      <w:r>
        <w:rPr>
          <w:rFonts w:ascii="Sylfaen" w:eastAsia="Calibri" w:hAnsi="Sylfaen" w:cs="Calibri"/>
          <w:sz w:val="20"/>
          <w:szCs w:val="20"/>
        </w:rPr>
        <w:t>enables to provide a background</w:t>
      </w:r>
      <w:r w:rsidR="000B4AC7" w:rsidRPr="00B31E40">
        <w:rPr>
          <w:rFonts w:ascii="Sylfaen" w:eastAsia="Calibri" w:hAnsi="Sylfaen" w:cs="Calibri"/>
          <w:sz w:val="20"/>
          <w:szCs w:val="20"/>
        </w:rPr>
        <w:t xml:space="preserve"> </w:t>
      </w:r>
      <w:r>
        <w:rPr>
          <w:rFonts w:ascii="Sylfaen" w:eastAsia="Calibri" w:hAnsi="Sylfaen" w:cs="Calibri"/>
          <w:sz w:val="20"/>
          <w:szCs w:val="20"/>
        </w:rPr>
        <w:t>for strengthening</w:t>
      </w:r>
      <w:r w:rsidR="000B4AC7" w:rsidRPr="00B31E40">
        <w:rPr>
          <w:rFonts w:ascii="Sylfaen" w:eastAsia="Calibri" w:hAnsi="Sylfaen" w:cs="Calibri"/>
          <w:sz w:val="20"/>
          <w:szCs w:val="20"/>
        </w:rPr>
        <w:t xml:space="preserve"> continuous medical education / professional development in the country. </w:t>
      </w:r>
    </w:p>
    <w:p w14:paraId="38177EEB" w14:textId="77777777" w:rsidR="000B4AC7" w:rsidRPr="00B31E40" w:rsidRDefault="000B4AC7" w:rsidP="0097531E">
      <w:pPr>
        <w:pStyle w:val="Normal1"/>
        <w:jc w:val="both"/>
        <w:rPr>
          <w:rFonts w:ascii="Sylfaen" w:eastAsia="Calibri" w:hAnsi="Sylfaen" w:cs="Calibri"/>
          <w:sz w:val="20"/>
          <w:szCs w:val="20"/>
        </w:rPr>
      </w:pPr>
    </w:p>
    <w:p w14:paraId="786CC154" w14:textId="77777777" w:rsidR="000B4AC7" w:rsidRPr="00B31E40" w:rsidRDefault="000B4AC7" w:rsidP="0097531E">
      <w:pPr>
        <w:pStyle w:val="Normal1"/>
        <w:jc w:val="both"/>
        <w:rPr>
          <w:rFonts w:ascii="Sylfaen" w:eastAsia="Calibri" w:hAnsi="Sylfaen" w:cs="Calibri"/>
          <w:sz w:val="20"/>
          <w:szCs w:val="20"/>
        </w:rPr>
      </w:pPr>
      <w:r w:rsidRPr="00B31E40">
        <w:rPr>
          <w:rFonts w:ascii="Sylfaen" w:eastAsia="Calibri" w:hAnsi="Sylfaen" w:cs="Calibri"/>
          <w:sz w:val="20"/>
          <w:szCs w:val="20"/>
        </w:rPr>
        <w:t xml:space="preserve">The partnership with BMJ is shaped as a </w:t>
      </w:r>
      <w:r w:rsidR="00AC5EA7">
        <w:rPr>
          <w:rFonts w:ascii="Sylfaen" w:eastAsia="Calibri" w:hAnsi="Sylfaen" w:cs="Calibri"/>
          <w:sz w:val="20"/>
          <w:szCs w:val="20"/>
        </w:rPr>
        <w:t>4</w:t>
      </w:r>
      <w:r w:rsidRPr="00B31E40">
        <w:rPr>
          <w:rFonts w:ascii="Sylfaen" w:eastAsia="Calibri" w:hAnsi="Sylfaen" w:cs="Calibri"/>
          <w:sz w:val="20"/>
          <w:szCs w:val="20"/>
        </w:rPr>
        <w:t xml:space="preserve"> </w:t>
      </w:r>
      <w:r w:rsidR="00493466">
        <w:rPr>
          <w:rFonts w:ascii="Sylfaen" w:eastAsia="Calibri" w:hAnsi="Sylfaen" w:cs="Calibri"/>
          <w:sz w:val="20"/>
          <w:szCs w:val="20"/>
        </w:rPr>
        <w:t>-</w:t>
      </w:r>
      <w:r w:rsidRPr="00B31E40">
        <w:rPr>
          <w:rFonts w:ascii="Sylfaen" w:eastAsia="Calibri" w:hAnsi="Sylfaen" w:cs="Calibri"/>
          <w:sz w:val="20"/>
          <w:szCs w:val="20"/>
        </w:rPr>
        <w:t>year project</w:t>
      </w:r>
      <w:r w:rsidR="00AC5EA7">
        <w:rPr>
          <w:rFonts w:ascii="Sylfaen" w:eastAsia="Calibri" w:hAnsi="Sylfaen" w:cs="Calibri"/>
          <w:sz w:val="20"/>
          <w:szCs w:val="20"/>
        </w:rPr>
        <w:t xml:space="preserve"> to </w:t>
      </w:r>
      <w:r w:rsidRPr="00B31E40">
        <w:rPr>
          <w:rFonts w:ascii="Sylfaen" w:eastAsia="Calibri" w:hAnsi="Sylfaen" w:cs="Calibri"/>
          <w:sz w:val="20"/>
          <w:szCs w:val="20"/>
        </w:rPr>
        <w:t>provide all leading sources to Georgian healthcare professionals. This mean</w:t>
      </w:r>
      <w:r w:rsidR="00493466">
        <w:rPr>
          <w:rFonts w:ascii="Sylfaen" w:eastAsia="Calibri" w:hAnsi="Sylfaen" w:cs="Calibri"/>
          <w:sz w:val="20"/>
          <w:szCs w:val="20"/>
        </w:rPr>
        <w:t>s</w:t>
      </w:r>
      <w:r w:rsidRPr="00B31E40">
        <w:rPr>
          <w:rFonts w:ascii="Sylfaen" w:eastAsia="Calibri" w:hAnsi="Sylfaen" w:cs="Calibri"/>
          <w:sz w:val="20"/>
          <w:szCs w:val="20"/>
        </w:rPr>
        <w:t xml:space="preserve"> online learning and online clinical decision support.</w:t>
      </w:r>
    </w:p>
    <w:p w14:paraId="7F41AA0C" w14:textId="77777777" w:rsidR="000B4AC7" w:rsidRPr="00B31E40" w:rsidRDefault="000B4AC7" w:rsidP="0097531E">
      <w:pPr>
        <w:pStyle w:val="Normal1"/>
        <w:jc w:val="both"/>
        <w:rPr>
          <w:rFonts w:ascii="Sylfaen" w:eastAsia="Calibri" w:hAnsi="Sylfaen" w:cs="Calibri"/>
          <w:sz w:val="20"/>
          <w:szCs w:val="20"/>
        </w:rPr>
      </w:pPr>
    </w:p>
    <w:p w14:paraId="15259C5A" w14:textId="1CBFFA8B" w:rsidR="00493466" w:rsidRDefault="000B4AC7" w:rsidP="0097531E">
      <w:pPr>
        <w:pStyle w:val="Normal1"/>
        <w:jc w:val="both"/>
        <w:rPr>
          <w:rFonts w:ascii="Sylfaen" w:eastAsia="Calibri" w:hAnsi="Sylfaen" w:cs="Calibri"/>
          <w:sz w:val="20"/>
          <w:szCs w:val="20"/>
        </w:rPr>
      </w:pPr>
      <w:r w:rsidRPr="00B31E40">
        <w:rPr>
          <w:rFonts w:ascii="Sylfaen" w:eastAsia="Calibri" w:hAnsi="Sylfaen" w:cs="Calibri"/>
          <w:sz w:val="20"/>
          <w:szCs w:val="20"/>
        </w:rPr>
        <w:t xml:space="preserve">Selected health professionals, researchers and educators throughout Georgia </w:t>
      </w:r>
      <w:r w:rsidR="0097531E" w:rsidRPr="00B31E40">
        <w:rPr>
          <w:rFonts w:ascii="Sylfaen" w:eastAsia="Calibri" w:hAnsi="Sylfaen" w:cs="Calibri"/>
          <w:sz w:val="20"/>
          <w:szCs w:val="20"/>
        </w:rPr>
        <w:t>(</w:t>
      </w:r>
      <w:r w:rsidR="00493466">
        <w:rPr>
          <w:rFonts w:ascii="Sylfaen" w:eastAsia="Calibri" w:hAnsi="Sylfaen" w:cs="Calibri"/>
          <w:sz w:val="20"/>
          <w:szCs w:val="20"/>
        </w:rPr>
        <w:t>totally 2, 621 as of today)</w:t>
      </w:r>
      <w:r w:rsidRPr="00B31E40">
        <w:rPr>
          <w:rFonts w:ascii="Sylfaen" w:eastAsia="Calibri" w:hAnsi="Sylfaen" w:cs="Calibri"/>
          <w:sz w:val="20"/>
          <w:szCs w:val="20"/>
        </w:rPr>
        <w:t xml:space="preserve"> have </w:t>
      </w:r>
      <w:r w:rsidR="00C2015A">
        <w:rPr>
          <w:rFonts w:ascii="Sylfaen" w:eastAsia="Calibri" w:hAnsi="Sylfaen" w:cs="Calibri"/>
          <w:sz w:val="20"/>
          <w:szCs w:val="20"/>
        </w:rPr>
        <w:t xml:space="preserve">free </w:t>
      </w:r>
      <w:bookmarkStart w:id="0" w:name="_GoBack"/>
      <w:bookmarkEnd w:id="0"/>
      <w:r w:rsidRPr="00B31E40">
        <w:rPr>
          <w:rFonts w:ascii="Sylfaen" w:eastAsia="Calibri" w:hAnsi="Sylfaen" w:cs="Calibri"/>
          <w:sz w:val="20"/>
          <w:szCs w:val="20"/>
        </w:rPr>
        <w:t>access to leading BMJ resources.</w:t>
      </w:r>
      <w:r w:rsidR="00493466">
        <w:rPr>
          <w:rFonts w:ascii="Sylfaen" w:eastAsia="Calibri" w:hAnsi="Sylfaen" w:cs="Calibri"/>
          <w:sz w:val="20"/>
          <w:szCs w:val="20"/>
        </w:rPr>
        <w:t xml:space="preserve"> Also, around 30% of BMJ resources are translated into Georgian and also accessible for doctors.</w:t>
      </w:r>
    </w:p>
    <w:p w14:paraId="5EEBE443" w14:textId="77777777" w:rsidR="00493466" w:rsidRDefault="00493466" w:rsidP="0097531E">
      <w:pPr>
        <w:pStyle w:val="Normal1"/>
        <w:jc w:val="both"/>
        <w:rPr>
          <w:rFonts w:ascii="Sylfaen" w:eastAsia="Calibri" w:hAnsi="Sylfaen" w:cs="Calibri"/>
          <w:sz w:val="20"/>
          <w:szCs w:val="20"/>
        </w:rPr>
      </w:pPr>
    </w:p>
    <w:p w14:paraId="1AA0C7B1" w14:textId="77777777" w:rsidR="000B4AC7" w:rsidRDefault="00493466" w:rsidP="0097531E">
      <w:pPr>
        <w:pStyle w:val="Normal1"/>
        <w:jc w:val="both"/>
        <w:rPr>
          <w:rFonts w:ascii="Sylfaen" w:eastAsia="Calibri" w:hAnsi="Sylfaen" w:cs="Calibri"/>
          <w:sz w:val="20"/>
          <w:szCs w:val="20"/>
        </w:rPr>
      </w:pPr>
      <w:r>
        <w:rPr>
          <w:rFonts w:ascii="Sylfaen" w:eastAsia="Calibri" w:hAnsi="Sylfaen" w:cs="Calibri"/>
          <w:sz w:val="20"/>
          <w:szCs w:val="20"/>
        </w:rPr>
        <w:t xml:space="preserve">In June, 2019 the pilot project activities through the </w:t>
      </w:r>
      <w:r w:rsidR="00063D81">
        <w:rPr>
          <w:rFonts w:ascii="Sylfaen" w:eastAsia="Calibri" w:hAnsi="Sylfaen" w:cs="Calibri"/>
          <w:sz w:val="20"/>
          <w:szCs w:val="20"/>
        </w:rPr>
        <w:t>Initiative are finalizing. The Ministry together with the BMJ is currently working on making the platform sustainable</w:t>
      </w:r>
      <w:r w:rsidR="003A6A55" w:rsidRPr="00B31E40">
        <w:rPr>
          <w:rFonts w:ascii="Sylfaen" w:eastAsia="Calibri" w:hAnsi="Sylfaen" w:cs="Calibri"/>
          <w:sz w:val="20"/>
          <w:szCs w:val="20"/>
        </w:rPr>
        <w:t>.</w:t>
      </w:r>
      <w:r w:rsidR="00063D81">
        <w:rPr>
          <w:rFonts w:ascii="Sylfaen" w:eastAsia="Calibri" w:hAnsi="Sylfaen" w:cs="Calibri"/>
          <w:sz w:val="20"/>
          <w:szCs w:val="20"/>
        </w:rPr>
        <w:t xml:space="preserve"> The Georgian party has been running negotiations with various donor institutions to gain financial resources for this purpose. </w:t>
      </w:r>
    </w:p>
    <w:p w14:paraId="2519939D" w14:textId="77777777" w:rsidR="00063D81" w:rsidRDefault="00063D81" w:rsidP="0097531E">
      <w:pPr>
        <w:pStyle w:val="Normal1"/>
        <w:jc w:val="both"/>
        <w:rPr>
          <w:rFonts w:ascii="Sylfaen" w:eastAsia="Calibri" w:hAnsi="Sylfaen" w:cs="Calibri"/>
          <w:sz w:val="20"/>
          <w:szCs w:val="20"/>
        </w:rPr>
      </w:pPr>
    </w:p>
    <w:p w14:paraId="6140BE5B" w14:textId="77777777" w:rsidR="00063D81" w:rsidRPr="00B31E40" w:rsidRDefault="00063D81" w:rsidP="0097531E">
      <w:pPr>
        <w:pStyle w:val="Normal1"/>
        <w:jc w:val="both"/>
        <w:rPr>
          <w:rFonts w:ascii="Sylfaen" w:eastAsia="Calibri" w:hAnsi="Sylfaen" w:cs="Calibri"/>
          <w:sz w:val="20"/>
          <w:szCs w:val="20"/>
        </w:rPr>
      </w:pPr>
      <w:r>
        <w:rPr>
          <w:rFonts w:ascii="Sylfaen" w:eastAsia="Calibri" w:hAnsi="Sylfaen" w:cs="Calibri"/>
          <w:sz w:val="20"/>
          <w:szCs w:val="20"/>
        </w:rPr>
        <w:t xml:space="preserve">Besides, the Georgian stakeholders are trying to establish bilateral professional relations between the British Medical Association (BMA) and the Union of the Medical Professional Associations of Georgia in order to assist the Georgian colleagues to develop and improve the role and capacity of Associations. </w:t>
      </w:r>
    </w:p>
    <w:p w14:paraId="0BD39E7A" w14:textId="77777777" w:rsidR="006C2AF5" w:rsidRPr="00B31E40" w:rsidRDefault="006C2AF5" w:rsidP="006C2AF5">
      <w:pPr>
        <w:pStyle w:val="Normal1"/>
        <w:jc w:val="both"/>
        <w:rPr>
          <w:rFonts w:ascii="Sylfaen" w:eastAsia="Calibri" w:hAnsi="Sylfaen" w:cs="Calibri"/>
          <w:b/>
          <w:sz w:val="20"/>
          <w:szCs w:val="20"/>
          <w:u w:val="single"/>
        </w:rPr>
      </w:pPr>
    </w:p>
    <w:p w14:paraId="507353A2" w14:textId="77777777" w:rsidR="006C2AF5" w:rsidRPr="00B31E40" w:rsidRDefault="006C2AF5" w:rsidP="006C2AF5">
      <w:pPr>
        <w:pStyle w:val="Normal1"/>
        <w:jc w:val="both"/>
        <w:rPr>
          <w:rFonts w:ascii="Sylfaen" w:eastAsia="Calibri" w:hAnsi="Sylfaen" w:cs="Calibri"/>
          <w:b/>
          <w:sz w:val="20"/>
          <w:szCs w:val="20"/>
          <w:u w:val="single"/>
        </w:rPr>
      </w:pPr>
      <w:r w:rsidRPr="00B31E40">
        <w:rPr>
          <w:rFonts w:ascii="Sylfaen" w:eastAsia="Calibri" w:hAnsi="Sylfaen" w:cs="Calibri"/>
          <w:b/>
          <w:sz w:val="20"/>
          <w:szCs w:val="20"/>
          <w:u w:val="single"/>
        </w:rPr>
        <w:t>The Year of 201</w:t>
      </w:r>
      <w:r w:rsidR="00314B7B">
        <w:rPr>
          <w:rFonts w:ascii="Sylfaen" w:eastAsia="Calibri" w:hAnsi="Sylfaen" w:cs="Calibri"/>
          <w:b/>
          <w:sz w:val="20"/>
          <w:szCs w:val="20"/>
          <w:u w:val="single"/>
        </w:rPr>
        <w:t>7</w:t>
      </w:r>
      <w:r w:rsidR="00063D81">
        <w:rPr>
          <w:rFonts w:ascii="Sylfaen" w:eastAsia="Calibri" w:hAnsi="Sylfaen" w:cs="Calibri"/>
          <w:b/>
          <w:sz w:val="20"/>
          <w:szCs w:val="20"/>
          <w:u w:val="single"/>
        </w:rPr>
        <w:t>-2019</w:t>
      </w:r>
      <w:r w:rsidRPr="00B31E40">
        <w:rPr>
          <w:rFonts w:ascii="Sylfaen" w:eastAsia="Calibri" w:hAnsi="Sylfaen" w:cs="Calibri"/>
          <w:b/>
          <w:sz w:val="20"/>
          <w:szCs w:val="20"/>
          <w:u w:val="single"/>
        </w:rPr>
        <w:t>:</w:t>
      </w:r>
    </w:p>
    <w:p w14:paraId="735C5939" w14:textId="77777777" w:rsidR="00791BB3" w:rsidRPr="00B31E40" w:rsidRDefault="00791BB3" w:rsidP="006C2AF5">
      <w:pPr>
        <w:pStyle w:val="Normal1"/>
        <w:jc w:val="both"/>
        <w:rPr>
          <w:rFonts w:ascii="Sylfaen" w:eastAsia="Calibri" w:hAnsi="Sylfaen" w:cs="Calibri"/>
          <w:b/>
          <w:sz w:val="20"/>
          <w:szCs w:val="20"/>
          <w:u w:val="single"/>
        </w:rPr>
      </w:pPr>
    </w:p>
    <w:p w14:paraId="38D7C4B6" w14:textId="77777777" w:rsidR="00791BB3" w:rsidRPr="00B31E40" w:rsidRDefault="00791BB3" w:rsidP="00B31E40">
      <w:pPr>
        <w:spacing w:after="200"/>
        <w:jc w:val="both"/>
        <w:rPr>
          <w:rFonts w:ascii="Sylfaen" w:eastAsiaTheme="minorEastAsia" w:hAnsi="Sylfaen" w:cs="Sylfaen"/>
          <w:b/>
          <w:color w:val="auto"/>
          <w:sz w:val="20"/>
          <w:szCs w:val="20"/>
          <w:lang w:val="ka-GE"/>
        </w:rPr>
      </w:pPr>
      <w:r w:rsidRPr="00B31E40">
        <w:rPr>
          <w:rFonts w:ascii="Sylfaen" w:eastAsiaTheme="minorEastAsia" w:hAnsi="Sylfaen" w:cstheme="minorBidi"/>
          <w:b/>
          <w:color w:val="auto"/>
          <w:sz w:val="20"/>
          <w:szCs w:val="20"/>
          <w:lang w:val="ka-GE"/>
        </w:rPr>
        <w:t xml:space="preserve">Twining  </w:t>
      </w:r>
      <w:r w:rsidRPr="00B31E40">
        <w:rPr>
          <w:rFonts w:ascii="Sylfaen" w:eastAsiaTheme="minorEastAsia" w:hAnsi="Sylfaen" w:cstheme="minorBidi"/>
          <w:b/>
          <w:color w:val="auto"/>
          <w:sz w:val="20"/>
          <w:szCs w:val="20"/>
        </w:rPr>
        <w:t>Project</w:t>
      </w:r>
      <w:r w:rsidRPr="00B31E40">
        <w:rPr>
          <w:rFonts w:ascii="Sylfaen" w:eastAsiaTheme="minorEastAsia" w:hAnsi="Sylfaen" w:cstheme="minorBidi"/>
          <w:b/>
          <w:color w:val="auto"/>
          <w:sz w:val="20"/>
          <w:szCs w:val="20"/>
          <w:lang w:val="ka-GE"/>
        </w:rPr>
        <w:t xml:space="preserve"> „Strengthening Environmental Health System in Georgia“.</w:t>
      </w:r>
    </w:p>
    <w:p w14:paraId="48A24E43" w14:textId="77777777" w:rsidR="00791BB3" w:rsidRPr="00B31E40" w:rsidRDefault="00791BB3" w:rsidP="00B31E40">
      <w:pPr>
        <w:spacing w:after="200"/>
        <w:jc w:val="both"/>
        <w:rPr>
          <w:rFonts w:ascii="Sylfaen" w:eastAsiaTheme="minorEastAsia" w:hAnsi="Sylfaen" w:cstheme="minorBidi"/>
          <w:color w:val="auto"/>
          <w:sz w:val="20"/>
          <w:szCs w:val="20"/>
        </w:rPr>
      </w:pPr>
      <w:r w:rsidRPr="00B31E40">
        <w:rPr>
          <w:rFonts w:ascii="Sylfaen" w:eastAsiaTheme="minorEastAsia" w:hAnsi="Sylfaen" w:cs="Sylfaen"/>
          <w:color w:val="auto"/>
          <w:sz w:val="20"/>
          <w:szCs w:val="20"/>
          <w:lang w:val="ka-GE"/>
        </w:rPr>
        <w:t xml:space="preserve">EU Twining project </w:t>
      </w:r>
      <w:r w:rsidRPr="00B31E40">
        <w:rPr>
          <w:rFonts w:ascii="Sylfaen" w:eastAsiaTheme="minorEastAsia" w:hAnsi="Sylfaen" w:cstheme="minorBidi"/>
          <w:color w:val="auto"/>
          <w:sz w:val="20"/>
          <w:szCs w:val="20"/>
          <w:lang w:val="ka-GE"/>
        </w:rPr>
        <w:t xml:space="preserve">„Strengthening Environmental Health System in Georgia“ </w:t>
      </w:r>
      <w:r w:rsidR="00063D81">
        <w:rPr>
          <w:rFonts w:ascii="Sylfaen" w:eastAsiaTheme="minorEastAsia" w:hAnsi="Sylfaen" w:cstheme="minorBidi"/>
          <w:color w:val="auto"/>
          <w:sz w:val="20"/>
          <w:szCs w:val="20"/>
        </w:rPr>
        <w:t xml:space="preserve">was implemented </w:t>
      </w:r>
      <w:r w:rsidRPr="00B31E40">
        <w:rPr>
          <w:rFonts w:ascii="Sylfaen" w:eastAsiaTheme="minorEastAsia" w:hAnsi="Sylfaen" w:cstheme="minorBidi"/>
          <w:color w:val="auto"/>
          <w:sz w:val="20"/>
          <w:szCs w:val="20"/>
          <w:lang w:val="ka-GE"/>
        </w:rPr>
        <w:t xml:space="preserve">on the basis of the Ministry of </w:t>
      </w:r>
      <w:r w:rsidR="00314B7B">
        <w:rPr>
          <w:rFonts w:ascii="Sylfaen" w:eastAsiaTheme="minorEastAsia" w:hAnsi="Sylfaen" w:cstheme="minorBidi"/>
          <w:color w:val="auto"/>
          <w:sz w:val="20"/>
          <w:szCs w:val="20"/>
        </w:rPr>
        <w:t xml:space="preserve">Internally Displaced Persons from the Occupied Territories, </w:t>
      </w:r>
      <w:r w:rsidRPr="00B31E40">
        <w:rPr>
          <w:rFonts w:ascii="Sylfaen" w:eastAsiaTheme="minorEastAsia" w:hAnsi="Sylfaen" w:cstheme="minorBidi"/>
          <w:color w:val="auto"/>
          <w:sz w:val="20"/>
          <w:szCs w:val="20"/>
          <w:lang w:val="ka-GE"/>
        </w:rPr>
        <w:t>Labour, Health and Social Affairs and National Center for Disease Control and Public Health.</w:t>
      </w:r>
      <w:r w:rsidRPr="00B31E40">
        <w:rPr>
          <w:rFonts w:ascii="Sylfaen" w:eastAsiaTheme="minorEastAsia" w:hAnsi="Sylfaen" w:cstheme="minorBidi"/>
          <w:color w:val="auto"/>
          <w:sz w:val="20"/>
          <w:szCs w:val="20"/>
        </w:rPr>
        <w:t xml:space="preserve"> The project objective </w:t>
      </w:r>
      <w:r w:rsidR="00314B7B">
        <w:rPr>
          <w:rFonts w:ascii="Sylfaen" w:eastAsiaTheme="minorEastAsia" w:hAnsi="Sylfaen" w:cstheme="minorBidi"/>
          <w:color w:val="auto"/>
          <w:sz w:val="20"/>
          <w:szCs w:val="20"/>
        </w:rPr>
        <w:t>was</w:t>
      </w:r>
      <w:r w:rsidRPr="00B31E40">
        <w:rPr>
          <w:rFonts w:ascii="Sylfaen" w:eastAsiaTheme="minorEastAsia" w:hAnsi="Sylfaen" w:cstheme="minorBidi"/>
          <w:color w:val="auto"/>
          <w:sz w:val="20"/>
          <w:szCs w:val="20"/>
        </w:rPr>
        <w:t xml:space="preserve"> to provide safe environment through EU legislation harmonization; to strengthen of Environment and Health existing </w:t>
      </w:r>
      <w:r w:rsidRPr="00B31E40">
        <w:rPr>
          <w:rFonts w:ascii="Sylfaen" w:eastAsiaTheme="minorEastAsia" w:hAnsi="Sylfaen" w:cstheme="minorBidi"/>
          <w:color w:val="auto"/>
          <w:sz w:val="20"/>
          <w:szCs w:val="20"/>
        </w:rPr>
        <w:lastRenderedPageBreak/>
        <w:t xml:space="preserve">systems; to fraternize and cooperate with EU relevant government agencies; to develop National Environment and Health Strategy and Action Plan in compliance with the Association Agreement. </w:t>
      </w:r>
    </w:p>
    <w:p w14:paraId="15A13982" w14:textId="77777777" w:rsidR="002B124B" w:rsidRPr="00B31E40" w:rsidRDefault="002B124B" w:rsidP="00B31E40">
      <w:pPr>
        <w:jc w:val="both"/>
        <w:rPr>
          <w:rFonts w:ascii="Sylfaen" w:eastAsiaTheme="minorEastAsia" w:hAnsi="Sylfaen" w:cs="Calibri-Bold"/>
          <w:bCs/>
          <w:color w:val="auto"/>
          <w:sz w:val="20"/>
          <w:szCs w:val="20"/>
          <w:lang w:val="ka-GE"/>
        </w:rPr>
      </w:pPr>
      <w:r w:rsidRPr="00B31E40">
        <w:rPr>
          <w:rFonts w:ascii="Sylfaen" w:eastAsiaTheme="minorEastAsia" w:hAnsi="Sylfaen" w:cstheme="minorBidi"/>
          <w:color w:val="auto"/>
          <w:sz w:val="20"/>
          <w:szCs w:val="20"/>
        </w:rPr>
        <w:t>The project w</w:t>
      </w:r>
      <w:r w:rsidR="00314B7B">
        <w:rPr>
          <w:rFonts w:ascii="Sylfaen" w:eastAsiaTheme="minorEastAsia" w:hAnsi="Sylfaen" w:cstheme="minorBidi"/>
          <w:color w:val="auto"/>
          <w:sz w:val="20"/>
          <w:szCs w:val="20"/>
        </w:rPr>
        <w:t xml:space="preserve">as </w:t>
      </w:r>
      <w:r w:rsidRPr="00B31E40">
        <w:rPr>
          <w:rFonts w:ascii="Sylfaen" w:eastAsiaTheme="minorEastAsia" w:hAnsi="Sylfaen" w:cstheme="minorBidi"/>
          <w:color w:val="auto"/>
          <w:sz w:val="20"/>
          <w:szCs w:val="20"/>
        </w:rPr>
        <w:t xml:space="preserve">supervised and implemented by joint Consortium of Italy, Poland and Great Britain during the 2 years. Great </w:t>
      </w:r>
      <w:r w:rsidR="00314B7B" w:rsidRPr="00B31E40">
        <w:rPr>
          <w:rFonts w:ascii="Sylfaen" w:eastAsiaTheme="minorEastAsia" w:hAnsi="Sylfaen" w:cstheme="minorBidi"/>
          <w:color w:val="auto"/>
          <w:sz w:val="20"/>
          <w:szCs w:val="20"/>
        </w:rPr>
        <w:t xml:space="preserve">Britain </w:t>
      </w:r>
      <w:r w:rsidR="00314B7B">
        <w:rPr>
          <w:rFonts w:ascii="Sylfaen" w:eastAsiaTheme="minorEastAsia" w:hAnsi="Sylfaen" w:cstheme="minorBidi"/>
          <w:color w:val="auto"/>
          <w:sz w:val="20"/>
          <w:szCs w:val="20"/>
        </w:rPr>
        <w:t>represented</w:t>
      </w:r>
      <w:r w:rsidRPr="00B31E40">
        <w:rPr>
          <w:rFonts w:ascii="Sylfaen" w:eastAsiaTheme="minorEastAsia" w:hAnsi="Sylfaen" w:cstheme="minorBidi"/>
          <w:color w:val="auto"/>
          <w:sz w:val="20"/>
          <w:szCs w:val="20"/>
        </w:rPr>
        <w:t xml:space="preserve"> by the </w:t>
      </w:r>
      <w:r w:rsidR="007D6E47" w:rsidRPr="00B31E40">
        <w:rPr>
          <w:rFonts w:ascii="Sylfaen" w:eastAsiaTheme="minorEastAsia" w:hAnsi="Sylfaen" w:cs="Calibri-Bold"/>
          <w:bCs/>
          <w:color w:val="auto"/>
          <w:sz w:val="20"/>
          <w:szCs w:val="20"/>
          <w:lang w:val="ka-GE"/>
        </w:rPr>
        <w:t xml:space="preserve">Public health England, </w:t>
      </w:r>
      <w:r w:rsidRPr="00B31E40">
        <w:rPr>
          <w:rFonts w:ascii="Sylfaen" w:eastAsiaTheme="minorEastAsia" w:hAnsi="Sylfaen" w:cs="Calibri-Bold"/>
          <w:bCs/>
          <w:color w:val="auto"/>
          <w:sz w:val="20"/>
          <w:szCs w:val="20"/>
          <w:lang w:val="ka-GE"/>
        </w:rPr>
        <w:t xml:space="preserve">that </w:t>
      </w:r>
      <w:r w:rsidR="00314B7B">
        <w:rPr>
          <w:rFonts w:ascii="Sylfaen" w:eastAsiaTheme="minorEastAsia" w:hAnsi="Sylfaen" w:cs="Calibri-Bold"/>
          <w:bCs/>
          <w:color w:val="auto"/>
          <w:sz w:val="20"/>
          <w:szCs w:val="20"/>
        </w:rPr>
        <w:t>was</w:t>
      </w:r>
      <w:r w:rsidRPr="00B31E40">
        <w:rPr>
          <w:rFonts w:ascii="Sylfaen" w:eastAsiaTheme="minorEastAsia" w:hAnsi="Sylfaen" w:cs="Calibri-Bold"/>
          <w:bCs/>
          <w:color w:val="auto"/>
          <w:sz w:val="20"/>
          <w:szCs w:val="20"/>
          <w:lang w:val="ka-GE"/>
        </w:rPr>
        <w:t xml:space="preserve"> responsible for the Component 3. </w:t>
      </w:r>
    </w:p>
    <w:p w14:paraId="6527E98B" w14:textId="77777777" w:rsidR="002B124B" w:rsidRPr="00B31E40" w:rsidRDefault="002B124B" w:rsidP="00B31E40">
      <w:pPr>
        <w:jc w:val="both"/>
        <w:rPr>
          <w:rFonts w:ascii="Sylfaen" w:eastAsiaTheme="minorEastAsia" w:hAnsi="Sylfaen" w:cs="Calibri-Bold"/>
          <w:b/>
          <w:bCs/>
          <w:color w:val="auto"/>
          <w:sz w:val="20"/>
          <w:szCs w:val="20"/>
          <w:lang w:val="ka-GE"/>
        </w:rPr>
      </w:pPr>
    </w:p>
    <w:p w14:paraId="473777FA" w14:textId="77777777" w:rsidR="002B124B" w:rsidRPr="00B31E40" w:rsidRDefault="002B124B" w:rsidP="00B31E40">
      <w:pPr>
        <w:jc w:val="both"/>
        <w:rPr>
          <w:rFonts w:ascii="Sylfaen" w:eastAsiaTheme="minorEastAsia" w:hAnsi="Sylfaen" w:cs="Sylfaen"/>
          <w:color w:val="auto"/>
          <w:sz w:val="20"/>
          <w:szCs w:val="20"/>
          <w:lang w:val="ka-GE"/>
        </w:rPr>
      </w:pPr>
      <w:r w:rsidRPr="00B31E40">
        <w:rPr>
          <w:rFonts w:ascii="Sylfaen" w:eastAsiaTheme="minorEastAsia" w:hAnsi="Sylfaen" w:cs="Sylfaen"/>
          <w:color w:val="auto"/>
          <w:sz w:val="20"/>
          <w:szCs w:val="20"/>
        </w:rPr>
        <w:t>Italy, Poland and the UK ha</w:t>
      </w:r>
      <w:r w:rsidR="00314B7B">
        <w:rPr>
          <w:rFonts w:ascii="Sylfaen" w:eastAsiaTheme="minorEastAsia" w:hAnsi="Sylfaen" w:cs="Sylfaen"/>
          <w:color w:val="auto"/>
          <w:sz w:val="20"/>
          <w:szCs w:val="20"/>
        </w:rPr>
        <w:t>d</w:t>
      </w:r>
      <w:r w:rsidRPr="00B31E40">
        <w:rPr>
          <w:rFonts w:ascii="Sylfaen" w:eastAsiaTheme="minorEastAsia" w:hAnsi="Sylfaen" w:cs="Sylfaen"/>
          <w:color w:val="auto"/>
          <w:sz w:val="20"/>
          <w:szCs w:val="20"/>
        </w:rPr>
        <w:t xml:space="preserve"> fully implemented the EU policy related to Environmental Health and have developed a system of monitoring and control of health risks, derived from environmental factors, in line with the best international practices. The three countries have a wide experience in supporting accession and neighboring countries in transposition and implementation of EU acquis in environmental health and in supporting third countries in adopting EU standards in this field.</w:t>
      </w:r>
    </w:p>
    <w:p w14:paraId="36027CAD" w14:textId="77777777" w:rsidR="002B124B" w:rsidRPr="00B31E40" w:rsidRDefault="002B124B" w:rsidP="00B31E40">
      <w:pPr>
        <w:jc w:val="both"/>
        <w:rPr>
          <w:rFonts w:ascii="Sylfaen" w:eastAsiaTheme="minorEastAsia" w:hAnsi="Sylfaen" w:cs="Calibri"/>
          <w:color w:val="auto"/>
          <w:sz w:val="20"/>
          <w:szCs w:val="20"/>
        </w:rPr>
      </w:pPr>
      <w:r w:rsidRPr="00B31E40">
        <w:rPr>
          <w:rFonts w:ascii="Sylfaen" w:eastAsiaTheme="minorEastAsia" w:hAnsi="Sylfaen" w:cs="Calibri"/>
          <w:color w:val="auto"/>
          <w:sz w:val="20"/>
          <w:szCs w:val="20"/>
        </w:rPr>
        <w:t>UK has been really successful in implementing many important actions according to the WHO suggestions, such as to fulfil its commitments to children’s environment and health action plans (CEHAPE). In this case the PHE (formerly the HPA) produced the Children’s Environment and Health Strategy for the UK (CEHS), which was published in March 2009. This report made recommendations on how children’s and young people’s health could be improved through a better environment. The strategy was developed to enable the recommendations to be taken forward through existing policy and public health initiatives, as relevant, and has been instrumental in raising the profile of children’s environment and health amongst government departments and throughout the UK. In addition the PHE, collaborating with a number of European Agencies, led a project develop a sustainable environment and health information system consisting of a set of sub</w:t>
      </w:r>
      <w:r w:rsidRPr="00B31E40">
        <w:rPr>
          <w:rFonts w:ascii="Cambria Math" w:eastAsiaTheme="minorEastAsia" w:hAnsi="Cambria Math" w:cs="Cambria Math"/>
          <w:color w:val="auto"/>
          <w:sz w:val="20"/>
          <w:szCs w:val="20"/>
        </w:rPr>
        <w:t>‐</w:t>
      </w:r>
      <w:r w:rsidRPr="00B31E40">
        <w:rPr>
          <w:rFonts w:ascii="Sylfaen" w:eastAsiaTheme="minorEastAsia" w:hAnsi="Sylfaen" w:cs="Calibri"/>
          <w:color w:val="auto"/>
          <w:sz w:val="20"/>
          <w:szCs w:val="20"/>
        </w:rPr>
        <w:t>national indicators to improve public health in Europe.</w:t>
      </w:r>
    </w:p>
    <w:p w14:paraId="1875BDEF" w14:textId="77777777" w:rsidR="002B124B" w:rsidRPr="00B31E40" w:rsidRDefault="002B124B" w:rsidP="00B31E40">
      <w:pPr>
        <w:autoSpaceDE w:val="0"/>
        <w:autoSpaceDN w:val="0"/>
        <w:adjustRightInd w:val="0"/>
        <w:jc w:val="both"/>
        <w:rPr>
          <w:rFonts w:ascii="Sylfaen" w:eastAsiaTheme="minorEastAsia" w:hAnsi="Sylfaen" w:cs="Calibri"/>
          <w:color w:val="auto"/>
          <w:sz w:val="20"/>
          <w:szCs w:val="20"/>
        </w:rPr>
      </w:pPr>
    </w:p>
    <w:p w14:paraId="78043F6E" w14:textId="77777777" w:rsidR="007D6E47" w:rsidRPr="00B31E40" w:rsidRDefault="007D6E47" w:rsidP="00B31E40">
      <w:pPr>
        <w:autoSpaceDE w:val="0"/>
        <w:autoSpaceDN w:val="0"/>
        <w:adjustRightInd w:val="0"/>
        <w:jc w:val="both"/>
        <w:rPr>
          <w:rFonts w:ascii="Sylfaen" w:eastAsiaTheme="minorEastAsia" w:hAnsi="Sylfaen" w:cs="Calibri"/>
          <w:color w:val="auto"/>
          <w:sz w:val="20"/>
          <w:szCs w:val="20"/>
        </w:rPr>
      </w:pPr>
    </w:p>
    <w:p w14:paraId="56025559" w14:textId="77777777" w:rsidR="002B124B" w:rsidRPr="00B31E40" w:rsidRDefault="002B124B" w:rsidP="00B31E40">
      <w:pPr>
        <w:autoSpaceDE w:val="0"/>
        <w:autoSpaceDN w:val="0"/>
        <w:adjustRightInd w:val="0"/>
        <w:jc w:val="both"/>
        <w:rPr>
          <w:rFonts w:ascii="Sylfaen" w:eastAsiaTheme="minorEastAsia" w:hAnsi="Sylfaen" w:cs="Calibri"/>
          <w:b/>
          <w:color w:val="auto"/>
          <w:sz w:val="20"/>
          <w:szCs w:val="20"/>
          <w:u w:val="single"/>
        </w:rPr>
      </w:pPr>
      <w:r w:rsidRPr="00B31E40">
        <w:rPr>
          <w:rFonts w:ascii="Sylfaen" w:eastAsiaTheme="minorEastAsia" w:hAnsi="Sylfaen" w:cs="Calibri"/>
          <w:b/>
          <w:color w:val="auto"/>
          <w:sz w:val="20"/>
          <w:szCs w:val="20"/>
          <w:u w:val="single"/>
        </w:rPr>
        <w:t>The Year of 2015:</w:t>
      </w:r>
    </w:p>
    <w:p w14:paraId="329110DF" w14:textId="77777777" w:rsidR="002B124B" w:rsidRPr="00B31E40" w:rsidRDefault="002B124B" w:rsidP="00B31E40">
      <w:pPr>
        <w:autoSpaceDE w:val="0"/>
        <w:autoSpaceDN w:val="0"/>
        <w:adjustRightInd w:val="0"/>
        <w:jc w:val="both"/>
        <w:rPr>
          <w:rFonts w:ascii="Sylfaen" w:eastAsiaTheme="minorEastAsia" w:hAnsi="Sylfaen" w:cs="Calibri"/>
          <w:b/>
          <w:color w:val="auto"/>
          <w:sz w:val="20"/>
          <w:szCs w:val="20"/>
          <w:u w:val="single"/>
        </w:rPr>
      </w:pPr>
    </w:p>
    <w:p w14:paraId="0241172D" w14:textId="77777777" w:rsidR="002B124B" w:rsidRDefault="002B124B" w:rsidP="00B31E40">
      <w:pPr>
        <w:autoSpaceDE w:val="0"/>
        <w:autoSpaceDN w:val="0"/>
        <w:adjustRightInd w:val="0"/>
        <w:jc w:val="both"/>
        <w:rPr>
          <w:rFonts w:ascii="Sylfaen" w:hAnsi="Sylfaen" w:cs="Sylfaen"/>
          <w:color w:val="222222"/>
          <w:sz w:val="20"/>
          <w:szCs w:val="20"/>
          <w:shd w:val="clear" w:color="auto" w:fill="FFFFFF"/>
        </w:rPr>
      </w:pPr>
      <w:r w:rsidRPr="00B31E40">
        <w:rPr>
          <w:rFonts w:ascii="Sylfaen" w:hAnsi="Sylfaen" w:cs="Sylfaen"/>
          <w:color w:val="222222"/>
          <w:sz w:val="20"/>
          <w:szCs w:val="20"/>
          <w:shd w:val="clear" w:color="auto" w:fill="FFFFFF"/>
        </w:rPr>
        <w:t xml:space="preserve">On 15-17 December, 2015 under the coordination and organization of Public Health England and World Health Organization </w:t>
      </w:r>
      <w:r w:rsidR="00203876" w:rsidRPr="00B31E40">
        <w:rPr>
          <w:rFonts w:ascii="Sylfaen" w:hAnsi="Sylfaen" w:cs="Sylfaen"/>
          <w:color w:val="222222"/>
          <w:sz w:val="20"/>
          <w:szCs w:val="20"/>
          <w:shd w:val="clear" w:color="auto" w:fill="FFFFFF"/>
        </w:rPr>
        <w:t xml:space="preserve">the Simulation Exercise on emergency communication and coordination issues were held. More than 40 representatives of various Ministries took place in this Exercise. </w:t>
      </w:r>
    </w:p>
    <w:p w14:paraId="1622DCDC" w14:textId="77777777" w:rsidR="00B31E40" w:rsidRDefault="00B31E40" w:rsidP="00B31E40">
      <w:pPr>
        <w:autoSpaceDE w:val="0"/>
        <w:autoSpaceDN w:val="0"/>
        <w:adjustRightInd w:val="0"/>
        <w:jc w:val="both"/>
        <w:rPr>
          <w:rFonts w:ascii="Sylfaen" w:hAnsi="Sylfaen" w:cs="Sylfaen"/>
          <w:color w:val="222222"/>
          <w:sz w:val="20"/>
          <w:szCs w:val="20"/>
          <w:shd w:val="clear" w:color="auto" w:fill="FFFFFF"/>
        </w:rPr>
      </w:pPr>
    </w:p>
    <w:p w14:paraId="527FB0A6" w14:textId="77777777" w:rsidR="00B31E40" w:rsidRPr="00B31E40" w:rsidRDefault="00B31E40" w:rsidP="00B31E40">
      <w:pPr>
        <w:autoSpaceDE w:val="0"/>
        <w:autoSpaceDN w:val="0"/>
        <w:adjustRightInd w:val="0"/>
        <w:jc w:val="both"/>
        <w:rPr>
          <w:rFonts w:ascii="Sylfaen" w:hAnsi="Sylfaen" w:cs="Sylfaen"/>
          <w:b/>
          <w:color w:val="222222"/>
          <w:sz w:val="20"/>
          <w:szCs w:val="20"/>
          <w:u w:val="single"/>
          <w:shd w:val="clear" w:color="auto" w:fill="FFFFFF"/>
        </w:rPr>
      </w:pPr>
      <w:r w:rsidRPr="00B31E40">
        <w:rPr>
          <w:rFonts w:ascii="Sylfaen" w:hAnsi="Sylfaen" w:cs="Sylfaen"/>
          <w:b/>
          <w:color w:val="222222"/>
          <w:sz w:val="20"/>
          <w:szCs w:val="20"/>
          <w:u w:val="single"/>
          <w:shd w:val="clear" w:color="auto" w:fill="FFFFFF"/>
        </w:rPr>
        <w:t>The Year of 2014-2017:</w:t>
      </w:r>
    </w:p>
    <w:p w14:paraId="07A8C127" w14:textId="77777777" w:rsidR="00B31E40" w:rsidRDefault="00B31E40" w:rsidP="00B31E40">
      <w:pPr>
        <w:autoSpaceDE w:val="0"/>
        <w:autoSpaceDN w:val="0"/>
        <w:adjustRightInd w:val="0"/>
        <w:jc w:val="both"/>
        <w:rPr>
          <w:rFonts w:ascii="Sylfaen" w:hAnsi="Sylfaen" w:cs="Sylfaen"/>
          <w:color w:val="222222"/>
          <w:sz w:val="20"/>
          <w:szCs w:val="20"/>
          <w:shd w:val="clear" w:color="auto" w:fill="FFFFFF"/>
        </w:rPr>
      </w:pPr>
      <w:r w:rsidRPr="00B31E40">
        <w:rPr>
          <w:rFonts w:ascii="Sylfaen" w:hAnsi="Sylfaen" w:cs="Sylfaen"/>
          <w:color w:val="222222"/>
          <w:sz w:val="20"/>
          <w:szCs w:val="20"/>
          <w:shd w:val="clear" w:color="auto" w:fill="FFFFFF"/>
        </w:rPr>
        <w:t xml:space="preserve">Anthrax Environmental Decontamination Network </w:t>
      </w:r>
    </w:p>
    <w:p w14:paraId="70069768" w14:textId="77777777" w:rsidR="00B31E40" w:rsidRDefault="00B31E40" w:rsidP="00B31E40">
      <w:pPr>
        <w:autoSpaceDE w:val="0"/>
        <w:autoSpaceDN w:val="0"/>
        <w:adjustRightInd w:val="0"/>
        <w:jc w:val="both"/>
        <w:rPr>
          <w:rFonts w:ascii="Sylfaen" w:hAnsi="Sylfaen" w:cs="Sylfaen"/>
          <w:color w:val="222222"/>
          <w:sz w:val="20"/>
          <w:szCs w:val="20"/>
          <w:shd w:val="clear" w:color="auto" w:fill="FFFFFF"/>
        </w:rPr>
      </w:pPr>
    </w:p>
    <w:p w14:paraId="47EB715C" w14:textId="77777777" w:rsidR="00B31E40" w:rsidRPr="00B31E40" w:rsidRDefault="00B31E40" w:rsidP="00B31E40">
      <w:pPr>
        <w:autoSpaceDE w:val="0"/>
        <w:autoSpaceDN w:val="0"/>
        <w:adjustRightInd w:val="0"/>
        <w:jc w:val="both"/>
        <w:rPr>
          <w:rFonts w:ascii="Sylfaen" w:hAnsi="Sylfaen" w:cs="Sylfaen"/>
          <w:color w:val="222222"/>
          <w:sz w:val="20"/>
          <w:szCs w:val="20"/>
          <w:shd w:val="clear" w:color="auto" w:fill="FFFFFF"/>
        </w:rPr>
      </w:pPr>
      <w:r w:rsidRPr="00B31E40">
        <w:rPr>
          <w:rFonts w:ascii="Sylfaen" w:hAnsi="Sylfaen" w:cs="Sylfaen"/>
          <w:color w:val="222222"/>
          <w:sz w:val="20"/>
          <w:szCs w:val="20"/>
          <w:shd w:val="clear" w:color="auto" w:fill="FFFFFF"/>
        </w:rPr>
        <w:t>Anthrax, caused by the spore forming bacterium Bacillus anthracis, is a disease of animals which</w:t>
      </w:r>
    </w:p>
    <w:p w14:paraId="2E68A493" w14:textId="77777777" w:rsidR="00B31E40" w:rsidRPr="00B31E40" w:rsidRDefault="00B31E40" w:rsidP="00B31E40">
      <w:pPr>
        <w:autoSpaceDE w:val="0"/>
        <w:autoSpaceDN w:val="0"/>
        <w:adjustRightInd w:val="0"/>
        <w:jc w:val="both"/>
        <w:rPr>
          <w:rFonts w:ascii="Sylfaen" w:hAnsi="Sylfaen" w:cs="Sylfaen"/>
          <w:color w:val="222222"/>
          <w:sz w:val="20"/>
          <w:szCs w:val="20"/>
          <w:shd w:val="clear" w:color="auto" w:fill="FFFFFF"/>
        </w:rPr>
      </w:pPr>
      <w:r w:rsidRPr="00B31E40">
        <w:rPr>
          <w:rFonts w:ascii="Sylfaen" w:hAnsi="Sylfaen" w:cs="Sylfaen"/>
          <w:color w:val="222222"/>
          <w:sz w:val="20"/>
          <w:szCs w:val="20"/>
          <w:shd w:val="clear" w:color="auto" w:fill="FFFFFF"/>
        </w:rPr>
        <w:t>can infect humans either directly through contact with infected animals or indirectly as a consequence of bioterrorism. In regions of the world such as Eastern Europe and Central Asia the</w:t>
      </w:r>
    </w:p>
    <w:p w14:paraId="7F7E602F" w14:textId="77777777" w:rsidR="00B31E40" w:rsidRPr="00B31E40" w:rsidRDefault="00B31E40" w:rsidP="00B31E40">
      <w:pPr>
        <w:autoSpaceDE w:val="0"/>
        <w:autoSpaceDN w:val="0"/>
        <w:adjustRightInd w:val="0"/>
        <w:jc w:val="both"/>
        <w:rPr>
          <w:rFonts w:ascii="Sylfaen" w:hAnsi="Sylfaen" w:cs="Sylfaen"/>
          <w:color w:val="222222"/>
          <w:sz w:val="20"/>
          <w:szCs w:val="20"/>
          <w:shd w:val="clear" w:color="auto" w:fill="FFFFFF"/>
        </w:rPr>
      </w:pPr>
      <w:r w:rsidRPr="00B31E40">
        <w:rPr>
          <w:rFonts w:ascii="Sylfaen" w:hAnsi="Sylfaen" w:cs="Sylfaen"/>
          <w:color w:val="222222"/>
          <w:sz w:val="20"/>
          <w:szCs w:val="20"/>
          <w:shd w:val="clear" w:color="auto" w:fill="FFFFFF"/>
        </w:rPr>
        <w:t>pathogen still constitutes a significant threat to human and animal health. A lack of effective veterinary facilities, access to vaccines and the burial of untreated infected animals has resulted in</w:t>
      </w:r>
    </w:p>
    <w:p w14:paraId="2E3CE18A" w14:textId="77777777" w:rsidR="00B31E40" w:rsidRPr="00B31E40" w:rsidRDefault="00B31E40" w:rsidP="00B31E40">
      <w:pPr>
        <w:autoSpaceDE w:val="0"/>
        <w:autoSpaceDN w:val="0"/>
        <w:adjustRightInd w:val="0"/>
        <w:jc w:val="both"/>
        <w:rPr>
          <w:rFonts w:ascii="Sylfaen" w:hAnsi="Sylfaen" w:cs="Sylfaen"/>
          <w:color w:val="222222"/>
          <w:sz w:val="20"/>
          <w:szCs w:val="20"/>
          <w:shd w:val="clear" w:color="auto" w:fill="FFFFFF"/>
        </w:rPr>
      </w:pPr>
      <w:r w:rsidRPr="00B31E40">
        <w:rPr>
          <w:rFonts w:ascii="Sylfaen" w:hAnsi="Sylfaen" w:cs="Sylfaen"/>
          <w:color w:val="222222"/>
          <w:sz w:val="20"/>
          <w:szCs w:val="20"/>
          <w:shd w:val="clear" w:color="auto" w:fill="FFFFFF"/>
        </w:rPr>
        <w:t>the contamination of large areas due to the ability of the spores to survive in soil for many years.</w:t>
      </w:r>
    </w:p>
    <w:p w14:paraId="70A52559" w14:textId="4DF49A72" w:rsidR="00B31E40" w:rsidRPr="00B31E40" w:rsidRDefault="00B31E40" w:rsidP="00B31E40">
      <w:pPr>
        <w:autoSpaceDE w:val="0"/>
        <w:autoSpaceDN w:val="0"/>
        <w:adjustRightInd w:val="0"/>
        <w:jc w:val="both"/>
        <w:rPr>
          <w:rFonts w:ascii="Sylfaen" w:hAnsi="Sylfaen" w:cs="Sylfaen"/>
          <w:color w:val="222222"/>
          <w:sz w:val="20"/>
          <w:szCs w:val="20"/>
          <w:shd w:val="clear" w:color="auto" w:fill="FFFFFF"/>
        </w:rPr>
      </w:pPr>
      <w:r w:rsidRPr="00B31E40">
        <w:rPr>
          <w:rFonts w:ascii="Sylfaen" w:hAnsi="Sylfaen" w:cs="Sylfaen"/>
          <w:color w:val="222222"/>
          <w:sz w:val="20"/>
          <w:szCs w:val="20"/>
          <w:shd w:val="clear" w:color="auto" w:fill="FFFFFF"/>
        </w:rPr>
        <w:t xml:space="preserve">Given that the bacteria </w:t>
      </w:r>
      <w:proofErr w:type="gramStart"/>
      <w:r w:rsidRPr="00B31E40">
        <w:rPr>
          <w:rFonts w:ascii="Sylfaen" w:hAnsi="Sylfaen" w:cs="Sylfaen"/>
          <w:color w:val="222222"/>
          <w:sz w:val="20"/>
          <w:szCs w:val="20"/>
          <w:shd w:val="clear" w:color="auto" w:fill="FFFFFF"/>
        </w:rPr>
        <w:t>is</w:t>
      </w:r>
      <w:proofErr w:type="gramEnd"/>
      <w:r w:rsidRPr="00B31E40">
        <w:rPr>
          <w:rFonts w:ascii="Sylfaen" w:hAnsi="Sylfaen" w:cs="Sylfaen"/>
          <w:color w:val="222222"/>
          <w:sz w:val="20"/>
          <w:szCs w:val="20"/>
          <w:shd w:val="clear" w:color="auto" w:fill="FFFFFF"/>
        </w:rPr>
        <w:t xml:space="preserve"> non-contagious its elimination from contaminated soil and surfaces would have a major impact on disease incidence.</w:t>
      </w:r>
      <w:r w:rsidR="00C2015A">
        <w:rPr>
          <w:rFonts w:ascii="Sylfaen" w:hAnsi="Sylfaen" w:cs="Sylfaen"/>
          <w:color w:val="222222"/>
          <w:sz w:val="20"/>
          <w:szCs w:val="20"/>
          <w:shd w:val="clear" w:color="auto" w:fill="FFFFFF"/>
        </w:rPr>
        <w:t xml:space="preserve"> There was a </w:t>
      </w:r>
      <w:r w:rsidRPr="00B31E40">
        <w:rPr>
          <w:rFonts w:ascii="Sylfaen" w:hAnsi="Sylfaen" w:cs="Sylfaen"/>
          <w:color w:val="222222"/>
          <w:sz w:val="20"/>
          <w:szCs w:val="20"/>
          <w:shd w:val="clear" w:color="auto" w:fill="FFFFFF"/>
        </w:rPr>
        <w:t xml:space="preserve">seek to develop an approach which </w:t>
      </w:r>
      <w:r w:rsidR="00C2015A">
        <w:rPr>
          <w:rFonts w:ascii="Sylfaen" w:hAnsi="Sylfaen" w:cs="Sylfaen"/>
          <w:color w:val="222222"/>
          <w:sz w:val="20"/>
          <w:szCs w:val="20"/>
          <w:shd w:val="clear" w:color="auto" w:fill="FFFFFF"/>
        </w:rPr>
        <w:t>was</w:t>
      </w:r>
    </w:p>
    <w:p w14:paraId="0A96CCB5" w14:textId="77777777" w:rsidR="00B31E40" w:rsidRPr="00B31E40" w:rsidRDefault="00B31E40" w:rsidP="00B31E40">
      <w:pPr>
        <w:autoSpaceDE w:val="0"/>
        <w:autoSpaceDN w:val="0"/>
        <w:adjustRightInd w:val="0"/>
        <w:jc w:val="both"/>
        <w:rPr>
          <w:rFonts w:ascii="Sylfaen" w:hAnsi="Sylfaen" w:cs="Sylfaen"/>
          <w:color w:val="222222"/>
          <w:sz w:val="20"/>
          <w:szCs w:val="20"/>
          <w:shd w:val="clear" w:color="auto" w:fill="FFFFFF"/>
        </w:rPr>
      </w:pPr>
      <w:r w:rsidRPr="00B31E40">
        <w:rPr>
          <w:rFonts w:ascii="Sylfaen" w:hAnsi="Sylfaen" w:cs="Sylfaen"/>
          <w:color w:val="222222"/>
          <w:sz w:val="20"/>
          <w:szCs w:val="20"/>
          <w:shd w:val="clear" w:color="auto" w:fill="FFFFFF"/>
        </w:rPr>
        <w:t xml:space="preserve">specific for </w:t>
      </w:r>
      <w:proofErr w:type="spellStart"/>
      <w:proofErr w:type="gramStart"/>
      <w:r w:rsidRPr="00B31E40">
        <w:rPr>
          <w:rFonts w:ascii="Sylfaen" w:hAnsi="Sylfaen" w:cs="Sylfaen"/>
          <w:color w:val="222222"/>
          <w:sz w:val="20"/>
          <w:szCs w:val="20"/>
          <w:shd w:val="clear" w:color="auto" w:fill="FFFFFF"/>
        </w:rPr>
        <w:t>B.anthracis</w:t>
      </w:r>
      <w:proofErr w:type="spellEnd"/>
      <w:proofErr w:type="gramEnd"/>
      <w:r w:rsidRPr="00B31E40">
        <w:rPr>
          <w:rFonts w:ascii="Sylfaen" w:hAnsi="Sylfaen" w:cs="Sylfaen"/>
          <w:color w:val="222222"/>
          <w:sz w:val="20"/>
          <w:szCs w:val="20"/>
          <w:shd w:val="clear" w:color="auto" w:fill="FFFFFF"/>
        </w:rPr>
        <w:t xml:space="preserve"> and w</w:t>
      </w:r>
      <w:r w:rsidR="00314B7B">
        <w:rPr>
          <w:rFonts w:ascii="Sylfaen" w:hAnsi="Sylfaen" w:cs="Sylfaen"/>
          <w:color w:val="222222"/>
          <w:sz w:val="20"/>
          <w:szCs w:val="20"/>
          <w:shd w:val="clear" w:color="auto" w:fill="FFFFFF"/>
        </w:rPr>
        <w:t>ould</w:t>
      </w:r>
      <w:r w:rsidRPr="00B31E40">
        <w:rPr>
          <w:rFonts w:ascii="Sylfaen" w:hAnsi="Sylfaen" w:cs="Sylfaen"/>
          <w:color w:val="222222"/>
          <w:sz w:val="20"/>
          <w:szCs w:val="20"/>
          <w:shd w:val="clear" w:color="auto" w:fill="FFFFFF"/>
        </w:rPr>
        <w:t xml:space="preserve"> have minimal impact on the environment. Following preliminary</w:t>
      </w:r>
    </w:p>
    <w:p w14:paraId="5637FB84" w14:textId="635692B0" w:rsidR="00B31E40" w:rsidRPr="00B31E40" w:rsidRDefault="00B31E40" w:rsidP="00B31E40">
      <w:pPr>
        <w:autoSpaceDE w:val="0"/>
        <w:autoSpaceDN w:val="0"/>
        <w:adjustRightInd w:val="0"/>
        <w:jc w:val="both"/>
        <w:rPr>
          <w:rFonts w:ascii="Sylfaen" w:hAnsi="Sylfaen" w:cs="Sylfaen"/>
          <w:color w:val="222222"/>
          <w:sz w:val="20"/>
          <w:szCs w:val="20"/>
          <w:shd w:val="clear" w:color="auto" w:fill="FFFFFF"/>
        </w:rPr>
      </w:pPr>
      <w:r w:rsidRPr="00B31E40">
        <w:rPr>
          <w:rFonts w:ascii="Sylfaen" w:hAnsi="Sylfaen" w:cs="Sylfaen"/>
          <w:color w:val="222222"/>
          <w:sz w:val="20"/>
          <w:szCs w:val="20"/>
          <w:shd w:val="clear" w:color="auto" w:fill="FFFFFF"/>
        </w:rPr>
        <w:t xml:space="preserve">field trails on animal burial sites in Turkey and Georgia </w:t>
      </w:r>
      <w:r w:rsidR="00C2015A">
        <w:rPr>
          <w:rFonts w:ascii="Sylfaen" w:hAnsi="Sylfaen" w:cs="Sylfaen"/>
          <w:color w:val="222222"/>
          <w:sz w:val="20"/>
          <w:szCs w:val="20"/>
          <w:shd w:val="clear" w:color="auto" w:fill="FFFFFF"/>
        </w:rPr>
        <w:t>it</w:t>
      </w:r>
      <w:r w:rsidRPr="00B31E40">
        <w:rPr>
          <w:rFonts w:ascii="Sylfaen" w:hAnsi="Sylfaen" w:cs="Sylfaen"/>
          <w:color w:val="222222"/>
          <w:sz w:val="20"/>
          <w:szCs w:val="20"/>
          <w:shd w:val="clear" w:color="auto" w:fill="FFFFFF"/>
        </w:rPr>
        <w:t xml:space="preserve"> ha</w:t>
      </w:r>
      <w:r w:rsidR="00314B7B">
        <w:rPr>
          <w:rFonts w:ascii="Sylfaen" w:hAnsi="Sylfaen" w:cs="Sylfaen"/>
          <w:color w:val="222222"/>
          <w:sz w:val="20"/>
          <w:szCs w:val="20"/>
          <w:shd w:val="clear" w:color="auto" w:fill="FFFFFF"/>
        </w:rPr>
        <w:t>d</w:t>
      </w:r>
      <w:r w:rsidRPr="00B31E40">
        <w:rPr>
          <w:rFonts w:ascii="Sylfaen" w:hAnsi="Sylfaen" w:cs="Sylfaen"/>
          <w:color w:val="222222"/>
          <w:sz w:val="20"/>
          <w:szCs w:val="20"/>
          <w:shd w:val="clear" w:color="auto" w:fill="FFFFFF"/>
        </w:rPr>
        <w:t xml:space="preserve"> </w:t>
      </w:r>
      <w:r w:rsidR="00C2015A">
        <w:rPr>
          <w:rFonts w:ascii="Sylfaen" w:hAnsi="Sylfaen" w:cs="Sylfaen"/>
          <w:color w:val="222222"/>
          <w:sz w:val="20"/>
          <w:szCs w:val="20"/>
          <w:shd w:val="clear" w:color="auto" w:fill="FFFFFF"/>
        </w:rPr>
        <w:t xml:space="preserve">been </w:t>
      </w:r>
      <w:r w:rsidRPr="00B31E40">
        <w:rPr>
          <w:rFonts w:ascii="Sylfaen" w:hAnsi="Sylfaen" w:cs="Sylfaen"/>
          <w:color w:val="222222"/>
          <w:sz w:val="20"/>
          <w:szCs w:val="20"/>
          <w:shd w:val="clear" w:color="auto" w:fill="FFFFFF"/>
        </w:rPr>
        <w:t>developed a technique which trigger</w:t>
      </w:r>
      <w:r w:rsidR="00C2015A">
        <w:rPr>
          <w:rFonts w:ascii="Sylfaen" w:hAnsi="Sylfaen" w:cs="Sylfaen"/>
          <w:color w:val="222222"/>
          <w:sz w:val="20"/>
          <w:szCs w:val="20"/>
          <w:shd w:val="clear" w:color="auto" w:fill="FFFFFF"/>
        </w:rPr>
        <w:t>ed</w:t>
      </w:r>
      <w:r w:rsidRPr="00B31E40">
        <w:rPr>
          <w:rFonts w:ascii="Sylfaen" w:hAnsi="Sylfaen" w:cs="Sylfaen"/>
          <w:color w:val="222222"/>
          <w:sz w:val="20"/>
          <w:szCs w:val="20"/>
          <w:shd w:val="clear" w:color="auto" w:fill="FFFFFF"/>
        </w:rPr>
        <w:t xml:space="preserve"> the conversion (germination) of </w:t>
      </w:r>
      <w:proofErr w:type="spellStart"/>
      <w:proofErr w:type="gramStart"/>
      <w:r w:rsidRPr="00B31E40">
        <w:rPr>
          <w:rFonts w:ascii="Sylfaen" w:hAnsi="Sylfaen" w:cs="Sylfaen"/>
          <w:color w:val="222222"/>
          <w:sz w:val="20"/>
          <w:szCs w:val="20"/>
          <w:shd w:val="clear" w:color="auto" w:fill="FFFFFF"/>
        </w:rPr>
        <w:t>B.anthracis</w:t>
      </w:r>
      <w:proofErr w:type="spellEnd"/>
      <w:proofErr w:type="gramEnd"/>
      <w:r w:rsidRPr="00B31E40">
        <w:rPr>
          <w:rFonts w:ascii="Sylfaen" w:hAnsi="Sylfaen" w:cs="Sylfaen"/>
          <w:color w:val="222222"/>
          <w:sz w:val="20"/>
          <w:szCs w:val="20"/>
          <w:shd w:val="clear" w:color="auto" w:fill="FFFFFF"/>
        </w:rPr>
        <w:t xml:space="preserve"> spores into bacteriophage (phage) susceptible vegetative bacteria. Phages are natural </w:t>
      </w:r>
      <w:proofErr w:type="spellStart"/>
      <w:r w:rsidRPr="00B31E40">
        <w:rPr>
          <w:rFonts w:ascii="Sylfaen" w:hAnsi="Sylfaen" w:cs="Sylfaen"/>
          <w:color w:val="222222"/>
          <w:sz w:val="20"/>
          <w:szCs w:val="20"/>
          <w:shd w:val="clear" w:color="auto" w:fill="FFFFFF"/>
        </w:rPr>
        <w:t>preditors</w:t>
      </w:r>
      <w:proofErr w:type="spellEnd"/>
      <w:r w:rsidRPr="00B31E40">
        <w:rPr>
          <w:rFonts w:ascii="Sylfaen" w:hAnsi="Sylfaen" w:cs="Sylfaen"/>
          <w:color w:val="222222"/>
          <w:sz w:val="20"/>
          <w:szCs w:val="20"/>
          <w:shd w:val="clear" w:color="auto" w:fill="FFFFFF"/>
        </w:rPr>
        <w:t xml:space="preserve"> of bacteria, are species specific and found in close proximity to their prey. Additional phages ha</w:t>
      </w:r>
      <w:r w:rsidR="00314B7B">
        <w:rPr>
          <w:rFonts w:ascii="Sylfaen" w:hAnsi="Sylfaen" w:cs="Sylfaen"/>
          <w:color w:val="222222"/>
          <w:sz w:val="20"/>
          <w:szCs w:val="20"/>
          <w:shd w:val="clear" w:color="auto" w:fill="FFFFFF"/>
        </w:rPr>
        <w:t>d</w:t>
      </w:r>
      <w:r w:rsidRPr="00B31E40">
        <w:rPr>
          <w:rFonts w:ascii="Sylfaen" w:hAnsi="Sylfaen" w:cs="Sylfaen"/>
          <w:color w:val="222222"/>
          <w:sz w:val="20"/>
          <w:szCs w:val="20"/>
          <w:shd w:val="clear" w:color="auto" w:fill="FFFFFF"/>
        </w:rPr>
        <w:t xml:space="preserve"> been isolated from burial sites in Georgia and Turkey and w</w:t>
      </w:r>
      <w:r w:rsidR="00314B7B">
        <w:rPr>
          <w:rFonts w:ascii="Sylfaen" w:hAnsi="Sylfaen" w:cs="Sylfaen"/>
          <w:color w:val="222222"/>
          <w:sz w:val="20"/>
          <w:szCs w:val="20"/>
          <w:shd w:val="clear" w:color="auto" w:fill="FFFFFF"/>
        </w:rPr>
        <w:t>ere</w:t>
      </w:r>
      <w:r w:rsidRPr="00B31E40">
        <w:rPr>
          <w:rFonts w:ascii="Sylfaen" w:hAnsi="Sylfaen" w:cs="Sylfaen"/>
          <w:color w:val="222222"/>
          <w:sz w:val="20"/>
          <w:szCs w:val="20"/>
          <w:shd w:val="clear" w:color="auto" w:fill="FFFFFF"/>
        </w:rPr>
        <w:t xml:space="preserve"> evaluated as </w:t>
      </w:r>
      <w:r w:rsidR="00314B7B">
        <w:rPr>
          <w:rFonts w:ascii="Sylfaen" w:hAnsi="Sylfaen" w:cs="Sylfaen"/>
          <w:color w:val="222222"/>
          <w:sz w:val="20"/>
          <w:szCs w:val="20"/>
          <w:shd w:val="clear" w:color="auto" w:fill="FFFFFF"/>
        </w:rPr>
        <w:t xml:space="preserve">a </w:t>
      </w:r>
      <w:r w:rsidRPr="00B31E40">
        <w:rPr>
          <w:rFonts w:ascii="Sylfaen" w:hAnsi="Sylfaen" w:cs="Sylfaen"/>
          <w:color w:val="222222"/>
          <w:sz w:val="20"/>
          <w:szCs w:val="20"/>
          <w:shd w:val="clear" w:color="auto" w:fill="FFFFFF"/>
        </w:rPr>
        <w:t xml:space="preserve">part of this study. While there </w:t>
      </w:r>
      <w:r w:rsidR="00314B7B">
        <w:rPr>
          <w:rFonts w:ascii="Sylfaen" w:hAnsi="Sylfaen" w:cs="Sylfaen"/>
          <w:color w:val="222222"/>
          <w:sz w:val="20"/>
          <w:szCs w:val="20"/>
          <w:shd w:val="clear" w:color="auto" w:fill="FFFFFF"/>
        </w:rPr>
        <w:t>were</w:t>
      </w:r>
      <w:r w:rsidRPr="00B31E40">
        <w:rPr>
          <w:rFonts w:ascii="Sylfaen" w:hAnsi="Sylfaen" w:cs="Sylfaen"/>
          <w:color w:val="222222"/>
          <w:sz w:val="20"/>
          <w:szCs w:val="20"/>
          <w:shd w:val="clear" w:color="auto" w:fill="FFFFFF"/>
        </w:rPr>
        <w:t xml:space="preserve"> a number of funded </w:t>
      </w:r>
      <w:proofErr w:type="gramStart"/>
      <w:r w:rsidRPr="00B31E40">
        <w:rPr>
          <w:rFonts w:ascii="Sylfaen" w:hAnsi="Sylfaen" w:cs="Sylfaen"/>
          <w:color w:val="222222"/>
          <w:sz w:val="20"/>
          <w:szCs w:val="20"/>
          <w:shd w:val="clear" w:color="auto" w:fill="FFFFFF"/>
        </w:rPr>
        <w:t>phage based</w:t>
      </w:r>
      <w:proofErr w:type="gramEnd"/>
      <w:r w:rsidRPr="00B31E40">
        <w:rPr>
          <w:rFonts w:ascii="Sylfaen" w:hAnsi="Sylfaen" w:cs="Sylfaen"/>
          <w:color w:val="222222"/>
          <w:sz w:val="20"/>
          <w:szCs w:val="20"/>
          <w:shd w:val="clear" w:color="auto" w:fill="FFFFFF"/>
        </w:rPr>
        <w:t xml:space="preserve"> anthrax decontamination projects in the region there </w:t>
      </w:r>
      <w:r w:rsidR="00314B7B">
        <w:rPr>
          <w:rFonts w:ascii="Sylfaen" w:hAnsi="Sylfaen" w:cs="Sylfaen"/>
          <w:color w:val="222222"/>
          <w:sz w:val="20"/>
          <w:szCs w:val="20"/>
          <w:shd w:val="clear" w:color="auto" w:fill="FFFFFF"/>
        </w:rPr>
        <w:t>was</w:t>
      </w:r>
      <w:r w:rsidRPr="00B31E40">
        <w:rPr>
          <w:rFonts w:ascii="Sylfaen" w:hAnsi="Sylfaen" w:cs="Sylfaen"/>
          <w:color w:val="222222"/>
          <w:sz w:val="20"/>
          <w:szCs w:val="20"/>
          <w:shd w:val="clear" w:color="auto" w:fill="FFFFFF"/>
        </w:rPr>
        <w:t xml:space="preserve"> as yet no dedicated scientific network to facilitate the sharing of best practices and to link researchers in neighboring countries fac</w:t>
      </w:r>
      <w:r w:rsidR="00314B7B">
        <w:rPr>
          <w:rFonts w:ascii="Sylfaen" w:hAnsi="Sylfaen" w:cs="Sylfaen"/>
          <w:color w:val="222222"/>
          <w:sz w:val="20"/>
          <w:szCs w:val="20"/>
          <w:shd w:val="clear" w:color="auto" w:fill="FFFFFF"/>
        </w:rPr>
        <w:t>ed</w:t>
      </w:r>
      <w:r w:rsidRPr="00B31E40">
        <w:rPr>
          <w:rFonts w:ascii="Sylfaen" w:hAnsi="Sylfaen" w:cs="Sylfaen"/>
          <w:color w:val="222222"/>
          <w:sz w:val="20"/>
          <w:szCs w:val="20"/>
          <w:shd w:val="clear" w:color="auto" w:fill="FFFFFF"/>
        </w:rPr>
        <w:t xml:space="preserve"> similar problems. It </w:t>
      </w:r>
      <w:r w:rsidR="00314B7B">
        <w:rPr>
          <w:rFonts w:ascii="Sylfaen" w:hAnsi="Sylfaen" w:cs="Sylfaen"/>
          <w:color w:val="222222"/>
          <w:sz w:val="20"/>
          <w:szCs w:val="20"/>
          <w:shd w:val="clear" w:color="auto" w:fill="FFFFFF"/>
        </w:rPr>
        <w:t>was</w:t>
      </w:r>
      <w:r w:rsidRPr="00B31E40">
        <w:rPr>
          <w:rFonts w:ascii="Sylfaen" w:hAnsi="Sylfaen" w:cs="Sylfaen"/>
          <w:color w:val="222222"/>
          <w:sz w:val="20"/>
          <w:szCs w:val="20"/>
          <w:shd w:val="clear" w:color="auto" w:fill="FFFFFF"/>
        </w:rPr>
        <w:t xml:space="preserve"> our intention to link these projects together in a manner which maximize</w:t>
      </w:r>
      <w:r w:rsidR="00314B7B">
        <w:rPr>
          <w:rFonts w:ascii="Sylfaen" w:hAnsi="Sylfaen" w:cs="Sylfaen"/>
          <w:color w:val="222222"/>
          <w:sz w:val="20"/>
          <w:szCs w:val="20"/>
          <w:shd w:val="clear" w:color="auto" w:fill="FFFFFF"/>
        </w:rPr>
        <w:t>d</w:t>
      </w:r>
      <w:r w:rsidRPr="00B31E40">
        <w:rPr>
          <w:rFonts w:ascii="Sylfaen" w:hAnsi="Sylfaen" w:cs="Sylfaen"/>
          <w:color w:val="222222"/>
          <w:sz w:val="20"/>
          <w:szCs w:val="20"/>
          <w:shd w:val="clear" w:color="auto" w:fill="FFFFFF"/>
        </w:rPr>
        <w:t xml:space="preserve"> the current investment and w</w:t>
      </w:r>
      <w:r w:rsidR="00314B7B">
        <w:rPr>
          <w:rFonts w:ascii="Sylfaen" w:hAnsi="Sylfaen" w:cs="Sylfaen"/>
          <w:color w:val="222222"/>
          <w:sz w:val="20"/>
          <w:szCs w:val="20"/>
          <w:shd w:val="clear" w:color="auto" w:fill="FFFFFF"/>
        </w:rPr>
        <w:t>ould</w:t>
      </w:r>
      <w:r w:rsidRPr="00B31E40">
        <w:rPr>
          <w:rFonts w:ascii="Sylfaen" w:hAnsi="Sylfaen" w:cs="Sylfaen"/>
          <w:color w:val="222222"/>
          <w:sz w:val="20"/>
          <w:szCs w:val="20"/>
          <w:shd w:val="clear" w:color="auto" w:fill="FFFFFF"/>
        </w:rPr>
        <w:t xml:space="preserve"> deliver an environmentally friendly decontamination system.</w:t>
      </w:r>
    </w:p>
    <w:p w14:paraId="3CB8E6E6" w14:textId="77777777" w:rsidR="00B31E40" w:rsidRDefault="00B31E40" w:rsidP="00B31E40">
      <w:pPr>
        <w:autoSpaceDE w:val="0"/>
        <w:autoSpaceDN w:val="0"/>
        <w:adjustRightInd w:val="0"/>
        <w:jc w:val="both"/>
        <w:rPr>
          <w:rFonts w:ascii="Sylfaen" w:hAnsi="Sylfaen" w:cs="Sylfaen"/>
          <w:color w:val="222222"/>
          <w:sz w:val="20"/>
          <w:szCs w:val="20"/>
          <w:shd w:val="clear" w:color="auto" w:fill="FFFFFF"/>
        </w:rPr>
      </w:pPr>
    </w:p>
    <w:p w14:paraId="1C7EC745" w14:textId="77777777" w:rsidR="00B31E40" w:rsidRPr="00B31E40" w:rsidRDefault="00B31E40" w:rsidP="00B31E40">
      <w:pPr>
        <w:autoSpaceDE w:val="0"/>
        <w:autoSpaceDN w:val="0"/>
        <w:adjustRightInd w:val="0"/>
        <w:jc w:val="both"/>
        <w:rPr>
          <w:rFonts w:ascii="Sylfaen" w:hAnsi="Sylfaen" w:cs="Sylfaen"/>
          <w:color w:val="222222"/>
          <w:sz w:val="20"/>
          <w:szCs w:val="20"/>
          <w:shd w:val="clear" w:color="auto" w:fill="FFFFFF"/>
        </w:rPr>
      </w:pPr>
      <w:proofErr w:type="spellStart"/>
      <w:r w:rsidRPr="00B31E40">
        <w:rPr>
          <w:rFonts w:ascii="Sylfaen" w:hAnsi="Sylfaen" w:cs="Sylfaen"/>
          <w:color w:val="222222"/>
          <w:sz w:val="20"/>
          <w:szCs w:val="20"/>
          <w:shd w:val="clear" w:color="auto" w:fill="FFFFFF"/>
        </w:rPr>
        <w:t>AEDNet</w:t>
      </w:r>
      <w:proofErr w:type="spellEnd"/>
      <w:r w:rsidRPr="00B31E40">
        <w:rPr>
          <w:rFonts w:ascii="Sylfaen" w:hAnsi="Sylfaen" w:cs="Sylfaen"/>
          <w:color w:val="222222"/>
          <w:sz w:val="20"/>
          <w:szCs w:val="20"/>
          <w:shd w:val="clear" w:color="auto" w:fill="FFFFFF"/>
        </w:rPr>
        <w:t xml:space="preserve"> project ha</w:t>
      </w:r>
      <w:r w:rsidR="00C2015A">
        <w:rPr>
          <w:rFonts w:ascii="Sylfaen" w:hAnsi="Sylfaen" w:cs="Sylfaen"/>
          <w:color w:val="222222"/>
          <w:sz w:val="20"/>
          <w:szCs w:val="20"/>
          <w:shd w:val="clear" w:color="auto" w:fill="FFFFFF"/>
        </w:rPr>
        <w:t>d</w:t>
      </w:r>
      <w:r w:rsidRPr="00B31E40">
        <w:rPr>
          <w:rFonts w:ascii="Sylfaen" w:hAnsi="Sylfaen" w:cs="Sylfaen"/>
          <w:color w:val="222222"/>
          <w:sz w:val="20"/>
          <w:szCs w:val="20"/>
          <w:shd w:val="clear" w:color="auto" w:fill="FFFFFF"/>
        </w:rPr>
        <w:t xml:space="preserve"> different partners from </w:t>
      </w:r>
      <w:proofErr w:type="gramStart"/>
      <w:r w:rsidRPr="00B31E40">
        <w:rPr>
          <w:rFonts w:ascii="Sylfaen" w:hAnsi="Sylfaen" w:cs="Sylfaen"/>
          <w:color w:val="222222"/>
          <w:sz w:val="20"/>
          <w:szCs w:val="20"/>
          <w:shd w:val="clear" w:color="auto" w:fill="FFFFFF"/>
        </w:rPr>
        <w:t>EU  -</w:t>
      </w:r>
      <w:proofErr w:type="gramEnd"/>
      <w:r w:rsidRPr="00B31E40">
        <w:rPr>
          <w:rFonts w:ascii="Sylfaen" w:hAnsi="Sylfaen" w:cs="Sylfaen"/>
          <w:color w:val="222222"/>
          <w:sz w:val="20"/>
          <w:szCs w:val="20"/>
          <w:shd w:val="clear" w:color="auto" w:fill="FFFFFF"/>
        </w:rPr>
        <w:t xml:space="preserve"> Italy, Germany, Poland, as well as Turkey, Georgia and Ukraine and </w:t>
      </w:r>
      <w:r w:rsidR="00C2015A">
        <w:rPr>
          <w:rFonts w:ascii="Sylfaen" w:hAnsi="Sylfaen" w:cs="Sylfaen"/>
          <w:color w:val="222222"/>
          <w:sz w:val="20"/>
          <w:szCs w:val="20"/>
          <w:shd w:val="clear" w:color="auto" w:fill="FFFFFF"/>
        </w:rPr>
        <w:t>was</w:t>
      </w:r>
      <w:r w:rsidRPr="00B31E40">
        <w:rPr>
          <w:rFonts w:ascii="Sylfaen" w:hAnsi="Sylfaen" w:cs="Sylfaen"/>
          <w:color w:val="222222"/>
          <w:sz w:val="20"/>
          <w:szCs w:val="20"/>
          <w:shd w:val="clear" w:color="auto" w:fill="FFFFFF"/>
        </w:rPr>
        <w:t xml:space="preserve"> led by </w:t>
      </w:r>
      <w:r w:rsidRPr="00B31E40">
        <w:rPr>
          <w:rFonts w:ascii="Sylfaen" w:hAnsi="Sylfaen" w:cs="Sylfaen"/>
          <w:b/>
          <w:color w:val="222222"/>
          <w:sz w:val="20"/>
          <w:szCs w:val="20"/>
          <w:shd w:val="clear" w:color="auto" w:fill="FFFFFF"/>
        </w:rPr>
        <w:t>Cardiff University</w:t>
      </w:r>
      <w:r w:rsidRPr="00B31E40">
        <w:rPr>
          <w:rFonts w:ascii="Sylfaen" w:hAnsi="Sylfaen" w:cs="Sylfaen"/>
          <w:color w:val="222222"/>
          <w:sz w:val="20"/>
          <w:szCs w:val="20"/>
          <w:shd w:val="clear" w:color="auto" w:fill="FFFFFF"/>
        </w:rPr>
        <w:t>.</w:t>
      </w:r>
    </w:p>
    <w:p w14:paraId="46AF6102" w14:textId="77777777" w:rsidR="00B31E40" w:rsidRPr="00B31E40" w:rsidRDefault="00B31E40" w:rsidP="00B31E40">
      <w:pPr>
        <w:autoSpaceDE w:val="0"/>
        <w:autoSpaceDN w:val="0"/>
        <w:adjustRightInd w:val="0"/>
        <w:jc w:val="both"/>
        <w:rPr>
          <w:rFonts w:ascii="Sylfaen" w:eastAsiaTheme="minorEastAsia" w:hAnsi="Sylfaen" w:cs="Calibri-Bold"/>
          <w:b/>
          <w:bCs/>
          <w:color w:val="auto"/>
          <w:sz w:val="20"/>
          <w:szCs w:val="20"/>
        </w:rPr>
      </w:pPr>
    </w:p>
    <w:p w14:paraId="51295361" w14:textId="77777777" w:rsidR="006C2AF5" w:rsidRPr="00B31E40" w:rsidRDefault="006C2AF5" w:rsidP="00B31E40">
      <w:pPr>
        <w:pStyle w:val="Normal1"/>
        <w:jc w:val="both"/>
        <w:rPr>
          <w:rFonts w:ascii="Sylfaen" w:eastAsia="Calibri" w:hAnsi="Sylfaen" w:cs="Calibri"/>
          <w:sz w:val="20"/>
          <w:szCs w:val="20"/>
        </w:rPr>
      </w:pPr>
    </w:p>
    <w:p w14:paraId="39709F48" w14:textId="77777777" w:rsidR="006C2AF5" w:rsidRPr="00B31E40" w:rsidRDefault="00203876" w:rsidP="00B31E40">
      <w:pPr>
        <w:pStyle w:val="Normal1"/>
        <w:jc w:val="both"/>
        <w:rPr>
          <w:rFonts w:ascii="Sylfaen" w:eastAsia="Calibri" w:hAnsi="Sylfaen" w:cs="Calibri"/>
          <w:b/>
          <w:sz w:val="20"/>
          <w:szCs w:val="20"/>
          <w:u w:val="single"/>
        </w:rPr>
      </w:pPr>
      <w:r w:rsidRPr="00B31E40">
        <w:rPr>
          <w:rFonts w:ascii="Sylfaen" w:eastAsia="Calibri" w:hAnsi="Sylfaen" w:cs="Calibri"/>
          <w:b/>
          <w:sz w:val="20"/>
          <w:szCs w:val="20"/>
          <w:u w:val="single"/>
        </w:rPr>
        <w:t>The Years of 2013-2016:</w:t>
      </w:r>
    </w:p>
    <w:p w14:paraId="309B6E57" w14:textId="77777777" w:rsidR="0097531E" w:rsidRPr="00B31E40" w:rsidRDefault="0097531E" w:rsidP="00B31E40">
      <w:pPr>
        <w:pStyle w:val="Normal1"/>
        <w:jc w:val="both"/>
        <w:rPr>
          <w:rFonts w:ascii="Sylfaen" w:eastAsia="Calibri" w:hAnsi="Sylfaen" w:cs="Calibri"/>
          <w:sz w:val="20"/>
          <w:szCs w:val="20"/>
        </w:rPr>
      </w:pPr>
    </w:p>
    <w:p w14:paraId="55E4C9A2" w14:textId="77777777" w:rsidR="0097531E" w:rsidRPr="00B31E40" w:rsidRDefault="00203876" w:rsidP="00B31E40">
      <w:pPr>
        <w:pStyle w:val="Normal1"/>
        <w:jc w:val="both"/>
        <w:rPr>
          <w:rFonts w:ascii="Sylfaen" w:hAnsi="Sylfaen"/>
          <w:b/>
          <w:sz w:val="20"/>
          <w:szCs w:val="20"/>
        </w:rPr>
      </w:pPr>
      <w:r w:rsidRPr="00B31E40">
        <w:rPr>
          <w:rFonts w:ascii="Sylfaen" w:hAnsi="Sylfaen"/>
          <w:b/>
          <w:sz w:val="20"/>
          <w:szCs w:val="20"/>
        </w:rPr>
        <w:t>Project: Avian influenza virus Ecology and Evolution in wild birds in Georgia and the host species population genetics structure</w:t>
      </w:r>
    </w:p>
    <w:p w14:paraId="45183760" w14:textId="77777777" w:rsidR="00203876" w:rsidRPr="00B31E40" w:rsidRDefault="00203876" w:rsidP="00B31E40">
      <w:pPr>
        <w:pStyle w:val="Normal1"/>
        <w:jc w:val="both"/>
        <w:rPr>
          <w:rFonts w:ascii="Sylfaen" w:hAnsi="Sylfaen"/>
          <w:b/>
          <w:sz w:val="20"/>
          <w:szCs w:val="20"/>
        </w:rPr>
      </w:pPr>
    </w:p>
    <w:p w14:paraId="4D112A74" w14:textId="77777777" w:rsidR="00203876" w:rsidRPr="00B31E40" w:rsidRDefault="00203876" w:rsidP="00B31E40">
      <w:pPr>
        <w:pStyle w:val="Normal1"/>
        <w:jc w:val="both"/>
        <w:rPr>
          <w:rFonts w:ascii="Sylfaen" w:hAnsi="Sylfaen"/>
          <w:sz w:val="20"/>
          <w:szCs w:val="20"/>
        </w:rPr>
      </w:pPr>
      <w:r w:rsidRPr="00B31E40">
        <w:rPr>
          <w:rFonts w:ascii="Sylfaen" w:hAnsi="Sylfaen"/>
          <w:sz w:val="20"/>
          <w:szCs w:val="20"/>
        </w:rPr>
        <w:t xml:space="preserve">The objective of the project </w:t>
      </w:r>
      <w:r w:rsidR="00C2015A">
        <w:rPr>
          <w:rFonts w:ascii="Sylfaen" w:hAnsi="Sylfaen"/>
          <w:sz w:val="20"/>
          <w:szCs w:val="20"/>
        </w:rPr>
        <w:t>was</w:t>
      </w:r>
      <w:r w:rsidRPr="00B31E40">
        <w:rPr>
          <w:rFonts w:ascii="Sylfaen" w:hAnsi="Sylfaen"/>
          <w:sz w:val="20"/>
          <w:szCs w:val="20"/>
        </w:rPr>
        <w:t xml:space="preserve"> to study the avian influenza on a genetic level and to identify the links </w:t>
      </w:r>
      <w:r w:rsidR="007D6E47" w:rsidRPr="00B31E40">
        <w:rPr>
          <w:rFonts w:ascii="Sylfaen" w:hAnsi="Sylfaen"/>
          <w:sz w:val="20"/>
          <w:szCs w:val="20"/>
        </w:rPr>
        <w:t xml:space="preserve">with circulated viruses in different parts of the Earth as well as to determine the virus directions from Asian to African and European countries. The project also included the study of virus evolution in Caucasian region through molecular genetic methods. </w:t>
      </w:r>
    </w:p>
    <w:p w14:paraId="2696700B" w14:textId="77777777" w:rsidR="007D6E47" w:rsidRPr="00B31E40" w:rsidRDefault="007D6E47" w:rsidP="00B31E40">
      <w:pPr>
        <w:pStyle w:val="Normal1"/>
        <w:jc w:val="both"/>
        <w:rPr>
          <w:rFonts w:ascii="Sylfaen" w:hAnsi="Sylfaen"/>
          <w:sz w:val="20"/>
          <w:szCs w:val="20"/>
        </w:rPr>
      </w:pPr>
    </w:p>
    <w:p w14:paraId="74552FE8" w14:textId="77777777" w:rsidR="00B31E40" w:rsidRPr="00B31E40" w:rsidRDefault="007D6E47" w:rsidP="00B31E40">
      <w:pPr>
        <w:pStyle w:val="Normal1"/>
        <w:jc w:val="both"/>
        <w:rPr>
          <w:rFonts w:ascii="Sylfaen" w:hAnsi="Sylfaen"/>
          <w:sz w:val="20"/>
          <w:szCs w:val="20"/>
        </w:rPr>
      </w:pPr>
      <w:r w:rsidRPr="00B31E40">
        <w:rPr>
          <w:rFonts w:ascii="Sylfaen" w:hAnsi="Sylfaen"/>
          <w:sz w:val="20"/>
          <w:szCs w:val="20"/>
        </w:rPr>
        <w:t>The project was implemented by the National Center for Disease Control and Public Health, Ilia University (Georgian side) and Cambridge University and Animal Health and Veterinary Laboratories Agency (UK side). The project was funded by the US Defense Threat Reduction Agency (DTRA), the budget allocated for NCDC amounted 46 078 GB.</w:t>
      </w:r>
    </w:p>
    <w:p w14:paraId="031BD64A" w14:textId="77777777" w:rsidR="00B31E40" w:rsidRPr="00B31E40" w:rsidRDefault="00B31E40" w:rsidP="00B31E40">
      <w:pPr>
        <w:pStyle w:val="Normal1"/>
        <w:jc w:val="both"/>
        <w:rPr>
          <w:rFonts w:ascii="Sylfaen" w:hAnsi="Sylfaen"/>
          <w:sz w:val="20"/>
          <w:szCs w:val="20"/>
        </w:rPr>
      </w:pPr>
    </w:p>
    <w:p w14:paraId="5DF883DD" w14:textId="77777777" w:rsidR="00B31E40" w:rsidRPr="00B31E40" w:rsidRDefault="00B31E40" w:rsidP="00B31E40">
      <w:pPr>
        <w:pStyle w:val="Normal1"/>
        <w:jc w:val="both"/>
        <w:rPr>
          <w:rFonts w:ascii="Sylfaen" w:hAnsi="Sylfaen"/>
          <w:b/>
          <w:sz w:val="20"/>
          <w:szCs w:val="20"/>
        </w:rPr>
      </w:pPr>
      <w:r w:rsidRPr="00B31E40">
        <w:rPr>
          <w:rFonts w:ascii="Sylfaen" w:hAnsi="Sylfaen"/>
          <w:b/>
          <w:sz w:val="20"/>
          <w:szCs w:val="20"/>
        </w:rPr>
        <w:t>Project: Molecular Virology Studies in Georgia</w:t>
      </w:r>
    </w:p>
    <w:p w14:paraId="21E78ADC" w14:textId="77777777" w:rsidR="00B31E40" w:rsidRPr="00B31E40" w:rsidRDefault="00B31E40" w:rsidP="00B31E40">
      <w:pPr>
        <w:pStyle w:val="Normal1"/>
        <w:jc w:val="both"/>
        <w:rPr>
          <w:rFonts w:ascii="Sylfaen" w:hAnsi="Sylfaen"/>
          <w:sz w:val="20"/>
          <w:szCs w:val="20"/>
        </w:rPr>
      </w:pPr>
    </w:p>
    <w:p w14:paraId="4AC6CEAC" w14:textId="77777777" w:rsidR="00C2015A" w:rsidRDefault="00B31E40" w:rsidP="00B31E40">
      <w:pPr>
        <w:pStyle w:val="Normal1"/>
        <w:jc w:val="both"/>
        <w:rPr>
          <w:rFonts w:ascii="Sylfaen" w:hAnsi="Sylfaen"/>
          <w:sz w:val="20"/>
          <w:szCs w:val="20"/>
        </w:rPr>
      </w:pPr>
      <w:r w:rsidRPr="00B31E40">
        <w:rPr>
          <w:rFonts w:ascii="Sylfaen" w:hAnsi="Sylfaen"/>
          <w:sz w:val="20"/>
          <w:szCs w:val="20"/>
        </w:rPr>
        <w:t>The proposed collaborative research project assess</w:t>
      </w:r>
      <w:r w:rsidR="00C2015A">
        <w:rPr>
          <w:rFonts w:ascii="Sylfaen" w:hAnsi="Sylfaen"/>
          <w:sz w:val="20"/>
          <w:szCs w:val="20"/>
        </w:rPr>
        <w:t>ed</w:t>
      </w:r>
      <w:r w:rsidRPr="00B31E40">
        <w:rPr>
          <w:rFonts w:ascii="Sylfaen" w:hAnsi="Sylfaen"/>
          <w:sz w:val="20"/>
          <w:szCs w:val="20"/>
        </w:rPr>
        <w:t xml:space="preserve"> the seroprevalence and genetic diversity of highly pathogenic </w:t>
      </w:r>
      <w:proofErr w:type="spellStart"/>
      <w:r w:rsidRPr="00B31E40">
        <w:rPr>
          <w:rFonts w:ascii="Sylfaen" w:hAnsi="Sylfaen"/>
          <w:sz w:val="20"/>
          <w:szCs w:val="20"/>
        </w:rPr>
        <w:t>bunyaviruses</w:t>
      </w:r>
      <w:proofErr w:type="spellEnd"/>
      <w:r w:rsidRPr="00B31E40">
        <w:rPr>
          <w:rFonts w:ascii="Sylfaen" w:hAnsi="Sylfaen"/>
          <w:sz w:val="20"/>
          <w:szCs w:val="20"/>
        </w:rPr>
        <w:t xml:space="preserve"> circulating in Georgia to include Crimean-Congo hemorrhagic fever virus (CCHFV) and hantaviruses causing hemorrhagic fever with renal syndrome (HFRS), such as </w:t>
      </w:r>
      <w:proofErr w:type="spellStart"/>
      <w:r w:rsidRPr="00B31E40">
        <w:rPr>
          <w:rFonts w:ascii="Sylfaen" w:hAnsi="Sylfaen"/>
          <w:sz w:val="20"/>
          <w:szCs w:val="20"/>
        </w:rPr>
        <w:t>Puumala</w:t>
      </w:r>
      <w:proofErr w:type="spellEnd"/>
      <w:r w:rsidRPr="00B31E40">
        <w:rPr>
          <w:rFonts w:ascii="Sylfaen" w:hAnsi="Sylfaen"/>
          <w:sz w:val="20"/>
          <w:szCs w:val="20"/>
        </w:rPr>
        <w:t xml:space="preserve"> (PUUV), </w:t>
      </w:r>
      <w:proofErr w:type="spellStart"/>
      <w:r w:rsidRPr="00B31E40">
        <w:rPr>
          <w:rFonts w:ascii="Sylfaen" w:hAnsi="Sylfaen"/>
          <w:sz w:val="20"/>
          <w:szCs w:val="20"/>
        </w:rPr>
        <w:t>Dobrava</w:t>
      </w:r>
      <w:proofErr w:type="spellEnd"/>
      <w:r w:rsidRPr="00B31E40">
        <w:rPr>
          <w:rFonts w:ascii="Sylfaen" w:hAnsi="Sylfaen"/>
          <w:sz w:val="20"/>
          <w:szCs w:val="20"/>
        </w:rPr>
        <w:t xml:space="preserve"> (DOBV), or Seoul (SEOV) viruses. The work proposed w</w:t>
      </w:r>
      <w:r w:rsidR="00C2015A">
        <w:rPr>
          <w:rFonts w:ascii="Sylfaen" w:hAnsi="Sylfaen"/>
          <w:sz w:val="20"/>
          <w:szCs w:val="20"/>
        </w:rPr>
        <w:t>ould</w:t>
      </w:r>
      <w:r w:rsidRPr="00B31E40">
        <w:rPr>
          <w:rFonts w:ascii="Sylfaen" w:hAnsi="Sylfaen"/>
          <w:sz w:val="20"/>
          <w:szCs w:val="20"/>
        </w:rPr>
        <w:t xml:space="preserve"> leverage and build on results obtained under two other CBEP projects: GG-21, “Human Disease Epidemiology and Surveillance of Especially Dangerous Pathogens in Georgia”; and, GG-19, “Epidemiology and Ecology of Tularemia in Georgia”. </w:t>
      </w:r>
    </w:p>
    <w:p w14:paraId="75035FE1" w14:textId="77777777" w:rsidR="00C2015A" w:rsidRDefault="00C2015A" w:rsidP="00B31E40">
      <w:pPr>
        <w:pStyle w:val="Normal1"/>
        <w:jc w:val="both"/>
        <w:rPr>
          <w:rFonts w:ascii="Sylfaen" w:hAnsi="Sylfaen"/>
          <w:sz w:val="20"/>
          <w:szCs w:val="20"/>
        </w:rPr>
      </w:pPr>
    </w:p>
    <w:p w14:paraId="47F37187" w14:textId="5C48400F" w:rsidR="007D6E47" w:rsidRPr="00B31E40" w:rsidRDefault="00B31E40" w:rsidP="00B31E40">
      <w:pPr>
        <w:pStyle w:val="Normal1"/>
        <w:jc w:val="both"/>
        <w:rPr>
          <w:rFonts w:ascii="Sylfaen" w:hAnsi="Sylfaen"/>
          <w:sz w:val="20"/>
          <w:szCs w:val="20"/>
        </w:rPr>
      </w:pPr>
      <w:r w:rsidRPr="00B31E40">
        <w:rPr>
          <w:rFonts w:ascii="Sylfaen" w:hAnsi="Sylfaen"/>
          <w:sz w:val="20"/>
          <w:szCs w:val="20"/>
        </w:rPr>
        <w:t xml:space="preserve">In scopes of this project one of collaborators </w:t>
      </w:r>
      <w:r w:rsidR="00C2015A">
        <w:rPr>
          <w:rFonts w:ascii="Sylfaen" w:hAnsi="Sylfaen"/>
          <w:sz w:val="20"/>
          <w:szCs w:val="20"/>
        </w:rPr>
        <w:t>was</w:t>
      </w:r>
      <w:r w:rsidRPr="00B31E40">
        <w:rPr>
          <w:rFonts w:ascii="Sylfaen" w:hAnsi="Sylfaen"/>
          <w:sz w:val="20"/>
          <w:szCs w:val="20"/>
        </w:rPr>
        <w:t xml:space="preserve"> Dr. Hewson (PHE </w:t>
      </w:r>
      <w:proofErr w:type="spellStart"/>
      <w:r w:rsidRPr="00B31E40">
        <w:rPr>
          <w:rFonts w:ascii="Sylfaen" w:hAnsi="Sylfaen"/>
          <w:sz w:val="20"/>
          <w:szCs w:val="20"/>
        </w:rPr>
        <w:t>Porton</w:t>
      </w:r>
      <w:proofErr w:type="spellEnd"/>
      <w:r w:rsidRPr="00B31E40">
        <w:rPr>
          <w:rFonts w:ascii="Sylfaen" w:hAnsi="Sylfaen"/>
          <w:sz w:val="20"/>
          <w:szCs w:val="20"/>
        </w:rPr>
        <w:t xml:space="preserve"> Down) heads up the UKs WHO Collaborating Center for Special Pathogens and w</w:t>
      </w:r>
      <w:r w:rsidR="00C2015A">
        <w:rPr>
          <w:rFonts w:ascii="Sylfaen" w:hAnsi="Sylfaen"/>
          <w:sz w:val="20"/>
          <w:szCs w:val="20"/>
        </w:rPr>
        <w:t>ould</w:t>
      </w:r>
      <w:r w:rsidRPr="00B31E40">
        <w:rPr>
          <w:rFonts w:ascii="Sylfaen" w:hAnsi="Sylfaen"/>
          <w:sz w:val="20"/>
          <w:szCs w:val="20"/>
        </w:rPr>
        <w:t xml:space="preserve"> be able to provide access to assays, reagents and reference virus material for rapid viral diagnosis. As part of </w:t>
      </w:r>
      <w:r w:rsidR="00C2015A">
        <w:rPr>
          <w:rFonts w:ascii="Sylfaen" w:hAnsi="Sylfaen"/>
          <w:sz w:val="20"/>
          <w:szCs w:val="20"/>
        </w:rPr>
        <w:t xml:space="preserve">the </w:t>
      </w:r>
      <w:r w:rsidRPr="00B31E40">
        <w:rPr>
          <w:rFonts w:ascii="Sylfaen" w:hAnsi="Sylfaen"/>
          <w:sz w:val="20"/>
          <w:szCs w:val="20"/>
        </w:rPr>
        <w:t>studies, training opportunities w</w:t>
      </w:r>
      <w:r w:rsidR="00C2015A">
        <w:rPr>
          <w:rFonts w:ascii="Sylfaen" w:hAnsi="Sylfaen"/>
          <w:sz w:val="20"/>
          <w:szCs w:val="20"/>
        </w:rPr>
        <w:t>ould</w:t>
      </w:r>
      <w:r w:rsidRPr="00B31E40">
        <w:rPr>
          <w:rFonts w:ascii="Sylfaen" w:hAnsi="Sylfaen"/>
          <w:sz w:val="20"/>
          <w:szCs w:val="20"/>
        </w:rPr>
        <w:t xml:space="preserve"> be available at the PHE laboratories, </w:t>
      </w:r>
      <w:proofErr w:type="spellStart"/>
      <w:r w:rsidRPr="00B31E40">
        <w:rPr>
          <w:rFonts w:ascii="Sylfaen" w:hAnsi="Sylfaen"/>
          <w:sz w:val="20"/>
          <w:szCs w:val="20"/>
        </w:rPr>
        <w:t>Porton</w:t>
      </w:r>
      <w:proofErr w:type="spellEnd"/>
      <w:r w:rsidRPr="00B31E40">
        <w:rPr>
          <w:rFonts w:ascii="Sylfaen" w:hAnsi="Sylfaen"/>
          <w:sz w:val="20"/>
          <w:szCs w:val="20"/>
        </w:rPr>
        <w:t xml:space="preserve"> Down, UK. Examples of such activities include</w:t>
      </w:r>
      <w:r w:rsidR="00C2015A">
        <w:rPr>
          <w:rFonts w:ascii="Sylfaen" w:hAnsi="Sylfaen"/>
          <w:sz w:val="20"/>
          <w:szCs w:val="20"/>
        </w:rPr>
        <w:t>d</w:t>
      </w:r>
      <w:r w:rsidRPr="00B31E40">
        <w:rPr>
          <w:rFonts w:ascii="Sylfaen" w:hAnsi="Sylfaen"/>
          <w:sz w:val="20"/>
          <w:szCs w:val="20"/>
        </w:rPr>
        <w:t xml:space="preserve"> preparing reagents to perform serological and molecular diagnostic assays, performance and validation of diagnostic assays and comparisons of commercially available and in–house assays with reference samples. The work of the PHE laboratory include</w:t>
      </w:r>
      <w:r w:rsidR="00C2015A">
        <w:rPr>
          <w:rFonts w:ascii="Sylfaen" w:hAnsi="Sylfaen"/>
          <w:sz w:val="20"/>
          <w:szCs w:val="20"/>
        </w:rPr>
        <w:t>d</w:t>
      </w:r>
      <w:r w:rsidRPr="00B31E40">
        <w:rPr>
          <w:rFonts w:ascii="Sylfaen" w:hAnsi="Sylfaen"/>
          <w:sz w:val="20"/>
          <w:szCs w:val="20"/>
        </w:rPr>
        <w:t xml:space="preserve"> genetic analysis virus pathogens and opportunities to use new gene sequencing methods and bioinformatics w</w:t>
      </w:r>
      <w:r w:rsidR="00C2015A">
        <w:rPr>
          <w:rFonts w:ascii="Sylfaen" w:hAnsi="Sylfaen"/>
          <w:sz w:val="20"/>
          <w:szCs w:val="20"/>
        </w:rPr>
        <w:t>ould</w:t>
      </w:r>
      <w:r w:rsidRPr="00B31E40">
        <w:rPr>
          <w:rFonts w:ascii="Sylfaen" w:hAnsi="Sylfaen"/>
          <w:sz w:val="20"/>
          <w:szCs w:val="20"/>
        </w:rPr>
        <w:t xml:space="preserve"> also be available.  The high containment facilities at PHE m</w:t>
      </w:r>
      <w:r w:rsidR="00C2015A">
        <w:rPr>
          <w:rFonts w:ascii="Sylfaen" w:hAnsi="Sylfaen"/>
          <w:sz w:val="20"/>
          <w:szCs w:val="20"/>
        </w:rPr>
        <w:t>ight</w:t>
      </w:r>
      <w:r w:rsidRPr="00B31E40">
        <w:rPr>
          <w:rFonts w:ascii="Sylfaen" w:hAnsi="Sylfaen"/>
          <w:sz w:val="20"/>
          <w:szCs w:val="20"/>
        </w:rPr>
        <w:t xml:space="preserve"> also be used for live virus neutralization assays and isolation work. These works m</w:t>
      </w:r>
      <w:r w:rsidR="00C2015A">
        <w:rPr>
          <w:rFonts w:ascii="Sylfaen" w:hAnsi="Sylfaen"/>
          <w:sz w:val="20"/>
          <w:szCs w:val="20"/>
        </w:rPr>
        <w:t>ight</w:t>
      </w:r>
      <w:r w:rsidRPr="00B31E40">
        <w:rPr>
          <w:rFonts w:ascii="Sylfaen" w:hAnsi="Sylfaen"/>
          <w:sz w:val="20"/>
          <w:szCs w:val="20"/>
        </w:rPr>
        <w:t xml:space="preserve"> be included as demonstrations during visits to PHE by Georgian colleagues. Must be mentioned that Dr. Hewson </w:t>
      </w:r>
      <w:r w:rsidR="00C2015A">
        <w:rPr>
          <w:rFonts w:ascii="Sylfaen" w:hAnsi="Sylfaen"/>
          <w:sz w:val="20"/>
          <w:szCs w:val="20"/>
        </w:rPr>
        <w:t>had</w:t>
      </w:r>
      <w:r w:rsidRPr="00B31E40">
        <w:rPr>
          <w:rFonts w:ascii="Sylfaen" w:hAnsi="Sylfaen"/>
          <w:sz w:val="20"/>
          <w:szCs w:val="20"/>
        </w:rPr>
        <w:t xml:space="preserve"> a separate budget from this project funded by UK government.   </w:t>
      </w:r>
      <w:r w:rsidR="007D6E47" w:rsidRPr="00B31E40">
        <w:rPr>
          <w:rFonts w:ascii="Sylfaen" w:hAnsi="Sylfaen"/>
          <w:sz w:val="20"/>
          <w:szCs w:val="20"/>
        </w:rPr>
        <w:t xml:space="preserve"> </w:t>
      </w:r>
    </w:p>
    <w:p w14:paraId="61572819" w14:textId="77777777" w:rsidR="007D6E47" w:rsidRPr="00B31E40" w:rsidRDefault="007D6E47" w:rsidP="00B31E40">
      <w:pPr>
        <w:pStyle w:val="Normal1"/>
        <w:jc w:val="both"/>
        <w:rPr>
          <w:rFonts w:ascii="Sylfaen" w:hAnsi="Sylfaen"/>
          <w:sz w:val="20"/>
          <w:szCs w:val="20"/>
        </w:rPr>
      </w:pPr>
    </w:p>
    <w:p w14:paraId="67AA420A" w14:textId="77777777" w:rsidR="00B31E40" w:rsidRPr="00B31E40" w:rsidRDefault="00B31E40" w:rsidP="00B31E40">
      <w:pPr>
        <w:pStyle w:val="Normal1"/>
        <w:jc w:val="both"/>
        <w:rPr>
          <w:rFonts w:ascii="Sylfaen" w:eastAsia="Calibri" w:hAnsi="Sylfaen" w:cs="Calibri"/>
          <w:b/>
          <w:sz w:val="20"/>
          <w:szCs w:val="20"/>
          <w:u w:val="single"/>
        </w:rPr>
      </w:pPr>
    </w:p>
    <w:sectPr w:rsidR="00B31E40" w:rsidRPr="00B31E40" w:rsidSect="00B31E40">
      <w:pgSz w:w="11909" w:h="16834"/>
      <w:pgMar w:top="360" w:right="1440" w:bottom="108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charset w:val="CC"/>
    <w:family w:val="swiss"/>
    <w:pitch w:val="variable"/>
    <w:sig w:usb0="61002A87" w:usb1="80000000" w:usb2="00000008" w:usb3="00000000" w:csb0="0001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libri-Bold">
    <w:altName w:val="Arial"/>
    <w:panose1 w:val="00000000000000000000"/>
    <w:charset w:val="00"/>
    <w:family w:val="swiss"/>
    <w:notTrueType/>
    <w:pitch w:val="default"/>
    <w:sig w:usb0="00000203" w:usb1="00000000" w:usb2="00000000" w:usb3="00000000" w:csb0="00000005" w:csb1="00000000"/>
  </w:font>
  <w:font w:name="Cambria Math">
    <w:panose1 w:val="00000000000000000000"/>
    <w:charset w:val="00"/>
    <w:family w:val="roman"/>
    <w:pitch w:val="variable"/>
    <w:sig w:usb0="E00002FF" w:usb1="420024FF" w:usb2="00000000" w:usb3="00000000" w:csb0="0000019F" w:csb1="00000000"/>
  </w:font>
  <w:font w:name="Cambria">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A27"/>
    <w:rsid w:val="000030A2"/>
    <w:rsid w:val="00043488"/>
    <w:rsid w:val="00063D81"/>
    <w:rsid w:val="000B4AC7"/>
    <w:rsid w:val="001572B0"/>
    <w:rsid w:val="00203876"/>
    <w:rsid w:val="002B124B"/>
    <w:rsid w:val="00314B7B"/>
    <w:rsid w:val="003A6A55"/>
    <w:rsid w:val="00493466"/>
    <w:rsid w:val="004C3B7A"/>
    <w:rsid w:val="005A7C65"/>
    <w:rsid w:val="006C2AF5"/>
    <w:rsid w:val="00791BB3"/>
    <w:rsid w:val="007D6E47"/>
    <w:rsid w:val="0097531E"/>
    <w:rsid w:val="00AC5EA7"/>
    <w:rsid w:val="00B31E40"/>
    <w:rsid w:val="00C2015A"/>
    <w:rsid w:val="00CE4A27"/>
    <w:rsid w:val="00D36A0D"/>
    <w:rsid w:val="00F24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4FB0A"/>
  <w15:docId w15:val="{78861248-48FB-4734-B3FD-9BD07D2F2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rsid w:val="00CE4A27"/>
    <w:pPr>
      <w:keepNext/>
      <w:keepLines/>
      <w:spacing w:before="400" w:after="120"/>
      <w:contextualSpacing/>
      <w:outlineLvl w:val="0"/>
    </w:pPr>
    <w:rPr>
      <w:sz w:val="40"/>
      <w:szCs w:val="40"/>
    </w:rPr>
  </w:style>
  <w:style w:type="paragraph" w:styleId="Heading2">
    <w:name w:val="heading 2"/>
    <w:basedOn w:val="Normal1"/>
    <w:next w:val="Normal1"/>
    <w:rsid w:val="00CE4A27"/>
    <w:pPr>
      <w:keepNext/>
      <w:keepLines/>
      <w:spacing w:before="360" w:after="120"/>
      <w:contextualSpacing/>
      <w:outlineLvl w:val="1"/>
    </w:pPr>
    <w:rPr>
      <w:sz w:val="32"/>
      <w:szCs w:val="32"/>
    </w:rPr>
  </w:style>
  <w:style w:type="paragraph" w:styleId="Heading3">
    <w:name w:val="heading 3"/>
    <w:basedOn w:val="Normal1"/>
    <w:next w:val="Normal1"/>
    <w:rsid w:val="00CE4A27"/>
    <w:pPr>
      <w:keepNext/>
      <w:keepLines/>
      <w:spacing w:before="320" w:after="80"/>
      <w:contextualSpacing/>
      <w:outlineLvl w:val="2"/>
    </w:pPr>
    <w:rPr>
      <w:color w:val="434343"/>
      <w:sz w:val="28"/>
      <w:szCs w:val="28"/>
    </w:rPr>
  </w:style>
  <w:style w:type="paragraph" w:styleId="Heading4">
    <w:name w:val="heading 4"/>
    <w:basedOn w:val="Normal1"/>
    <w:next w:val="Normal1"/>
    <w:rsid w:val="00CE4A27"/>
    <w:pPr>
      <w:keepNext/>
      <w:keepLines/>
      <w:spacing w:before="280" w:after="80"/>
      <w:contextualSpacing/>
      <w:outlineLvl w:val="3"/>
    </w:pPr>
    <w:rPr>
      <w:color w:val="666666"/>
      <w:sz w:val="24"/>
      <w:szCs w:val="24"/>
    </w:rPr>
  </w:style>
  <w:style w:type="paragraph" w:styleId="Heading5">
    <w:name w:val="heading 5"/>
    <w:basedOn w:val="Normal1"/>
    <w:next w:val="Normal1"/>
    <w:rsid w:val="00CE4A27"/>
    <w:pPr>
      <w:keepNext/>
      <w:keepLines/>
      <w:spacing w:before="240" w:after="80"/>
      <w:contextualSpacing/>
      <w:outlineLvl w:val="4"/>
    </w:pPr>
    <w:rPr>
      <w:color w:val="666666"/>
    </w:rPr>
  </w:style>
  <w:style w:type="paragraph" w:styleId="Heading6">
    <w:name w:val="heading 6"/>
    <w:basedOn w:val="Normal1"/>
    <w:next w:val="Normal1"/>
    <w:rsid w:val="00CE4A27"/>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CE4A27"/>
  </w:style>
  <w:style w:type="paragraph" w:styleId="Title">
    <w:name w:val="Title"/>
    <w:basedOn w:val="Normal1"/>
    <w:next w:val="Normal1"/>
    <w:rsid w:val="00CE4A27"/>
    <w:pPr>
      <w:keepNext/>
      <w:keepLines/>
      <w:spacing w:after="60"/>
      <w:contextualSpacing/>
    </w:pPr>
    <w:rPr>
      <w:sz w:val="52"/>
      <w:szCs w:val="52"/>
    </w:rPr>
  </w:style>
  <w:style w:type="paragraph" w:styleId="Subtitle">
    <w:name w:val="Subtitle"/>
    <w:basedOn w:val="Normal1"/>
    <w:next w:val="Normal1"/>
    <w:rsid w:val="00CE4A27"/>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D36A0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A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dc.ge/" TargetMode="External"/><Relationship Id="rId3" Type="http://schemas.openxmlformats.org/officeDocument/2006/relationships/webSettings" Target="webSettings.xml"/><Relationship Id="rId7" Type="http://schemas.openxmlformats.org/officeDocument/2006/relationships/hyperlink" Target="http://www.ncdc.g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cdc.ge/"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1398</Words>
  <Characters>7975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BMA</Company>
  <LinksUpToDate>false</LinksUpToDate>
  <CharactersWithSpaces>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Elene Godziashvili</dc:creator>
  <cp:lastModifiedBy>FUJITSU</cp:lastModifiedBy>
  <cp:revision>3</cp:revision>
  <dcterms:created xsi:type="dcterms:W3CDTF">2016-11-24T05:54:00Z</dcterms:created>
  <dcterms:modified xsi:type="dcterms:W3CDTF">2019-05-17T07:23:00Z</dcterms:modified>
</cp:coreProperties>
</file>