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7684" w14:textId="77777777" w:rsidR="00D34C48" w:rsidRPr="008E40AC" w:rsidRDefault="00D34C48" w:rsidP="00D34C48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proofErr w:type="gramStart"/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proofErr w:type="gramEnd"/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14:paraId="5A2699DE" w14:textId="77777777" w:rsidR="00D34C48" w:rsidRPr="008E40AC" w:rsidRDefault="00D34C48" w:rsidP="00D34C48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15E9B37E" w14:textId="138A7A95" w:rsidR="00D34C48" w:rsidRPr="008E40AC" w:rsidRDefault="00D34C48" w:rsidP="00D34C48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</w:t>
      </w:r>
      <w:r w:rsidR="000E3BF7">
        <w:rPr>
          <w:b/>
          <w:bCs/>
          <w:kern w:val="28"/>
          <w:szCs w:val="24"/>
          <w:lang w:val="en-US"/>
        </w:rPr>
        <w:t>/VTC</w:t>
      </w:r>
      <w:r>
        <w:rPr>
          <w:b/>
          <w:bCs/>
          <w:kern w:val="28"/>
          <w:szCs w:val="24"/>
          <w:lang w:val="en-US"/>
        </w:rPr>
        <w:t xml:space="preserve">, </w:t>
      </w:r>
      <w:r w:rsidR="000E3BF7">
        <w:rPr>
          <w:b/>
          <w:bCs/>
          <w:kern w:val="28"/>
          <w:szCs w:val="24"/>
          <w:lang w:val="en-US"/>
        </w:rPr>
        <w:t>2 July</w:t>
      </w:r>
      <w:bookmarkStart w:id="0" w:name="_GoBack"/>
      <w:bookmarkEnd w:id="0"/>
      <w:r>
        <w:rPr>
          <w:b/>
          <w:bCs/>
          <w:kern w:val="28"/>
          <w:szCs w:val="24"/>
          <w:lang w:val="en-US"/>
        </w:rPr>
        <w:t xml:space="preserve"> 2020</w:t>
      </w:r>
    </w:p>
    <w:p w14:paraId="41979415" w14:textId="77777777" w:rsidR="00D34C48" w:rsidRPr="00D34C48" w:rsidRDefault="00D34C48" w:rsidP="00E27993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14:paraId="6F18C304" w14:textId="77777777" w:rsidR="00E27993" w:rsidRPr="00067E59" w:rsidRDefault="00E27993" w:rsidP="00E27993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GB"/>
        </w:rPr>
      </w:pPr>
      <w:r w:rsidRPr="00067E59">
        <w:rPr>
          <w:rFonts w:ascii="Arial" w:hAnsi="Arial" w:cs="Arial"/>
          <w:b/>
          <w:kern w:val="28"/>
          <w:szCs w:val="24"/>
          <w:u w:val="single"/>
          <w:lang w:val="en-GB"/>
        </w:rPr>
        <w:t>SIMPLE AGENDA</w:t>
      </w:r>
    </w:p>
    <w:p w14:paraId="23FE650B" w14:textId="77777777" w:rsidR="00E27993" w:rsidRPr="00067E59" w:rsidRDefault="00E27993" w:rsidP="00E27993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GB"/>
        </w:rPr>
      </w:pPr>
    </w:p>
    <w:p w14:paraId="717722BF" w14:textId="77777777" w:rsidR="00E27993" w:rsidRPr="00067E59" w:rsidRDefault="00E27993" w:rsidP="00E27993">
      <w:pPr>
        <w:widowControl w:val="0"/>
        <w:tabs>
          <w:tab w:val="left" w:pos="567"/>
        </w:tabs>
        <w:spacing w:line="240" w:lineRule="auto"/>
        <w:jc w:val="both"/>
        <w:outlineLvl w:val="0"/>
        <w:rPr>
          <w:rFonts w:ascii="Arial" w:hAnsi="Arial" w:cs="Arial"/>
          <w:b/>
          <w:kern w:val="28"/>
          <w:szCs w:val="24"/>
          <w:lang w:val="en-GB"/>
        </w:rPr>
      </w:pPr>
    </w:p>
    <w:p w14:paraId="027CEBBB" w14:textId="77777777" w:rsidR="00E27993" w:rsidRPr="00067E59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kern w:val="28"/>
          <w:szCs w:val="24"/>
          <w:lang w:val="en-GB"/>
        </w:rPr>
      </w:pPr>
      <w:r w:rsidRPr="00067E59">
        <w:rPr>
          <w:rFonts w:ascii="Arial" w:hAnsi="Arial" w:cs="Arial"/>
          <w:b/>
          <w:kern w:val="28"/>
          <w:szCs w:val="24"/>
          <w:lang w:val="en-GB"/>
        </w:rPr>
        <w:t xml:space="preserve">Human rights policy developments and priorities since the previous round of the HR dialogue </w:t>
      </w:r>
      <w:r w:rsidRPr="00067E59">
        <w:rPr>
          <w:rFonts w:ascii="Arial" w:hAnsi="Arial" w:cs="Arial"/>
          <w:i/>
          <w:kern w:val="28"/>
          <w:szCs w:val="24"/>
          <w:lang w:val="en-GB"/>
        </w:rPr>
        <w:t>(lead – EU)</w:t>
      </w:r>
    </w:p>
    <w:p w14:paraId="0D6C1F9B" w14:textId="77777777" w:rsidR="00E27993" w:rsidRPr="00067E59" w:rsidRDefault="00E27993" w:rsidP="00E27993">
      <w:pPr>
        <w:widowControl w:val="0"/>
        <w:tabs>
          <w:tab w:val="left" w:pos="567"/>
        </w:tabs>
        <w:spacing w:line="240" w:lineRule="auto"/>
        <w:ind w:left="567"/>
        <w:jc w:val="both"/>
        <w:outlineLvl w:val="0"/>
        <w:rPr>
          <w:rFonts w:ascii="Arial" w:hAnsi="Arial" w:cs="Arial"/>
          <w:kern w:val="28"/>
          <w:szCs w:val="24"/>
          <w:lang w:val="en-GB"/>
        </w:rPr>
      </w:pPr>
    </w:p>
    <w:p w14:paraId="4FCBE52E" w14:textId="5618CC2B" w:rsidR="00222B5B" w:rsidRPr="00F71863" w:rsidRDefault="00222B5B" w:rsidP="00222B5B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67E59">
        <w:rPr>
          <w:rFonts w:ascii="Arial" w:hAnsi="Arial" w:cs="Arial"/>
          <w:b/>
          <w:bCs/>
          <w:kern w:val="28"/>
          <w:szCs w:val="24"/>
          <w:lang w:val="en-GB"/>
        </w:rPr>
        <w:t xml:space="preserve">Elections and electoral framework </w:t>
      </w:r>
      <w:r w:rsidRPr="00067E59">
        <w:rPr>
          <w:rFonts w:ascii="Arial" w:hAnsi="Arial" w:cs="Arial"/>
          <w:i/>
          <w:kern w:val="28"/>
          <w:szCs w:val="24"/>
          <w:lang w:val="en-GB"/>
        </w:rPr>
        <w:t xml:space="preserve">(lead – </w:t>
      </w:r>
      <w:r>
        <w:rPr>
          <w:rFonts w:ascii="Arial" w:hAnsi="Arial" w:cs="Arial"/>
          <w:i/>
          <w:kern w:val="28"/>
          <w:szCs w:val="24"/>
          <w:lang w:val="en-GB"/>
        </w:rPr>
        <w:t>EU</w:t>
      </w:r>
      <w:r w:rsidRPr="00067E59">
        <w:rPr>
          <w:rFonts w:ascii="Arial" w:hAnsi="Arial" w:cs="Arial"/>
          <w:i/>
          <w:kern w:val="28"/>
          <w:szCs w:val="24"/>
          <w:lang w:val="en-GB"/>
        </w:rPr>
        <w:t>)</w:t>
      </w:r>
    </w:p>
    <w:p w14:paraId="6B6FF175" w14:textId="77777777" w:rsidR="00222B5B" w:rsidRPr="00067E59" w:rsidRDefault="00222B5B" w:rsidP="00222B5B">
      <w:pPr>
        <w:widowControl w:val="0"/>
        <w:tabs>
          <w:tab w:val="left" w:pos="567"/>
        </w:tabs>
        <w:autoSpaceDE/>
        <w:autoSpaceDN/>
        <w:spacing w:line="240" w:lineRule="auto"/>
        <w:ind w:left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</w:p>
    <w:p w14:paraId="2BD169F8" w14:textId="44521254" w:rsidR="009A1D9D" w:rsidRPr="00F71863" w:rsidRDefault="009A1D9D" w:rsidP="009A1D9D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67E59">
        <w:rPr>
          <w:rFonts w:ascii="Arial" w:hAnsi="Arial" w:cs="Arial"/>
          <w:b/>
          <w:bCs/>
          <w:kern w:val="28"/>
          <w:szCs w:val="24"/>
          <w:lang w:val="en-GB"/>
        </w:rPr>
        <w:t xml:space="preserve">Freedom </w:t>
      </w:r>
      <w:r w:rsidR="0032647F">
        <w:rPr>
          <w:rFonts w:ascii="Arial" w:hAnsi="Arial" w:cs="Arial"/>
          <w:b/>
          <w:bCs/>
          <w:kern w:val="28"/>
          <w:szCs w:val="24"/>
          <w:lang w:val="en-GB"/>
        </w:rPr>
        <w:t xml:space="preserve">of </w:t>
      </w:r>
      <w:r w:rsidRPr="00067E59">
        <w:rPr>
          <w:rFonts w:ascii="Arial" w:hAnsi="Arial" w:cs="Arial"/>
          <w:b/>
          <w:bCs/>
          <w:kern w:val="28"/>
          <w:szCs w:val="24"/>
          <w:lang w:val="en-GB"/>
        </w:rPr>
        <w:t xml:space="preserve">and pluralism of media </w:t>
      </w:r>
      <w:r w:rsidRPr="00067E59">
        <w:rPr>
          <w:rFonts w:ascii="Arial" w:hAnsi="Arial" w:cs="Arial"/>
          <w:i/>
          <w:kern w:val="28"/>
          <w:szCs w:val="24"/>
          <w:lang w:val="en-GB"/>
        </w:rPr>
        <w:t>(lead – EU)</w:t>
      </w:r>
    </w:p>
    <w:p w14:paraId="3697B997" w14:textId="77777777" w:rsidR="009A1D9D" w:rsidRDefault="009A1D9D" w:rsidP="00F71863">
      <w:pPr>
        <w:pStyle w:val="ListParagraph"/>
        <w:rPr>
          <w:rFonts w:ascii="Arial" w:hAnsi="Arial" w:cs="Arial"/>
          <w:b/>
          <w:bCs/>
          <w:kern w:val="28"/>
          <w:szCs w:val="24"/>
          <w:lang w:val="en-GB"/>
        </w:rPr>
      </w:pPr>
    </w:p>
    <w:p w14:paraId="08053968" w14:textId="77777777" w:rsidR="00E27993" w:rsidRPr="00067E59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67E59">
        <w:rPr>
          <w:rFonts w:ascii="Arial" w:hAnsi="Arial" w:cs="Arial"/>
          <w:b/>
          <w:bCs/>
          <w:kern w:val="28"/>
          <w:szCs w:val="24"/>
          <w:lang w:val="en-GB"/>
        </w:rPr>
        <w:t xml:space="preserve">Strengthening of national mechanisms of implementation of HR instruments </w:t>
      </w:r>
      <w:r w:rsidRPr="00067E59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4B7808D2" w14:textId="77777777" w:rsidR="00E27993" w:rsidRPr="00067E59" w:rsidRDefault="00E27993" w:rsidP="00E27993">
      <w:pPr>
        <w:widowControl w:val="0"/>
        <w:tabs>
          <w:tab w:val="left" w:pos="567"/>
        </w:tabs>
        <w:spacing w:line="240" w:lineRule="auto"/>
        <w:jc w:val="both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</w:p>
    <w:p w14:paraId="56F7496A" w14:textId="77777777" w:rsidR="00E27993" w:rsidRPr="000356AC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>Human rights situation in the Georgian regions of Abkhazia and the Tskhinvali Region</w:t>
      </w:r>
      <w:r w:rsidRPr="000356AC">
        <w:rPr>
          <w:rFonts w:ascii="Arial" w:hAnsi="Arial" w:cs="Arial"/>
          <w:b/>
          <w:kern w:val="28"/>
          <w:szCs w:val="24"/>
          <w:lang w:val="en-GB"/>
        </w:rPr>
        <w:t>/ South Ossetia</w:t>
      </w: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 including rights of Internally Displaced Persons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67C83B47" w14:textId="77777777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567"/>
        <w:jc w:val="both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</w:p>
    <w:p w14:paraId="1CE0A4FB" w14:textId="59EC25B9" w:rsidR="00E27993" w:rsidRPr="000356AC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Situation of </w:t>
      </w:r>
      <w:r w:rsidR="00176B8C"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persons belong to </w:t>
      </w: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>minorities</w:t>
      </w:r>
      <w:r w:rsidR="00653D08">
        <w:rPr>
          <w:rFonts w:ascii="Arial" w:hAnsi="Arial" w:cs="Arial"/>
          <w:b/>
          <w:bCs/>
          <w:kern w:val="28"/>
          <w:szCs w:val="24"/>
          <w:lang w:val="en-GB"/>
        </w:rPr>
        <w:t xml:space="preserve"> and</w:t>
      </w: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 anti</w:t>
      </w:r>
      <w:r w:rsidR="00424532" w:rsidRPr="000356AC">
        <w:rPr>
          <w:rFonts w:ascii="Arial" w:hAnsi="Arial" w:cs="Arial"/>
          <w:b/>
          <w:bCs/>
          <w:kern w:val="28"/>
          <w:szCs w:val="24"/>
          <w:lang w:val="en-GB"/>
        </w:rPr>
        <w:t>-</w:t>
      </w: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discrimination policy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7125ED6C" w14:textId="77777777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b/>
          <w:bCs/>
          <w:i/>
          <w:kern w:val="28"/>
          <w:szCs w:val="24"/>
          <w:lang w:val="en-GB"/>
        </w:rPr>
      </w:pPr>
    </w:p>
    <w:p w14:paraId="571249EF" w14:textId="3CFF4693" w:rsidR="00E27993" w:rsidRPr="000356AC" w:rsidRDefault="00424532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>Overall i</w:t>
      </w:r>
      <w:r w:rsidR="00E27993" w:rsidRPr="000356AC">
        <w:rPr>
          <w:rFonts w:ascii="Arial" w:hAnsi="Arial" w:cs="Arial"/>
          <w:b/>
          <w:bCs/>
          <w:kern w:val="28"/>
          <w:szCs w:val="24"/>
          <w:lang w:val="en-GB"/>
        </w:rPr>
        <w:t>mplementation of the Human Rights Strategy and Action</w:t>
      </w:r>
      <w:r w:rsidR="00245436"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 Plan</w:t>
      </w: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>,</w:t>
      </w:r>
      <w:r w:rsidR="00245436"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 in particular regarding</w:t>
      </w:r>
    </w:p>
    <w:p w14:paraId="73AB3FD8" w14:textId="77777777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kern w:val="28"/>
          <w:szCs w:val="24"/>
          <w:lang w:val="en-GB"/>
        </w:rPr>
      </w:pPr>
      <w:proofErr w:type="gramStart"/>
      <w:r w:rsidRPr="000356AC">
        <w:rPr>
          <w:rFonts w:ascii="Arial" w:hAnsi="Arial" w:cs="Arial"/>
          <w:kern w:val="28"/>
          <w:szCs w:val="24"/>
          <w:lang w:val="en-GB"/>
        </w:rPr>
        <w:t>a</w:t>
      </w:r>
      <w:proofErr w:type="gramEnd"/>
      <w:r w:rsidRPr="000356AC">
        <w:rPr>
          <w:rFonts w:ascii="Arial" w:hAnsi="Arial" w:cs="Arial"/>
          <w:kern w:val="28"/>
          <w:szCs w:val="24"/>
          <w:lang w:val="en-GB"/>
        </w:rPr>
        <w:t>.</w:t>
      </w:r>
      <w:r w:rsidRPr="000356AC">
        <w:rPr>
          <w:rFonts w:ascii="Arial" w:hAnsi="Arial" w:cs="Arial"/>
          <w:kern w:val="28"/>
          <w:szCs w:val="24"/>
          <w:lang w:val="en-GB"/>
        </w:rPr>
        <w:tab/>
        <w:t xml:space="preserve">gender (including violence against women)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0BBD4280" w14:textId="02623F3A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kern w:val="28"/>
          <w:szCs w:val="24"/>
          <w:lang w:val="en-GB"/>
        </w:rPr>
      </w:pPr>
      <w:proofErr w:type="gramStart"/>
      <w:r w:rsidRPr="000356AC">
        <w:rPr>
          <w:rFonts w:ascii="Arial" w:hAnsi="Arial" w:cs="Arial"/>
          <w:kern w:val="28"/>
          <w:szCs w:val="24"/>
          <w:lang w:val="en-GB"/>
        </w:rPr>
        <w:t>b</w:t>
      </w:r>
      <w:proofErr w:type="gramEnd"/>
      <w:r w:rsidRPr="000356AC">
        <w:rPr>
          <w:rFonts w:ascii="Arial" w:hAnsi="Arial" w:cs="Arial"/>
          <w:kern w:val="28"/>
          <w:szCs w:val="24"/>
          <w:lang w:val="en-GB"/>
        </w:rPr>
        <w:t>.</w:t>
      </w:r>
      <w:r w:rsidRPr="000356AC">
        <w:rPr>
          <w:rFonts w:ascii="Arial" w:hAnsi="Arial" w:cs="Arial"/>
          <w:kern w:val="28"/>
          <w:szCs w:val="24"/>
          <w:lang w:val="en-GB"/>
        </w:rPr>
        <w:tab/>
      </w:r>
      <w:r w:rsidR="006360C4" w:rsidRPr="000356AC">
        <w:rPr>
          <w:rFonts w:ascii="Arial" w:hAnsi="Arial" w:cs="Arial"/>
          <w:kern w:val="28"/>
          <w:szCs w:val="24"/>
          <w:lang w:val="en-GB"/>
        </w:rPr>
        <w:t>rights of the child</w:t>
      </w:r>
      <w:r w:rsidRPr="000356AC">
        <w:rPr>
          <w:rFonts w:ascii="Arial" w:hAnsi="Arial" w:cs="Arial"/>
          <w:kern w:val="28"/>
          <w:szCs w:val="24"/>
          <w:lang w:val="en-GB"/>
        </w:rPr>
        <w:t xml:space="preserve"> </w:t>
      </w:r>
      <w:r w:rsidR="008B1585" w:rsidRPr="000356AC">
        <w:rPr>
          <w:rFonts w:ascii="Arial" w:hAnsi="Arial" w:cs="Arial"/>
          <w:kern w:val="28"/>
          <w:szCs w:val="24"/>
          <w:lang w:val="en-GB"/>
        </w:rPr>
        <w:t xml:space="preserve">(including juvenile justice)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76ACD3E1" w14:textId="77777777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i/>
          <w:kern w:val="28"/>
          <w:szCs w:val="24"/>
          <w:lang w:val="en-GB"/>
        </w:rPr>
      </w:pPr>
      <w:proofErr w:type="gramStart"/>
      <w:r w:rsidRPr="000356AC">
        <w:rPr>
          <w:rFonts w:ascii="Arial" w:hAnsi="Arial" w:cs="Arial"/>
          <w:kern w:val="28"/>
          <w:szCs w:val="24"/>
          <w:lang w:val="en-GB"/>
        </w:rPr>
        <w:t>c</w:t>
      </w:r>
      <w:proofErr w:type="gramEnd"/>
      <w:r w:rsidRPr="000356AC">
        <w:rPr>
          <w:rFonts w:ascii="Arial" w:hAnsi="Arial" w:cs="Arial"/>
          <w:kern w:val="28"/>
          <w:szCs w:val="24"/>
          <w:lang w:val="en-GB"/>
        </w:rPr>
        <w:t>.</w:t>
      </w:r>
      <w:r w:rsidRPr="000356AC">
        <w:rPr>
          <w:rFonts w:ascii="Arial" w:hAnsi="Arial" w:cs="Arial"/>
          <w:kern w:val="28"/>
          <w:szCs w:val="24"/>
          <w:lang w:val="en-GB"/>
        </w:rPr>
        <w:tab/>
        <w:t xml:space="preserve">labour rights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EU)</w:t>
      </w:r>
    </w:p>
    <w:p w14:paraId="5F496575" w14:textId="441BF0C6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i/>
          <w:kern w:val="28"/>
          <w:szCs w:val="24"/>
          <w:lang w:val="en-GB"/>
        </w:rPr>
      </w:pPr>
      <w:proofErr w:type="gramStart"/>
      <w:r w:rsidRPr="000356AC">
        <w:rPr>
          <w:rFonts w:ascii="Arial" w:hAnsi="Arial" w:cs="Arial"/>
          <w:kern w:val="28"/>
          <w:szCs w:val="24"/>
          <w:lang w:val="en-GB"/>
        </w:rPr>
        <w:t>d</w:t>
      </w:r>
      <w:proofErr w:type="gramEnd"/>
      <w:r w:rsidRPr="000356AC">
        <w:rPr>
          <w:rFonts w:ascii="Arial" w:hAnsi="Arial" w:cs="Arial"/>
          <w:kern w:val="28"/>
          <w:szCs w:val="24"/>
          <w:lang w:val="en-GB"/>
        </w:rPr>
        <w:t>.</w:t>
      </w:r>
      <w:r w:rsidRPr="000356AC">
        <w:rPr>
          <w:rFonts w:ascii="Arial" w:hAnsi="Arial" w:cs="Arial"/>
          <w:kern w:val="28"/>
          <w:szCs w:val="24"/>
          <w:lang w:val="en-GB"/>
        </w:rPr>
        <w:tab/>
      </w:r>
      <w:r w:rsidR="00176B8C" w:rsidRPr="000356AC">
        <w:rPr>
          <w:rFonts w:ascii="Arial" w:hAnsi="Arial" w:cs="Arial"/>
          <w:kern w:val="28"/>
          <w:szCs w:val="24"/>
          <w:lang w:val="en-GB"/>
        </w:rPr>
        <w:t xml:space="preserve">prevention of </w:t>
      </w:r>
      <w:r w:rsidRPr="000356AC">
        <w:rPr>
          <w:rFonts w:ascii="Arial" w:hAnsi="Arial" w:cs="Arial"/>
          <w:kern w:val="28"/>
          <w:szCs w:val="24"/>
          <w:lang w:val="en-GB"/>
        </w:rPr>
        <w:t xml:space="preserve">ill-treatment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EU)</w:t>
      </w:r>
    </w:p>
    <w:p w14:paraId="20CABCF4" w14:textId="4BBD8502" w:rsidR="00245436" w:rsidRPr="000356AC" w:rsidRDefault="00245436" w:rsidP="00E27993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i/>
          <w:kern w:val="28"/>
          <w:szCs w:val="24"/>
          <w:lang w:val="en-US"/>
        </w:rPr>
      </w:pPr>
      <w:proofErr w:type="gramStart"/>
      <w:r w:rsidRPr="000356AC">
        <w:rPr>
          <w:rFonts w:ascii="Arial" w:hAnsi="Arial" w:cs="Arial"/>
          <w:i/>
          <w:kern w:val="28"/>
          <w:szCs w:val="24"/>
          <w:lang w:val="en-GB"/>
        </w:rPr>
        <w:t>e</w:t>
      </w:r>
      <w:proofErr w:type="gramEnd"/>
      <w:r w:rsidRPr="000356AC">
        <w:rPr>
          <w:rFonts w:ascii="Arial" w:hAnsi="Arial" w:cs="Arial"/>
          <w:i/>
          <w:kern w:val="28"/>
          <w:szCs w:val="24"/>
          <w:lang w:val="en-GB"/>
        </w:rPr>
        <w:t xml:space="preserve">. </w:t>
      </w:r>
      <w:r w:rsidRPr="000356AC">
        <w:rPr>
          <w:rFonts w:ascii="Arial" w:hAnsi="Arial" w:cs="Arial"/>
          <w:i/>
          <w:kern w:val="28"/>
          <w:szCs w:val="24"/>
          <w:lang w:val="en-GB"/>
        </w:rPr>
        <w:tab/>
      </w:r>
      <w:r w:rsidRPr="000356AC">
        <w:rPr>
          <w:rFonts w:ascii="Arial" w:hAnsi="Arial" w:cs="Arial"/>
          <w:kern w:val="28"/>
          <w:szCs w:val="24"/>
          <w:lang w:val="en-GB"/>
        </w:rPr>
        <w:t xml:space="preserve">freedom of Assembly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EU)</w:t>
      </w:r>
    </w:p>
    <w:p w14:paraId="31A9A12A" w14:textId="7FCB3002" w:rsidR="00C70D48" w:rsidRPr="000356AC" w:rsidRDefault="00245436" w:rsidP="00C70D48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i/>
          <w:kern w:val="28"/>
          <w:szCs w:val="24"/>
          <w:lang w:val="en-GB"/>
        </w:rPr>
      </w:pPr>
      <w:proofErr w:type="gramStart"/>
      <w:r w:rsidRPr="000356AC">
        <w:rPr>
          <w:rFonts w:ascii="Arial" w:hAnsi="Arial" w:cs="Arial"/>
          <w:kern w:val="28"/>
          <w:szCs w:val="24"/>
          <w:lang w:val="en-GB"/>
        </w:rPr>
        <w:t>f</w:t>
      </w:r>
      <w:proofErr w:type="gramEnd"/>
      <w:r w:rsidR="008B6578" w:rsidRPr="000356AC">
        <w:rPr>
          <w:rFonts w:ascii="Arial" w:hAnsi="Arial" w:cs="Arial"/>
          <w:kern w:val="28"/>
          <w:szCs w:val="24"/>
          <w:lang w:val="en-GB"/>
        </w:rPr>
        <w:t>.</w:t>
      </w:r>
      <w:r w:rsidR="008B6578" w:rsidRPr="000356AC">
        <w:rPr>
          <w:rFonts w:ascii="Arial" w:hAnsi="Arial" w:cs="Arial"/>
          <w:kern w:val="28"/>
          <w:szCs w:val="24"/>
          <w:lang w:val="en-GB"/>
        </w:rPr>
        <w:tab/>
        <w:t>rights of persons with disabilities</w:t>
      </w:r>
      <w:r w:rsidR="00C70D48" w:rsidRPr="000356AC">
        <w:rPr>
          <w:rFonts w:ascii="Arial" w:hAnsi="Arial" w:cs="Arial"/>
          <w:kern w:val="28"/>
          <w:szCs w:val="24"/>
          <w:lang w:val="en-GB"/>
        </w:rPr>
        <w:t xml:space="preserve"> </w:t>
      </w:r>
      <w:r w:rsidR="00C70D48" w:rsidRPr="000356AC">
        <w:rPr>
          <w:rFonts w:ascii="Arial" w:hAnsi="Arial" w:cs="Arial"/>
          <w:i/>
          <w:kern w:val="28"/>
          <w:szCs w:val="24"/>
          <w:lang w:val="en-GB"/>
        </w:rPr>
        <w:t>(lead – EU)</w:t>
      </w:r>
    </w:p>
    <w:p w14:paraId="564AC153" w14:textId="77777777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ind w:left="1134" w:hanging="567"/>
        <w:jc w:val="both"/>
        <w:rPr>
          <w:rFonts w:ascii="Arial" w:hAnsi="Arial" w:cs="Arial"/>
          <w:i/>
          <w:kern w:val="28"/>
          <w:szCs w:val="24"/>
          <w:lang w:val="en-GB"/>
        </w:rPr>
      </w:pPr>
    </w:p>
    <w:p w14:paraId="0CE773BC" w14:textId="77777777" w:rsidR="00E27993" w:rsidRPr="000356AC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Preparation of the new Strategy on Human Rights and Action Plan – priorities and state of play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264F99F6" w14:textId="77777777" w:rsidR="00E27993" w:rsidRPr="000356AC" w:rsidRDefault="00E27993" w:rsidP="00E27993">
      <w:pPr>
        <w:widowControl w:val="0"/>
        <w:tabs>
          <w:tab w:val="left" w:pos="567"/>
        </w:tabs>
        <w:spacing w:line="240" w:lineRule="auto"/>
        <w:jc w:val="both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</w:p>
    <w:p w14:paraId="56D241B7" w14:textId="77777777" w:rsidR="00E27993" w:rsidRPr="000356AC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 xml:space="preserve">Cooperation in international fora for the protection of human rights </w:t>
      </w:r>
      <w:r w:rsidRPr="000356AC">
        <w:rPr>
          <w:rFonts w:ascii="Arial" w:hAnsi="Arial" w:cs="Arial"/>
          <w:i/>
          <w:kern w:val="28"/>
          <w:szCs w:val="24"/>
          <w:lang w:val="en-GB"/>
        </w:rPr>
        <w:t>(lead – GEO)</w:t>
      </w:r>
    </w:p>
    <w:p w14:paraId="5B2FF108" w14:textId="77777777" w:rsidR="00E27993" w:rsidRPr="000356AC" w:rsidRDefault="00E27993" w:rsidP="00E27993">
      <w:pPr>
        <w:widowControl w:val="0"/>
        <w:tabs>
          <w:tab w:val="left" w:pos="567"/>
        </w:tabs>
        <w:autoSpaceDE/>
        <w:autoSpaceDN/>
        <w:spacing w:line="240" w:lineRule="auto"/>
        <w:ind w:left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</w:p>
    <w:p w14:paraId="593E9ACB" w14:textId="77777777" w:rsidR="00E27993" w:rsidRPr="000356AC" w:rsidRDefault="00E27993" w:rsidP="00E27993">
      <w:pPr>
        <w:widowControl w:val="0"/>
        <w:numPr>
          <w:ilvl w:val="0"/>
          <w:numId w:val="1"/>
        </w:numPr>
        <w:tabs>
          <w:tab w:val="left" w:pos="567"/>
        </w:tabs>
        <w:autoSpaceDE/>
        <w:autoSpaceDN/>
        <w:spacing w:line="240" w:lineRule="auto"/>
        <w:ind w:left="567" w:hanging="567"/>
        <w:jc w:val="both"/>
        <w:textAlignment w:val="auto"/>
        <w:outlineLvl w:val="0"/>
        <w:rPr>
          <w:rFonts w:ascii="Arial" w:hAnsi="Arial" w:cs="Arial"/>
          <w:b/>
          <w:bCs/>
          <w:kern w:val="28"/>
          <w:szCs w:val="24"/>
          <w:lang w:val="en-GB"/>
        </w:rPr>
      </w:pP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>A.O.B</w:t>
      </w:r>
      <w:r w:rsidRPr="000356AC">
        <w:rPr>
          <w:rFonts w:ascii="Arial" w:hAnsi="Arial" w:cs="Arial"/>
          <w:b/>
          <w:bCs/>
          <w:kern w:val="28"/>
          <w:szCs w:val="24"/>
          <w:lang w:val="en-GB"/>
        </w:rPr>
        <w:tab/>
      </w:r>
    </w:p>
    <w:p w14:paraId="51C5443F" w14:textId="77777777" w:rsidR="00E27993" w:rsidRPr="00067E59" w:rsidRDefault="00E27993" w:rsidP="00E27993">
      <w:pPr>
        <w:rPr>
          <w:rFonts w:ascii="Arial" w:hAnsi="Arial" w:cs="Arial"/>
          <w:lang w:val="en-GB"/>
        </w:rPr>
      </w:pPr>
    </w:p>
    <w:p w14:paraId="17D81150" w14:textId="77777777" w:rsidR="00E27993" w:rsidRPr="00067E59" w:rsidRDefault="00E27993" w:rsidP="00E27993">
      <w:pPr>
        <w:rPr>
          <w:rFonts w:ascii="Arial" w:hAnsi="Arial" w:cs="Arial"/>
          <w:lang w:val="en-GB"/>
        </w:rPr>
      </w:pPr>
    </w:p>
    <w:sectPr w:rsidR="00E27993" w:rsidRPr="00067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F79"/>
    <w:multiLevelType w:val="multilevel"/>
    <w:tmpl w:val="8CDC372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27993"/>
    <w:rsid w:val="000356AC"/>
    <w:rsid w:val="000C7250"/>
    <w:rsid w:val="000E3BF7"/>
    <w:rsid w:val="00176B8C"/>
    <w:rsid w:val="00222B5B"/>
    <w:rsid w:val="00245436"/>
    <w:rsid w:val="00255AE5"/>
    <w:rsid w:val="00265FD3"/>
    <w:rsid w:val="0032647F"/>
    <w:rsid w:val="00424532"/>
    <w:rsid w:val="00623510"/>
    <w:rsid w:val="006360C4"/>
    <w:rsid w:val="00653D08"/>
    <w:rsid w:val="008B1585"/>
    <w:rsid w:val="008B6578"/>
    <w:rsid w:val="00947382"/>
    <w:rsid w:val="009A1D9D"/>
    <w:rsid w:val="00A00E16"/>
    <w:rsid w:val="00A04CDB"/>
    <w:rsid w:val="00A871A1"/>
    <w:rsid w:val="00C70D48"/>
    <w:rsid w:val="00D30F4A"/>
    <w:rsid w:val="00D34C48"/>
    <w:rsid w:val="00E27993"/>
    <w:rsid w:val="00E4727A"/>
    <w:rsid w:val="00EF2674"/>
    <w:rsid w:val="00F71863"/>
    <w:rsid w:val="00FB57AE"/>
    <w:rsid w:val="00F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2EB7"/>
  <w15:chartTrackingRefBased/>
  <w15:docId w15:val="{FE1F2A06-C043-46A7-85CF-84032EC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93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78"/>
    <w:rPr>
      <w:rFonts w:ascii="Segoe UI" w:eastAsia="Times New Roman" w:hAnsi="Segoe UI" w:cs="Segoe UI"/>
      <w:sz w:val="18"/>
      <w:szCs w:val="18"/>
      <w:lang w:val="fr-FR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8B6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5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578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578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ListParagraph">
    <w:name w:val="List Paragraph"/>
    <w:basedOn w:val="Normal"/>
    <w:uiPriority w:val="34"/>
    <w:qFormat/>
    <w:rsid w:val="0022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BERGEN Sofie (EEAS)</dc:creator>
  <cp:keywords/>
  <dc:description/>
  <cp:lastModifiedBy>VAN BERGEN Sofie (EEAS)</cp:lastModifiedBy>
  <cp:revision>14</cp:revision>
  <dcterms:created xsi:type="dcterms:W3CDTF">2020-04-20T16:14:00Z</dcterms:created>
  <dcterms:modified xsi:type="dcterms:W3CDTF">2020-05-08T11:44:00Z</dcterms:modified>
</cp:coreProperties>
</file>