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06EBB" w14:textId="77777777" w:rsidR="00D348E4" w:rsidRDefault="00D348E4" w:rsidP="00D348E4">
      <w:r>
        <w:t>Dear Sir, Dear Madam,</w:t>
      </w:r>
    </w:p>
    <w:p w14:paraId="2654E429" w14:textId="77777777" w:rsidR="00D348E4" w:rsidRDefault="00D348E4" w:rsidP="00D348E4"/>
    <w:p w14:paraId="21C1C5C6" w14:textId="77777777" w:rsidR="00D348E4" w:rsidRDefault="00D348E4" w:rsidP="00D348E4">
      <w:r>
        <w:t>Since the 70</w:t>
      </w:r>
      <w:r>
        <w:rPr>
          <w:vertAlign w:val="superscript"/>
        </w:rPr>
        <w:t>th</w:t>
      </w:r>
      <w:r>
        <w:t xml:space="preserve"> session of the Regional Committee for Europe on 14-15 September will be conducted virtually, the Secretariat is currently looking for the best digital option to connect all Member States. Also based on the experience of WHA73, the proposed digital platform for the meeting is “Zoom” as selected by other WHO regions. </w:t>
      </w:r>
    </w:p>
    <w:p w14:paraId="21CCFE58" w14:textId="77777777" w:rsidR="00D348E4" w:rsidRDefault="00D348E4" w:rsidP="00D348E4"/>
    <w:p w14:paraId="50463F66" w14:textId="77777777" w:rsidR="00D348E4" w:rsidRDefault="00D348E4" w:rsidP="00D348E4">
      <w:r>
        <w:t>In order to ensure smooth connection from all 53 Member States, it would be of tremendous help if you could answer the questions below:</w:t>
      </w:r>
    </w:p>
    <w:p w14:paraId="31FB0632" w14:textId="77777777" w:rsidR="00D348E4" w:rsidRDefault="00D348E4" w:rsidP="00D348E4"/>
    <w:p w14:paraId="0629735A" w14:textId="77777777" w:rsidR="00D348E4" w:rsidRDefault="00D348E4" w:rsidP="00D348E4"/>
    <w:tbl>
      <w:tblPr>
        <w:tblW w:w="0" w:type="auto"/>
        <w:tblCellMar>
          <w:left w:w="0" w:type="dxa"/>
          <w:right w:w="0" w:type="dxa"/>
        </w:tblCellMar>
        <w:tblLook w:val="04A0" w:firstRow="1" w:lastRow="0" w:firstColumn="1" w:lastColumn="0" w:noHBand="0" w:noVBand="1"/>
      </w:tblPr>
      <w:tblGrid>
        <w:gridCol w:w="3585"/>
        <w:gridCol w:w="639"/>
        <w:gridCol w:w="575"/>
        <w:gridCol w:w="4541"/>
      </w:tblGrid>
      <w:tr w:rsidR="00D348E4" w14:paraId="361807E2" w14:textId="77777777" w:rsidTr="00D348E4">
        <w:tc>
          <w:tcPr>
            <w:tcW w:w="64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AE63C" w14:textId="77777777" w:rsidR="00D348E4" w:rsidRDefault="00D348E4">
            <w:pPr>
              <w:rPr>
                <w:color w:val="4472C4"/>
                <w:sz w:val="20"/>
                <w:szCs w:val="20"/>
              </w:rPr>
            </w:pPr>
            <w:r>
              <w:rPr>
                <w:color w:val="4472C4"/>
                <w:sz w:val="20"/>
                <w:szCs w:val="20"/>
              </w:rPr>
              <w:t xml:space="preserve">Will your delegation be able to </w:t>
            </w:r>
            <w:r>
              <w:rPr>
                <w:sz w:val="20"/>
                <w:szCs w:val="20"/>
              </w:rPr>
              <w:t xml:space="preserve">connect to </w:t>
            </w:r>
            <w:r>
              <w:rPr>
                <w:color w:val="4472C4"/>
                <w:sz w:val="20"/>
                <w:szCs w:val="20"/>
              </w:rPr>
              <w:t xml:space="preserve">Zoom </w:t>
            </w:r>
            <w:r>
              <w:rPr>
                <w:sz w:val="20"/>
                <w:szCs w:val="20"/>
              </w:rPr>
              <w:t xml:space="preserve">through </w:t>
            </w:r>
            <w:r>
              <w:rPr>
                <w:color w:val="4472C4"/>
                <w:sz w:val="20"/>
                <w:szCs w:val="20"/>
              </w:rPr>
              <w:t>the Ministry’s Office</w:t>
            </w:r>
            <w:r>
              <w:rPr>
                <w:sz w:val="20"/>
                <w:szCs w:val="20"/>
              </w:rPr>
              <w:t xml:space="preserve"> equipment</w:t>
            </w:r>
            <w:r>
              <w:rPr>
                <w:color w:val="4472C4"/>
                <w:sz w:val="20"/>
                <w:szCs w:val="20"/>
              </w:rPr>
              <w:t>?</w:t>
            </w:r>
          </w:p>
          <w:p w14:paraId="119F81E3" w14:textId="77777777" w:rsidR="00D348E4" w:rsidRDefault="00D348E4">
            <w:pPr>
              <w:rPr>
                <w:sz w:val="20"/>
                <w:szCs w:val="20"/>
              </w:rPr>
            </w:pPr>
          </w:p>
        </w:tc>
        <w:tc>
          <w:tcPr>
            <w:tcW w:w="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69F22" w14:textId="77777777" w:rsidR="00D348E4" w:rsidRDefault="00D348E4">
            <w:pPr>
              <w:rPr>
                <w:b/>
                <w:bCs/>
                <w:sz w:val="20"/>
                <w:szCs w:val="20"/>
              </w:rPr>
            </w:pPr>
            <w:r>
              <w:rPr>
                <w:b/>
                <w:bCs/>
                <w:sz w:val="20"/>
                <w:szCs w:val="20"/>
              </w:rPr>
              <w:t>Yes</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3A1A2" w14:textId="77777777" w:rsidR="00D348E4" w:rsidRDefault="00D348E4">
            <w:pPr>
              <w:rPr>
                <w:b/>
                <w:bCs/>
                <w:sz w:val="20"/>
                <w:szCs w:val="20"/>
              </w:rPr>
            </w:pPr>
            <w:r>
              <w:rPr>
                <w:b/>
                <w:bCs/>
                <w:sz w:val="20"/>
                <w:szCs w:val="20"/>
              </w:rPr>
              <w:t>No</w:t>
            </w:r>
          </w:p>
        </w:tc>
        <w:tc>
          <w:tcPr>
            <w:tcW w:w="9000" w:type="dxa"/>
            <w:tcBorders>
              <w:top w:val="single" w:sz="8" w:space="0" w:color="auto"/>
              <w:left w:val="nil"/>
              <w:bottom w:val="single" w:sz="8" w:space="0" w:color="auto"/>
              <w:right w:val="single" w:sz="8" w:space="0" w:color="auto"/>
            </w:tcBorders>
            <w:hideMark/>
          </w:tcPr>
          <w:p w14:paraId="7A6CAC39" w14:textId="77777777" w:rsidR="00D348E4" w:rsidRDefault="00D348E4">
            <w:pPr>
              <w:jc w:val="center"/>
              <w:rPr>
                <w:b/>
                <w:bCs/>
                <w:sz w:val="20"/>
                <w:szCs w:val="20"/>
              </w:rPr>
            </w:pPr>
            <w:r>
              <w:rPr>
                <w:b/>
                <w:bCs/>
                <w:sz w:val="20"/>
                <w:szCs w:val="20"/>
              </w:rPr>
              <w:t>Any additional comments</w:t>
            </w:r>
          </w:p>
        </w:tc>
      </w:tr>
      <w:tr w:rsidR="00D348E4" w14:paraId="1F3CDC7F" w14:textId="77777777" w:rsidTr="00D348E4">
        <w:tc>
          <w:tcPr>
            <w:tcW w:w="0" w:type="auto"/>
            <w:vMerge/>
            <w:tcBorders>
              <w:top w:val="single" w:sz="8" w:space="0" w:color="auto"/>
              <w:left w:val="single" w:sz="8" w:space="0" w:color="auto"/>
              <w:bottom w:val="single" w:sz="8" w:space="0" w:color="auto"/>
              <w:right w:val="single" w:sz="8" w:space="0" w:color="auto"/>
            </w:tcBorders>
            <w:vAlign w:val="center"/>
            <w:hideMark/>
          </w:tcPr>
          <w:p w14:paraId="52F348A2" w14:textId="77777777" w:rsidR="00D348E4" w:rsidRDefault="00D348E4">
            <w:pPr>
              <w:rPr>
                <w:sz w:val="20"/>
                <w:szCs w:val="20"/>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14:paraId="5A365F65" w14:textId="77777777" w:rsidR="00D348E4" w:rsidRDefault="00D348E4">
            <w:pP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2F678C9" w14:textId="77777777" w:rsidR="00D348E4" w:rsidRDefault="00D348E4">
            <w:pPr>
              <w:rPr>
                <w:sz w:val="20"/>
                <w:szCs w:val="20"/>
              </w:rPr>
            </w:pPr>
          </w:p>
        </w:tc>
        <w:tc>
          <w:tcPr>
            <w:tcW w:w="9000" w:type="dxa"/>
            <w:tcBorders>
              <w:top w:val="nil"/>
              <w:left w:val="nil"/>
              <w:bottom w:val="single" w:sz="8" w:space="0" w:color="auto"/>
              <w:right w:val="single" w:sz="8" w:space="0" w:color="auto"/>
            </w:tcBorders>
          </w:tcPr>
          <w:p w14:paraId="7484A1B7" w14:textId="77777777" w:rsidR="00D348E4" w:rsidRDefault="00D348E4">
            <w:pPr>
              <w:rPr>
                <w:sz w:val="20"/>
                <w:szCs w:val="20"/>
              </w:rPr>
            </w:pPr>
          </w:p>
        </w:tc>
      </w:tr>
      <w:tr w:rsidR="00D348E4" w14:paraId="652E7BA2" w14:textId="77777777" w:rsidTr="00D348E4">
        <w:tc>
          <w:tcPr>
            <w:tcW w:w="800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E3C714" w14:textId="77777777" w:rsidR="00D348E4" w:rsidRDefault="00D348E4">
            <w:pPr>
              <w:rPr>
                <w:sz w:val="20"/>
                <w:szCs w:val="20"/>
              </w:rPr>
            </w:pPr>
          </w:p>
          <w:p w14:paraId="49594D64" w14:textId="77777777" w:rsidR="00D348E4" w:rsidRDefault="00D348E4">
            <w:pPr>
              <w:rPr>
                <w:i/>
                <w:iCs/>
                <w:sz w:val="20"/>
                <w:szCs w:val="20"/>
              </w:rPr>
            </w:pPr>
            <w:r>
              <w:rPr>
                <w:i/>
                <w:iCs/>
                <w:sz w:val="20"/>
                <w:szCs w:val="20"/>
              </w:rPr>
              <w:t xml:space="preserve">If not, will your delegations be able to </w:t>
            </w:r>
            <w:r>
              <w:rPr>
                <w:sz w:val="20"/>
                <w:szCs w:val="20"/>
              </w:rPr>
              <w:t xml:space="preserve">connect to </w:t>
            </w:r>
            <w:r>
              <w:rPr>
                <w:color w:val="4472C4"/>
                <w:sz w:val="20"/>
                <w:szCs w:val="20"/>
              </w:rPr>
              <w:t>Zoom in another way</w:t>
            </w:r>
            <w:r>
              <w:rPr>
                <w:i/>
                <w:iCs/>
                <w:sz w:val="20"/>
                <w:szCs w:val="20"/>
              </w:rPr>
              <w:t>:</w:t>
            </w:r>
          </w:p>
          <w:p w14:paraId="01FACA60" w14:textId="77777777" w:rsidR="00D348E4" w:rsidRDefault="00D348E4">
            <w:pPr>
              <w:rPr>
                <w:i/>
                <w:iCs/>
                <w:sz w:val="20"/>
                <w:szCs w:val="20"/>
              </w:rPr>
            </w:pPr>
          </w:p>
        </w:tc>
        <w:tc>
          <w:tcPr>
            <w:tcW w:w="9000" w:type="dxa"/>
            <w:tcBorders>
              <w:top w:val="nil"/>
              <w:left w:val="nil"/>
              <w:bottom w:val="single" w:sz="8" w:space="0" w:color="auto"/>
              <w:right w:val="single" w:sz="8" w:space="0" w:color="auto"/>
            </w:tcBorders>
          </w:tcPr>
          <w:p w14:paraId="0D327E93" w14:textId="77777777" w:rsidR="00D348E4" w:rsidRDefault="00D348E4">
            <w:pPr>
              <w:rPr>
                <w:sz w:val="20"/>
                <w:szCs w:val="20"/>
              </w:rPr>
            </w:pPr>
          </w:p>
        </w:tc>
      </w:tr>
      <w:tr w:rsidR="00D348E4" w14:paraId="7666068E" w14:textId="77777777" w:rsidTr="00D348E4">
        <w:tc>
          <w:tcPr>
            <w:tcW w:w="64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349E975" w14:textId="77777777" w:rsidR="00D348E4" w:rsidRDefault="00D348E4">
            <w:pPr>
              <w:rPr>
                <w:color w:val="0070C0"/>
                <w:sz w:val="20"/>
                <w:szCs w:val="20"/>
              </w:rPr>
            </w:pPr>
            <w:r>
              <w:rPr>
                <w:color w:val="0070C0"/>
                <w:sz w:val="20"/>
                <w:szCs w:val="20"/>
              </w:rPr>
              <w:t>a) From a private computer</w:t>
            </w:r>
          </w:p>
          <w:p w14:paraId="058E027A" w14:textId="77777777" w:rsidR="00D348E4" w:rsidRDefault="00D348E4">
            <w:pPr>
              <w:rPr>
                <w:color w:val="0070C0"/>
                <w:sz w:val="20"/>
                <w:szCs w:val="20"/>
              </w:rPr>
            </w:pP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14:paraId="3401B50C" w14:textId="77777777" w:rsidR="00D348E4" w:rsidRDefault="00D348E4">
            <w:pPr>
              <w:rPr>
                <w:b/>
                <w:bCs/>
                <w:sz w:val="20"/>
                <w:szCs w:val="20"/>
              </w:rPr>
            </w:pPr>
            <w:r>
              <w:rPr>
                <w:b/>
                <w:bCs/>
                <w:sz w:val="20"/>
                <w:szCs w:val="20"/>
              </w:rPr>
              <w:t>Yes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408B6613" w14:textId="77777777" w:rsidR="00D348E4" w:rsidRDefault="00D348E4">
            <w:pPr>
              <w:rPr>
                <w:b/>
                <w:bCs/>
                <w:sz w:val="20"/>
                <w:szCs w:val="20"/>
              </w:rPr>
            </w:pPr>
            <w:r>
              <w:rPr>
                <w:b/>
                <w:bCs/>
                <w:sz w:val="20"/>
                <w:szCs w:val="20"/>
              </w:rPr>
              <w:t>No</w:t>
            </w:r>
          </w:p>
        </w:tc>
        <w:tc>
          <w:tcPr>
            <w:tcW w:w="9000" w:type="dxa"/>
            <w:tcBorders>
              <w:top w:val="nil"/>
              <w:left w:val="nil"/>
              <w:bottom w:val="single" w:sz="8" w:space="0" w:color="auto"/>
              <w:right w:val="single" w:sz="8" w:space="0" w:color="auto"/>
            </w:tcBorders>
          </w:tcPr>
          <w:p w14:paraId="3ED7C324" w14:textId="77777777" w:rsidR="00D348E4" w:rsidRDefault="00D348E4">
            <w:pPr>
              <w:rPr>
                <w:b/>
                <w:bCs/>
                <w:sz w:val="20"/>
                <w:szCs w:val="20"/>
              </w:rPr>
            </w:pPr>
          </w:p>
        </w:tc>
      </w:tr>
      <w:tr w:rsidR="00D348E4" w14:paraId="4BB413E6" w14:textId="77777777" w:rsidTr="00D348E4">
        <w:trPr>
          <w:trHeight w:val="70"/>
        </w:trPr>
        <w:tc>
          <w:tcPr>
            <w:tcW w:w="0" w:type="auto"/>
            <w:vMerge/>
            <w:tcBorders>
              <w:top w:val="nil"/>
              <w:left w:val="single" w:sz="8" w:space="0" w:color="auto"/>
              <w:bottom w:val="single" w:sz="8" w:space="0" w:color="auto"/>
              <w:right w:val="single" w:sz="8" w:space="0" w:color="auto"/>
            </w:tcBorders>
            <w:vAlign w:val="center"/>
            <w:hideMark/>
          </w:tcPr>
          <w:p w14:paraId="4316648E" w14:textId="77777777" w:rsidR="00D348E4" w:rsidRDefault="00D348E4">
            <w:pPr>
              <w:rPr>
                <w:color w:val="0070C0"/>
                <w:sz w:val="20"/>
                <w:szCs w:val="20"/>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14:paraId="4D1C75E0" w14:textId="77777777" w:rsidR="00D348E4" w:rsidRDefault="00D348E4">
            <w:pPr>
              <w:jc w:val="center"/>
              <w:rPr>
                <w:sz w:val="20"/>
                <w:szCs w:val="20"/>
              </w:rPr>
            </w:pPr>
          </w:p>
          <w:p w14:paraId="57E2E77E" w14:textId="77777777" w:rsidR="00D348E4" w:rsidRDefault="00D348E4">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36D7B3CD" w14:textId="77777777" w:rsidR="00D348E4" w:rsidRDefault="00D348E4">
            <w:pPr>
              <w:jc w:val="center"/>
              <w:rPr>
                <w:sz w:val="20"/>
                <w:szCs w:val="20"/>
              </w:rPr>
            </w:pPr>
          </w:p>
        </w:tc>
        <w:tc>
          <w:tcPr>
            <w:tcW w:w="9000" w:type="dxa"/>
            <w:tcBorders>
              <w:top w:val="nil"/>
              <w:left w:val="nil"/>
              <w:bottom w:val="single" w:sz="8" w:space="0" w:color="auto"/>
              <w:right w:val="single" w:sz="8" w:space="0" w:color="auto"/>
            </w:tcBorders>
          </w:tcPr>
          <w:p w14:paraId="0C198FF3" w14:textId="77777777" w:rsidR="00D348E4" w:rsidRDefault="00D348E4">
            <w:pPr>
              <w:jc w:val="center"/>
              <w:rPr>
                <w:sz w:val="20"/>
                <w:szCs w:val="20"/>
              </w:rPr>
            </w:pPr>
          </w:p>
        </w:tc>
      </w:tr>
      <w:tr w:rsidR="00D348E4" w14:paraId="0FB20195" w14:textId="77777777" w:rsidTr="00D348E4">
        <w:tc>
          <w:tcPr>
            <w:tcW w:w="64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6C485A" w14:textId="77777777" w:rsidR="00D348E4" w:rsidRDefault="00D348E4">
            <w:pPr>
              <w:rPr>
                <w:color w:val="0070C0"/>
                <w:sz w:val="20"/>
                <w:szCs w:val="20"/>
              </w:rPr>
            </w:pPr>
            <w:r>
              <w:rPr>
                <w:color w:val="0070C0"/>
                <w:sz w:val="20"/>
                <w:szCs w:val="20"/>
              </w:rPr>
              <w:t>b) From a WHO Country Office or GDO (where facilities are available)</w:t>
            </w:r>
          </w:p>
          <w:p w14:paraId="132090D2" w14:textId="77777777" w:rsidR="00D348E4" w:rsidRDefault="00D348E4">
            <w:pPr>
              <w:rPr>
                <w:color w:val="0070C0"/>
                <w:sz w:val="20"/>
                <w:szCs w:val="20"/>
              </w:rPr>
            </w:pP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14:paraId="63607FE2" w14:textId="77777777" w:rsidR="00D348E4" w:rsidRDefault="00D348E4">
            <w:pPr>
              <w:rPr>
                <w:b/>
                <w:bCs/>
                <w:sz w:val="20"/>
                <w:szCs w:val="20"/>
              </w:rPr>
            </w:pPr>
            <w:r>
              <w:rPr>
                <w:b/>
                <w:bCs/>
                <w:sz w:val="20"/>
                <w:szCs w:val="20"/>
              </w:rPr>
              <w:t>Yes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0816F8C4" w14:textId="77777777" w:rsidR="00D348E4" w:rsidRDefault="00D348E4">
            <w:pPr>
              <w:rPr>
                <w:b/>
                <w:bCs/>
                <w:sz w:val="20"/>
                <w:szCs w:val="20"/>
              </w:rPr>
            </w:pPr>
            <w:r>
              <w:rPr>
                <w:b/>
                <w:bCs/>
                <w:sz w:val="20"/>
                <w:szCs w:val="20"/>
              </w:rPr>
              <w:t>No</w:t>
            </w:r>
          </w:p>
        </w:tc>
        <w:tc>
          <w:tcPr>
            <w:tcW w:w="9000" w:type="dxa"/>
            <w:tcBorders>
              <w:top w:val="nil"/>
              <w:left w:val="nil"/>
              <w:bottom w:val="single" w:sz="8" w:space="0" w:color="auto"/>
              <w:right w:val="single" w:sz="8" w:space="0" w:color="auto"/>
            </w:tcBorders>
          </w:tcPr>
          <w:p w14:paraId="74522DC0" w14:textId="77777777" w:rsidR="00D348E4" w:rsidRDefault="00D348E4">
            <w:pPr>
              <w:rPr>
                <w:b/>
                <w:bCs/>
                <w:sz w:val="20"/>
                <w:szCs w:val="20"/>
              </w:rPr>
            </w:pPr>
          </w:p>
        </w:tc>
      </w:tr>
      <w:tr w:rsidR="00D348E4" w14:paraId="5BE030F0" w14:textId="77777777" w:rsidTr="00D348E4">
        <w:tc>
          <w:tcPr>
            <w:tcW w:w="0" w:type="auto"/>
            <w:vMerge/>
            <w:tcBorders>
              <w:top w:val="nil"/>
              <w:left w:val="single" w:sz="8" w:space="0" w:color="auto"/>
              <w:bottom w:val="single" w:sz="8" w:space="0" w:color="auto"/>
              <w:right w:val="single" w:sz="8" w:space="0" w:color="auto"/>
            </w:tcBorders>
            <w:vAlign w:val="center"/>
            <w:hideMark/>
          </w:tcPr>
          <w:p w14:paraId="3AF37B15" w14:textId="77777777" w:rsidR="00D348E4" w:rsidRDefault="00D348E4">
            <w:pPr>
              <w:rPr>
                <w:color w:val="0070C0"/>
                <w:sz w:val="20"/>
                <w:szCs w:val="20"/>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14:paraId="29C5B92F" w14:textId="77777777" w:rsidR="00D348E4" w:rsidRDefault="00D348E4">
            <w:pPr>
              <w:rPr>
                <w:b/>
                <w:bC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15E10C6" w14:textId="77777777" w:rsidR="00D348E4" w:rsidRDefault="00D348E4">
            <w:pPr>
              <w:rPr>
                <w:b/>
                <w:bCs/>
                <w:sz w:val="20"/>
                <w:szCs w:val="20"/>
              </w:rPr>
            </w:pPr>
          </w:p>
        </w:tc>
        <w:tc>
          <w:tcPr>
            <w:tcW w:w="9000" w:type="dxa"/>
            <w:tcBorders>
              <w:top w:val="nil"/>
              <w:left w:val="nil"/>
              <w:bottom w:val="single" w:sz="8" w:space="0" w:color="auto"/>
              <w:right w:val="single" w:sz="8" w:space="0" w:color="auto"/>
            </w:tcBorders>
          </w:tcPr>
          <w:p w14:paraId="30B64775" w14:textId="77777777" w:rsidR="00D348E4" w:rsidRDefault="00D348E4">
            <w:pPr>
              <w:rPr>
                <w:b/>
                <w:bCs/>
                <w:sz w:val="20"/>
                <w:szCs w:val="20"/>
              </w:rPr>
            </w:pPr>
          </w:p>
        </w:tc>
      </w:tr>
      <w:tr w:rsidR="00D348E4" w14:paraId="4A2F1AFB" w14:textId="77777777" w:rsidTr="00D348E4">
        <w:tc>
          <w:tcPr>
            <w:tcW w:w="0" w:type="auto"/>
            <w:tcBorders>
              <w:top w:val="nil"/>
              <w:left w:val="single" w:sz="8" w:space="0" w:color="auto"/>
              <w:bottom w:val="nil"/>
              <w:right w:val="single" w:sz="8" w:space="0" w:color="auto"/>
            </w:tcBorders>
            <w:vAlign w:val="center"/>
            <w:hideMark/>
          </w:tcPr>
          <w:p w14:paraId="42C2546F" w14:textId="77777777" w:rsidR="00D348E4" w:rsidRDefault="00D348E4">
            <w:pPr>
              <w:rPr>
                <w:color w:val="0070C0"/>
                <w:sz w:val="20"/>
                <w:szCs w:val="20"/>
              </w:rPr>
            </w:pPr>
            <w:r>
              <w:rPr>
                <w:sz w:val="20"/>
                <w:szCs w:val="20"/>
              </w:rPr>
              <w:t>  Will all delegates be attending through the same connection?</w:t>
            </w:r>
          </w:p>
        </w:tc>
        <w:tc>
          <w:tcPr>
            <w:tcW w:w="807" w:type="dxa"/>
            <w:tcBorders>
              <w:top w:val="nil"/>
              <w:left w:val="nil"/>
              <w:bottom w:val="nil"/>
              <w:right w:val="single" w:sz="8" w:space="0" w:color="auto"/>
            </w:tcBorders>
            <w:tcMar>
              <w:top w:w="0" w:type="dxa"/>
              <w:left w:w="108" w:type="dxa"/>
              <w:bottom w:w="0" w:type="dxa"/>
              <w:right w:w="108" w:type="dxa"/>
            </w:tcMar>
            <w:hideMark/>
          </w:tcPr>
          <w:p w14:paraId="342DF9B8" w14:textId="77777777" w:rsidR="00D348E4" w:rsidRDefault="00D348E4">
            <w:pPr>
              <w:rPr>
                <w:b/>
                <w:bCs/>
                <w:sz w:val="20"/>
                <w:szCs w:val="20"/>
              </w:rPr>
            </w:pPr>
            <w:r>
              <w:rPr>
                <w:b/>
                <w:bCs/>
                <w:sz w:val="20"/>
                <w:szCs w:val="20"/>
              </w:rPr>
              <w:t>Yes</w:t>
            </w:r>
          </w:p>
        </w:tc>
        <w:tc>
          <w:tcPr>
            <w:tcW w:w="720" w:type="dxa"/>
            <w:tcBorders>
              <w:top w:val="nil"/>
              <w:left w:val="nil"/>
              <w:bottom w:val="nil"/>
              <w:right w:val="single" w:sz="8" w:space="0" w:color="auto"/>
            </w:tcBorders>
            <w:tcMar>
              <w:top w:w="0" w:type="dxa"/>
              <w:left w:w="108" w:type="dxa"/>
              <w:bottom w:w="0" w:type="dxa"/>
              <w:right w:w="108" w:type="dxa"/>
            </w:tcMar>
            <w:hideMark/>
          </w:tcPr>
          <w:p w14:paraId="62D1E80D" w14:textId="77777777" w:rsidR="00D348E4" w:rsidRDefault="00D348E4">
            <w:pPr>
              <w:rPr>
                <w:b/>
                <w:bCs/>
                <w:sz w:val="20"/>
                <w:szCs w:val="20"/>
              </w:rPr>
            </w:pPr>
            <w:r>
              <w:rPr>
                <w:b/>
                <w:bCs/>
                <w:sz w:val="20"/>
                <w:szCs w:val="20"/>
              </w:rPr>
              <w:t>No</w:t>
            </w:r>
          </w:p>
        </w:tc>
        <w:tc>
          <w:tcPr>
            <w:tcW w:w="9000" w:type="dxa"/>
            <w:tcBorders>
              <w:top w:val="nil"/>
              <w:left w:val="nil"/>
              <w:bottom w:val="nil"/>
              <w:right w:val="single" w:sz="8" w:space="0" w:color="auto"/>
            </w:tcBorders>
          </w:tcPr>
          <w:p w14:paraId="29C01D41" w14:textId="77777777" w:rsidR="00D348E4" w:rsidRDefault="00D348E4">
            <w:pPr>
              <w:rPr>
                <w:b/>
                <w:bCs/>
                <w:sz w:val="20"/>
                <w:szCs w:val="20"/>
              </w:rPr>
            </w:pPr>
          </w:p>
        </w:tc>
      </w:tr>
      <w:tr w:rsidR="00D348E4" w14:paraId="04811C3B" w14:textId="77777777" w:rsidTr="00D348E4">
        <w:tc>
          <w:tcPr>
            <w:tcW w:w="0" w:type="auto"/>
            <w:tcBorders>
              <w:top w:val="nil"/>
              <w:left w:val="single" w:sz="8" w:space="0" w:color="auto"/>
              <w:bottom w:val="single" w:sz="8" w:space="0" w:color="auto"/>
              <w:right w:val="single" w:sz="8" w:space="0" w:color="auto"/>
            </w:tcBorders>
            <w:vAlign w:val="center"/>
          </w:tcPr>
          <w:p w14:paraId="0C2AFD42" w14:textId="77777777" w:rsidR="00D348E4" w:rsidRDefault="00D348E4">
            <w:pPr>
              <w:rPr>
                <w:sz w:val="20"/>
                <w:szCs w:val="20"/>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14:paraId="684279EE" w14:textId="77777777" w:rsidR="00D348E4" w:rsidRDefault="00D348E4">
            <w:pPr>
              <w:rPr>
                <w:b/>
                <w:bC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94C9F10" w14:textId="77777777" w:rsidR="00D348E4" w:rsidRDefault="00D348E4">
            <w:pPr>
              <w:rPr>
                <w:b/>
                <w:bCs/>
                <w:sz w:val="20"/>
                <w:szCs w:val="20"/>
              </w:rPr>
            </w:pPr>
          </w:p>
        </w:tc>
        <w:tc>
          <w:tcPr>
            <w:tcW w:w="9000" w:type="dxa"/>
            <w:tcBorders>
              <w:top w:val="nil"/>
              <w:left w:val="nil"/>
              <w:bottom w:val="single" w:sz="8" w:space="0" w:color="auto"/>
              <w:right w:val="single" w:sz="8" w:space="0" w:color="auto"/>
            </w:tcBorders>
          </w:tcPr>
          <w:p w14:paraId="6B7F0F76" w14:textId="77777777" w:rsidR="00D348E4" w:rsidRDefault="00D348E4">
            <w:pPr>
              <w:rPr>
                <w:b/>
                <w:bCs/>
                <w:sz w:val="20"/>
                <w:szCs w:val="20"/>
              </w:rPr>
            </w:pPr>
          </w:p>
        </w:tc>
      </w:tr>
    </w:tbl>
    <w:p w14:paraId="6824A85F" w14:textId="77777777" w:rsidR="00D348E4" w:rsidRDefault="00D348E4" w:rsidP="00D348E4"/>
    <w:p w14:paraId="615C3367" w14:textId="246C2869" w:rsidR="00D348E4" w:rsidRDefault="00D348E4" w:rsidP="00D348E4">
      <w:r>
        <w:t xml:space="preserve">The Secretariat will revert with full details </w:t>
      </w:r>
      <w:r w:rsidR="00584EA9">
        <w:t>soon</w:t>
      </w:r>
      <w:bookmarkStart w:id="0" w:name="_GoBack"/>
      <w:bookmarkEnd w:id="0"/>
      <w:r>
        <w:t>.</w:t>
      </w:r>
    </w:p>
    <w:p w14:paraId="292CF007" w14:textId="77777777" w:rsidR="00D348E4" w:rsidRDefault="00D348E4" w:rsidP="00D348E4"/>
    <w:p w14:paraId="3C010ED1" w14:textId="77777777" w:rsidR="00D348E4" w:rsidRDefault="00D348E4" w:rsidP="00D348E4">
      <w:r>
        <w:t xml:space="preserve">It would be apricated to get information by the 15 July the latest as reply to this email to </w:t>
      </w:r>
      <w:hyperlink r:id="rId4" w:history="1">
        <w:r>
          <w:rPr>
            <w:rStyle w:val="Hyperlink"/>
          </w:rPr>
          <w:t>eugovernance@who.int</w:t>
        </w:r>
      </w:hyperlink>
      <w:r>
        <w:t xml:space="preserve"> </w:t>
      </w:r>
    </w:p>
    <w:p w14:paraId="0FA22C57" w14:textId="77777777" w:rsidR="00D348E4" w:rsidRDefault="00D348E4" w:rsidP="00D348E4"/>
    <w:p w14:paraId="5B8BB2DC" w14:textId="77777777" w:rsidR="00D348E4" w:rsidRDefault="00D348E4" w:rsidP="00D348E4">
      <w:r>
        <w:t>With kind regards,</w:t>
      </w:r>
    </w:p>
    <w:p w14:paraId="1959970A" w14:textId="77777777" w:rsidR="00D348E4" w:rsidRDefault="00D348E4" w:rsidP="00D348E4">
      <w:r>
        <w:br/>
        <w:t>Regional Governance Team</w:t>
      </w:r>
    </w:p>
    <w:p w14:paraId="1D040A71" w14:textId="77777777" w:rsidR="00D348E4" w:rsidRDefault="00D348E4" w:rsidP="00D348E4"/>
    <w:p w14:paraId="3F11402E" w14:textId="77777777" w:rsidR="00D348E4" w:rsidRDefault="00D348E4" w:rsidP="00D348E4">
      <w:pPr>
        <w:rPr>
          <w:rFonts w:ascii="Times New Roman" w:hAnsi="Times New Roman" w:cs="Times New Roman"/>
          <w:sz w:val="24"/>
          <w:szCs w:val="24"/>
        </w:rPr>
      </w:pPr>
    </w:p>
    <w:p w14:paraId="13D80838" w14:textId="77777777" w:rsidR="00D348E4" w:rsidRDefault="00D348E4" w:rsidP="00D348E4">
      <w:r>
        <w:t xml:space="preserve">Regional Governance Team </w:t>
      </w:r>
    </w:p>
    <w:p w14:paraId="61C00836" w14:textId="77777777" w:rsidR="00D348E4" w:rsidRDefault="00D348E4" w:rsidP="00D348E4">
      <w:r>
        <w:t>WHO Regional Office for Europe</w:t>
      </w:r>
    </w:p>
    <w:p w14:paraId="1F07DE7B" w14:textId="77777777" w:rsidR="00D348E4" w:rsidRDefault="00584EA9" w:rsidP="00D348E4">
      <w:hyperlink r:id="rId5" w:history="1">
        <w:r w:rsidR="00D348E4">
          <w:rPr>
            <w:rStyle w:val="Hyperlink"/>
          </w:rPr>
          <w:t>eugovernance@who.int</w:t>
        </w:r>
      </w:hyperlink>
    </w:p>
    <w:p w14:paraId="0BEEC684" w14:textId="77777777" w:rsidR="00D348E4" w:rsidRDefault="00D348E4" w:rsidP="00D348E4"/>
    <w:p w14:paraId="62426169" w14:textId="36726377" w:rsidR="00D348E4" w:rsidRDefault="00D348E4" w:rsidP="00D348E4">
      <w:r>
        <w:rPr>
          <w:rFonts w:ascii="Times New Roman" w:hAnsi="Times New Roman" w:cs="Times New Roman"/>
          <w:noProof/>
          <w:sz w:val="24"/>
          <w:szCs w:val="24"/>
        </w:rPr>
        <w:drawing>
          <wp:inline distT="0" distB="0" distL="0" distR="0" wp14:anchorId="428A9B31" wp14:editId="6E4A60D9">
            <wp:extent cx="1200150" cy="371475"/>
            <wp:effectExtent l="0" t="0" r="0" b="9525"/>
            <wp:docPr id="1" name="Picture 1" descr="WHO_emai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_email_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371475"/>
                    </a:xfrm>
                    <a:prstGeom prst="rect">
                      <a:avLst/>
                    </a:prstGeom>
                    <a:noFill/>
                    <a:ln>
                      <a:noFill/>
                    </a:ln>
                  </pic:spPr>
                </pic:pic>
              </a:graphicData>
            </a:graphic>
          </wp:inline>
        </w:drawing>
      </w:r>
    </w:p>
    <w:p w14:paraId="279FE079" w14:textId="77777777" w:rsidR="00D348E4" w:rsidRDefault="00D348E4" w:rsidP="00D348E4">
      <w:pPr>
        <w:rPr>
          <w:rFonts w:asciiTheme="minorHAnsi" w:hAnsiTheme="minorHAnsi" w:cstheme="minorBidi"/>
        </w:rPr>
      </w:pPr>
    </w:p>
    <w:p w14:paraId="78147C34" w14:textId="77777777" w:rsidR="00F21518" w:rsidRDefault="00F21518"/>
    <w:sectPr w:rsidR="00F21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27"/>
    <w:rsid w:val="00584EA9"/>
    <w:rsid w:val="00D348E4"/>
    <w:rsid w:val="00ED7127"/>
    <w:rsid w:val="00F2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B9ED8-9458-42AE-8B56-8FC0CBFB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8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48E4"/>
    <w:rPr>
      <w:color w:val="0563C1"/>
      <w:u w:val="single"/>
    </w:rPr>
  </w:style>
  <w:style w:type="paragraph" w:styleId="BalloonText">
    <w:name w:val="Balloon Text"/>
    <w:basedOn w:val="Normal"/>
    <w:link w:val="BalloonTextChar"/>
    <w:uiPriority w:val="99"/>
    <w:semiHidden/>
    <w:unhideWhenUsed/>
    <w:rsid w:val="00D34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eugovernance@who.int" TargetMode="External"/><Relationship Id="rId4" Type="http://schemas.openxmlformats.org/officeDocument/2006/relationships/hyperlink" Target="mailto:eugovernance@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SOTSKOV, Vladlena</dc:creator>
  <cp:keywords/>
  <dc:description/>
  <cp:lastModifiedBy>SOTSKOV, Vladlena</cp:lastModifiedBy>
  <cp:revision>5</cp:revision>
  <dcterms:created xsi:type="dcterms:W3CDTF">2020-07-08T13:44:00Z</dcterms:created>
  <dcterms:modified xsi:type="dcterms:W3CDTF">2020-07-08T13:46:00Z</dcterms:modified>
</cp:coreProperties>
</file>