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529" w:rsidRPr="00D71529" w:rsidRDefault="00D71529" w:rsidP="00D71529">
      <w:pPr>
        <w:spacing w:after="0" w:line="276" w:lineRule="auto"/>
        <w:jc w:val="both"/>
        <w:rPr>
          <w:rFonts w:asciiTheme="majorHAnsi" w:eastAsia="Times New Roman" w:hAnsiTheme="majorHAnsi" w:cs="Times New Roman"/>
          <w:sz w:val="24"/>
          <w:szCs w:val="24"/>
          <w:lang w:val="en-US"/>
        </w:rPr>
      </w:pPr>
      <w:r w:rsidRPr="00D71529">
        <w:rPr>
          <w:rFonts w:asciiTheme="majorHAnsi" w:eastAsia="Times New Roman" w:hAnsiTheme="majorHAnsi" w:cs="Times New Roman"/>
          <w:sz w:val="24"/>
          <w:szCs w:val="24"/>
          <w:lang w:val="en-US"/>
        </w:rPr>
        <w:t xml:space="preserve">  Access to water and sanitation is a human right in Georgia. This human right is in itself essential for life and dignity, but it is also the foundation for achieving a wealth of other human rights, including the right to health and the right to development.</w:t>
      </w:r>
    </w:p>
    <w:p w:rsidR="00D71529" w:rsidRPr="00D71529" w:rsidRDefault="00D71529" w:rsidP="00D71529">
      <w:pPr>
        <w:spacing w:after="0" w:line="276" w:lineRule="auto"/>
        <w:jc w:val="both"/>
        <w:rPr>
          <w:rFonts w:asciiTheme="majorHAnsi" w:eastAsia="Times New Roman" w:hAnsiTheme="majorHAnsi" w:cs="Times New Roman"/>
          <w:sz w:val="24"/>
          <w:szCs w:val="24"/>
          <w:lang w:val="en-US"/>
        </w:rPr>
      </w:pPr>
      <w:r w:rsidRPr="00D71529">
        <w:rPr>
          <w:rFonts w:asciiTheme="majorHAnsi" w:eastAsia="Times New Roman" w:hAnsiTheme="majorHAnsi" w:cs="Times New Roman"/>
          <w:sz w:val="24"/>
          <w:szCs w:val="24"/>
          <w:lang w:val="en-US"/>
        </w:rPr>
        <w:t xml:space="preserve">   According to the paragraph 5th of Article 37th of The Constitution of Georgia citizens have the right to receive complete, reliable and timely information on their working and living environment.</w:t>
      </w:r>
    </w:p>
    <w:p w:rsidR="00D71529" w:rsidRPr="00D71529" w:rsidRDefault="00D71529" w:rsidP="00D71529">
      <w:pPr>
        <w:spacing w:after="0" w:line="276" w:lineRule="auto"/>
        <w:jc w:val="both"/>
        <w:rPr>
          <w:rFonts w:asciiTheme="majorHAnsi" w:eastAsia="Times New Roman" w:hAnsiTheme="majorHAnsi" w:cs="Times New Roman"/>
          <w:sz w:val="24"/>
          <w:szCs w:val="24"/>
          <w:lang w:val="en-US"/>
        </w:rPr>
      </w:pPr>
      <w:r w:rsidRPr="00D71529">
        <w:rPr>
          <w:rFonts w:asciiTheme="majorHAnsi" w:eastAsia="Times New Roman" w:hAnsiTheme="majorHAnsi" w:cs="Times New Roman"/>
          <w:sz w:val="24"/>
          <w:szCs w:val="24"/>
          <w:lang w:val="en-US"/>
        </w:rPr>
        <w:t>Georgia ratified Convention of The United Nations Economic Commission for Europe (ENECE) Aarhus Convention (Convention on Access to Information, Public Participation in decision-making and Access to Justice in Environmental Matters) in 2000.</w:t>
      </w:r>
    </w:p>
    <w:p w:rsidR="00D71529" w:rsidRPr="00D71529" w:rsidRDefault="00D71529" w:rsidP="00D71529">
      <w:pPr>
        <w:spacing w:after="0" w:line="276" w:lineRule="auto"/>
        <w:jc w:val="both"/>
        <w:rPr>
          <w:rFonts w:asciiTheme="majorHAnsi" w:eastAsia="Times New Roman" w:hAnsiTheme="majorHAnsi" w:cs="Times New Roman"/>
          <w:sz w:val="24"/>
          <w:szCs w:val="24"/>
          <w:lang w:val="en-US"/>
        </w:rPr>
      </w:pPr>
      <w:r w:rsidRPr="00D71529">
        <w:rPr>
          <w:rFonts w:asciiTheme="majorHAnsi" w:eastAsia="Times New Roman" w:hAnsiTheme="majorHAnsi" w:cs="Times New Roman"/>
          <w:sz w:val="24"/>
          <w:szCs w:val="24"/>
          <w:lang w:val="en-US"/>
        </w:rPr>
        <w:t xml:space="preserve"> The waters within the land territory, its subsoil, continental shelf, territorial waters, and special economic zone of Georgia are a national treasure of Georgia and shall be protected by the State. </w:t>
      </w:r>
    </w:p>
    <w:p w:rsidR="00D71529" w:rsidRPr="00D71529" w:rsidRDefault="00D71529" w:rsidP="00D71529">
      <w:pPr>
        <w:spacing w:after="0" w:line="276" w:lineRule="auto"/>
        <w:jc w:val="both"/>
        <w:rPr>
          <w:rFonts w:asciiTheme="majorHAnsi" w:eastAsia="Times New Roman" w:hAnsiTheme="majorHAnsi" w:cs="Times New Roman"/>
          <w:sz w:val="24"/>
          <w:szCs w:val="24"/>
          <w:lang w:val="en-US"/>
        </w:rPr>
      </w:pPr>
      <w:r w:rsidRPr="00D71529">
        <w:rPr>
          <w:rFonts w:asciiTheme="majorHAnsi" w:eastAsia="Times New Roman" w:hAnsiTheme="majorHAnsi" w:cs="Times New Roman"/>
          <w:sz w:val="24"/>
          <w:szCs w:val="24"/>
          <w:lang w:val="en-US"/>
        </w:rPr>
        <w:t xml:space="preserve">Inland water resources located on the country territory are the state property and can be used only on the basis of the licenses issued by authorized agencies. Ownership of the land does not imply permission for water use. </w:t>
      </w:r>
    </w:p>
    <w:p w:rsidR="00D71529" w:rsidRPr="00D71529" w:rsidRDefault="00D71529" w:rsidP="00D71529">
      <w:pPr>
        <w:spacing w:after="0" w:line="276" w:lineRule="auto"/>
        <w:jc w:val="both"/>
        <w:rPr>
          <w:rFonts w:asciiTheme="majorHAnsi" w:eastAsia="Times New Roman" w:hAnsiTheme="majorHAnsi" w:cs="Times New Roman"/>
          <w:sz w:val="24"/>
          <w:szCs w:val="24"/>
          <w:lang w:val="en-US"/>
        </w:rPr>
      </w:pPr>
      <w:r w:rsidRPr="00D71529">
        <w:rPr>
          <w:rFonts w:asciiTheme="majorHAnsi" w:eastAsia="Times New Roman" w:hAnsiTheme="majorHAnsi" w:cs="Times New Roman"/>
          <w:sz w:val="24"/>
          <w:szCs w:val="24"/>
          <w:lang w:val="en-US"/>
        </w:rPr>
        <w:t xml:space="preserve">Water resources in Georgia are unequally distributed and are mainly concentrated in western part of it, whereas eastern regions often experience water shortages. Almost all East Georgian rivers create the </w:t>
      </w:r>
      <w:proofErr w:type="spellStart"/>
      <w:r w:rsidRPr="00D71529">
        <w:rPr>
          <w:rFonts w:asciiTheme="majorHAnsi" w:eastAsia="Times New Roman" w:hAnsiTheme="majorHAnsi" w:cs="Times New Roman"/>
          <w:sz w:val="24"/>
          <w:szCs w:val="24"/>
          <w:lang w:val="en-US"/>
        </w:rPr>
        <w:t>Mtkvari</w:t>
      </w:r>
      <w:proofErr w:type="spellEnd"/>
      <w:r w:rsidRPr="00D71529">
        <w:rPr>
          <w:rFonts w:asciiTheme="majorHAnsi" w:eastAsia="Times New Roman" w:hAnsiTheme="majorHAnsi" w:cs="Times New Roman"/>
          <w:sz w:val="24"/>
          <w:szCs w:val="24"/>
          <w:lang w:val="en-US"/>
        </w:rPr>
        <w:t xml:space="preserve"> river single system flowing into Caspian; and West Georgian </w:t>
      </w:r>
      <w:proofErr w:type="gramStart"/>
      <w:r w:rsidRPr="00D71529">
        <w:rPr>
          <w:rFonts w:asciiTheme="majorHAnsi" w:eastAsia="Times New Roman" w:hAnsiTheme="majorHAnsi" w:cs="Times New Roman"/>
          <w:sz w:val="24"/>
          <w:szCs w:val="24"/>
          <w:lang w:val="en-US"/>
        </w:rPr>
        <w:t>rivers</w:t>
      </w:r>
      <w:proofErr w:type="gramEnd"/>
      <w:r w:rsidRPr="00D71529">
        <w:rPr>
          <w:rFonts w:asciiTheme="majorHAnsi" w:eastAsia="Times New Roman" w:hAnsiTheme="majorHAnsi" w:cs="Times New Roman"/>
          <w:sz w:val="24"/>
          <w:szCs w:val="24"/>
          <w:lang w:val="en-US"/>
        </w:rPr>
        <w:t xml:space="preserve"> flow into the Black Sea individually</w:t>
      </w:r>
      <w:r>
        <w:rPr>
          <w:rFonts w:asciiTheme="majorHAnsi" w:eastAsia="Times New Roman" w:hAnsiTheme="majorHAnsi" w:cs="Times New Roman"/>
          <w:sz w:val="24"/>
          <w:szCs w:val="24"/>
          <w:lang w:val="en-US"/>
        </w:rPr>
        <w:t>.</w:t>
      </w:r>
    </w:p>
    <w:p w:rsidR="00D71529" w:rsidRPr="00D71529" w:rsidRDefault="00D71529" w:rsidP="00E028AF">
      <w:pPr>
        <w:spacing w:after="0" w:line="276" w:lineRule="auto"/>
        <w:jc w:val="both"/>
        <w:rPr>
          <w:rFonts w:asciiTheme="majorHAnsi" w:eastAsia="Times New Roman" w:hAnsiTheme="majorHAnsi" w:cs="Times New Roman"/>
          <w:sz w:val="24"/>
          <w:szCs w:val="24"/>
        </w:rPr>
      </w:pPr>
      <w:r w:rsidRPr="00D71529">
        <w:rPr>
          <w:rFonts w:asciiTheme="majorHAnsi" w:eastAsia="Times New Roman" w:hAnsiTheme="majorHAnsi" w:cs="Times New Roman"/>
          <w:sz w:val="24"/>
          <w:szCs w:val="24"/>
          <w:lang w:val="en-US"/>
        </w:rPr>
        <w:t xml:space="preserve">Throwing or burring industrial, household, toxic, radioactive and other hazardous waste into the water bodies or nearby areas is prohibited as well as discharge of wastewater without having an appropriate license. </w:t>
      </w:r>
      <w:proofErr w:type="gramStart"/>
      <w:r w:rsidRPr="00D71529">
        <w:rPr>
          <w:rFonts w:asciiTheme="majorHAnsi" w:eastAsia="Times New Roman" w:hAnsiTheme="majorHAnsi" w:cs="Times New Roman"/>
          <w:sz w:val="24"/>
          <w:szCs w:val="24"/>
          <w:lang w:val="en-US"/>
        </w:rPr>
        <w:t>Despite  of</w:t>
      </w:r>
      <w:proofErr w:type="gramEnd"/>
      <w:r w:rsidRPr="00D71529">
        <w:rPr>
          <w:rFonts w:asciiTheme="majorHAnsi" w:eastAsia="Times New Roman" w:hAnsiTheme="majorHAnsi" w:cs="Times New Roman"/>
          <w:sz w:val="24"/>
          <w:szCs w:val="24"/>
          <w:lang w:val="en-US"/>
        </w:rPr>
        <w:t xml:space="preserve">  great  importance  of  administrative-legislative  policies,  economically  grounded  scientific-technical activities play decisive role in environmental protection. For example, rational allocation of industrial </w:t>
      </w:r>
      <w:proofErr w:type="spellStart"/>
      <w:r w:rsidRPr="00D71529">
        <w:rPr>
          <w:rFonts w:asciiTheme="majorHAnsi" w:eastAsia="Times New Roman" w:hAnsiTheme="majorHAnsi" w:cs="Times New Roman"/>
          <w:sz w:val="24"/>
          <w:szCs w:val="24"/>
          <w:lang w:val="en-US"/>
        </w:rPr>
        <w:t>ob</w:t>
      </w:r>
      <w:proofErr w:type="spellEnd"/>
      <w:r w:rsidRPr="00D71529">
        <w:rPr>
          <w:rFonts w:asciiTheme="majorHAnsi" w:eastAsia="Times New Roman" w:hAnsiTheme="majorHAnsi" w:cs="Times New Roman"/>
          <w:sz w:val="24"/>
          <w:szCs w:val="24"/>
          <w:lang w:val="en-US"/>
        </w:rPr>
        <w:t>-jects according to availability of water resources and its quality and implementing the technologies, that ensures getting the production with minimal consumption of natural resources and minimizing hazardous waste.</w:t>
      </w:r>
    </w:p>
    <w:p w:rsidR="00E028AF" w:rsidRPr="00E028AF" w:rsidRDefault="00E028AF" w:rsidP="00E028AF">
      <w:pPr>
        <w:spacing w:after="0" w:line="276" w:lineRule="auto"/>
        <w:jc w:val="both"/>
        <w:rPr>
          <w:rFonts w:asciiTheme="majorHAnsi" w:eastAsia="Times New Roman" w:hAnsiTheme="majorHAnsi" w:cs="Times New Roman"/>
          <w:sz w:val="24"/>
          <w:szCs w:val="24"/>
          <w:lang w:val="en-US"/>
        </w:rPr>
      </w:pPr>
      <w:r w:rsidRPr="00E028AF">
        <w:rPr>
          <w:rFonts w:asciiTheme="majorHAnsi" w:eastAsia="Times New Roman" w:hAnsiTheme="majorHAnsi" w:cs="Times New Roman"/>
          <w:sz w:val="24"/>
          <w:szCs w:val="24"/>
          <w:lang w:val="en-US"/>
        </w:rPr>
        <w:t>Georgia represents part of Aarhus Convention and its requirements in Georgia are regulated under “General Administrative Code” and other appropriate special laws. According to the legislative and normative acts, information about the state of environmental quality standards, also information about environmental quality norms and decisions cannot be confined to the category of state secrets.</w:t>
      </w:r>
    </w:p>
    <w:p w:rsidR="00E028AF" w:rsidRPr="00E028AF" w:rsidRDefault="00E028AF" w:rsidP="00E028AF">
      <w:pPr>
        <w:spacing w:after="0" w:line="276" w:lineRule="auto"/>
        <w:jc w:val="both"/>
        <w:rPr>
          <w:rFonts w:asciiTheme="majorHAnsi" w:eastAsia="Times New Roman" w:hAnsiTheme="majorHAnsi" w:cs="Times New Roman"/>
          <w:sz w:val="24"/>
          <w:szCs w:val="24"/>
          <w:lang w:val="en-US"/>
        </w:rPr>
      </w:pPr>
      <w:r w:rsidRPr="00E028AF">
        <w:rPr>
          <w:rFonts w:asciiTheme="majorHAnsi" w:eastAsia="Times New Roman" w:hAnsiTheme="majorHAnsi" w:cs="Times New Roman"/>
          <w:sz w:val="24"/>
          <w:szCs w:val="24"/>
          <w:lang w:val="en-US"/>
        </w:rPr>
        <w:t>-Ministries and Agencies created Public and Media relations Special Services.</w:t>
      </w:r>
    </w:p>
    <w:p w:rsidR="00E028AF" w:rsidRPr="00E028AF" w:rsidRDefault="00E028AF" w:rsidP="00E028AF">
      <w:pPr>
        <w:spacing w:after="0" w:line="276" w:lineRule="auto"/>
        <w:jc w:val="both"/>
        <w:rPr>
          <w:rFonts w:asciiTheme="majorHAnsi" w:eastAsia="Times New Roman" w:hAnsiTheme="majorHAnsi" w:cs="Times New Roman"/>
          <w:sz w:val="24"/>
          <w:szCs w:val="24"/>
          <w:lang w:val="en-US"/>
        </w:rPr>
      </w:pPr>
      <w:r w:rsidRPr="00E028AF">
        <w:rPr>
          <w:rFonts w:asciiTheme="majorHAnsi" w:eastAsia="Times New Roman" w:hAnsiTheme="majorHAnsi" w:cs="Times New Roman"/>
          <w:sz w:val="24"/>
          <w:szCs w:val="24"/>
          <w:lang w:val="en-US"/>
        </w:rPr>
        <w:t>-All State Agencies and Departments created special Web Pages, where is regularly published policy of each institution, as well as strategies and projects, information on their progress and performance results, also planned and prospective actions.</w:t>
      </w:r>
    </w:p>
    <w:p w:rsidR="00E028AF" w:rsidRPr="00E028AF" w:rsidRDefault="00E028AF" w:rsidP="00E028AF">
      <w:pPr>
        <w:spacing w:after="0" w:line="276" w:lineRule="auto"/>
        <w:jc w:val="both"/>
        <w:rPr>
          <w:rFonts w:asciiTheme="majorHAnsi" w:eastAsia="Times New Roman" w:hAnsiTheme="majorHAnsi" w:cs="Times New Roman"/>
          <w:sz w:val="24"/>
          <w:szCs w:val="24"/>
          <w:lang w:val="en-US"/>
        </w:rPr>
      </w:pPr>
      <w:r w:rsidRPr="00E028AF">
        <w:rPr>
          <w:rFonts w:asciiTheme="majorHAnsi" w:eastAsia="Times New Roman" w:hAnsiTheme="majorHAnsi" w:cs="Times New Roman"/>
          <w:sz w:val="24"/>
          <w:szCs w:val="24"/>
          <w:lang w:val="en-US"/>
        </w:rPr>
        <w:t>-Special governmental “Code” electronic system has been created, where is regularly published all legislative acts adopted and published by state institutions, decrees and decisions; President and Government decrees, orders and etc.</w:t>
      </w:r>
    </w:p>
    <w:p w:rsidR="00E028AF" w:rsidRPr="00E028AF" w:rsidRDefault="00E028AF" w:rsidP="00E028AF">
      <w:pPr>
        <w:autoSpaceDE w:val="0"/>
        <w:autoSpaceDN w:val="0"/>
        <w:adjustRightInd w:val="0"/>
        <w:spacing w:after="0" w:line="276" w:lineRule="auto"/>
        <w:jc w:val="both"/>
        <w:rPr>
          <w:rFonts w:asciiTheme="majorHAnsi" w:eastAsiaTheme="minorEastAsia" w:hAnsiTheme="majorHAnsi" w:cs="Sylfaen"/>
          <w:color w:val="000000"/>
          <w:sz w:val="24"/>
          <w:szCs w:val="24"/>
          <w:lang w:val="en-US"/>
        </w:rPr>
      </w:pPr>
      <w:r w:rsidRPr="00E028AF">
        <w:rPr>
          <w:rFonts w:asciiTheme="majorHAnsi" w:eastAsiaTheme="minorEastAsia" w:hAnsiTheme="majorHAnsi" w:cs="Sylfaen"/>
          <w:color w:val="000000"/>
          <w:sz w:val="24"/>
          <w:szCs w:val="24"/>
          <w:lang w:val="en-US"/>
        </w:rPr>
        <w:lastRenderedPageBreak/>
        <w:t xml:space="preserve">    </w:t>
      </w:r>
      <w:r w:rsidRPr="00E028AF">
        <w:rPr>
          <w:rFonts w:asciiTheme="majorHAnsi" w:eastAsiaTheme="minorEastAsia" w:hAnsiTheme="majorHAnsi" w:cs="Sylfaen"/>
          <w:color w:val="000000"/>
          <w:sz w:val="24"/>
          <w:szCs w:val="24"/>
        </w:rPr>
        <w:t xml:space="preserve">Public information dissemination procedures and deadlines, among them from governmental agencies and institutions (on the level of governmental, regional and local administration units) are established according to „General Administrative Code of Georgia” </w:t>
      </w:r>
      <w:r w:rsidRPr="00E028AF">
        <w:rPr>
          <w:rFonts w:asciiTheme="majorHAnsi" w:eastAsiaTheme="minorEastAsia" w:hAnsiTheme="majorHAnsi" w:cs="Sylfaen"/>
          <w:color w:val="000000"/>
          <w:sz w:val="24"/>
          <w:szCs w:val="24"/>
          <w:lang w:val="en-US"/>
        </w:rPr>
        <w:t>.</w:t>
      </w:r>
    </w:p>
    <w:p w:rsidR="00E028AF" w:rsidRPr="00E028AF" w:rsidRDefault="00E028AF" w:rsidP="00E028AF">
      <w:pPr>
        <w:autoSpaceDE w:val="0"/>
        <w:autoSpaceDN w:val="0"/>
        <w:adjustRightInd w:val="0"/>
        <w:spacing w:after="0" w:line="276" w:lineRule="auto"/>
        <w:jc w:val="both"/>
        <w:rPr>
          <w:rFonts w:asciiTheme="majorHAnsi" w:eastAsiaTheme="minorEastAsia" w:hAnsiTheme="majorHAnsi" w:cs="Sylfaen"/>
          <w:bCs/>
          <w:color w:val="000000"/>
          <w:sz w:val="24"/>
          <w:szCs w:val="24"/>
        </w:rPr>
      </w:pPr>
      <w:r w:rsidRPr="00E028AF">
        <w:rPr>
          <w:rFonts w:asciiTheme="majorHAnsi" w:eastAsiaTheme="minorEastAsia" w:hAnsiTheme="majorHAnsi" w:cs="Sylfaen"/>
          <w:color w:val="000000"/>
          <w:sz w:val="24"/>
          <w:szCs w:val="24"/>
          <w:lang w:val="en-US"/>
        </w:rPr>
        <w:t xml:space="preserve">    </w:t>
      </w:r>
      <w:r w:rsidRPr="00E028AF">
        <w:rPr>
          <w:rFonts w:asciiTheme="majorHAnsi" w:eastAsiaTheme="minorEastAsia" w:hAnsiTheme="majorHAnsi" w:cs="Sylfaen"/>
          <w:bCs/>
          <w:color w:val="000000"/>
          <w:sz w:val="24"/>
          <w:szCs w:val="24"/>
        </w:rPr>
        <w:t xml:space="preserve">Water quality and resources management is one of the most complex areas of the Association Agreement between Georgia and the EU, including Deep and Comprehensive Free Trade Area (AA / DCFTA), as it relates to many issues. Due to the large number of the water sector stakeholders, elaboration of some parts of the new legislation requires involvement of many stakeholders. In particular, the requirements of the Directive 2015/1787 of 6 October 2015 amending Annexes II and III to Council Directive 98/83/EC on the quality of water intended for human consumption are to be introduced. According to "Water Quality and Resource Management Road Map", 27 activities are identified, twelve out of which apply to elaboration of the new legislation, nine - to policy documents development and six - to research and planning. </w:t>
      </w:r>
    </w:p>
    <w:p w:rsidR="00E028AF" w:rsidRPr="00E028AF" w:rsidRDefault="00E028AF" w:rsidP="00E028AF">
      <w:pPr>
        <w:autoSpaceDE w:val="0"/>
        <w:autoSpaceDN w:val="0"/>
        <w:adjustRightInd w:val="0"/>
        <w:spacing w:after="0" w:line="276" w:lineRule="auto"/>
        <w:jc w:val="both"/>
        <w:rPr>
          <w:rFonts w:asciiTheme="majorHAnsi" w:eastAsiaTheme="minorEastAsia" w:hAnsiTheme="majorHAnsi" w:cs="Sylfaen"/>
          <w:bCs/>
          <w:color w:val="000000"/>
          <w:sz w:val="24"/>
          <w:szCs w:val="24"/>
        </w:rPr>
      </w:pPr>
      <w:r w:rsidRPr="00E028AF">
        <w:rPr>
          <w:rFonts w:asciiTheme="majorHAnsi" w:eastAsiaTheme="minorEastAsia" w:hAnsiTheme="majorHAnsi" w:cs="Sylfaen"/>
          <w:bCs/>
          <w:color w:val="000000"/>
          <w:sz w:val="24"/>
          <w:szCs w:val="24"/>
          <w:lang w:val="en-US"/>
        </w:rPr>
        <w:t xml:space="preserve">      </w:t>
      </w:r>
      <w:r w:rsidRPr="00E028AF">
        <w:rPr>
          <w:rFonts w:asciiTheme="majorHAnsi" w:eastAsiaTheme="minorEastAsia" w:hAnsiTheme="majorHAnsi" w:cs="Sylfaen"/>
          <w:bCs/>
          <w:color w:val="000000"/>
          <w:sz w:val="24"/>
          <w:szCs w:val="24"/>
        </w:rPr>
        <w:t>Despite the recent intense rehabilitation and construction of water supply and sanitation infrastructure and water quality improvement work</w:t>
      </w:r>
      <w:r w:rsidR="007C5D1E">
        <w:rPr>
          <w:rFonts w:asciiTheme="majorHAnsi" w:eastAsiaTheme="minorEastAsia" w:hAnsiTheme="majorHAnsi" w:cs="Sylfaen"/>
          <w:bCs/>
          <w:color w:val="000000"/>
          <w:sz w:val="24"/>
          <w:szCs w:val="24"/>
        </w:rPr>
        <w:t>,</w:t>
      </w:r>
      <w:r w:rsidR="007C5D1E">
        <w:rPr>
          <w:rFonts w:asciiTheme="majorHAnsi" w:eastAsiaTheme="minorEastAsia" w:hAnsiTheme="majorHAnsi" w:cs="Sylfaen"/>
          <w:bCs/>
          <w:color w:val="000000"/>
          <w:sz w:val="24"/>
          <w:szCs w:val="24"/>
          <w:lang w:val="en-US"/>
        </w:rPr>
        <w:t xml:space="preserve"> t</w:t>
      </w:r>
      <w:r w:rsidRPr="00E028AF">
        <w:rPr>
          <w:rFonts w:asciiTheme="majorHAnsi" w:eastAsiaTheme="minorEastAsia" w:hAnsiTheme="majorHAnsi" w:cs="Sylfaen"/>
          <w:bCs/>
          <w:color w:val="000000"/>
          <w:sz w:val="24"/>
          <w:szCs w:val="24"/>
        </w:rPr>
        <w:t>he issue of drinking water supply to the country's population as well as educational and boarding institution remains currently central as most of the populated areas, water pipelines and distribution networks still require replacement, capital and / or current repairs etc., which is evidenced by the ongoing projects in this field</w:t>
      </w:r>
      <w:r w:rsidRPr="00E028AF">
        <w:rPr>
          <w:rFonts w:asciiTheme="majorHAnsi" w:eastAsiaTheme="minorEastAsia" w:hAnsiTheme="majorHAnsi" w:cs="Sylfaen"/>
          <w:bCs/>
          <w:color w:val="000000"/>
          <w:sz w:val="24"/>
          <w:szCs w:val="24"/>
          <w:vertAlign w:val="superscript"/>
        </w:rPr>
        <w:footnoteReference w:id="1"/>
      </w:r>
      <w:r w:rsidRPr="00E028AF">
        <w:rPr>
          <w:rFonts w:asciiTheme="majorHAnsi" w:eastAsiaTheme="minorEastAsia" w:hAnsiTheme="majorHAnsi" w:cs="Sylfaen"/>
          <w:bCs/>
          <w:color w:val="000000"/>
          <w:sz w:val="24"/>
          <w:szCs w:val="24"/>
        </w:rPr>
        <w:t>. The situation is also aggravated by irrational expenditure of drinking water and quite common practices of its inappropriate use.</w:t>
      </w:r>
    </w:p>
    <w:p w:rsidR="00E028AF" w:rsidRPr="00E028AF" w:rsidRDefault="00E028AF" w:rsidP="00E028AF">
      <w:pPr>
        <w:spacing w:after="0" w:line="276" w:lineRule="auto"/>
        <w:jc w:val="both"/>
        <w:rPr>
          <w:rFonts w:asciiTheme="majorHAnsi" w:eastAsiaTheme="minorEastAsia" w:hAnsiTheme="majorHAnsi" w:cs="Minion Pro"/>
          <w:color w:val="211D1E"/>
          <w:sz w:val="24"/>
          <w:szCs w:val="24"/>
          <w:lang w:val="en-US"/>
        </w:rPr>
      </w:pPr>
      <w:r w:rsidRPr="00E028AF">
        <w:rPr>
          <w:rFonts w:asciiTheme="majorHAnsi" w:eastAsiaTheme="minorEastAsia" w:hAnsiTheme="majorHAnsi"/>
          <w:bCs/>
          <w:sz w:val="24"/>
          <w:szCs w:val="24"/>
          <w:lang w:val="en-US"/>
        </w:rPr>
        <w:t xml:space="preserve">     The Law of Georgia on Public Health defines responsibilities related to water management in the country and allocates them to various state agencies. </w:t>
      </w:r>
      <w:r w:rsidRPr="00E028AF">
        <w:rPr>
          <w:rFonts w:asciiTheme="majorHAnsi" w:eastAsiaTheme="minorEastAsia" w:hAnsiTheme="majorHAnsi" w:cs="Minion Pro"/>
          <w:color w:val="211D1E"/>
          <w:sz w:val="24"/>
          <w:szCs w:val="24"/>
          <w:lang w:val="en-US"/>
        </w:rPr>
        <w:t>The law on “Public Health” was adopted in Georgia in 2007.</w:t>
      </w:r>
    </w:p>
    <w:p w:rsidR="00E028AF" w:rsidRPr="00E028AF" w:rsidRDefault="00E028AF" w:rsidP="00E028AF">
      <w:pPr>
        <w:autoSpaceDE w:val="0"/>
        <w:autoSpaceDN w:val="0"/>
        <w:adjustRightInd w:val="0"/>
        <w:spacing w:after="0" w:line="276" w:lineRule="auto"/>
        <w:jc w:val="both"/>
        <w:rPr>
          <w:rFonts w:asciiTheme="majorHAnsi" w:eastAsiaTheme="minorEastAsia" w:hAnsiTheme="majorHAnsi" w:cs="Minion Pro"/>
          <w:color w:val="211D1E"/>
          <w:sz w:val="24"/>
          <w:szCs w:val="24"/>
        </w:rPr>
      </w:pPr>
      <w:r w:rsidRPr="00E028AF">
        <w:rPr>
          <w:rFonts w:asciiTheme="majorHAnsi" w:eastAsiaTheme="minorEastAsia" w:hAnsiTheme="majorHAnsi" w:cs="Minion Pro"/>
          <w:color w:val="211D1E"/>
          <w:sz w:val="24"/>
          <w:szCs w:val="24"/>
        </w:rPr>
        <w:t>The article 23 stipulates the following general provisions to ensure safety of water and protection of public health:</w:t>
      </w:r>
    </w:p>
    <w:p w:rsidR="00E028AF" w:rsidRDefault="00E028AF" w:rsidP="00E028AF">
      <w:pPr>
        <w:numPr>
          <w:ilvl w:val="0"/>
          <w:numId w:val="1"/>
        </w:numPr>
        <w:autoSpaceDE w:val="0"/>
        <w:autoSpaceDN w:val="0"/>
        <w:adjustRightInd w:val="0"/>
        <w:spacing w:after="0" w:line="276" w:lineRule="auto"/>
        <w:jc w:val="both"/>
        <w:rPr>
          <w:rFonts w:asciiTheme="majorHAnsi" w:eastAsiaTheme="minorEastAsia" w:hAnsiTheme="majorHAnsi" w:cs="Minion Pro"/>
          <w:color w:val="211D1E"/>
          <w:sz w:val="24"/>
          <w:szCs w:val="24"/>
        </w:rPr>
      </w:pPr>
      <w:r w:rsidRPr="00E028AF">
        <w:rPr>
          <w:rFonts w:asciiTheme="majorHAnsi" w:eastAsiaTheme="minorEastAsia" w:hAnsiTheme="majorHAnsi" w:cs="Sylfaen"/>
          <w:bCs/>
          <w:color w:val="000000"/>
          <w:sz w:val="24"/>
          <w:szCs w:val="24"/>
        </w:rPr>
        <w:t>Ministy  of IDPs from the Occupied Terittories, Labour, Health and Social Affairs of Georgia</w:t>
      </w:r>
      <w:r w:rsidRPr="00E028AF">
        <w:rPr>
          <w:rFonts w:asciiTheme="majorHAnsi" w:eastAsiaTheme="minorEastAsia" w:hAnsiTheme="majorHAnsi" w:cs="Minion Pro"/>
          <w:color w:val="211D1E"/>
          <w:sz w:val="24"/>
          <w:szCs w:val="24"/>
        </w:rPr>
        <w:t>, in accordance with the recommendations of the World Health Organization, sets quality norms and technical regulations of drinking-water that is safe for human health;</w:t>
      </w:r>
    </w:p>
    <w:p w:rsidR="00E028AF" w:rsidRPr="00E028AF" w:rsidRDefault="00E028AF" w:rsidP="00E028AF">
      <w:pPr>
        <w:numPr>
          <w:ilvl w:val="0"/>
          <w:numId w:val="1"/>
        </w:numPr>
        <w:autoSpaceDE w:val="0"/>
        <w:autoSpaceDN w:val="0"/>
        <w:adjustRightInd w:val="0"/>
        <w:spacing w:after="0" w:line="276" w:lineRule="auto"/>
        <w:jc w:val="both"/>
        <w:rPr>
          <w:rFonts w:asciiTheme="majorHAnsi" w:eastAsiaTheme="minorEastAsia" w:hAnsiTheme="majorHAnsi" w:cs="Minion Pro"/>
          <w:color w:val="211D1E"/>
          <w:sz w:val="24"/>
          <w:szCs w:val="24"/>
        </w:rPr>
      </w:pPr>
      <w:r w:rsidRPr="00E028AF">
        <w:rPr>
          <w:rFonts w:asciiTheme="majorHAnsi" w:eastAsiaTheme="minorEastAsia" w:hAnsiTheme="majorHAnsi" w:cs="Minion Pro"/>
          <w:color w:val="211D1E"/>
          <w:sz w:val="24"/>
          <w:szCs w:val="24"/>
        </w:rPr>
        <w:t xml:space="preserve">The Ministry of Environment </w:t>
      </w:r>
      <w:r w:rsidRPr="00E028AF">
        <w:rPr>
          <w:rFonts w:asciiTheme="majorHAnsi" w:eastAsiaTheme="minorEastAsia" w:hAnsiTheme="majorHAnsi" w:cs="Minion Pro"/>
          <w:color w:val="211D1E"/>
          <w:sz w:val="24"/>
          <w:szCs w:val="24"/>
          <w:lang w:val="en-US"/>
        </w:rPr>
        <w:t xml:space="preserve">Protection </w:t>
      </w:r>
      <w:r w:rsidRPr="00E028AF">
        <w:rPr>
          <w:rFonts w:asciiTheme="majorHAnsi" w:eastAsiaTheme="minorEastAsia" w:hAnsiTheme="majorHAnsi" w:cs="Minion Pro"/>
          <w:color w:val="211D1E"/>
          <w:sz w:val="24"/>
          <w:szCs w:val="24"/>
        </w:rPr>
        <w:t>and</w:t>
      </w:r>
      <w:r w:rsidRPr="00E028AF">
        <w:rPr>
          <w:rFonts w:asciiTheme="majorHAnsi" w:eastAsiaTheme="minorEastAsia" w:hAnsiTheme="majorHAnsi" w:cs="Minion Pro"/>
          <w:color w:val="211D1E"/>
          <w:sz w:val="24"/>
          <w:szCs w:val="24"/>
          <w:lang w:val="en-US"/>
        </w:rPr>
        <w:t xml:space="preserve"> Agriculture</w:t>
      </w:r>
      <w:r w:rsidRPr="00E028AF">
        <w:rPr>
          <w:rFonts w:asciiTheme="majorHAnsi" w:eastAsiaTheme="minorEastAsia" w:hAnsiTheme="majorHAnsi" w:cs="Minion Pro"/>
          <w:color w:val="211D1E"/>
          <w:sz w:val="24"/>
          <w:szCs w:val="24"/>
        </w:rPr>
        <w:t xml:space="preserve"> provides:</w:t>
      </w:r>
    </w:p>
    <w:p w:rsidR="00E028AF" w:rsidRPr="00E028AF" w:rsidRDefault="00E028AF" w:rsidP="00E028AF">
      <w:pPr>
        <w:numPr>
          <w:ilvl w:val="0"/>
          <w:numId w:val="2"/>
        </w:numPr>
        <w:autoSpaceDE w:val="0"/>
        <w:autoSpaceDN w:val="0"/>
        <w:adjustRightInd w:val="0"/>
        <w:spacing w:after="0" w:line="276" w:lineRule="auto"/>
        <w:contextualSpacing/>
        <w:jc w:val="both"/>
        <w:rPr>
          <w:rFonts w:asciiTheme="majorHAnsi" w:eastAsiaTheme="minorEastAsia" w:hAnsiTheme="majorHAnsi" w:cs="Minion Pro"/>
          <w:color w:val="211D1E"/>
          <w:sz w:val="24"/>
          <w:szCs w:val="24"/>
        </w:rPr>
      </w:pPr>
      <w:r w:rsidRPr="00E028AF">
        <w:rPr>
          <w:rFonts w:asciiTheme="majorHAnsi" w:eastAsiaTheme="minorEastAsia" w:hAnsiTheme="majorHAnsi" w:cs="Minion Pro"/>
          <w:color w:val="211D1E"/>
          <w:sz w:val="24"/>
          <w:szCs w:val="24"/>
        </w:rPr>
        <w:t>development and implementation of uniform governmental policy in the sphere of water resources management using the principles of sustainable development and basin-based management;</w:t>
      </w:r>
    </w:p>
    <w:p w:rsidR="00E028AF" w:rsidRPr="00E028AF" w:rsidRDefault="00E028AF" w:rsidP="00E028AF">
      <w:pPr>
        <w:numPr>
          <w:ilvl w:val="0"/>
          <w:numId w:val="2"/>
        </w:numPr>
        <w:autoSpaceDE w:val="0"/>
        <w:autoSpaceDN w:val="0"/>
        <w:adjustRightInd w:val="0"/>
        <w:spacing w:after="0" w:line="276" w:lineRule="auto"/>
        <w:contextualSpacing/>
        <w:jc w:val="both"/>
        <w:rPr>
          <w:rFonts w:asciiTheme="majorHAnsi" w:eastAsiaTheme="minorEastAsia" w:hAnsiTheme="majorHAnsi" w:cs="Minion Pro"/>
          <w:color w:val="211D1E"/>
          <w:sz w:val="24"/>
          <w:szCs w:val="24"/>
        </w:rPr>
      </w:pPr>
      <w:r w:rsidRPr="00E028AF">
        <w:rPr>
          <w:rFonts w:asciiTheme="majorHAnsi" w:eastAsiaTheme="minorEastAsia" w:hAnsiTheme="majorHAnsi" w:cs="Minion Pro"/>
          <w:color w:val="211D1E"/>
          <w:sz w:val="24"/>
          <w:szCs w:val="24"/>
        </w:rPr>
        <w:t>protection of water bodies from negative impacts which could be harmful to health, worsen water supply conditions and cause its qualitative changes;</w:t>
      </w:r>
    </w:p>
    <w:p w:rsidR="00E028AF" w:rsidRPr="00E028AF" w:rsidRDefault="00E028AF" w:rsidP="00E028AF">
      <w:pPr>
        <w:numPr>
          <w:ilvl w:val="0"/>
          <w:numId w:val="2"/>
        </w:numPr>
        <w:autoSpaceDE w:val="0"/>
        <w:autoSpaceDN w:val="0"/>
        <w:adjustRightInd w:val="0"/>
        <w:spacing w:after="0" w:line="276" w:lineRule="auto"/>
        <w:contextualSpacing/>
        <w:jc w:val="both"/>
        <w:rPr>
          <w:rFonts w:asciiTheme="majorHAnsi" w:eastAsiaTheme="minorEastAsia" w:hAnsiTheme="majorHAnsi" w:cs="Minion Pro"/>
          <w:color w:val="211D1E"/>
          <w:sz w:val="24"/>
          <w:szCs w:val="24"/>
        </w:rPr>
      </w:pPr>
      <w:r w:rsidRPr="00E028AF">
        <w:rPr>
          <w:rFonts w:asciiTheme="majorHAnsi" w:eastAsiaTheme="minorEastAsia" w:hAnsiTheme="majorHAnsi" w:cs="Minion Pro"/>
          <w:color w:val="211D1E"/>
          <w:sz w:val="24"/>
          <w:szCs w:val="24"/>
        </w:rPr>
        <w:t>organization of the state system of water use permits;</w:t>
      </w:r>
    </w:p>
    <w:p w:rsidR="00E028AF" w:rsidRPr="00E028AF" w:rsidRDefault="00E028AF" w:rsidP="00E028AF">
      <w:pPr>
        <w:numPr>
          <w:ilvl w:val="0"/>
          <w:numId w:val="2"/>
        </w:numPr>
        <w:autoSpaceDE w:val="0"/>
        <w:autoSpaceDN w:val="0"/>
        <w:adjustRightInd w:val="0"/>
        <w:spacing w:after="0" w:line="276" w:lineRule="auto"/>
        <w:contextualSpacing/>
        <w:jc w:val="both"/>
        <w:rPr>
          <w:rFonts w:asciiTheme="majorHAnsi" w:eastAsiaTheme="minorEastAsia" w:hAnsiTheme="majorHAnsi" w:cs="Minion Pro"/>
          <w:color w:val="211D1E"/>
          <w:sz w:val="24"/>
          <w:szCs w:val="24"/>
        </w:rPr>
      </w:pPr>
      <w:r w:rsidRPr="00E028AF">
        <w:rPr>
          <w:rFonts w:asciiTheme="majorHAnsi" w:eastAsiaTheme="minorEastAsia" w:hAnsiTheme="majorHAnsi" w:cs="Minion Pro"/>
          <w:color w:val="211D1E"/>
          <w:sz w:val="24"/>
          <w:szCs w:val="24"/>
        </w:rPr>
        <w:t>planning and implementation of water use suspension, termination or prohibition measures in special cases.</w:t>
      </w:r>
    </w:p>
    <w:p w:rsidR="00E028AF" w:rsidRPr="00E028AF" w:rsidRDefault="00E028AF" w:rsidP="00E028AF">
      <w:pPr>
        <w:autoSpaceDE w:val="0"/>
        <w:autoSpaceDN w:val="0"/>
        <w:adjustRightInd w:val="0"/>
        <w:spacing w:after="0" w:line="276" w:lineRule="auto"/>
        <w:jc w:val="both"/>
        <w:rPr>
          <w:rFonts w:asciiTheme="majorHAnsi" w:eastAsiaTheme="minorEastAsia" w:hAnsiTheme="majorHAnsi" w:cs="Minion Pro"/>
          <w:color w:val="211D1E"/>
          <w:sz w:val="24"/>
          <w:szCs w:val="24"/>
        </w:rPr>
      </w:pPr>
      <w:r w:rsidRPr="00E028AF">
        <w:rPr>
          <w:rFonts w:asciiTheme="majorHAnsi" w:eastAsiaTheme="minorEastAsia" w:hAnsiTheme="majorHAnsi" w:cs="Minion Pro"/>
          <w:color w:val="211D1E"/>
          <w:sz w:val="24"/>
          <w:szCs w:val="24"/>
        </w:rPr>
        <w:t>Internal control of water quality and external laboratory audit shall be performed by accredited independent laboratories.</w:t>
      </w:r>
    </w:p>
    <w:p w:rsidR="00E028AF" w:rsidRPr="00E028AF" w:rsidRDefault="00E028AF" w:rsidP="00E028AF">
      <w:pPr>
        <w:spacing w:after="0" w:line="276" w:lineRule="auto"/>
        <w:jc w:val="both"/>
        <w:rPr>
          <w:rFonts w:asciiTheme="majorHAnsi" w:eastAsia="Times New Roman" w:hAnsiTheme="majorHAnsi" w:cs="Calibri"/>
          <w:sz w:val="24"/>
          <w:szCs w:val="24"/>
          <w:lang w:val="en-US" w:eastAsia="ka-GE"/>
        </w:rPr>
      </w:pPr>
      <w:r w:rsidRPr="00E028AF">
        <w:rPr>
          <w:rFonts w:asciiTheme="majorHAnsi" w:eastAsia="Times New Roman" w:hAnsiTheme="majorHAnsi" w:cs="Calibri"/>
          <w:sz w:val="24"/>
          <w:szCs w:val="24"/>
          <w:lang w:val="en-US" w:eastAsia="ka-GE"/>
        </w:rPr>
        <w:t xml:space="preserve"> </w:t>
      </w:r>
      <w:proofErr w:type="gramStart"/>
      <w:r w:rsidRPr="00E028AF">
        <w:rPr>
          <w:rFonts w:asciiTheme="majorHAnsi" w:eastAsia="Times New Roman" w:hAnsiTheme="majorHAnsi" w:cs="Calibri"/>
          <w:sz w:val="24"/>
          <w:szCs w:val="24"/>
          <w:lang w:val="en-US" w:eastAsia="ka-GE"/>
        </w:rPr>
        <w:t>The  “</w:t>
      </w:r>
      <w:proofErr w:type="gramEnd"/>
      <w:r w:rsidRPr="00E028AF">
        <w:rPr>
          <w:rFonts w:asciiTheme="majorHAnsi" w:eastAsia="Times New Roman" w:hAnsiTheme="majorHAnsi" w:cs="Calibri"/>
          <w:sz w:val="24"/>
          <w:szCs w:val="24"/>
          <w:lang w:val="en-US" w:eastAsia="ka-GE"/>
        </w:rPr>
        <w:t>National Environment and Health Action Plan ” (NEHAP-2) was approved</w:t>
      </w:r>
      <w:r w:rsidRPr="00E028AF">
        <w:rPr>
          <w:rFonts w:asciiTheme="majorHAnsi" w:eastAsia="Times New Roman" w:hAnsiTheme="majorHAnsi" w:cs="Calibri"/>
          <w:color w:val="FF0000"/>
          <w:sz w:val="24"/>
          <w:szCs w:val="24"/>
          <w:lang w:val="en-US" w:eastAsia="ka-GE"/>
        </w:rPr>
        <w:t xml:space="preserve"> </w:t>
      </w:r>
      <w:r w:rsidRPr="00E028AF">
        <w:rPr>
          <w:rFonts w:asciiTheme="majorHAnsi" w:eastAsia="Times New Roman" w:hAnsiTheme="majorHAnsi" w:cs="Calibri"/>
          <w:sz w:val="24"/>
          <w:szCs w:val="24"/>
          <w:lang w:val="en-US" w:eastAsia="ka-GE"/>
        </w:rPr>
        <w:t>by</w:t>
      </w:r>
      <w:r w:rsidRPr="00E028AF">
        <w:rPr>
          <w:rFonts w:asciiTheme="majorHAnsi" w:eastAsia="Times New Roman" w:hAnsiTheme="majorHAnsi" w:cs="Calibri"/>
          <w:color w:val="FF0000"/>
          <w:sz w:val="24"/>
          <w:szCs w:val="24"/>
          <w:lang w:val="en-US" w:eastAsia="ka-GE"/>
        </w:rPr>
        <w:t xml:space="preserve">  </w:t>
      </w:r>
      <w:r w:rsidRPr="00E028AF">
        <w:rPr>
          <w:rFonts w:asciiTheme="majorHAnsi" w:eastAsia="Times New Roman" w:hAnsiTheme="majorHAnsi" w:cs="Calibri"/>
          <w:sz w:val="24"/>
          <w:szCs w:val="24"/>
          <w:lang w:val="en-US" w:eastAsia="ka-GE"/>
        </w:rPr>
        <w:t>the Governmental Resolution #680 on 29 of December 2019. NEHAP-2 was developed with financial and technical support of WHO ECEH and later was</w:t>
      </w:r>
      <w:r w:rsidRPr="00E028AF">
        <w:rPr>
          <w:rFonts w:asciiTheme="majorHAnsi" w:eastAsia="Times New Roman" w:hAnsiTheme="majorHAnsi" w:cs="Calibri"/>
          <w:color w:val="FF0000"/>
          <w:sz w:val="24"/>
          <w:szCs w:val="24"/>
          <w:lang w:val="en-US" w:eastAsia="ka-GE"/>
        </w:rPr>
        <w:t xml:space="preserve"> </w:t>
      </w:r>
      <w:r w:rsidRPr="00E028AF">
        <w:rPr>
          <w:rFonts w:asciiTheme="majorHAnsi" w:eastAsia="Times New Roman" w:hAnsiTheme="majorHAnsi" w:cs="Calibri"/>
          <w:sz w:val="24"/>
          <w:szCs w:val="24"/>
          <w:lang w:val="en-US" w:eastAsia="ka-GE"/>
        </w:rPr>
        <w:t>reviewed by the experts of Twinning GE22 project "Institutional Strengthening Environmental Health System of Georgia".</w:t>
      </w:r>
    </w:p>
    <w:p w:rsidR="00E028AF" w:rsidRDefault="00E028AF" w:rsidP="00E028AF">
      <w:pPr>
        <w:spacing w:after="0" w:line="276" w:lineRule="auto"/>
        <w:jc w:val="both"/>
        <w:rPr>
          <w:rFonts w:asciiTheme="majorHAnsi" w:eastAsiaTheme="minorEastAsia" w:hAnsiTheme="majorHAnsi"/>
          <w:position w:val="8"/>
          <w:sz w:val="24"/>
          <w:szCs w:val="24"/>
          <w:lang w:val="en-US"/>
        </w:rPr>
      </w:pPr>
      <w:r w:rsidRPr="00E028AF">
        <w:rPr>
          <w:rFonts w:asciiTheme="majorHAnsi" w:eastAsia="Times New Roman" w:hAnsiTheme="majorHAnsi" w:cs="Calibri"/>
          <w:sz w:val="24"/>
          <w:szCs w:val="24"/>
          <w:lang w:val="en-US" w:eastAsia="ka-GE"/>
        </w:rPr>
        <w:t xml:space="preserve">     </w:t>
      </w:r>
      <w:r w:rsidRPr="00E028AF">
        <w:rPr>
          <w:rFonts w:asciiTheme="majorHAnsi" w:eastAsiaTheme="minorEastAsia" w:hAnsiTheme="majorHAnsi"/>
          <w:position w:val="8"/>
          <w:sz w:val="24"/>
          <w:szCs w:val="24"/>
          <w:lang w:val="en-US"/>
        </w:rPr>
        <w:t>Elaborated National environment and Health Action Plan -NEHAP-2, were including all aspects of institutional WASH.</w:t>
      </w:r>
    </w:p>
    <w:p w:rsidR="00AE77CB" w:rsidRPr="00AE77CB" w:rsidRDefault="00AE77CB" w:rsidP="00AE77CB">
      <w:pPr>
        <w:spacing w:after="0" w:line="276" w:lineRule="auto"/>
        <w:jc w:val="both"/>
        <w:rPr>
          <w:rFonts w:asciiTheme="majorHAnsi" w:eastAsiaTheme="minorEastAsia" w:hAnsiTheme="majorHAnsi"/>
          <w:position w:val="8"/>
          <w:sz w:val="24"/>
          <w:szCs w:val="24"/>
          <w:lang w:val="en-US"/>
        </w:rPr>
      </w:pPr>
      <w:r w:rsidRPr="00AE77CB">
        <w:rPr>
          <w:rFonts w:asciiTheme="majorHAnsi" w:eastAsiaTheme="minorEastAsia" w:hAnsiTheme="majorHAnsi"/>
          <w:position w:val="8"/>
          <w:sz w:val="24"/>
          <w:szCs w:val="24"/>
          <w:lang w:val="en-US"/>
        </w:rPr>
        <w:t xml:space="preserve">Currently two legislative documents are in process of elaboration: </w:t>
      </w:r>
    </w:p>
    <w:p w:rsidR="00AE77CB" w:rsidRPr="00AE77CB" w:rsidRDefault="00AE77CB" w:rsidP="00AE77CB">
      <w:pPr>
        <w:spacing w:after="0" w:line="276" w:lineRule="auto"/>
        <w:jc w:val="both"/>
        <w:rPr>
          <w:rFonts w:asciiTheme="majorHAnsi" w:eastAsiaTheme="minorEastAsia" w:hAnsiTheme="majorHAnsi"/>
          <w:position w:val="8"/>
          <w:sz w:val="24"/>
          <w:szCs w:val="24"/>
          <w:lang w:val="en-US"/>
        </w:rPr>
      </w:pPr>
      <w:r w:rsidRPr="00AE77CB">
        <w:rPr>
          <w:rFonts w:asciiTheme="majorHAnsi" w:eastAsiaTheme="minorEastAsia" w:hAnsiTheme="majorHAnsi"/>
          <w:position w:val="8"/>
          <w:sz w:val="24"/>
          <w:szCs w:val="24"/>
          <w:lang w:val="en-US"/>
        </w:rPr>
        <w:t>1.</w:t>
      </w:r>
      <w:r w:rsidRPr="00AE77CB">
        <w:rPr>
          <w:rFonts w:asciiTheme="majorHAnsi" w:eastAsiaTheme="minorEastAsia" w:hAnsiTheme="majorHAnsi"/>
          <w:position w:val="8"/>
          <w:sz w:val="24"/>
          <w:szCs w:val="24"/>
          <w:lang w:val="en-US"/>
        </w:rPr>
        <w:tab/>
        <w:t>Technical Regulation- „On the Quality of Water Intended for Human Consumption“</w:t>
      </w:r>
    </w:p>
    <w:p w:rsidR="00AE77CB" w:rsidRPr="00E028AF" w:rsidRDefault="00AE77CB" w:rsidP="00AE77CB">
      <w:pPr>
        <w:spacing w:after="0" w:line="276" w:lineRule="auto"/>
        <w:jc w:val="both"/>
        <w:rPr>
          <w:rFonts w:asciiTheme="majorHAnsi" w:eastAsiaTheme="minorEastAsia" w:hAnsiTheme="majorHAnsi"/>
          <w:position w:val="8"/>
          <w:sz w:val="24"/>
          <w:szCs w:val="24"/>
          <w:lang w:val="en-US"/>
        </w:rPr>
      </w:pPr>
      <w:r w:rsidRPr="00AE77CB">
        <w:rPr>
          <w:rFonts w:asciiTheme="majorHAnsi" w:eastAsiaTheme="minorEastAsia" w:hAnsiTheme="majorHAnsi"/>
          <w:position w:val="8"/>
          <w:sz w:val="24"/>
          <w:szCs w:val="24"/>
          <w:lang w:val="en-US"/>
        </w:rPr>
        <w:t>2.</w:t>
      </w:r>
      <w:r w:rsidRPr="00AE77CB">
        <w:rPr>
          <w:rFonts w:asciiTheme="majorHAnsi" w:eastAsiaTheme="minorEastAsia" w:hAnsiTheme="majorHAnsi"/>
          <w:position w:val="8"/>
          <w:sz w:val="24"/>
          <w:szCs w:val="24"/>
          <w:lang w:val="en-US"/>
        </w:rPr>
        <w:tab/>
        <w:t>Technical Regulation- “on Bathing Waters”</w:t>
      </w:r>
    </w:p>
    <w:p w:rsidR="00AE77CB" w:rsidRDefault="00AE77CB" w:rsidP="00E028AF">
      <w:pPr>
        <w:spacing w:after="0" w:line="276" w:lineRule="auto"/>
        <w:jc w:val="both"/>
        <w:rPr>
          <w:rFonts w:asciiTheme="majorHAnsi" w:eastAsiaTheme="minorEastAsia" w:hAnsiTheme="majorHAnsi"/>
          <w:sz w:val="24"/>
          <w:szCs w:val="24"/>
          <w:lang w:val="en-US"/>
        </w:rPr>
      </w:pPr>
    </w:p>
    <w:p w:rsidR="00AE77CB" w:rsidRPr="00AE77CB" w:rsidRDefault="00AE77CB" w:rsidP="00AE77CB">
      <w:pPr>
        <w:spacing w:after="0" w:line="276" w:lineRule="auto"/>
        <w:jc w:val="both"/>
        <w:rPr>
          <w:rFonts w:ascii="Sylfaen" w:hAnsi="Sylfaen"/>
          <w:sz w:val="24"/>
          <w:szCs w:val="24"/>
          <w:lang w:val="en-GB"/>
        </w:rPr>
      </w:pPr>
      <w:r w:rsidRPr="00AE77CB">
        <w:rPr>
          <w:rFonts w:ascii="Sylfaen" w:hAnsi="Sylfaen"/>
          <w:sz w:val="24"/>
          <w:szCs w:val="24"/>
          <w:lang w:val="en-US"/>
        </w:rPr>
        <w:t>National Center for Disease Control &amp;  Public Health  of Georgia</w:t>
      </w:r>
      <w:r w:rsidRPr="00AE77CB">
        <w:rPr>
          <w:rFonts w:ascii="Sylfaen" w:hAnsi="Sylfaen"/>
          <w:sz w:val="24"/>
          <w:szCs w:val="24"/>
        </w:rPr>
        <w:t xml:space="preserve"> (</w:t>
      </w:r>
      <w:r w:rsidRPr="00AE77CB">
        <w:rPr>
          <w:rFonts w:ascii="Sylfaen" w:hAnsi="Sylfaen"/>
          <w:sz w:val="24"/>
          <w:szCs w:val="24"/>
          <w:lang w:val="en-GB"/>
        </w:rPr>
        <w:t>NCDC</w:t>
      </w:r>
      <w:r w:rsidRPr="00AE77CB">
        <w:rPr>
          <w:rFonts w:ascii="Sylfaen" w:hAnsi="Sylfaen"/>
          <w:sz w:val="24"/>
          <w:szCs w:val="24"/>
        </w:rPr>
        <w:t>)</w:t>
      </w:r>
      <w:r w:rsidRPr="00AE77CB">
        <w:rPr>
          <w:rFonts w:ascii="Sylfaen" w:hAnsi="Sylfaen"/>
          <w:sz w:val="24"/>
          <w:szCs w:val="24"/>
          <w:lang w:val="en-GB"/>
        </w:rPr>
        <w:t xml:space="preserve">, as a secretariat of the Governmental Coordinating Council of NEHAP, is strengthening institutional and human capacities in environment and health issues with support of the Government and partners and in order to accomplish strategic objectives set forth in the Acton Plan, to fulfil the commitments under EU-Georgia Association Agreement; and EU-Georgia Association Agenda, asks for EU action to support Georgia in the implementation of the following </w:t>
      </w:r>
      <w:r>
        <w:rPr>
          <w:rFonts w:ascii="Sylfaen" w:hAnsi="Sylfaen"/>
          <w:sz w:val="24"/>
          <w:szCs w:val="24"/>
          <w:lang w:val="en-GB"/>
        </w:rPr>
        <w:t>2</w:t>
      </w:r>
      <w:r w:rsidRPr="00AE77CB">
        <w:rPr>
          <w:rFonts w:ascii="Sylfaen" w:hAnsi="Sylfaen"/>
          <w:sz w:val="24"/>
          <w:szCs w:val="24"/>
          <w:lang w:val="en-GB"/>
        </w:rPr>
        <w:t xml:space="preserve"> Twinning projects in Environmental Health field:</w:t>
      </w:r>
    </w:p>
    <w:p w:rsidR="00AE77CB" w:rsidRPr="00AE77CB" w:rsidRDefault="00AE77CB" w:rsidP="00AE77CB">
      <w:pPr>
        <w:numPr>
          <w:ilvl w:val="0"/>
          <w:numId w:val="3"/>
        </w:numPr>
        <w:spacing w:after="0" w:line="276" w:lineRule="auto"/>
        <w:contextualSpacing/>
        <w:jc w:val="both"/>
        <w:rPr>
          <w:rFonts w:ascii="Sylfaen" w:hAnsi="Sylfaen"/>
          <w:sz w:val="24"/>
          <w:szCs w:val="24"/>
          <w:lang w:val="en-GB"/>
        </w:rPr>
      </w:pPr>
      <w:r w:rsidRPr="00AE77CB">
        <w:rPr>
          <w:rFonts w:ascii="Sylfaen" w:hAnsi="Sylfaen"/>
          <w:sz w:val="24"/>
          <w:szCs w:val="24"/>
          <w:lang w:val="en-GB"/>
        </w:rPr>
        <w:t>Twinning project “Climate change: resilience, disaster risk management and renewable energy. Economic, environment &amp; health impact in Georgia” (In line with NEHAP SO’s: 1; 2 and 5);</w:t>
      </w:r>
    </w:p>
    <w:p w:rsidR="00AE77CB" w:rsidRPr="00AE77CB" w:rsidRDefault="00AE77CB" w:rsidP="00AE77CB">
      <w:pPr>
        <w:numPr>
          <w:ilvl w:val="0"/>
          <w:numId w:val="3"/>
        </w:numPr>
        <w:spacing w:after="0" w:line="276" w:lineRule="auto"/>
        <w:contextualSpacing/>
        <w:jc w:val="both"/>
        <w:rPr>
          <w:rFonts w:ascii="Sylfaen" w:hAnsi="Sylfaen"/>
          <w:sz w:val="24"/>
          <w:szCs w:val="24"/>
          <w:lang w:val="en-GB"/>
        </w:rPr>
      </w:pPr>
      <w:r w:rsidRPr="00AE77CB">
        <w:rPr>
          <w:rFonts w:ascii="Sylfaen" w:hAnsi="Sylfaen"/>
          <w:sz w:val="24"/>
          <w:szCs w:val="24"/>
          <w:lang w:val="en-GB"/>
        </w:rPr>
        <w:t xml:space="preserve">Twinning Project “Strengthening the capacities for effective implementation of the EU acquis in the field of bathing and drinking water in Georgia” (In line with NEHAP SO’s: 1 and 5); </w:t>
      </w:r>
    </w:p>
    <w:p w:rsidR="00AE77CB" w:rsidRPr="00AE77CB" w:rsidRDefault="00AE77CB" w:rsidP="00E028AF">
      <w:pPr>
        <w:spacing w:after="0" w:line="276" w:lineRule="auto"/>
        <w:jc w:val="both"/>
        <w:rPr>
          <w:rFonts w:asciiTheme="majorHAnsi" w:eastAsiaTheme="minorEastAsia" w:hAnsiTheme="majorHAnsi"/>
          <w:sz w:val="24"/>
          <w:szCs w:val="24"/>
          <w:lang w:val="en-GB"/>
        </w:rPr>
      </w:pPr>
    </w:p>
    <w:p w:rsidR="00E028AF" w:rsidRPr="00E028AF" w:rsidRDefault="00E028AF" w:rsidP="00E028AF">
      <w:pPr>
        <w:spacing w:after="0" w:line="276" w:lineRule="auto"/>
        <w:jc w:val="both"/>
        <w:rPr>
          <w:rFonts w:asciiTheme="majorHAnsi" w:eastAsiaTheme="minorEastAsia" w:hAnsiTheme="majorHAnsi"/>
          <w:sz w:val="24"/>
          <w:szCs w:val="24"/>
          <w:lang w:val="en-US"/>
        </w:rPr>
      </w:pPr>
      <w:r w:rsidRPr="00E028AF">
        <w:rPr>
          <w:rFonts w:asciiTheme="majorHAnsi" w:eastAsiaTheme="minorEastAsia" w:hAnsiTheme="majorHAnsi"/>
          <w:sz w:val="24"/>
          <w:szCs w:val="24"/>
          <w:lang w:val="en-US"/>
        </w:rPr>
        <w:t xml:space="preserve">The monitoring framework of WASH in Schools was developed and tested for integration into the Education Management Information System (EMIS). Status: the integration of the WASH monitoring framework into EMIS is pending. </w:t>
      </w:r>
    </w:p>
    <w:p w:rsidR="00E028AF" w:rsidRPr="00E028AF" w:rsidRDefault="00E028AF" w:rsidP="00E028AF">
      <w:pPr>
        <w:spacing w:after="0" w:line="276" w:lineRule="auto"/>
        <w:jc w:val="both"/>
        <w:rPr>
          <w:rFonts w:asciiTheme="majorHAnsi" w:eastAsiaTheme="minorEastAsia" w:hAnsiTheme="majorHAnsi"/>
          <w:sz w:val="24"/>
          <w:szCs w:val="24"/>
          <w:lang w:val="en-US"/>
        </w:rPr>
      </w:pPr>
      <w:r w:rsidRPr="00E028AF">
        <w:rPr>
          <w:rFonts w:asciiTheme="majorHAnsi" w:eastAsiaTheme="minorEastAsia" w:hAnsiTheme="majorHAnsi"/>
          <w:sz w:val="24"/>
          <w:szCs w:val="24"/>
          <w:lang w:val="en-US"/>
        </w:rPr>
        <w:t xml:space="preserve">The national guidelines on WASH for preschools was developed and approved by the </w:t>
      </w:r>
      <w:proofErr w:type="gramStart"/>
      <w:r w:rsidRPr="00E028AF">
        <w:rPr>
          <w:rFonts w:asciiTheme="majorHAnsi" w:eastAsiaTheme="minorEastAsia" w:hAnsiTheme="majorHAnsi" w:cs="Sylfaen"/>
          <w:bCs/>
          <w:color w:val="000000"/>
          <w:sz w:val="24"/>
          <w:szCs w:val="24"/>
        </w:rPr>
        <w:t>Ministy  of</w:t>
      </w:r>
      <w:proofErr w:type="gramEnd"/>
      <w:r w:rsidRPr="00E028AF">
        <w:rPr>
          <w:rFonts w:asciiTheme="majorHAnsi" w:eastAsiaTheme="minorEastAsia" w:hAnsiTheme="majorHAnsi" w:cs="Sylfaen"/>
          <w:bCs/>
          <w:color w:val="000000"/>
          <w:sz w:val="24"/>
          <w:szCs w:val="24"/>
        </w:rPr>
        <w:t xml:space="preserve"> IDPs from the Occupied Terittories, Labour, Health and Social </w:t>
      </w:r>
      <w:r>
        <w:rPr>
          <w:rFonts w:asciiTheme="majorHAnsi" w:eastAsiaTheme="minorEastAsia" w:hAnsiTheme="majorHAnsi" w:cs="Sylfaen"/>
          <w:bCs/>
          <w:color w:val="000000"/>
          <w:sz w:val="24"/>
          <w:szCs w:val="24"/>
        </w:rPr>
        <w:t>Affairs</w:t>
      </w:r>
      <w:r w:rsidRPr="00E028AF">
        <w:rPr>
          <w:rFonts w:asciiTheme="majorHAnsi" w:eastAsiaTheme="minorEastAsia" w:hAnsiTheme="majorHAnsi"/>
          <w:sz w:val="24"/>
          <w:szCs w:val="24"/>
          <w:lang w:val="en-US"/>
        </w:rPr>
        <w:t xml:space="preserve"> through the Ministerial Decree N01-172/o on July 28, 2016. </w:t>
      </w:r>
    </w:p>
    <w:p w:rsidR="00E028AF" w:rsidRPr="00E028AF" w:rsidRDefault="00E028AF" w:rsidP="00E028AF">
      <w:pPr>
        <w:spacing w:after="0" w:line="276" w:lineRule="auto"/>
        <w:jc w:val="both"/>
        <w:rPr>
          <w:rFonts w:asciiTheme="majorHAnsi" w:eastAsiaTheme="minorEastAsia" w:hAnsiTheme="majorHAnsi"/>
          <w:sz w:val="24"/>
          <w:szCs w:val="24"/>
          <w:lang w:val="en-US"/>
        </w:rPr>
      </w:pPr>
      <w:r w:rsidRPr="00E028AF">
        <w:rPr>
          <w:rFonts w:asciiTheme="majorHAnsi" w:eastAsiaTheme="minorEastAsia" w:hAnsiTheme="majorHAnsi"/>
          <w:sz w:val="24"/>
          <w:szCs w:val="24"/>
          <w:lang w:val="en-US"/>
        </w:rPr>
        <w:t>The WASH technical regulations for preschools was developed and approved by the government of Georgia through the government resolution N 485 of October 27, 2017.</w:t>
      </w:r>
    </w:p>
    <w:p w:rsidR="00AB14EF" w:rsidRPr="00E028AF" w:rsidRDefault="00E028AF" w:rsidP="00E028AF">
      <w:pPr>
        <w:spacing w:after="0" w:line="276" w:lineRule="auto"/>
        <w:jc w:val="both"/>
        <w:rPr>
          <w:rFonts w:asciiTheme="majorHAnsi" w:hAnsiTheme="majorHAnsi"/>
          <w:sz w:val="24"/>
          <w:szCs w:val="24"/>
          <w:lang w:val="en-US"/>
        </w:rPr>
      </w:pPr>
      <w:r w:rsidRPr="00E028AF">
        <w:rPr>
          <w:rFonts w:asciiTheme="majorHAnsi" w:hAnsiTheme="majorHAnsi"/>
          <w:sz w:val="24"/>
          <w:szCs w:val="24"/>
        </w:rPr>
        <w:t>The nutrition technical regulations for preschools was developed and adopted through the Government Resolution N 487, October 30</w:t>
      </w:r>
      <w:r w:rsidRPr="00E028AF">
        <w:rPr>
          <w:rFonts w:asciiTheme="majorHAnsi" w:hAnsiTheme="majorHAnsi"/>
          <w:sz w:val="24"/>
          <w:szCs w:val="24"/>
          <w:lang w:val="en-US"/>
        </w:rPr>
        <w:t>, 2017.</w:t>
      </w:r>
    </w:p>
    <w:p w:rsidR="00E028AF" w:rsidRDefault="00E028AF" w:rsidP="00E028AF">
      <w:pPr>
        <w:spacing w:after="0" w:line="276" w:lineRule="auto"/>
        <w:jc w:val="both"/>
        <w:rPr>
          <w:rFonts w:asciiTheme="majorHAnsi" w:hAnsiTheme="majorHAnsi"/>
          <w:sz w:val="24"/>
          <w:szCs w:val="24"/>
          <w:lang w:val="en-US"/>
        </w:rPr>
      </w:pPr>
      <w:r w:rsidRPr="00E028AF">
        <w:rPr>
          <w:rFonts w:asciiTheme="majorHAnsi" w:hAnsiTheme="majorHAnsi"/>
          <w:sz w:val="24"/>
          <w:szCs w:val="24"/>
          <w:lang w:val="en-US"/>
        </w:rPr>
        <w:t xml:space="preserve">The </w:t>
      </w:r>
      <w:r w:rsidRPr="00E028AF">
        <w:rPr>
          <w:rFonts w:asciiTheme="majorHAnsi" w:hAnsiTheme="majorHAnsi"/>
          <w:sz w:val="24"/>
          <w:szCs w:val="24"/>
        </w:rPr>
        <w:t xml:space="preserve">guidelines on monitoring of WASH of conditions against the approved technical regulations in preschools was developed and approved by the </w:t>
      </w:r>
      <w:proofErr w:type="gramStart"/>
      <w:r w:rsidRPr="00E028AF">
        <w:rPr>
          <w:rFonts w:asciiTheme="majorHAnsi" w:eastAsiaTheme="minorEastAsia" w:hAnsiTheme="majorHAnsi" w:cs="Sylfaen"/>
          <w:bCs/>
          <w:color w:val="000000"/>
          <w:sz w:val="24"/>
          <w:szCs w:val="24"/>
        </w:rPr>
        <w:t>Ministy  of</w:t>
      </w:r>
      <w:proofErr w:type="gramEnd"/>
      <w:r w:rsidRPr="00E028AF">
        <w:rPr>
          <w:rFonts w:asciiTheme="majorHAnsi" w:eastAsiaTheme="minorEastAsia" w:hAnsiTheme="majorHAnsi" w:cs="Sylfaen"/>
          <w:bCs/>
          <w:color w:val="000000"/>
          <w:sz w:val="24"/>
          <w:szCs w:val="24"/>
        </w:rPr>
        <w:t xml:space="preserve"> IDPs from the Occupied Terittories, Labour, Health and Social </w:t>
      </w:r>
      <w:r>
        <w:rPr>
          <w:rFonts w:asciiTheme="majorHAnsi" w:eastAsiaTheme="minorEastAsia" w:hAnsiTheme="majorHAnsi" w:cs="Sylfaen"/>
          <w:bCs/>
          <w:color w:val="000000"/>
          <w:sz w:val="24"/>
          <w:szCs w:val="24"/>
        </w:rPr>
        <w:t xml:space="preserve">Affairs </w:t>
      </w:r>
      <w:r w:rsidRPr="00E028AF">
        <w:rPr>
          <w:rFonts w:asciiTheme="majorHAnsi" w:hAnsiTheme="majorHAnsi"/>
          <w:sz w:val="24"/>
          <w:szCs w:val="24"/>
        </w:rPr>
        <w:t xml:space="preserve"> through the decree N 01/o on January</w:t>
      </w:r>
      <w:r w:rsidRPr="00E028AF">
        <w:rPr>
          <w:rFonts w:asciiTheme="majorHAnsi" w:hAnsiTheme="majorHAnsi"/>
          <w:sz w:val="24"/>
          <w:szCs w:val="24"/>
          <w:lang w:val="en-US"/>
        </w:rPr>
        <w:t xml:space="preserve"> 18, 2018.</w:t>
      </w:r>
    </w:p>
    <w:p w:rsidR="002828C8" w:rsidRPr="00F65360" w:rsidRDefault="002828C8" w:rsidP="002828C8">
      <w:pPr>
        <w:pStyle w:val="ListParagraph"/>
        <w:keepNext/>
        <w:spacing w:after="0" w:line="276" w:lineRule="auto"/>
        <w:ind w:left="0" w:right="-1"/>
        <w:jc w:val="both"/>
        <w:rPr>
          <w:rFonts w:ascii="Sylfaen" w:hAnsi="Sylfaen"/>
          <w:sz w:val="24"/>
          <w:szCs w:val="24"/>
        </w:rPr>
      </w:pPr>
      <w:r w:rsidRPr="00F65360">
        <w:rPr>
          <w:rFonts w:ascii="Sylfaen" w:hAnsi="Sylfaen"/>
          <w:sz w:val="24"/>
          <w:szCs w:val="24"/>
        </w:rPr>
        <w:t xml:space="preserve">   </w:t>
      </w:r>
      <w:r w:rsidRPr="00F65360">
        <w:rPr>
          <w:rFonts w:ascii="Sylfaen" w:hAnsi="Sylfaen"/>
          <w:b/>
          <w:sz w:val="24"/>
          <w:szCs w:val="24"/>
          <w:lang w:val="en-US"/>
        </w:rPr>
        <w:t xml:space="preserve">   </w:t>
      </w:r>
      <w:r w:rsidRPr="00F65360">
        <w:rPr>
          <w:rFonts w:ascii="Sylfaen" w:hAnsi="Sylfaen"/>
          <w:b/>
          <w:sz w:val="24"/>
          <w:szCs w:val="24"/>
        </w:rPr>
        <w:t>Multiple Indicator Cluster Survey (MICS) was</w:t>
      </w:r>
      <w:r w:rsidRPr="00F65360">
        <w:rPr>
          <w:rFonts w:ascii="Sylfaen" w:hAnsi="Sylfaen"/>
          <w:sz w:val="24"/>
          <w:szCs w:val="24"/>
        </w:rPr>
        <w:t xml:space="preserve"> successfully carried out in Georgia in 2018 (between September-December). The current round of MICS for Georgia has been expanded in content and scope to include questionnaires for  drinking water and water quality testing. The NCDC supported the inclusion of Water Quality testing in Georgia MICS Survey in 2018, with the financial and technical support of WHO.</w:t>
      </w:r>
    </w:p>
    <w:p w:rsidR="002828C8" w:rsidRPr="00F65360" w:rsidRDefault="002828C8" w:rsidP="002828C8">
      <w:pPr>
        <w:spacing w:after="0" w:line="276" w:lineRule="auto"/>
        <w:jc w:val="both"/>
        <w:rPr>
          <w:rFonts w:ascii="Sylfaen" w:hAnsi="Sylfaen"/>
          <w:sz w:val="24"/>
          <w:szCs w:val="24"/>
        </w:rPr>
      </w:pPr>
      <w:r w:rsidRPr="00F65360">
        <w:rPr>
          <w:rFonts w:ascii="Sylfaen" w:hAnsi="Sylfaen"/>
          <w:sz w:val="24"/>
          <w:szCs w:val="24"/>
        </w:rPr>
        <w:t>The results of the Multiple Indicator Cluster Survey are available since September 2019 and National Statistics Office of Georgia published report of the survey.   MICS  results clarified , that Georgia has to work hard  on “Institutional water, sanitation and hygiene”. Namely MICS report  reconfirmed, that following activities should be implemented:</w:t>
      </w:r>
    </w:p>
    <w:p w:rsidR="002828C8" w:rsidRPr="00F65360" w:rsidRDefault="002828C8" w:rsidP="002828C8">
      <w:pPr>
        <w:spacing w:after="0" w:line="276" w:lineRule="auto"/>
        <w:jc w:val="both"/>
        <w:rPr>
          <w:rFonts w:ascii="Sylfaen" w:hAnsi="Sylfaen"/>
          <w:sz w:val="24"/>
          <w:szCs w:val="24"/>
        </w:rPr>
      </w:pPr>
      <w:r w:rsidRPr="00F65360">
        <w:rPr>
          <w:rFonts w:ascii="Sylfaen" w:hAnsi="Sylfaen"/>
          <w:sz w:val="24"/>
          <w:szCs w:val="24"/>
        </w:rPr>
        <w:t>1. Training and Implementation Water safety plans;</w:t>
      </w:r>
    </w:p>
    <w:p w:rsidR="002828C8" w:rsidRPr="00F65360" w:rsidRDefault="002828C8" w:rsidP="002828C8">
      <w:pPr>
        <w:spacing w:after="0" w:line="276" w:lineRule="auto"/>
        <w:jc w:val="both"/>
        <w:rPr>
          <w:rFonts w:ascii="Sylfaen" w:hAnsi="Sylfaen"/>
          <w:sz w:val="24"/>
          <w:szCs w:val="24"/>
        </w:rPr>
      </w:pPr>
      <w:r w:rsidRPr="00F65360">
        <w:rPr>
          <w:rFonts w:ascii="Sylfaen" w:hAnsi="Sylfaen"/>
          <w:sz w:val="24"/>
          <w:szCs w:val="24"/>
        </w:rPr>
        <w:t>2. Assessment of WASH in Health Care facilities;</w:t>
      </w:r>
    </w:p>
    <w:p w:rsidR="002828C8" w:rsidRPr="00F65360" w:rsidRDefault="002828C8" w:rsidP="002828C8">
      <w:pPr>
        <w:spacing w:after="0" w:line="276" w:lineRule="auto"/>
        <w:jc w:val="both"/>
        <w:rPr>
          <w:rFonts w:ascii="Sylfaen" w:hAnsi="Sylfaen"/>
          <w:sz w:val="24"/>
          <w:szCs w:val="24"/>
        </w:rPr>
      </w:pPr>
      <w:r w:rsidRPr="00F65360">
        <w:rPr>
          <w:rFonts w:ascii="Sylfaen" w:hAnsi="Sylfaen"/>
          <w:sz w:val="24"/>
          <w:szCs w:val="24"/>
        </w:rPr>
        <w:t>3. Elaboration of WASH Strategy in Georgia;</w:t>
      </w:r>
    </w:p>
    <w:p w:rsidR="002828C8" w:rsidRPr="00F65360" w:rsidRDefault="002828C8" w:rsidP="002828C8">
      <w:pPr>
        <w:spacing w:after="0" w:line="276" w:lineRule="auto"/>
        <w:jc w:val="both"/>
        <w:rPr>
          <w:rFonts w:ascii="Sylfaen" w:hAnsi="Sylfaen"/>
          <w:sz w:val="24"/>
          <w:szCs w:val="24"/>
        </w:rPr>
      </w:pPr>
      <w:r w:rsidRPr="00F65360">
        <w:rPr>
          <w:rFonts w:ascii="Sylfaen" w:hAnsi="Sylfaen"/>
          <w:sz w:val="24"/>
          <w:szCs w:val="24"/>
        </w:rPr>
        <w:t>4. Implementation NEHAP objectives.</w:t>
      </w:r>
    </w:p>
    <w:p w:rsidR="002828C8" w:rsidRPr="00F65360" w:rsidRDefault="002828C8" w:rsidP="002828C8">
      <w:pPr>
        <w:keepNext/>
        <w:spacing w:after="0" w:line="276" w:lineRule="auto"/>
        <w:ind w:right="-1"/>
        <w:jc w:val="both"/>
        <w:rPr>
          <w:rFonts w:ascii="Sylfaen" w:hAnsi="Sylfaen"/>
          <w:b/>
          <w:sz w:val="24"/>
          <w:szCs w:val="24"/>
          <w:lang w:val="en-US"/>
        </w:rPr>
      </w:pPr>
      <w:r w:rsidRPr="00F65360">
        <w:rPr>
          <w:rFonts w:ascii="Sylfaen" w:hAnsi="Sylfaen"/>
          <w:b/>
          <w:sz w:val="24"/>
          <w:szCs w:val="24"/>
          <w:lang w:val="en-US"/>
        </w:rPr>
        <w:t xml:space="preserve">  </w:t>
      </w:r>
    </w:p>
    <w:p w:rsidR="002828C8" w:rsidRPr="00E028AF" w:rsidRDefault="00FF3E25" w:rsidP="00E028AF">
      <w:pPr>
        <w:spacing w:after="0" w:line="276" w:lineRule="auto"/>
        <w:jc w:val="both"/>
        <w:rPr>
          <w:rFonts w:asciiTheme="majorHAnsi" w:hAnsiTheme="majorHAnsi"/>
          <w:sz w:val="24"/>
          <w:szCs w:val="24"/>
          <w:lang w:val="en-US"/>
        </w:rPr>
      </w:pPr>
      <w:r>
        <w:rPr>
          <w:rFonts w:ascii="Sylfaen" w:hAnsi="Sylfaen"/>
          <w:sz w:val="24"/>
          <w:szCs w:val="24"/>
          <w:lang w:val="en-US"/>
        </w:rPr>
        <w:t xml:space="preserve">       </w:t>
      </w:r>
      <w:r w:rsidRPr="00FF3E25">
        <w:rPr>
          <w:rFonts w:ascii="Sylfaen" w:hAnsi="Sylfaen"/>
          <w:sz w:val="24"/>
          <w:szCs w:val="24"/>
        </w:rPr>
        <w:t xml:space="preserve">Current  water-related  legislation  practically  does  not  provide for comprehensive and clear regulation of the water    resources    management.    The    absence    of    effective  pollution  prevention  and  water  extraction  control  mechanisms  is  one  of  the  major  problems  related  to  water  resources  in  Georgia.  At  present  the  Ministry  of  Environment   Protection and Agricultura  is  in  the  process  of  harmonization  and  approximation  of  the water legislation with that of EU. The draft of the new framework law on water resources was finalized by   the   end   of   2019   and   forwarded   for   inter-ministerial consultation. </w:t>
      </w:r>
      <w:bookmarkStart w:id="0" w:name="_GoBack"/>
      <w:bookmarkEnd w:id="0"/>
      <w:r w:rsidRPr="00FF3E25">
        <w:rPr>
          <w:rFonts w:ascii="Sylfaen" w:hAnsi="Sylfaen"/>
          <w:sz w:val="24"/>
          <w:szCs w:val="24"/>
        </w:rPr>
        <w:t>It should be noted that, The Ministry of Internally Displaced Persons from the Occupied Territories, Labor, Health and Social Affairs of Georgia, within the competence, was fully involved  in the preparation  of the the key legislative framework for integrated water resources management nationwide (IWRM -integrated water resources management ).</w:t>
      </w:r>
    </w:p>
    <w:sectPr w:rsidR="002828C8" w:rsidRPr="00E028A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883" w:rsidRDefault="005B2883" w:rsidP="00E028AF">
      <w:pPr>
        <w:spacing w:after="0" w:line="240" w:lineRule="auto"/>
      </w:pPr>
      <w:r>
        <w:separator/>
      </w:r>
    </w:p>
  </w:endnote>
  <w:endnote w:type="continuationSeparator" w:id="0">
    <w:p w:rsidR="005B2883" w:rsidRDefault="005B2883" w:rsidP="00E02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inion Pro">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883" w:rsidRDefault="005B2883" w:rsidP="00E028AF">
      <w:pPr>
        <w:spacing w:after="0" w:line="240" w:lineRule="auto"/>
      </w:pPr>
      <w:r>
        <w:separator/>
      </w:r>
    </w:p>
  </w:footnote>
  <w:footnote w:type="continuationSeparator" w:id="0">
    <w:p w:rsidR="005B2883" w:rsidRDefault="005B2883" w:rsidP="00E028AF">
      <w:pPr>
        <w:spacing w:after="0" w:line="240" w:lineRule="auto"/>
      </w:pPr>
      <w:r>
        <w:continuationSeparator/>
      </w:r>
    </w:p>
  </w:footnote>
  <w:footnote w:id="1">
    <w:p w:rsidR="00E028AF" w:rsidRDefault="00E028AF" w:rsidP="00E028AF">
      <w:pPr>
        <w:pStyle w:val="FootnoteText"/>
      </w:pPr>
      <w:r>
        <w:rPr>
          <w:rStyle w:val="FootnoteReference"/>
        </w:rPr>
        <w:footnoteRef/>
      </w:r>
      <w:r>
        <w:t xml:space="preserve">  </w:t>
      </w:r>
      <w:hyperlink r:id="rId1">
        <w:r>
          <w:rPr>
            <w:rFonts w:ascii="Arial"/>
            <w:sz w:val="16"/>
          </w:rPr>
          <w:t>http://water.gov.ge/geo/about-us/company</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0D544D0"/>
    <w:multiLevelType w:val="hybridMultilevel"/>
    <w:tmpl w:val="4C3E370E"/>
    <w:lvl w:ilvl="0" w:tplc="9FC826B4">
      <w:start w:val="1"/>
      <w:numFmt w:val="decimal"/>
      <w:lvlText w:val="%1."/>
      <w:lvlJc w:val="left"/>
      <w:rPr>
        <w:rFonts w:ascii="Sylfaen" w:eastAsiaTheme="minorEastAsia" w:hAnsi="Sylfaen" w:cs="Sylfae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3764D2"/>
    <w:multiLevelType w:val="hybridMultilevel"/>
    <w:tmpl w:val="D06A0C0E"/>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 w15:restartNumberingAfterBreak="0">
    <w:nsid w:val="678062D5"/>
    <w:multiLevelType w:val="hybridMultilevel"/>
    <w:tmpl w:val="AB6247C0"/>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AE2"/>
    <w:rsid w:val="00070AE2"/>
    <w:rsid w:val="0009164B"/>
    <w:rsid w:val="002828C8"/>
    <w:rsid w:val="004F2CE2"/>
    <w:rsid w:val="005B2883"/>
    <w:rsid w:val="00725A2E"/>
    <w:rsid w:val="007C5D1E"/>
    <w:rsid w:val="0089652D"/>
    <w:rsid w:val="00AB14EF"/>
    <w:rsid w:val="00AE77CB"/>
    <w:rsid w:val="00D71529"/>
    <w:rsid w:val="00E028AF"/>
    <w:rsid w:val="00FF3E25"/>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A3228C-5ECD-4781-A3E7-0A5A975D3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028AF"/>
    <w:pPr>
      <w:spacing w:after="0" w:line="240" w:lineRule="auto"/>
    </w:pPr>
    <w:rPr>
      <w:rFonts w:eastAsiaTheme="minorEastAsia"/>
      <w:sz w:val="20"/>
      <w:szCs w:val="20"/>
      <w:lang w:val="en-US"/>
    </w:rPr>
  </w:style>
  <w:style w:type="character" w:customStyle="1" w:styleId="FootnoteTextChar">
    <w:name w:val="Footnote Text Char"/>
    <w:basedOn w:val="DefaultParagraphFont"/>
    <w:link w:val="FootnoteText"/>
    <w:uiPriority w:val="99"/>
    <w:semiHidden/>
    <w:rsid w:val="00E028AF"/>
    <w:rPr>
      <w:rFonts w:eastAsiaTheme="minorEastAsia"/>
      <w:sz w:val="20"/>
      <w:szCs w:val="20"/>
      <w:lang w:val="en-US"/>
    </w:rPr>
  </w:style>
  <w:style w:type="character" w:styleId="FootnoteReference">
    <w:name w:val="footnote reference"/>
    <w:basedOn w:val="DefaultParagraphFont"/>
    <w:uiPriority w:val="99"/>
    <w:semiHidden/>
    <w:unhideWhenUsed/>
    <w:rsid w:val="00E028AF"/>
    <w:rPr>
      <w:vertAlign w:val="superscript"/>
    </w:rPr>
  </w:style>
  <w:style w:type="paragraph" w:styleId="ListParagraph">
    <w:name w:val="List Paragraph"/>
    <w:basedOn w:val="Normal"/>
    <w:link w:val="ListParagraphChar"/>
    <w:uiPriority w:val="34"/>
    <w:qFormat/>
    <w:rsid w:val="00E028AF"/>
    <w:pPr>
      <w:ind w:left="720"/>
      <w:contextualSpacing/>
    </w:pPr>
  </w:style>
  <w:style w:type="character" w:customStyle="1" w:styleId="ListParagraphChar">
    <w:name w:val="List Paragraph Char"/>
    <w:basedOn w:val="DefaultParagraphFont"/>
    <w:link w:val="ListParagraph"/>
    <w:uiPriority w:val="34"/>
    <w:locked/>
    <w:rsid w:val="00282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ater.gov.ge/geo/about-us/comp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1584</Words>
  <Characters>9031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NCDC</Company>
  <LinksUpToDate>false</LinksUpToDate>
  <CharactersWithSpaces>10594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Gabriadze</dc:creator>
  <cp:keywords/>
  <dc:description/>
  <cp:lastModifiedBy>Nana Gabriadze</cp:lastModifiedBy>
  <cp:revision>6</cp:revision>
  <dcterms:created xsi:type="dcterms:W3CDTF">2020-06-03T08:40:00Z</dcterms:created>
  <dcterms:modified xsi:type="dcterms:W3CDTF">2020-06-03T10:16:00Z</dcterms:modified>
</cp:coreProperties>
</file>