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29"/>
        <w:tblW w:w="12078" w:type="dxa"/>
        <w:tblLayout w:type="fixed"/>
        <w:tblLook w:val="04A0" w:firstRow="1" w:lastRow="0" w:firstColumn="1" w:lastColumn="0" w:noHBand="0" w:noVBand="1"/>
      </w:tblPr>
      <w:tblGrid>
        <w:gridCol w:w="580"/>
        <w:gridCol w:w="1757"/>
        <w:gridCol w:w="831"/>
        <w:gridCol w:w="900"/>
        <w:gridCol w:w="1350"/>
        <w:gridCol w:w="1440"/>
        <w:gridCol w:w="1080"/>
        <w:gridCol w:w="720"/>
        <w:gridCol w:w="810"/>
        <w:gridCol w:w="1080"/>
        <w:gridCol w:w="990"/>
        <w:gridCol w:w="540"/>
      </w:tblGrid>
      <w:tr w:rsidR="000C0244" w:rsidRPr="000C0244" w14:paraId="25A547C2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CE8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EEBF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04F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F05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079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87E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6788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75F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2A9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F27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876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B7D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562C12F8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A2D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BEE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988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7EF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2F2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18C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5EC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273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E769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A61B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6B2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625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493860F2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A80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2E7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62A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F9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F004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731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F91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2A1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91D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997B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DC4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518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745C4D91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F73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920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49E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B6B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FAA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61BF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D0F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2FD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DC5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ECF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3CD3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F4B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3C1BF161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AC1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9DF0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C0C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5BCC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823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616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9C1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DE0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0EE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95E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48F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C60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17BA2B2A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F33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BB8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2FFC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B48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B08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E19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40B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69D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548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FA68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594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999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597D9B09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BC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B31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FA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D1B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D3F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8D2F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37F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BEC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79D6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11A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00D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858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37FE094F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8B2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0E3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6DA0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EA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974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788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996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F37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FD3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1C0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BB0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21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4C1997A4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DB1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CE75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4D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3FB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511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BC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2C33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75D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C19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353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434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8D4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DB5229" w14:textId="77777777" w:rsidR="00E43A14" w:rsidRPr="00EC2D02" w:rsidRDefault="00E43A14" w:rsidP="005921A5">
      <w:pPr>
        <w:spacing w:line="240" w:lineRule="auto"/>
        <w:ind w:left="-567"/>
        <w:jc w:val="center"/>
        <w:rPr>
          <w:rFonts w:ascii="Sylfaen" w:hAnsi="Sylfaen"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 xml:space="preserve">  </w:t>
      </w:r>
      <w:r w:rsidR="009B17BA" w:rsidRPr="00EC2D02">
        <w:rPr>
          <w:rFonts w:ascii="Sylfaen" w:hAnsi="Sylfaen"/>
          <w:b/>
          <w:sz w:val="18"/>
          <w:szCs w:val="18"/>
          <w:lang w:val="ka-GE"/>
        </w:rPr>
        <w:t>„სახელმწიფო შესყიდვების შესახებ“</w:t>
      </w:r>
      <w:r w:rsidRPr="00EC2D02">
        <w:rPr>
          <w:rFonts w:ascii="Sylfaen" w:hAnsi="Sylfaen"/>
          <w:b/>
          <w:sz w:val="18"/>
          <w:szCs w:val="18"/>
          <w:lang w:val="ka-GE"/>
        </w:rPr>
        <w:t xml:space="preserve"> N</w:t>
      </w:r>
      <w:r w:rsidR="00C07272" w:rsidRPr="00C07272">
        <w:rPr>
          <w:rFonts w:ascii="Sylfaen" w:hAnsi="Sylfaen"/>
          <w:b/>
          <w:sz w:val="18"/>
          <w:szCs w:val="18"/>
          <w:lang w:val="ka-GE"/>
        </w:rPr>
        <w:t>პ/2703031101/30</w:t>
      </w:r>
    </w:p>
    <w:p w14:paraId="54EBB1BB" w14:textId="77777777" w:rsidR="00E43A14" w:rsidRPr="00EC2D02" w:rsidRDefault="00E43A14" w:rsidP="005921A5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 xml:space="preserve"> ხელშეკრულებაში ცვლილების შეტანის შესახებ</w:t>
      </w:r>
      <w:r w:rsidR="009B17BA" w:rsidRPr="00EC2D02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710E2DAB" w14:textId="77777777" w:rsidR="005921A5" w:rsidRDefault="009B17BA" w:rsidP="005921A5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>შეთანხმება</w:t>
      </w:r>
      <w:r w:rsidR="005921A5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47FAF80D" w14:textId="77777777" w:rsidR="00C27AB2" w:rsidRPr="00C07272" w:rsidRDefault="00C27AB2" w:rsidP="0068474D">
      <w:pPr>
        <w:ind w:left="-567"/>
        <w:jc w:val="both"/>
        <w:rPr>
          <w:rFonts w:ascii="Sylfaen" w:hAnsi="Sylfaen"/>
          <w:sz w:val="18"/>
          <w:szCs w:val="18"/>
          <w:lang w:val="ka-GE"/>
        </w:rPr>
      </w:pPr>
    </w:p>
    <w:p w14:paraId="020AD92D" w14:textId="77777777" w:rsidR="00E43A14" w:rsidRPr="00C07272" w:rsidRDefault="00D303B1" w:rsidP="00C07272">
      <w:pPr>
        <w:ind w:left="-567"/>
        <w:jc w:val="both"/>
        <w:rPr>
          <w:rFonts w:ascii="Sylfaen" w:hAnsi="Sylfaen"/>
          <w:sz w:val="18"/>
          <w:szCs w:val="18"/>
          <w:lang w:val="ka-GE"/>
        </w:rPr>
      </w:pPr>
      <w:r w:rsidRPr="00C07272">
        <w:rPr>
          <w:rFonts w:ascii="Sylfaen" w:hAnsi="Sylfaen"/>
          <w:sz w:val="18"/>
          <w:szCs w:val="18"/>
          <w:lang w:val="ka-GE"/>
        </w:rPr>
        <w:t xml:space="preserve">ერთი მხრივ,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(შემსყიდველი) და მეორე მხრივ, 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ANHUI LIGHT INDUSTRIES INTERNATIONAL CO., LTD </w:t>
      </w:r>
      <w:r w:rsidRPr="00C07272">
        <w:rPr>
          <w:rFonts w:ascii="Sylfaen" w:hAnsi="Sylfaen"/>
          <w:sz w:val="18"/>
          <w:szCs w:val="18"/>
          <w:lang w:val="ka-GE"/>
        </w:rPr>
        <w:t xml:space="preserve">(მიმწოდებელი) </w:t>
      </w:r>
      <w:r w:rsidR="00E43A14" w:rsidRPr="00C07272">
        <w:rPr>
          <w:rFonts w:ascii="Sylfaen" w:hAnsi="Sylfaen"/>
          <w:sz w:val="18"/>
          <w:szCs w:val="18"/>
          <w:lang w:val="ka-GE"/>
        </w:rPr>
        <w:t xml:space="preserve">თანხმდებიან, </w:t>
      </w:r>
      <w:r w:rsidRPr="00C07272">
        <w:rPr>
          <w:rFonts w:ascii="Sylfaen" w:hAnsi="Sylfaen"/>
          <w:sz w:val="18"/>
          <w:szCs w:val="18"/>
          <w:lang w:val="ka-GE"/>
        </w:rPr>
        <w:t>მასზედ, რომ 2020 წლის</w:t>
      </w:r>
      <w:r w:rsidR="00C07272">
        <w:rPr>
          <w:rFonts w:ascii="Sylfaen" w:hAnsi="Sylfaen"/>
          <w:sz w:val="18"/>
          <w:szCs w:val="18"/>
          <w:lang w:val="ka-GE"/>
        </w:rPr>
        <w:t xml:space="preserve"> 10</w:t>
      </w:r>
      <w:r w:rsidRPr="00C07272">
        <w:rPr>
          <w:rFonts w:ascii="Sylfaen" w:hAnsi="Sylfaen"/>
          <w:sz w:val="18"/>
          <w:szCs w:val="18"/>
          <w:lang w:val="ka-GE"/>
        </w:rPr>
        <w:t xml:space="preserve"> </w:t>
      </w:r>
      <w:r w:rsidR="00C07272">
        <w:rPr>
          <w:rFonts w:ascii="Sylfaen" w:hAnsi="Sylfaen"/>
          <w:sz w:val="18"/>
          <w:szCs w:val="18"/>
          <w:lang w:val="ka-GE"/>
        </w:rPr>
        <w:t>აპრილს</w:t>
      </w:r>
      <w:r w:rsidRPr="00C07272">
        <w:rPr>
          <w:rFonts w:ascii="Sylfaen" w:hAnsi="Sylfaen"/>
          <w:sz w:val="18"/>
          <w:szCs w:val="18"/>
          <w:lang w:val="ka-GE"/>
        </w:rPr>
        <w:t xml:space="preserve"> შემსყიდველსა და მიმწოდებელს შორის დადებული</w:t>
      </w:r>
      <w:r w:rsidR="00F04599" w:rsidRPr="00C07272">
        <w:rPr>
          <w:rFonts w:ascii="Sylfaen" w:hAnsi="Sylfaen"/>
          <w:sz w:val="18"/>
          <w:szCs w:val="18"/>
          <w:lang w:val="ka-GE"/>
        </w:rPr>
        <w:t xml:space="preserve"> N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პ/2703031101/30 </w:t>
      </w:r>
      <w:r w:rsidRPr="00C07272">
        <w:rPr>
          <w:rFonts w:ascii="Sylfaen" w:hAnsi="Sylfaen"/>
          <w:sz w:val="18"/>
          <w:szCs w:val="18"/>
          <w:lang w:val="ka-GE"/>
        </w:rPr>
        <w:t xml:space="preserve">„სახელმწიფო შესყიდვების შესახებ“ </w:t>
      </w:r>
      <w:r w:rsidR="00CA54EC" w:rsidRPr="00C07272">
        <w:rPr>
          <w:rFonts w:ascii="Sylfaen" w:hAnsi="Sylfaen"/>
          <w:sz w:val="18"/>
          <w:szCs w:val="18"/>
          <w:lang w:val="ka-GE"/>
        </w:rPr>
        <w:t>ხელშეკრულების</w:t>
      </w:r>
      <w:r w:rsidR="00C07272">
        <w:rPr>
          <w:rFonts w:ascii="Sylfaen" w:hAnsi="Sylfaen"/>
          <w:sz w:val="18"/>
          <w:szCs w:val="18"/>
          <w:lang w:val="ka-GE"/>
        </w:rPr>
        <w:t xml:space="preserve"> 14.6</w:t>
      </w:r>
      <w:r w:rsidR="00CA54EC" w:rsidRPr="00C07272">
        <w:rPr>
          <w:rFonts w:ascii="Sylfaen" w:hAnsi="Sylfaen"/>
          <w:sz w:val="18"/>
          <w:szCs w:val="18"/>
          <w:lang w:val="ka-GE"/>
        </w:rPr>
        <w:t xml:space="preserve"> პუნქტის შესაბამისად, </w:t>
      </w:r>
      <w:r w:rsidR="00E43A14" w:rsidRPr="00C07272">
        <w:rPr>
          <w:rFonts w:ascii="Sylfaen" w:hAnsi="Sylfaen"/>
          <w:sz w:val="18"/>
          <w:szCs w:val="18"/>
          <w:lang w:val="ka-GE"/>
        </w:rPr>
        <w:t xml:space="preserve"> შეტანილ იქნეს შემდეგი ცვლილება:</w:t>
      </w:r>
      <w:r w:rsidR="00C07272">
        <w:rPr>
          <w:rFonts w:ascii="Sylfaen" w:hAnsi="Sylfaen"/>
          <w:sz w:val="18"/>
          <w:szCs w:val="18"/>
          <w:lang w:val="ka-GE"/>
        </w:rPr>
        <w:t xml:space="preserve"> </w:t>
      </w:r>
    </w:p>
    <w:p w14:paraId="753A4DA4" w14:textId="77777777" w:rsidR="00CA54EC" w:rsidRPr="00EC2D02" w:rsidRDefault="00CA54EC" w:rsidP="00EC2D02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spacing w:val="-1"/>
          <w:sz w:val="18"/>
          <w:szCs w:val="18"/>
          <w:lang w:val="ka-GE"/>
        </w:rPr>
      </w:pPr>
      <w:r w:rsidRPr="00EC2D02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EC2D02">
        <w:rPr>
          <w:rFonts w:ascii="Sylfaen" w:hAnsi="Sylfaen"/>
          <w:sz w:val="18"/>
          <w:szCs w:val="18"/>
          <w:lang w:val="ka-GE"/>
        </w:rPr>
        <w:t xml:space="preserve"> მესამე პუნქტის 3.1 ქვეპუქტი ჩამოყალიბდეს შემდეგი რედაქციით:</w:t>
      </w:r>
    </w:p>
    <w:p w14:paraId="58C1728F" w14:textId="77777777" w:rsidR="00CA54EC" w:rsidRPr="00C07272" w:rsidRDefault="0055697F" w:rsidP="00CA54EC">
      <w:pPr>
        <w:tabs>
          <w:tab w:val="left" w:pos="360"/>
          <w:tab w:val="left" w:pos="450"/>
        </w:tabs>
        <w:spacing w:after="0" w:line="240" w:lineRule="auto"/>
        <w:ind w:left="-108" w:right="53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,,</w:t>
      </w:r>
      <w:r w:rsidR="00C07272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3.1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ხელშეკრულების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საერთო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ღირებულება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მოსაწოდებელი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საქონლის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პეკინის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აეროპორტის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სატვირთო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ტერმინალამდე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ტრანსპორტირების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ჩათვლით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შეადგენს</w:t>
      </w:r>
      <w:commentRangeStart w:id="0"/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r w:rsidR="00C07272" w:rsidRPr="00C07272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-------</w:t>
      </w:r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commentRangeEnd w:id="0"/>
      <w:r w:rsidR="000C0244">
        <w:rPr>
          <w:rStyle w:val="CommentReference"/>
        </w:rPr>
        <w:commentReference w:id="0"/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აშშ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დოლარს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ეროვნული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ვალუტის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ექვივალენტით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საქართველოს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ეროვნული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ბანკის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მიერ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ანგარიშსწორების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დღისათვის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დადგენილი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კურსით</w:t>
      </w:r>
      <w:proofErr w:type="spellEnd"/>
      <w:r w:rsidR="00C07272">
        <w:rPr>
          <w:rFonts w:ascii="Sylfaen" w:eastAsia="Sylfaen" w:hAnsi="Sylfaen" w:cs="Sylfaen"/>
          <w:position w:val="1"/>
          <w:sz w:val="18"/>
          <w:szCs w:val="18"/>
          <w:lang w:val="ka-GE"/>
        </w:rPr>
        <w:t>.“</w:t>
      </w:r>
    </w:p>
    <w:p w14:paraId="1054AA99" w14:textId="77777777" w:rsidR="00CA54EC" w:rsidRPr="00EC2D02" w:rsidRDefault="00CA54EC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1B217079" w14:textId="77777777" w:rsidR="00345336" w:rsidRPr="00EC2D02" w:rsidRDefault="00345336" w:rsidP="00DB0107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eastAsia="Sylfaen" w:hAnsi="Sylfaen" w:cs="Sylfaen"/>
          <w:sz w:val="18"/>
          <w:szCs w:val="18"/>
          <w:lang w:val="ka-GE"/>
        </w:rPr>
      </w:pPr>
    </w:p>
    <w:p w14:paraId="6CE490F8" w14:textId="77777777" w:rsidR="000C0244" w:rsidRDefault="00345336" w:rsidP="000C0244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 w:rsidRPr="000C0244">
        <w:rPr>
          <w:rFonts w:ascii="Sylfaen" w:hAnsi="Sylfaen"/>
          <w:sz w:val="18"/>
          <w:szCs w:val="18"/>
          <w:lang w:val="ka-GE"/>
        </w:rPr>
        <w:t xml:space="preserve">შეიცვალოს ხელშეკრულების დანართი </w:t>
      </w:r>
      <w:r w:rsidR="009706F1" w:rsidRPr="000C0244">
        <w:rPr>
          <w:rFonts w:ascii="Sylfaen" w:hAnsi="Sylfaen"/>
          <w:sz w:val="18"/>
          <w:szCs w:val="18"/>
          <w:lang w:val="ka-GE"/>
        </w:rPr>
        <w:t>1</w:t>
      </w:r>
      <w:r w:rsidR="000C0244">
        <w:rPr>
          <w:rFonts w:ascii="Sylfaen" w:hAnsi="Sylfaen"/>
          <w:sz w:val="18"/>
          <w:szCs w:val="18"/>
          <w:lang w:val="ka-GE"/>
        </w:rPr>
        <w:t xml:space="preserve"> </w:t>
      </w:r>
      <w:r w:rsidRPr="000C0244">
        <w:rPr>
          <w:rFonts w:ascii="Sylfaen" w:hAnsi="Sylfaen"/>
          <w:sz w:val="18"/>
          <w:szCs w:val="18"/>
          <w:lang w:val="ka-GE"/>
        </w:rPr>
        <w:t xml:space="preserve">და </w:t>
      </w:r>
      <w:r w:rsidR="000C0244">
        <w:rPr>
          <w:rFonts w:ascii="Sylfaen" w:hAnsi="Sylfaen"/>
          <w:sz w:val="18"/>
          <w:szCs w:val="18"/>
          <w:lang w:val="ka-GE"/>
        </w:rPr>
        <w:t>ჩამოყალიბდეს</w:t>
      </w:r>
      <w:r w:rsidRPr="000C0244">
        <w:rPr>
          <w:rFonts w:ascii="Sylfaen" w:hAnsi="Sylfaen"/>
          <w:sz w:val="18"/>
          <w:szCs w:val="18"/>
          <w:lang w:val="ka-GE"/>
        </w:rPr>
        <w:t xml:space="preserve"> შემდეგი </w:t>
      </w:r>
      <w:r w:rsidR="000C0244">
        <w:rPr>
          <w:rFonts w:ascii="Sylfaen" w:hAnsi="Sylfaen"/>
          <w:sz w:val="18"/>
          <w:szCs w:val="18"/>
          <w:lang w:val="ka-GE"/>
        </w:rPr>
        <w:t>რედაქციით</w:t>
      </w:r>
    </w:p>
    <w:p w14:paraId="179A7115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3248" w:type="dxa"/>
        <w:tblLook w:val="04A0" w:firstRow="1" w:lastRow="0" w:firstColumn="1" w:lastColumn="0" w:noHBand="0" w:noVBand="1"/>
      </w:tblPr>
      <w:tblGrid>
        <w:gridCol w:w="580"/>
        <w:gridCol w:w="1776"/>
        <w:gridCol w:w="1080"/>
        <w:gridCol w:w="1060"/>
        <w:gridCol w:w="1504"/>
        <w:gridCol w:w="1218"/>
        <w:gridCol w:w="1116"/>
        <w:gridCol w:w="1044"/>
        <w:gridCol w:w="821"/>
        <w:gridCol w:w="1116"/>
        <w:gridCol w:w="970"/>
        <w:gridCol w:w="963"/>
      </w:tblGrid>
      <w:tr w:rsidR="009F6145" w:rsidRPr="009F6145" w14:paraId="677CD8EC" w14:textId="77777777" w:rsidTr="009F6145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6ECF3A1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No</w:t>
            </w:r>
          </w:p>
        </w:tc>
        <w:tc>
          <w:tcPr>
            <w:tcW w:w="17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4B567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40A0B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QTY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6280F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USD PRICE</w:t>
            </w:r>
          </w:p>
        </w:tc>
        <w:tc>
          <w:tcPr>
            <w:tcW w:w="15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FB7B7F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PRICE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1BD8E4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QTY, VOLUME AND WEIGHT PER BOX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081D2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2530F4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NOTICE</w:t>
            </w:r>
          </w:p>
        </w:tc>
      </w:tr>
      <w:tr w:rsidR="009F6145" w:rsidRPr="009F6145" w14:paraId="0D6EE315" w14:textId="77777777" w:rsidTr="009F6145">
        <w:trPr>
          <w:trHeight w:val="3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ACB4C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5FC3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F9D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26C7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9113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37277A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QTY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F256BF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VOLUME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F6DF1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WEIGTH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9390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BOXES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D291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VOLUME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CF35A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WEIGHT</w:t>
            </w:r>
          </w:p>
        </w:tc>
        <w:tc>
          <w:tcPr>
            <w:tcW w:w="9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49DB4C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F6145" w:rsidRPr="009F6145" w14:paraId="4FC4D034" w14:textId="77777777" w:rsidTr="009F6145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0A426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A1E52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品名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E0AF2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数量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AC6EE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美元单价</w:t>
            </w:r>
            <w:proofErr w:type="spell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27074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美元总价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4E2E1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件数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4A19C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体积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CB5B01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毛重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6F174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总件数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DD81A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总体积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C46CC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SimSun" w:eastAsia="SimSun" w:hAnsi="SimSun" w:cs="Times New Roman"/>
                <w:b/>
                <w:bCs/>
                <w:color w:val="000000"/>
              </w:rPr>
            </w:pPr>
            <w:proofErr w:type="spellStart"/>
            <w:r w:rsidRPr="009F6145">
              <w:rPr>
                <w:rFonts w:ascii="SimSun" w:eastAsia="SimSun" w:hAnsi="SimSun" w:cs="Times New Roman" w:hint="eastAsia"/>
                <w:b/>
                <w:bCs/>
                <w:color w:val="000000"/>
              </w:rPr>
              <w:t>总重量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48D676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F6145" w:rsidRPr="009F6145" w14:paraId="0FC9E814" w14:textId="77777777" w:rsidTr="009F6145">
        <w:trPr>
          <w:trHeight w:val="19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96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7EA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MEDICAL ISOLATION GOWNS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一次性医用</w:t>
            </w:r>
            <w:proofErr w:type="spellEnd"/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隔离衣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0A6F2C86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60000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0BD337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$11.30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B2CA35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$678,000.00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C4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50  PCS/BO</w:t>
            </w:r>
            <w:bookmarkStart w:id="1" w:name="_GoBack"/>
            <w:bookmarkEnd w:id="1"/>
            <w:r w:rsidRPr="009F614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94A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0.170314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6444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15.2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554A03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052F9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204.3768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0010F8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18240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7D4C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52DF683A" w14:textId="77777777" w:rsidTr="009F6145">
        <w:trPr>
          <w:trHeight w:val="19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F35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97F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MEDICAL ISOLATION GOWNS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一次性医用</w:t>
            </w:r>
            <w:proofErr w:type="spellEnd"/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隔离衣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5CD6BEE0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40000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58D3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$10.00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E82C4A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$400,000.00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F2A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50  PCS/BOX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582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0.170314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19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15.2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31E7EE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9B8062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136.2512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99113C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12160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F846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7F533434" w14:textId="77777777" w:rsidTr="009F6145">
        <w:trPr>
          <w:trHeight w:val="14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47E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95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MEDICAL PROTECTIVE GOGGLES                          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护目镜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3F51DCE3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50000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3D458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$3.05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4612AE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$152,500.00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6776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200  PCS/BOX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1A4C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0.1258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5D3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17.5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4A8CAE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250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03BE8F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31.45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B25B80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4375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188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2863EAF2" w14:textId="77777777" w:rsidTr="009F6145">
        <w:trPr>
          <w:trHeight w:val="14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B96F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B9F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SHOE COVERS FOR PROTECTIVE SUITS    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一次性高级鞋套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3D38B380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4B0CF1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$1.88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C526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$188,000.00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6AE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100  PCS/BOX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79D0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0.07812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E9E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76AF8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3932C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78.12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5EAB01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6000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3189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53019753" w14:textId="77777777" w:rsidTr="009F6145">
        <w:trPr>
          <w:trHeight w:val="16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A5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5C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DISPOSABLE MEDICAL LATEX </w:t>
            </w:r>
            <w:proofErr w:type="spellStart"/>
            <w:r w:rsidRPr="009F6145">
              <w:rPr>
                <w:rFonts w:ascii="Calibri" w:eastAsia="Times New Roman" w:hAnsi="Calibri" w:cs="Times New Roman"/>
                <w:color w:val="000000"/>
              </w:rPr>
              <w:t>GLOVES</w:t>
            </w:r>
            <w:r w:rsidRPr="009F6145">
              <w:rPr>
                <w:rFonts w:ascii="SimSun" w:eastAsia="SimSun" w:hAnsi="SimSun" w:cs="Times New Roman" w:hint="eastAsia"/>
                <w:color w:val="000000"/>
              </w:rPr>
              <w:t>一次性医用乳胶手套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6E74ABA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EB0862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$0.08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AD46E2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$8,000.00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172F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1000  PCS/BOX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9B2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0.0216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C7A3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8.1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54895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2683C3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2.16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99948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810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AE5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39AAFEE4" w14:textId="77777777" w:rsidTr="009F6145">
        <w:trPr>
          <w:trHeight w:val="163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22D1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99B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DIGITAL THERMOMETERS        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额温枪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46D81F8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F2E8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$31.64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9B841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$9,492.00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824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50  PCS/BOX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F7D0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0.0685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AE6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FE2021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362FB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0.411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9944F2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EB3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6C3A720A" w14:textId="77777777" w:rsidTr="009F6145">
        <w:trPr>
          <w:trHeight w:val="163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3D1A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B3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 xml:space="preserve">SURGICAL GOWNS      </w:t>
            </w:r>
            <w:proofErr w:type="spellStart"/>
            <w:r w:rsidRPr="009F6145">
              <w:rPr>
                <w:rFonts w:ascii="SimSun" w:eastAsia="SimSun" w:hAnsi="SimSun" w:cs="Times New Roman" w:hint="eastAsia"/>
                <w:color w:val="000000"/>
              </w:rPr>
              <w:t>一次性隔离衣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4FC48E00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80000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8742F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$5.58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E1548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$446,400.00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1557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100  PCS/BOX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68E8F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0.170314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7E9C6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23.5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A204B5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800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3F800FC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136.2512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4C4A80FD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18800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341A6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6145" w:rsidRPr="009F6145" w14:paraId="61FA77D5" w14:textId="77777777" w:rsidTr="009F6145">
        <w:trPr>
          <w:trHeight w:val="10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935E9B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52C8BF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EC2FFD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F9C64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37F1E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$1,882,392.00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0746E9A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67F80B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47ACC4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15FB4557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4156  BOXES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39FDF03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589  CBM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073B7014" w14:textId="77777777" w:rsidR="009F6145" w:rsidRPr="009F6145" w:rsidRDefault="009F6145" w:rsidP="009F61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60439  KGS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0E4757A8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614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9F6145" w:rsidRPr="009F6145" w14:paraId="0C0730C6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223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3B4D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DB3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38C1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F5F1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F05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6AD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9D88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6C0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520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D090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0F48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434CF263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D9D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287A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AC5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14D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6AF8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38C3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68A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E758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E24C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7AD0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6B7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398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2678A7BB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A8B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4BC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B5E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64D8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963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F34D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A39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5CBA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84A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FE33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AF16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08C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6F9EFBDC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87E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6648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F87D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B9C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4C7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A79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6C37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9EF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DAD5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D31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F721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FBD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4BCE744A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0CD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5D5B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B56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080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D56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D15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CE0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7B3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240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1714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A41BD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F86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532FA8F8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11E0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93CA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AF4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439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909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92B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A0F1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5204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39C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B71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EEC9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206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638EB97A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99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78581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8BEB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78F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216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46B2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1DCD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F88C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2D9B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216C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E614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6FC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6550505B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6B8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6E6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C37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EE4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9E7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838A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287C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DC13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854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5CA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D33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405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588AC7D7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796B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DB448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2B22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B6A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15E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D6A9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48B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ED7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EFE7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4151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4967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5AF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250A8AB8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649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B46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61BB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110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5DE8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6180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4BA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616B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F800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1DF5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196B8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FEB1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2F360F68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741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2F28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F01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8509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8C94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3C93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BB081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F173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3DF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2F4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7E09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7E8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19A51D83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E71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37AC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B027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CD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C5A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934A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42E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1C6BA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19E7E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283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4A54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4085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F6145" w:rsidRPr="009F6145" w14:paraId="497A9882" w14:textId="77777777" w:rsidTr="009F614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F358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95F1E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EE53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9356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1205" w14:textId="77777777" w:rsidR="009F6145" w:rsidRPr="009F6145" w:rsidRDefault="009F6145" w:rsidP="009F61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24A78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B2C9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AB704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BE0CF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1C33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9071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1692" w14:textId="77777777" w:rsidR="009F6145" w:rsidRPr="009F6145" w:rsidRDefault="009F6145" w:rsidP="009F6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947CDFF" w14:textId="77777777" w:rsidR="000C0244" w:rsidRPr="009F6145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</w:rPr>
      </w:pPr>
    </w:p>
    <w:p w14:paraId="42B67625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6CDF405B" w14:textId="77777777" w:rsidR="000C0244" w:rsidRP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191ABCE3" w14:textId="77777777" w:rsidR="000C0244" w:rsidRPr="000C0244" w:rsidRDefault="000C0244" w:rsidP="000C024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  <w:lang w:val="ka-GE"/>
        </w:rPr>
      </w:pPr>
    </w:p>
    <w:p w14:paraId="31CD2283" w14:textId="77777777" w:rsidR="004477FA" w:rsidRDefault="004477FA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25B1D176" w14:textId="77777777" w:rsidR="000C0244" w:rsidRPr="000C0244" w:rsidRDefault="000C0244" w:rsidP="008055F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lastRenderedPageBreak/>
        <w:t>ხელშეკულების თავდაპირველ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დანართით 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>განსაზღვრული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საქონლისა და წარმოდგენილი დანართით განსაზღვრულ საქონლის ღირებულებებს შორის არსებული სხვაობა 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348 600 დოლარი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ს ოდენობით, წინასწარი ანგარიშსწორების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წესით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გადარიცხული თანხიდან უკან დაბუნრებულ იქნება მიმწოდებლის მიერ მითითებულ საბანკო ანგარიშზე: </w:t>
      </w:r>
      <w:commentRangeStart w:id="2"/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-----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შემსყიდველისთვის 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>გადარიცვხის გზით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არაუგვიანეს 2020 წლის 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--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აპრილისა. </w:t>
      </w:r>
      <w:commentRangeEnd w:id="2"/>
      <w:r w:rsidR="008055F0">
        <w:rPr>
          <w:rStyle w:val="CommentReference"/>
        </w:rPr>
        <w:commentReference w:id="2"/>
      </w:r>
    </w:p>
    <w:p w14:paraId="31BD557D" w14:textId="77777777" w:rsidR="00CE1066" w:rsidRDefault="00CE1066" w:rsidP="000C0244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ხელშეკრულების სხვა დანარჩენი მუხლები, რომლებსაც ცვლილება არ შეხებიათ რჩება უცვლელი. </w:t>
      </w:r>
    </w:p>
    <w:p w14:paraId="47856A09" w14:textId="77777777" w:rsidR="004477FA" w:rsidRPr="00CE1066" w:rsidRDefault="004477FA" w:rsidP="000C0244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 w:rsidRPr="00CE1066">
        <w:rPr>
          <w:rFonts w:ascii="Sylfaen" w:hAnsi="Sylfaen"/>
          <w:sz w:val="18"/>
          <w:szCs w:val="18"/>
          <w:lang w:val="ka-GE"/>
        </w:rPr>
        <w:t>შეთანხმება ძალაშია მხარეთა ხელმოწერის დღიდან.</w:t>
      </w:r>
      <w:r w:rsidR="00CE1066" w:rsidRPr="00CE1066">
        <w:rPr>
          <w:rFonts w:ascii="Sylfaen" w:hAnsi="Sylfaen"/>
          <w:sz w:val="18"/>
          <w:szCs w:val="18"/>
          <w:lang w:val="ka-GE"/>
        </w:rPr>
        <w:t xml:space="preserve"> </w:t>
      </w:r>
    </w:p>
    <w:p w14:paraId="6441BC00" w14:textId="77777777" w:rsidR="00CE1066" w:rsidRPr="00CE1066" w:rsidRDefault="00CE1066" w:rsidP="00CE1066">
      <w:pPr>
        <w:pStyle w:val="ListParagraph"/>
        <w:tabs>
          <w:tab w:val="left" w:pos="360"/>
          <w:tab w:val="left" w:pos="450"/>
        </w:tabs>
        <w:spacing w:after="0" w:line="240" w:lineRule="auto"/>
        <w:ind w:left="153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48D638F2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5D5379CC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667477CD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tbl>
      <w:tblPr>
        <w:tblStyle w:val="TableGrid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D303B1" w:rsidRPr="00EC2D02" w14:paraId="194DF915" w14:textId="77777777" w:rsidTr="00D303B1">
        <w:trPr>
          <w:trHeight w:val="1430"/>
        </w:trPr>
        <w:tc>
          <w:tcPr>
            <w:tcW w:w="5490" w:type="dxa"/>
            <w:shd w:val="clear" w:color="auto" w:fill="auto"/>
          </w:tcPr>
          <w:p w14:paraId="1D24D482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iCs/>
                <w:sz w:val="18"/>
                <w:szCs w:val="18"/>
                <w:lang w:val="ka-GE"/>
              </w:rPr>
              <w:t xml:space="preserve">„შემსყიდველი“  </w:t>
            </w:r>
          </w:p>
          <w:p w14:paraId="28F93B52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</w:p>
          <w:p w14:paraId="7C658630" w14:textId="77777777" w:rsidR="00D303B1" w:rsidRPr="00863A08" w:rsidRDefault="00D303B1" w:rsidP="00FB31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  <w:r w:rsidRPr="00863A08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5DD9D1A0" w14:textId="77777777" w:rsidR="00D303B1" w:rsidRPr="00863A08" w:rsidRDefault="00D303B1" w:rsidP="00FB31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</w:p>
          <w:p w14:paraId="084BE070" w14:textId="77777777" w:rsidR="00D303B1" w:rsidRPr="00863A08" w:rsidRDefault="00D303B1" w:rsidP="00FB31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</w:pP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ka-GE"/>
              </w:rPr>
              <w:t>უფლებამოსილი პირი:</w:t>
            </w: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EDDF15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გიორგი წოწკოლაური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მინისტრის მოადგილე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7D9423E2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7318D96" w14:textId="77777777" w:rsidR="00D303B1" w:rsidRPr="00863A08" w:rsidRDefault="00D303B1" w:rsidP="00FB310E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3119055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_______________  </w:t>
            </w:r>
            <w:r w:rsidRPr="00863A08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14:paraId="53DAC260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“Procurer”</w:t>
            </w:r>
          </w:p>
          <w:p w14:paraId="0A5FD13F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14:paraId="18EB0560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Ministry of Internally Displaced Persons 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from the Occupied Territories,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Labour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>, Health and Social Affairs of Georgia</w:t>
            </w:r>
          </w:p>
          <w:p w14:paraId="0B3A0327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</w:p>
          <w:p w14:paraId="4B97A963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</w:rPr>
              <w:t>Authorized person</w:t>
            </w: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:</w:t>
            </w:r>
            <w:r w:rsidRPr="00863A0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</w:p>
          <w:p w14:paraId="144A19FA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Giorgi Tsotskolauri, Deputy Minister </w:t>
            </w:r>
          </w:p>
          <w:p w14:paraId="79D34B95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14:paraId="3A078313" w14:textId="77777777" w:rsidR="00F226FD" w:rsidRPr="00863A08" w:rsidRDefault="00F226FD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14:paraId="4D3C31C4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_______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______</w:t>
            </w:r>
          </w:p>
        </w:tc>
      </w:tr>
      <w:tr w:rsidR="00D303B1" w:rsidRPr="00EC2D02" w14:paraId="376C0AA9" w14:textId="77777777" w:rsidTr="00D303B1">
        <w:trPr>
          <w:trHeight w:val="139"/>
        </w:trPr>
        <w:tc>
          <w:tcPr>
            <w:tcW w:w="5490" w:type="dxa"/>
            <w:shd w:val="clear" w:color="auto" w:fill="auto"/>
          </w:tcPr>
          <w:p w14:paraId="5F595C0A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18"/>
                <w:szCs w:val="18"/>
                <w:lang w:val="ka-GE"/>
              </w:rPr>
            </w:pPr>
          </w:p>
          <w:p w14:paraId="022CDB6E" w14:textId="77777777" w:rsidR="008055F0" w:rsidRPr="00863A08" w:rsidRDefault="008055F0" w:rsidP="00FB31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მიმწოდებელი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“ </w:t>
            </w:r>
          </w:p>
          <w:p w14:paraId="0DEABEBD" w14:textId="77777777" w:rsidR="00D303B1" w:rsidRPr="00863A08" w:rsidRDefault="008055F0" w:rsidP="00FB31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იურიდიული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ANHUI LIGHT INDUSTRIES INTERNATIONAL CO.,LTD.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8 Tianda Road, Hefei, Anhui, China 230088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BANK OF CHINA HEFEI CHANGJIANG ROAD SUB-BRANCH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საიდენტიფიკაციო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1340000769026584P(1- 1)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184201151797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BKCHCNBJ780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მაიკ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ლიუ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გაყიდვების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მენეჯერი</w:t>
            </w:r>
          </w:p>
          <w:p w14:paraId="01A41FD9" w14:textId="77777777" w:rsidR="00D303B1" w:rsidRPr="00863A08" w:rsidRDefault="00D303B1" w:rsidP="00FB31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0668161" w14:textId="77777777" w:rsidR="00D303B1" w:rsidRPr="00863A08" w:rsidRDefault="00D303B1" w:rsidP="00FB31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14:paraId="477E2CE6" w14:textId="77777777" w:rsidR="009B17BA" w:rsidRPr="00863A08" w:rsidRDefault="009B17BA" w:rsidP="00FB31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E8D3D8C" w14:textId="77777777" w:rsidR="00D303B1" w:rsidRPr="00863A08" w:rsidRDefault="00D303B1" w:rsidP="00FB310E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“Supplier”</w:t>
            </w:r>
          </w:p>
          <w:p w14:paraId="1B7EF8AE" w14:textId="77777777" w:rsidR="00D303B1" w:rsidRPr="00863A08" w:rsidRDefault="008055F0" w:rsidP="00FB31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Legal entity: ANHUI LIGHT INDUSTRIES INTERNATIONAL CO., LTD. Address: 8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Tianda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 xml:space="preserve"> Road, Hefei, Anhui, China 230088 Bank: BANK OF CHINA HEFEI CHANGJIANG ROAD SUB-BRANCH Identification number: 91340000769026584P(1-1) Account No.:184201151797 Swift:BKCHCNBJ780 Authorized person: MIKE LIU, Sales Manager</w:t>
            </w:r>
          </w:p>
          <w:p w14:paraId="7116F65D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--------------------------------</w:t>
            </w:r>
          </w:p>
          <w:p w14:paraId="18F62EBF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46E1D4DA" w14:textId="77777777" w:rsidR="00231126" w:rsidRPr="00EC2D02" w:rsidRDefault="00231126" w:rsidP="000637D0">
      <w:pPr>
        <w:jc w:val="both"/>
        <w:rPr>
          <w:rFonts w:ascii="Sylfaen" w:hAnsi="Sylfaen"/>
          <w:sz w:val="18"/>
          <w:szCs w:val="18"/>
        </w:rPr>
      </w:pPr>
    </w:p>
    <w:sectPr w:rsidR="00231126" w:rsidRPr="00EC2D02" w:rsidSect="00E7063E">
      <w:pgSz w:w="12240" w:h="15840"/>
      <w:pgMar w:top="630" w:right="990" w:bottom="810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20-04-20T15:27:00Z" w:initials="WU">
    <w:p w14:paraId="1A520DD3" w14:textId="77777777" w:rsidR="000C0244" w:rsidRPr="00C07272" w:rsidRDefault="000C0244" w:rsidP="000C024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წარმოდგენილი ცვლილებების გათვალისწინებით უნდა დაკორექტირდეს ხელშეკრულების საერთო ღირებულება და მიეთითოს შესაბამისი ოდენობა.</w:t>
      </w:r>
    </w:p>
    <w:p w14:paraId="58E90B6D" w14:textId="77777777" w:rsidR="000C0244" w:rsidRDefault="000C0244">
      <w:pPr>
        <w:pStyle w:val="CommentText"/>
      </w:pPr>
    </w:p>
  </w:comment>
  <w:comment w:id="2" w:author="Windows User" w:date="2020-04-20T15:45:00Z" w:initials="WU">
    <w:p w14:paraId="7F684224" w14:textId="77777777" w:rsidR="008055F0" w:rsidRPr="008055F0" w:rsidRDefault="008055F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უნდა მიეთითოს შესაბამისი რეკვიზიტი და თანხი</w:t>
      </w:r>
      <w:r w:rsidR="00863A08">
        <w:rPr>
          <w:lang w:val="ka-GE"/>
        </w:rPr>
        <w:t>ს</w:t>
      </w:r>
      <w:r>
        <w:rPr>
          <w:lang w:val="ka-GE"/>
        </w:rPr>
        <w:t xml:space="preserve"> </w:t>
      </w:r>
      <w:r w:rsidR="00863A08">
        <w:rPr>
          <w:lang w:val="ka-GE"/>
        </w:rPr>
        <w:t>დაბ</w:t>
      </w:r>
      <w:r>
        <w:rPr>
          <w:lang w:val="ka-GE"/>
        </w:rPr>
        <w:t xml:space="preserve">რუნების თარიღი.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E90B6D" w15:done="0"/>
  <w15:commentEx w15:paraId="7F6842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3B6"/>
    <w:multiLevelType w:val="hybridMultilevel"/>
    <w:tmpl w:val="B8AAE6FC"/>
    <w:lvl w:ilvl="0" w:tplc="D42E9E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4F8504E"/>
    <w:multiLevelType w:val="hybridMultilevel"/>
    <w:tmpl w:val="FE882F54"/>
    <w:lvl w:ilvl="0" w:tplc="3D66E54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6A"/>
    <w:rsid w:val="000637D0"/>
    <w:rsid w:val="000C0244"/>
    <w:rsid w:val="000E6F5A"/>
    <w:rsid w:val="00125B3F"/>
    <w:rsid w:val="001449BB"/>
    <w:rsid w:val="00153B0B"/>
    <w:rsid w:val="001E0726"/>
    <w:rsid w:val="001E122A"/>
    <w:rsid w:val="001E3F0F"/>
    <w:rsid w:val="00231126"/>
    <w:rsid w:val="00276072"/>
    <w:rsid w:val="002936D1"/>
    <w:rsid w:val="002B7F8C"/>
    <w:rsid w:val="002C06BD"/>
    <w:rsid w:val="0034218A"/>
    <w:rsid w:val="00345336"/>
    <w:rsid w:val="004477FA"/>
    <w:rsid w:val="004961AF"/>
    <w:rsid w:val="004A3A62"/>
    <w:rsid w:val="00531B87"/>
    <w:rsid w:val="005415EE"/>
    <w:rsid w:val="0055697F"/>
    <w:rsid w:val="005760FE"/>
    <w:rsid w:val="005921A5"/>
    <w:rsid w:val="005A44CE"/>
    <w:rsid w:val="005F162C"/>
    <w:rsid w:val="00611B80"/>
    <w:rsid w:val="00655DD0"/>
    <w:rsid w:val="0068474D"/>
    <w:rsid w:val="00715961"/>
    <w:rsid w:val="00780AD0"/>
    <w:rsid w:val="007A6AB7"/>
    <w:rsid w:val="00800F50"/>
    <w:rsid w:val="008055F0"/>
    <w:rsid w:val="008315C8"/>
    <w:rsid w:val="00863A08"/>
    <w:rsid w:val="00890FCA"/>
    <w:rsid w:val="0090458B"/>
    <w:rsid w:val="00936C65"/>
    <w:rsid w:val="009518A8"/>
    <w:rsid w:val="00966C31"/>
    <w:rsid w:val="009706F1"/>
    <w:rsid w:val="009905F1"/>
    <w:rsid w:val="009B0FD2"/>
    <w:rsid w:val="009B17BA"/>
    <w:rsid w:val="009C2CFC"/>
    <w:rsid w:val="009F6145"/>
    <w:rsid w:val="00A758FC"/>
    <w:rsid w:val="00AB3AEB"/>
    <w:rsid w:val="00AF6BC6"/>
    <w:rsid w:val="00B921D1"/>
    <w:rsid w:val="00BA4387"/>
    <w:rsid w:val="00BD50D4"/>
    <w:rsid w:val="00C07272"/>
    <w:rsid w:val="00C27AB2"/>
    <w:rsid w:val="00C3656A"/>
    <w:rsid w:val="00CA54EC"/>
    <w:rsid w:val="00CE1066"/>
    <w:rsid w:val="00CE123E"/>
    <w:rsid w:val="00CE2E29"/>
    <w:rsid w:val="00D02C52"/>
    <w:rsid w:val="00D303B1"/>
    <w:rsid w:val="00D350E9"/>
    <w:rsid w:val="00DB0107"/>
    <w:rsid w:val="00DC7136"/>
    <w:rsid w:val="00E37650"/>
    <w:rsid w:val="00E43A14"/>
    <w:rsid w:val="00E62623"/>
    <w:rsid w:val="00E7063E"/>
    <w:rsid w:val="00EC2D02"/>
    <w:rsid w:val="00F04599"/>
    <w:rsid w:val="00F226FD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7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A758FC"/>
  </w:style>
  <w:style w:type="paragraph" w:styleId="BalloonText">
    <w:name w:val="Balloon Text"/>
    <w:basedOn w:val="Normal"/>
    <w:link w:val="BalloonTextChar"/>
    <w:uiPriority w:val="99"/>
    <w:semiHidden/>
    <w:unhideWhenUsed/>
    <w:rsid w:val="00AB3AE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3AEB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A758FC"/>
  </w:style>
  <w:style w:type="paragraph" w:styleId="BalloonText">
    <w:name w:val="Balloon Text"/>
    <w:basedOn w:val="Normal"/>
    <w:link w:val="BalloonTextChar"/>
    <w:uiPriority w:val="99"/>
    <w:semiHidden/>
    <w:unhideWhenUsed/>
    <w:rsid w:val="00AB3AE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3AEB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user</cp:lastModifiedBy>
  <cp:revision>2</cp:revision>
  <cp:lastPrinted>2020-04-01T13:10:00Z</cp:lastPrinted>
  <dcterms:created xsi:type="dcterms:W3CDTF">2020-04-20T13:07:00Z</dcterms:created>
  <dcterms:modified xsi:type="dcterms:W3CDTF">2020-04-20T13:07:00Z</dcterms:modified>
</cp:coreProperties>
</file>