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0EE" w:rsidRPr="00F65360" w:rsidRDefault="00550B4A" w:rsidP="004F333B">
      <w:pPr>
        <w:spacing w:after="0" w:line="276" w:lineRule="auto"/>
        <w:jc w:val="center"/>
        <w:rPr>
          <w:rFonts w:ascii="Sylfaen" w:eastAsia="Times New Roman" w:hAnsi="Sylfaen" w:cs="Calibri"/>
          <w:color w:val="000000"/>
          <w:sz w:val="24"/>
          <w:szCs w:val="24"/>
          <w:shd w:val="clear" w:color="auto" w:fill="FFFFFF"/>
        </w:rPr>
      </w:pPr>
      <w:r w:rsidRPr="00F65360">
        <w:rPr>
          <w:rFonts w:ascii="Sylfaen" w:eastAsia="Times New Roman" w:hAnsi="Sylfaen" w:cs="Calibri"/>
          <w:color w:val="000000"/>
          <w:sz w:val="24"/>
          <w:szCs w:val="24"/>
          <w:shd w:val="clear" w:color="auto" w:fill="FFFFFF"/>
        </w:rPr>
        <w:t>“Accelerating implementation of the 2030 Agenda through water, sanitation</w:t>
      </w:r>
    </w:p>
    <w:p w:rsidR="00550B4A" w:rsidRDefault="00550B4A" w:rsidP="004F333B">
      <w:pPr>
        <w:spacing w:after="0" w:line="276" w:lineRule="auto"/>
        <w:jc w:val="center"/>
        <w:rPr>
          <w:rFonts w:ascii="Sylfaen" w:eastAsia="Times New Roman" w:hAnsi="Sylfaen" w:cs="Calibri"/>
          <w:color w:val="000000"/>
          <w:sz w:val="24"/>
          <w:szCs w:val="24"/>
          <w:shd w:val="clear" w:color="auto" w:fill="FFFFFF"/>
          <w:lang w:val="ka-GE"/>
        </w:rPr>
      </w:pPr>
      <w:r w:rsidRPr="00F65360">
        <w:rPr>
          <w:rFonts w:ascii="Sylfaen" w:eastAsia="Times New Roman" w:hAnsi="Sylfaen" w:cs="Calibri"/>
          <w:color w:val="000000"/>
          <w:sz w:val="24"/>
          <w:szCs w:val="24"/>
          <w:shd w:val="clear" w:color="auto" w:fill="FFFFFF"/>
        </w:rPr>
        <w:t>and climate action</w:t>
      </w:r>
      <w:r w:rsidR="00B030EE" w:rsidRPr="00F65360">
        <w:rPr>
          <w:rFonts w:ascii="Sylfaen" w:eastAsia="Times New Roman" w:hAnsi="Sylfaen" w:cs="Calibri"/>
          <w:color w:val="000000"/>
          <w:sz w:val="24"/>
          <w:szCs w:val="24"/>
          <w:shd w:val="clear" w:color="auto" w:fill="FFFFFF"/>
          <w:lang w:val="ka-GE"/>
        </w:rPr>
        <w:t>“</w:t>
      </w:r>
    </w:p>
    <w:p w:rsidR="004F333B" w:rsidRPr="00F65360" w:rsidRDefault="004F333B" w:rsidP="00F65360">
      <w:pPr>
        <w:spacing w:after="0" w:line="276" w:lineRule="auto"/>
        <w:jc w:val="both"/>
        <w:rPr>
          <w:rFonts w:ascii="Sylfaen" w:eastAsia="Times New Roman" w:hAnsi="Sylfaen" w:cs="Calibri"/>
          <w:color w:val="000000"/>
          <w:sz w:val="24"/>
          <w:szCs w:val="24"/>
          <w:shd w:val="clear" w:color="auto" w:fill="FFFFFF"/>
          <w:lang w:val="ka-GE"/>
        </w:rPr>
      </w:pPr>
    </w:p>
    <w:p w:rsidR="004B7EC9" w:rsidRPr="00F65360" w:rsidRDefault="00EF7929" w:rsidP="00F65360">
      <w:pPr>
        <w:spacing w:after="0" w:line="276" w:lineRule="auto"/>
        <w:contextualSpacing/>
        <w:jc w:val="both"/>
        <w:rPr>
          <w:rFonts w:ascii="Sylfaen" w:hAnsi="Sylfaen"/>
          <w:sz w:val="24"/>
          <w:szCs w:val="24"/>
          <w:lang w:val="en-US"/>
        </w:rPr>
      </w:pPr>
      <w:r w:rsidRPr="00F65360">
        <w:rPr>
          <w:rFonts w:ascii="Sylfaen" w:hAnsi="Sylfaen" w:cs="Times New Roman"/>
          <w:sz w:val="24"/>
          <w:szCs w:val="24"/>
          <w:lang w:val="en-GB"/>
        </w:rPr>
        <w:t xml:space="preserve">  </w:t>
      </w:r>
      <w:r w:rsidR="004B7EC9" w:rsidRPr="00F65360">
        <w:rPr>
          <w:rFonts w:ascii="Sylfaen" w:hAnsi="Sylfaen" w:cs="Times New Roman"/>
          <w:sz w:val="24"/>
          <w:szCs w:val="24"/>
          <w:lang w:val="en-GB"/>
        </w:rPr>
        <w:t xml:space="preserve">The EU-Georgia Association Agreement (AA) is a concrete way to activate the potential of EU-Georgian relations, focusing on support to core reforms, on economic recovery and growth, governance and sector cooperation.  </w:t>
      </w:r>
      <w:r w:rsidR="004B7EC9" w:rsidRPr="00F65360">
        <w:rPr>
          <w:rFonts w:ascii="Sylfaen" w:hAnsi="Sylfaen"/>
          <w:sz w:val="24"/>
          <w:szCs w:val="24"/>
          <w:lang w:val="en-US"/>
        </w:rPr>
        <w:t>According to Association Agreement between Georgia and the EU and an Association Agenda for the implementation of Action Plan 2015, the Decree N680 on “National Environment and Health Action Plan for 2018-2022 (NEHAP2)” has been approved by the Government of Georgia on the December 29 2018. The Action Plan project has g</w:t>
      </w:r>
      <w:r w:rsidR="00F3214C" w:rsidRPr="00F65360">
        <w:rPr>
          <w:rFonts w:ascii="Sylfaen" w:hAnsi="Sylfaen"/>
          <w:sz w:val="24"/>
          <w:szCs w:val="24"/>
          <w:lang w:val="en-US"/>
        </w:rPr>
        <w:t>ained competence from the</w:t>
      </w:r>
      <w:r w:rsidR="004B7EC9" w:rsidRPr="00F65360">
        <w:rPr>
          <w:rFonts w:ascii="Sylfaen" w:hAnsi="Sylfaen"/>
          <w:sz w:val="24"/>
          <w:szCs w:val="24"/>
          <w:lang w:val="en-US"/>
        </w:rPr>
        <w:t xml:space="preserve"> </w:t>
      </w:r>
      <w:r w:rsidR="00F3214C" w:rsidRPr="00F65360">
        <w:rPr>
          <w:rFonts w:ascii="Sylfaen" w:hAnsi="Sylfaen"/>
          <w:sz w:val="24"/>
          <w:szCs w:val="24"/>
          <w:lang w:val="en-US"/>
        </w:rPr>
        <w:t xml:space="preserve">experts </w:t>
      </w:r>
      <w:r w:rsidR="004B7EC9" w:rsidRPr="00F65360">
        <w:rPr>
          <w:rFonts w:ascii="Sylfaen" w:hAnsi="Sylfaen"/>
          <w:sz w:val="24"/>
          <w:szCs w:val="24"/>
          <w:lang w:val="en-US"/>
        </w:rPr>
        <w:t xml:space="preserve">of the EU-funded Twinning project GE22 “Institutional Strengthening of Environmental Health System of Georgia” experts. The National Strategy pays due regard to WHO European Region’s process of National Environment and Health recommendations designed to ensure safe environment, harmonize legislation, prevent environmental related diseases and reduce impact of risk factors. </w:t>
      </w:r>
    </w:p>
    <w:p w:rsidR="001B7ABE" w:rsidRPr="00F65360" w:rsidRDefault="004B7EC9" w:rsidP="00F65360">
      <w:pPr>
        <w:spacing w:after="0" w:line="276" w:lineRule="auto"/>
        <w:jc w:val="both"/>
        <w:rPr>
          <w:rFonts w:ascii="Sylfaen" w:hAnsi="Sylfaen"/>
          <w:sz w:val="24"/>
          <w:szCs w:val="24"/>
          <w:lang w:val="en-US"/>
        </w:rPr>
      </w:pPr>
      <w:r w:rsidRPr="00F65360">
        <w:rPr>
          <w:rFonts w:ascii="Sylfaen" w:hAnsi="Sylfaen"/>
          <w:sz w:val="24"/>
          <w:szCs w:val="24"/>
          <w:lang w:val="ka-GE"/>
        </w:rPr>
        <w:t xml:space="preserve">    </w:t>
      </w:r>
      <w:r w:rsidRPr="00F65360">
        <w:rPr>
          <w:rFonts w:ascii="Sylfaen" w:hAnsi="Sylfaen"/>
          <w:sz w:val="24"/>
          <w:szCs w:val="24"/>
          <w:lang w:val="en-US"/>
        </w:rPr>
        <w:t xml:space="preserve">The main principle of Action Plan is to ensure public health importance in the population and to realize constitutional right of the people - to live in a safe environment, respectively the responsibility for the implementation of the Action Plan falls under healthcare and environmental sectors in accordance with the sectors of Economy, Justice, Agriculture, Education, Finance, Infrastructure, Foreign affairs and Local Administrations. </w:t>
      </w:r>
      <w:r w:rsidR="00F3214C" w:rsidRPr="00F65360">
        <w:rPr>
          <w:rFonts w:ascii="Sylfaen" w:hAnsi="Sylfaen"/>
          <w:sz w:val="24"/>
          <w:szCs w:val="24"/>
          <w:lang w:val="en-US"/>
        </w:rPr>
        <w:t xml:space="preserve">According </w:t>
      </w:r>
      <w:proofErr w:type="gramStart"/>
      <w:r w:rsidR="00F3214C" w:rsidRPr="00F65360">
        <w:rPr>
          <w:rFonts w:ascii="Sylfaen" w:hAnsi="Sylfaen"/>
          <w:sz w:val="24"/>
          <w:szCs w:val="24"/>
          <w:lang w:val="en-US"/>
        </w:rPr>
        <w:t>to  Decree</w:t>
      </w:r>
      <w:proofErr w:type="gramEnd"/>
      <w:r w:rsidR="00F3214C" w:rsidRPr="00F65360">
        <w:rPr>
          <w:rFonts w:ascii="Sylfaen" w:hAnsi="Sylfaen"/>
          <w:sz w:val="24"/>
          <w:szCs w:val="24"/>
          <w:lang w:val="en-US"/>
        </w:rPr>
        <w:t xml:space="preserve"> #680 </w:t>
      </w:r>
      <w:r w:rsidRPr="00F65360">
        <w:rPr>
          <w:rFonts w:ascii="Sylfaen" w:hAnsi="Sylfaen"/>
          <w:sz w:val="24"/>
          <w:szCs w:val="24"/>
          <w:lang w:val="en-US"/>
        </w:rPr>
        <w:t>the Ministry of Internally Displaced persons from the occupied territories, Labor, Health and Social Affairs of Georgia is responsible to coordinate the implementation of the Action Plan. And the Steering Committee, which is responsible for the management, coordination and surveillance of the NEHAP, represents advisory body of the Government and is headed by the Prime Minister of Georgia.</w:t>
      </w:r>
    </w:p>
    <w:p w:rsidR="004B7EC9" w:rsidRPr="00F65360" w:rsidRDefault="001B7ABE" w:rsidP="00F65360">
      <w:pPr>
        <w:spacing w:after="0" w:line="276" w:lineRule="auto"/>
        <w:jc w:val="both"/>
        <w:rPr>
          <w:rFonts w:ascii="Sylfaen" w:hAnsi="Sylfaen" w:cs="Times New Roman"/>
          <w:sz w:val="24"/>
          <w:szCs w:val="24"/>
          <w:lang w:val="en-US"/>
        </w:rPr>
      </w:pPr>
      <w:r w:rsidRPr="00F65360">
        <w:rPr>
          <w:rFonts w:ascii="Sylfaen" w:hAnsi="Sylfaen"/>
          <w:sz w:val="24"/>
          <w:szCs w:val="24"/>
          <w:lang w:val="en-US"/>
        </w:rPr>
        <w:t xml:space="preserve">    </w:t>
      </w:r>
      <w:r w:rsidR="004B7EC9" w:rsidRPr="00F65360">
        <w:rPr>
          <w:rFonts w:ascii="Sylfaen" w:hAnsi="Sylfaen" w:cs="Times New Roman"/>
          <w:sz w:val="24"/>
          <w:szCs w:val="24"/>
        </w:rPr>
        <w:t xml:space="preserve">Analyzing the environmental health policy situation in Georgia in relation to selected Parma and Ostrava </w:t>
      </w:r>
      <w:r w:rsidR="004B7EC9" w:rsidRPr="00F65360">
        <w:rPr>
          <w:rFonts w:ascii="Sylfaen" w:hAnsi="Sylfaen" w:cs="Times New Roman"/>
          <w:sz w:val="24"/>
          <w:szCs w:val="24"/>
          <w:lang w:val="en-US"/>
        </w:rPr>
        <w:t xml:space="preserve">Declarations </w:t>
      </w:r>
      <w:r w:rsidR="004B7EC9" w:rsidRPr="00F65360">
        <w:rPr>
          <w:rFonts w:ascii="Sylfaen" w:hAnsi="Sylfaen" w:cs="Times New Roman"/>
          <w:sz w:val="24"/>
          <w:szCs w:val="24"/>
        </w:rPr>
        <w:t xml:space="preserve">commitments,  follow up action in  short and long term perspective to support  NEHAP implementation in coming years, put of focus on </w:t>
      </w:r>
      <w:r w:rsidR="004B7EC9" w:rsidRPr="00F65360">
        <w:rPr>
          <w:rFonts w:ascii="Sylfaen" w:hAnsi="Sylfaen" w:cs="Times New Roman"/>
          <w:sz w:val="24"/>
          <w:szCs w:val="24"/>
          <w:lang w:val="en-US"/>
        </w:rPr>
        <w:t>next NEHAP 5 strategic objectives (SO):</w:t>
      </w:r>
    </w:p>
    <w:p w:rsidR="00F3214C" w:rsidRPr="00F65360" w:rsidRDefault="004B7EC9" w:rsidP="00F65360">
      <w:pPr>
        <w:spacing w:after="0" w:line="276" w:lineRule="auto"/>
        <w:jc w:val="both"/>
        <w:rPr>
          <w:rFonts w:ascii="Sylfaen" w:hAnsi="Sylfaen" w:cs="Times New Roman"/>
          <w:sz w:val="24"/>
          <w:szCs w:val="24"/>
        </w:rPr>
      </w:pPr>
      <w:r w:rsidRPr="00F65360">
        <w:rPr>
          <w:rFonts w:ascii="Sylfaen" w:hAnsi="Sylfaen" w:cs="Times New Roman"/>
          <w:sz w:val="24"/>
          <w:szCs w:val="24"/>
          <w:lang w:val="en-US"/>
        </w:rPr>
        <w:t xml:space="preserve">1. </w:t>
      </w:r>
      <w:r w:rsidRPr="00F65360">
        <w:rPr>
          <w:rFonts w:ascii="Sylfaen" w:hAnsi="Sylfaen" w:cs="Times New Roman"/>
          <w:sz w:val="24"/>
          <w:szCs w:val="24"/>
        </w:rPr>
        <w:t>Improve acces</w:t>
      </w:r>
      <w:r w:rsidR="00F3214C" w:rsidRPr="00F65360">
        <w:rPr>
          <w:rFonts w:ascii="Sylfaen" w:hAnsi="Sylfaen" w:cs="Times New Roman"/>
          <w:sz w:val="24"/>
          <w:szCs w:val="24"/>
        </w:rPr>
        <w:t>s to safe water and sanitation.</w:t>
      </w:r>
    </w:p>
    <w:p w:rsidR="004B7EC9" w:rsidRPr="00F65360" w:rsidRDefault="004B7EC9" w:rsidP="00F65360">
      <w:pPr>
        <w:spacing w:after="0" w:line="276" w:lineRule="auto"/>
        <w:jc w:val="both"/>
        <w:rPr>
          <w:rFonts w:ascii="Sylfaen" w:hAnsi="Sylfaen" w:cs="Times New Roman"/>
          <w:sz w:val="24"/>
          <w:szCs w:val="24"/>
        </w:rPr>
      </w:pPr>
      <w:r w:rsidRPr="00F65360">
        <w:rPr>
          <w:rFonts w:ascii="Sylfaen" w:hAnsi="Sylfaen" w:cs="Times New Roman"/>
          <w:sz w:val="24"/>
          <w:szCs w:val="24"/>
        </w:rPr>
        <w:t>2. Improve access to healthy and safe environment for Children and Youth to ensure their increased physical activity</w:t>
      </w:r>
    </w:p>
    <w:p w:rsidR="004B7EC9" w:rsidRPr="00F65360" w:rsidRDefault="004B7EC9" w:rsidP="00F65360">
      <w:pPr>
        <w:spacing w:after="0" w:line="276" w:lineRule="auto"/>
        <w:jc w:val="both"/>
        <w:rPr>
          <w:rFonts w:ascii="Sylfaen" w:hAnsi="Sylfaen" w:cs="Times New Roman"/>
          <w:sz w:val="24"/>
          <w:szCs w:val="24"/>
        </w:rPr>
      </w:pPr>
      <w:r w:rsidRPr="00F65360">
        <w:rPr>
          <w:rFonts w:ascii="Sylfaen" w:hAnsi="Sylfaen" w:cs="Times New Roman"/>
          <w:sz w:val="24"/>
          <w:szCs w:val="24"/>
        </w:rPr>
        <w:t>3. The impact of ambient and indoor air pollution on human health assessed and implemented measures to reduce the harmful effects</w:t>
      </w:r>
    </w:p>
    <w:p w:rsidR="004B7EC9" w:rsidRPr="00F65360" w:rsidRDefault="004B7EC9" w:rsidP="00F65360">
      <w:pPr>
        <w:spacing w:after="0" w:line="276" w:lineRule="auto"/>
        <w:jc w:val="both"/>
        <w:rPr>
          <w:rFonts w:ascii="Sylfaen" w:hAnsi="Sylfaen" w:cs="Times New Roman"/>
          <w:sz w:val="24"/>
          <w:szCs w:val="24"/>
        </w:rPr>
      </w:pPr>
      <w:r w:rsidRPr="00F65360">
        <w:rPr>
          <w:rFonts w:ascii="Sylfaen" w:hAnsi="Sylfaen" w:cs="Times New Roman"/>
          <w:sz w:val="24"/>
          <w:szCs w:val="24"/>
        </w:rPr>
        <w:t>4. Prevention of morbidity caused by exposure to chemical substances.</w:t>
      </w:r>
    </w:p>
    <w:p w:rsidR="004B7EC9" w:rsidRPr="00F65360" w:rsidRDefault="004B7EC9" w:rsidP="00F65360">
      <w:pPr>
        <w:spacing w:after="0" w:line="276" w:lineRule="auto"/>
        <w:jc w:val="both"/>
        <w:rPr>
          <w:rFonts w:ascii="Sylfaen" w:hAnsi="Sylfaen" w:cs="Times New Roman"/>
          <w:sz w:val="24"/>
          <w:szCs w:val="24"/>
        </w:rPr>
      </w:pPr>
      <w:r w:rsidRPr="00F65360">
        <w:rPr>
          <w:rFonts w:ascii="Sylfaen" w:hAnsi="Sylfaen" w:cs="Times New Roman"/>
          <w:sz w:val="24"/>
          <w:szCs w:val="24"/>
        </w:rPr>
        <w:t>5. Integration of health issues in climate change adaptation and mitigation policy.</w:t>
      </w:r>
    </w:p>
    <w:p w:rsidR="004B7EC9" w:rsidRPr="00F65360" w:rsidRDefault="004B7EC9" w:rsidP="00F65360">
      <w:pPr>
        <w:pStyle w:val="gmail-m8054850879347127123gmail-m-6898458208248727124msolistparagraph"/>
        <w:spacing w:beforeAutospacing="0" w:after="0" w:afterAutospacing="0" w:line="276" w:lineRule="auto"/>
        <w:jc w:val="both"/>
        <w:rPr>
          <w:rFonts w:ascii="Sylfaen" w:hAnsi="Sylfaen"/>
          <w:lang w:val="en-GB"/>
        </w:rPr>
      </w:pPr>
      <w:r w:rsidRPr="00F65360">
        <w:rPr>
          <w:rFonts w:ascii="Sylfaen" w:hAnsi="Sylfaen"/>
          <w:lang w:val="en-GB"/>
        </w:rPr>
        <w:t>Through reinforced capacity to regulate, monitor and analyse water quality as well as better management of water as a resource and of the corresponding infrastructure. Depending on reform progress, this component could extend to the sustainable use of other natural resources such as forestry and the protection of natural areas.</w:t>
      </w:r>
    </w:p>
    <w:p w:rsidR="004B7EC9" w:rsidRPr="00F65360" w:rsidRDefault="004B7EC9" w:rsidP="00F65360">
      <w:pPr>
        <w:spacing w:after="0" w:line="276" w:lineRule="auto"/>
        <w:ind w:right="-1"/>
        <w:jc w:val="both"/>
        <w:rPr>
          <w:rFonts w:ascii="Sylfaen" w:hAnsi="Sylfaen"/>
          <w:sz w:val="24"/>
          <w:szCs w:val="24"/>
          <w:lang w:val="en-GB"/>
        </w:rPr>
      </w:pPr>
      <w:r w:rsidRPr="00F65360">
        <w:rPr>
          <w:rFonts w:ascii="Sylfaen" w:hAnsi="Sylfaen"/>
          <w:sz w:val="24"/>
          <w:szCs w:val="24"/>
          <w:lang w:val="en-GB"/>
        </w:rPr>
        <w:lastRenderedPageBreak/>
        <w:t xml:space="preserve">Currently two legislative documents are in process of elaboration: </w:t>
      </w:r>
    </w:p>
    <w:p w:rsidR="004B7EC9" w:rsidRPr="00F65360" w:rsidRDefault="004B7EC9" w:rsidP="00F65360">
      <w:pPr>
        <w:pStyle w:val="ListParagraph"/>
        <w:numPr>
          <w:ilvl w:val="0"/>
          <w:numId w:val="2"/>
        </w:numPr>
        <w:spacing w:after="0" w:line="276" w:lineRule="auto"/>
        <w:ind w:right="-1"/>
        <w:jc w:val="both"/>
        <w:rPr>
          <w:rFonts w:ascii="Sylfaen" w:hAnsi="Sylfaen"/>
          <w:sz w:val="24"/>
          <w:szCs w:val="24"/>
          <w:lang w:val="en-GB"/>
        </w:rPr>
      </w:pPr>
      <w:r w:rsidRPr="00F65360">
        <w:rPr>
          <w:rFonts w:ascii="Sylfaen" w:hAnsi="Sylfaen"/>
          <w:sz w:val="24"/>
          <w:szCs w:val="24"/>
          <w:lang w:val="en-GB"/>
        </w:rPr>
        <w:t>Technical Regulation- „On the Quality of Water Intended for Human Consumption“</w:t>
      </w:r>
    </w:p>
    <w:p w:rsidR="004B7EC9" w:rsidRPr="00F65360" w:rsidRDefault="004B7EC9" w:rsidP="00F65360">
      <w:pPr>
        <w:pStyle w:val="ListParagraph"/>
        <w:numPr>
          <w:ilvl w:val="0"/>
          <w:numId w:val="2"/>
        </w:numPr>
        <w:spacing w:after="0" w:line="276" w:lineRule="auto"/>
        <w:ind w:right="-1"/>
        <w:jc w:val="both"/>
        <w:rPr>
          <w:rFonts w:ascii="Sylfaen" w:hAnsi="Sylfaen"/>
          <w:sz w:val="24"/>
          <w:szCs w:val="24"/>
          <w:lang w:val="en-GB"/>
        </w:rPr>
      </w:pPr>
      <w:r w:rsidRPr="00F65360">
        <w:rPr>
          <w:rFonts w:ascii="Sylfaen" w:hAnsi="Sylfaen"/>
          <w:sz w:val="24"/>
          <w:szCs w:val="24"/>
          <w:lang w:val="en-GB"/>
        </w:rPr>
        <w:t>Technical Regulation-</w:t>
      </w:r>
      <w:r w:rsidRPr="00F65360">
        <w:rPr>
          <w:rFonts w:ascii="Sylfaen" w:hAnsi="Sylfaen"/>
          <w:b/>
          <w:sz w:val="24"/>
          <w:szCs w:val="24"/>
          <w:lang w:val="en-GB"/>
        </w:rPr>
        <w:t xml:space="preserve"> “</w:t>
      </w:r>
      <w:r w:rsidRPr="00F65360">
        <w:rPr>
          <w:rFonts w:ascii="Sylfaen" w:hAnsi="Sylfaen"/>
          <w:sz w:val="24"/>
          <w:szCs w:val="24"/>
          <w:lang w:val="en-GB"/>
        </w:rPr>
        <w:t>on Bathing Waters”</w:t>
      </w:r>
    </w:p>
    <w:p w:rsidR="001B7ABE" w:rsidRPr="00F65360" w:rsidRDefault="001B7ABE" w:rsidP="00F65360">
      <w:pPr>
        <w:pStyle w:val="ListParagraph"/>
        <w:spacing w:after="0" w:line="276" w:lineRule="auto"/>
        <w:ind w:right="-1"/>
        <w:jc w:val="both"/>
        <w:rPr>
          <w:rFonts w:ascii="Sylfaen" w:hAnsi="Sylfaen"/>
          <w:sz w:val="24"/>
          <w:szCs w:val="24"/>
          <w:lang w:val="en-GB"/>
        </w:rPr>
      </w:pPr>
    </w:p>
    <w:p w:rsidR="001B7ABE" w:rsidRPr="00F65360" w:rsidRDefault="00F65360" w:rsidP="00F65360">
      <w:pPr>
        <w:pStyle w:val="PlainText"/>
        <w:spacing w:line="276" w:lineRule="auto"/>
        <w:jc w:val="both"/>
        <w:rPr>
          <w:rFonts w:ascii="Sylfaen" w:hAnsi="Sylfaen"/>
          <w:sz w:val="24"/>
          <w:szCs w:val="24"/>
          <w:lang w:val="en-GB"/>
        </w:rPr>
      </w:pPr>
      <w:r w:rsidRPr="00F65360">
        <w:rPr>
          <w:rFonts w:ascii="Sylfaen" w:hAnsi="Sylfaen"/>
          <w:sz w:val="24"/>
          <w:szCs w:val="24"/>
        </w:rPr>
        <w:t>National Center for Disease Control &amp;  Public Health  of Georgia</w:t>
      </w:r>
      <w:r w:rsidRPr="00F65360">
        <w:rPr>
          <w:rFonts w:ascii="Sylfaen" w:hAnsi="Sylfaen"/>
          <w:sz w:val="24"/>
          <w:szCs w:val="24"/>
          <w:lang w:val="ka-GE"/>
        </w:rPr>
        <w:t xml:space="preserve"> (</w:t>
      </w:r>
      <w:r w:rsidR="001B7ABE" w:rsidRPr="00F65360">
        <w:rPr>
          <w:rFonts w:ascii="Sylfaen" w:hAnsi="Sylfaen"/>
          <w:sz w:val="24"/>
          <w:szCs w:val="24"/>
          <w:lang w:val="en-GB"/>
        </w:rPr>
        <w:t>NCDC</w:t>
      </w:r>
      <w:r w:rsidRPr="00F65360">
        <w:rPr>
          <w:rFonts w:ascii="Sylfaen" w:hAnsi="Sylfaen"/>
          <w:sz w:val="24"/>
          <w:szCs w:val="24"/>
          <w:lang w:val="ka-GE"/>
        </w:rPr>
        <w:t>)</w:t>
      </w:r>
      <w:r w:rsidR="001B7ABE" w:rsidRPr="00F65360">
        <w:rPr>
          <w:rFonts w:ascii="Sylfaen" w:hAnsi="Sylfaen"/>
          <w:sz w:val="24"/>
          <w:szCs w:val="24"/>
          <w:lang w:val="en-GB"/>
        </w:rPr>
        <w:t>, as a secretariat of the Governmental Coordinating Council of NEHAP, is strengthening institutional and human capacities in environment and health issues with support of the Government and partners and in order to accomplish strategic objectives set for</w:t>
      </w:r>
      <w:r w:rsidR="00C8518C" w:rsidRPr="00F65360">
        <w:rPr>
          <w:rFonts w:ascii="Sylfaen" w:hAnsi="Sylfaen"/>
          <w:sz w:val="24"/>
          <w:szCs w:val="24"/>
          <w:lang w:val="en-GB"/>
        </w:rPr>
        <w:t>th in the Acton Plan, to fulfil</w:t>
      </w:r>
      <w:r w:rsidR="001B7ABE" w:rsidRPr="00F65360">
        <w:rPr>
          <w:rFonts w:ascii="Sylfaen" w:hAnsi="Sylfaen"/>
          <w:sz w:val="24"/>
          <w:szCs w:val="24"/>
          <w:lang w:val="en-GB"/>
        </w:rPr>
        <w:t xml:space="preserve"> the commitments under EU-Georgia Association Agreement; and EU-Georgia Association Agenda, asks for EU action to support Georgia in the implementation of the following 3 Twinning projects in Environmental Health field:</w:t>
      </w:r>
    </w:p>
    <w:p w:rsidR="001B7ABE" w:rsidRPr="00F65360" w:rsidRDefault="001B7ABE" w:rsidP="00F65360">
      <w:pPr>
        <w:pStyle w:val="ListParagraph"/>
        <w:numPr>
          <w:ilvl w:val="0"/>
          <w:numId w:val="6"/>
        </w:numPr>
        <w:spacing w:after="0" w:line="276" w:lineRule="auto"/>
        <w:jc w:val="both"/>
        <w:rPr>
          <w:rFonts w:ascii="Sylfaen" w:hAnsi="Sylfaen"/>
          <w:sz w:val="24"/>
          <w:szCs w:val="24"/>
          <w:lang w:val="en-GB"/>
        </w:rPr>
      </w:pPr>
      <w:r w:rsidRPr="00F65360">
        <w:rPr>
          <w:rFonts w:ascii="Sylfaen" w:hAnsi="Sylfaen"/>
          <w:sz w:val="24"/>
          <w:szCs w:val="24"/>
          <w:lang w:val="en-GB"/>
        </w:rPr>
        <w:t>Twinning project “Climate change: resilience, disaster risk management and renewable energy. Economic, environment &amp; health impact in Georgia” (In line with NEHAP SO’s: 1; 2 and 5);</w:t>
      </w:r>
    </w:p>
    <w:p w:rsidR="001B7ABE" w:rsidRPr="00F65360" w:rsidRDefault="001B7ABE" w:rsidP="00F65360">
      <w:pPr>
        <w:pStyle w:val="ListParagraph"/>
        <w:numPr>
          <w:ilvl w:val="0"/>
          <w:numId w:val="6"/>
        </w:numPr>
        <w:spacing w:after="0" w:line="276" w:lineRule="auto"/>
        <w:jc w:val="both"/>
        <w:rPr>
          <w:rFonts w:ascii="Sylfaen" w:hAnsi="Sylfaen"/>
          <w:sz w:val="24"/>
          <w:szCs w:val="24"/>
          <w:lang w:val="en-GB"/>
        </w:rPr>
      </w:pPr>
      <w:r w:rsidRPr="00F65360">
        <w:rPr>
          <w:rFonts w:ascii="Sylfaen" w:hAnsi="Sylfaen"/>
          <w:sz w:val="24"/>
          <w:szCs w:val="24"/>
          <w:lang w:val="en-GB"/>
        </w:rPr>
        <w:t xml:space="preserve">Twinning Project “Strengthening the capacities for effective implementation of the EU acquis in the field of bathing and drinking water in Georgia” (In line with NEHAP SO’s: 1 and 5); </w:t>
      </w:r>
    </w:p>
    <w:p w:rsidR="001B7ABE" w:rsidRPr="00F65360" w:rsidRDefault="001B7ABE" w:rsidP="00F65360">
      <w:pPr>
        <w:pStyle w:val="ListParagraph"/>
        <w:numPr>
          <w:ilvl w:val="0"/>
          <w:numId w:val="6"/>
        </w:numPr>
        <w:spacing w:after="0" w:line="276" w:lineRule="auto"/>
        <w:jc w:val="both"/>
        <w:rPr>
          <w:rFonts w:ascii="Sylfaen" w:hAnsi="Sylfaen"/>
          <w:sz w:val="24"/>
          <w:szCs w:val="24"/>
          <w:lang w:val="en-GB"/>
        </w:rPr>
      </w:pPr>
      <w:r w:rsidRPr="00F65360">
        <w:rPr>
          <w:rFonts w:ascii="Sylfaen" w:hAnsi="Sylfaen"/>
          <w:sz w:val="24"/>
          <w:szCs w:val="24"/>
          <w:lang w:val="en-GB"/>
        </w:rPr>
        <w:t>Twinning project “Strengthening of capacities of existing stakeholders in compliance with the EU Best Practices for elaboration National Asbestos Profile and development of the National Program for Elimination of Asbestos-Related Disease” (In line with NEHAP SO’s: 2 and 4).</w:t>
      </w:r>
    </w:p>
    <w:p w:rsidR="004B7EC9" w:rsidRPr="00F65360" w:rsidRDefault="004B7EC9" w:rsidP="00F65360">
      <w:pPr>
        <w:spacing w:after="0" w:line="276" w:lineRule="auto"/>
        <w:jc w:val="both"/>
        <w:rPr>
          <w:rFonts w:ascii="Sylfaen" w:hAnsi="Sylfaen"/>
          <w:sz w:val="24"/>
          <w:szCs w:val="24"/>
          <w:lang w:val="en-GB"/>
        </w:rPr>
      </w:pPr>
    </w:p>
    <w:p w:rsidR="00D822C8" w:rsidRPr="00F65360" w:rsidRDefault="00D822C8" w:rsidP="00F65360">
      <w:pPr>
        <w:spacing w:after="0" w:line="276" w:lineRule="auto"/>
        <w:jc w:val="both"/>
        <w:rPr>
          <w:rFonts w:ascii="Sylfaen" w:hAnsi="Sylfaen"/>
          <w:sz w:val="24"/>
          <w:szCs w:val="24"/>
        </w:rPr>
      </w:pPr>
      <w:r w:rsidRPr="00F65360">
        <w:rPr>
          <w:rFonts w:ascii="Sylfaen" w:hAnsi="Sylfaen"/>
          <w:b/>
          <w:sz w:val="24"/>
          <w:szCs w:val="24"/>
        </w:rPr>
        <w:t>Protocol on Water and Health to the Convention on the Protection and Use of Transboundary Watercourses and International Lakes</w:t>
      </w:r>
    </w:p>
    <w:p w:rsidR="00D822C8" w:rsidRPr="00F65360" w:rsidRDefault="00D822C8" w:rsidP="00F65360">
      <w:pPr>
        <w:pStyle w:val="Default"/>
        <w:spacing w:line="276" w:lineRule="auto"/>
        <w:jc w:val="both"/>
        <w:rPr>
          <w:rFonts w:ascii="Sylfaen" w:hAnsi="Sylfaen"/>
        </w:rPr>
      </w:pPr>
    </w:p>
    <w:p w:rsidR="00D822C8" w:rsidRPr="00F65360" w:rsidRDefault="00D822C8" w:rsidP="00F65360">
      <w:pPr>
        <w:pStyle w:val="Default"/>
        <w:spacing w:line="276" w:lineRule="auto"/>
        <w:jc w:val="both"/>
        <w:rPr>
          <w:rFonts w:ascii="Sylfaen" w:hAnsi="Sylfaen"/>
        </w:rPr>
      </w:pPr>
      <w:r w:rsidRPr="00F65360">
        <w:rPr>
          <w:rFonts w:ascii="Sylfaen" w:hAnsi="Sylfaen"/>
        </w:rPr>
        <w:t xml:space="preserve"> At the </w:t>
      </w:r>
      <w:r w:rsidRPr="00F65360">
        <w:rPr>
          <w:rFonts w:ascii="Sylfaen" w:hAnsi="Sylfaen"/>
          <w:lang w:val="en-US"/>
        </w:rPr>
        <w:t xml:space="preserve"> European </w:t>
      </w:r>
      <w:r w:rsidRPr="00F65360">
        <w:rPr>
          <w:rFonts w:ascii="Sylfaen" w:hAnsi="Sylfaen"/>
        </w:rPr>
        <w:t xml:space="preserve">regional level, strengthening WASH in institutional settings, including in HCFs, has been recognized as a priority area under the 2017–2019 programme of work of the Protocol on Water and Health to the Convention on the Protection and Use of Transboundary Watercourses and International Lakes. The Ostrava Declaration adopted at the recent 6th Ministerial Conference on Environment and Health also calls on Member States to ensure and sustain the provision of adequate WASH services in HCFs and safe disposal of wastewater </w:t>
      </w:r>
      <w:r w:rsidR="001B7ABE" w:rsidRPr="00F65360">
        <w:rPr>
          <w:rFonts w:ascii="Sylfaen" w:hAnsi="Sylfaen"/>
          <w:lang w:val="en-US"/>
        </w:rPr>
        <w:t>.</w:t>
      </w:r>
    </w:p>
    <w:p w:rsidR="00D822C8" w:rsidRPr="00F65360" w:rsidRDefault="00D822C8" w:rsidP="00F65360">
      <w:pPr>
        <w:pStyle w:val="Default"/>
        <w:spacing w:line="276" w:lineRule="auto"/>
        <w:jc w:val="both"/>
        <w:rPr>
          <w:rFonts w:ascii="Sylfaen" w:hAnsi="Sylfaen"/>
        </w:rPr>
      </w:pPr>
      <w:r w:rsidRPr="00F65360">
        <w:rPr>
          <w:rFonts w:ascii="Sylfaen" w:hAnsi="Sylfaen"/>
        </w:rPr>
        <w:t xml:space="preserve">The provision of adequate water, sanitation and hygiene (WASH) services in health-care facilities (HCFs) is central for achieving universal and equitable access to WASH for all. </w:t>
      </w:r>
    </w:p>
    <w:p w:rsidR="00D822C8" w:rsidRPr="00F65360" w:rsidRDefault="00D822C8" w:rsidP="00F65360">
      <w:pPr>
        <w:pStyle w:val="ListParagraph"/>
        <w:keepNext/>
        <w:spacing w:after="0" w:line="276" w:lineRule="auto"/>
        <w:ind w:left="0" w:right="-1"/>
        <w:jc w:val="both"/>
        <w:rPr>
          <w:rFonts w:ascii="Sylfaen" w:hAnsi="Sylfaen"/>
          <w:b/>
          <w:sz w:val="24"/>
          <w:szCs w:val="24"/>
          <w:lang w:val="en-GB"/>
        </w:rPr>
      </w:pPr>
      <w:r w:rsidRPr="00F65360">
        <w:rPr>
          <w:rFonts w:ascii="Sylfaen" w:hAnsi="Sylfaen"/>
          <w:sz w:val="24"/>
          <w:szCs w:val="24"/>
        </w:rPr>
        <w:t xml:space="preserve"> Improving and maintaining WASH in HCFs is a building block in attaining the Sustainable Development Goals (SDGs), in particular SDG 6: Ensure availability and sustainable management of water and sanitation for all, and SDG 3: Ensure healthy lives and promote well-being for all at all ages. </w:t>
      </w:r>
      <w:r w:rsidRPr="00F65360">
        <w:rPr>
          <w:rFonts w:ascii="Sylfaen" w:hAnsi="Sylfaen"/>
          <w:b/>
          <w:sz w:val="24"/>
          <w:szCs w:val="24"/>
        </w:rPr>
        <w:t>Sustainable water, sanitation and hygiene (WASH) services in health care facilities (HCF) are</w:t>
      </w:r>
      <w:r w:rsidRPr="00F65360">
        <w:rPr>
          <w:rFonts w:ascii="Sylfaen" w:hAnsi="Sylfaen"/>
          <w:sz w:val="24"/>
          <w:szCs w:val="24"/>
        </w:rPr>
        <w:t xml:space="preserve"> -Georgia is </w:t>
      </w:r>
      <w:r w:rsidRPr="00F65360">
        <w:rPr>
          <w:rFonts w:ascii="Sylfaen" w:hAnsi="Sylfaen"/>
          <w:sz w:val="24"/>
          <w:szCs w:val="24"/>
          <w:lang w:val="en-US"/>
        </w:rPr>
        <w:t>c</w:t>
      </w:r>
      <w:r w:rsidRPr="00F65360">
        <w:rPr>
          <w:rFonts w:ascii="Sylfaen" w:hAnsi="Sylfaen"/>
          <w:sz w:val="24"/>
          <w:szCs w:val="24"/>
        </w:rPr>
        <w:t xml:space="preserve">o-leader with Hungary and Moldova -Georgia is involved in strengthening Water, Sanitation and Hygiene (WASH) in </w:t>
      </w:r>
      <w:r w:rsidRPr="00F65360">
        <w:rPr>
          <w:rFonts w:ascii="Sylfaen" w:hAnsi="Sylfaen"/>
          <w:b/>
          <w:sz w:val="24"/>
          <w:szCs w:val="24"/>
        </w:rPr>
        <w:t xml:space="preserve">health care facilities (HCF) </w:t>
      </w:r>
      <w:r w:rsidRPr="00F65360">
        <w:rPr>
          <w:rFonts w:ascii="Sylfaen" w:hAnsi="Sylfaen"/>
          <w:sz w:val="24"/>
          <w:szCs w:val="24"/>
        </w:rPr>
        <w:t xml:space="preserve"> in European Region.</w:t>
      </w:r>
    </w:p>
    <w:p w:rsidR="00B030EE" w:rsidRPr="00F65360" w:rsidRDefault="004B7EC9" w:rsidP="00F65360">
      <w:pPr>
        <w:spacing w:after="0" w:line="276" w:lineRule="auto"/>
        <w:jc w:val="both"/>
        <w:rPr>
          <w:rFonts w:ascii="Sylfaen" w:hAnsi="Sylfaen"/>
          <w:sz w:val="24"/>
          <w:szCs w:val="24"/>
        </w:rPr>
      </w:pPr>
      <w:r w:rsidRPr="00F65360">
        <w:rPr>
          <w:rFonts w:ascii="Sylfaen" w:hAnsi="Sylfaen"/>
          <w:b/>
          <w:sz w:val="24"/>
          <w:szCs w:val="24"/>
          <w:lang w:val="en-GB"/>
        </w:rPr>
        <w:t>According to Protocol on „Water and Health”,</w:t>
      </w:r>
      <w:r w:rsidRPr="00F65360">
        <w:rPr>
          <w:rFonts w:ascii="Sylfaen" w:hAnsi="Sylfaen"/>
          <w:sz w:val="24"/>
          <w:szCs w:val="24"/>
          <w:lang w:val="en-GB"/>
        </w:rPr>
        <w:t xml:space="preserve"> short reports of 2013</w:t>
      </w:r>
      <w:r w:rsidRPr="00F65360">
        <w:rPr>
          <w:rFonts w:ascii="Sylfaen" w:hAnsi="Sylfaen"/>
          <w:sz w:val="24"/>
          <w:szCs w:val="24"/>
          <w:lang w:val="ka-GE"/>
        </w:rPr>
        <w:t>,</w:t>
      </w:r>
      <w:r w:rsidRPr="00F65360">
        <w:rPr>
          <w:rFonts w:ascii="Sylfaen" w:hAnsi="Sylfaen"/>
          <w:sz w:val="24"/>
          <w:szCs w:val="24"/>
          <w:lang w:val="en-GB"/>
        </w:rPr>
        <w:t xml:space="preserve"> 2016 and </w:t>
      </w:r>
      <w:r w:rsidRPr="00F65360">
        <w:rPr>
          <w:rFonts w:ascii="Sylfaen" w:hAnsi="Sylfaen"/>
          <w:sz w:val="24"/>
          <w:szCs w:val="24"/>
          <w:lang w:val="ka-GE"/>
        </w:rPr>
        <w:t xml:space="preserve">2018 </w:t>
      </w:r>
      <w:r w:rsidRPr="00F65360">
        <w:rPr>
          <w:rFonts w:ascii="Sylfaen" w:hAnsi="Sylfaen"/>
          <w:sz w:val="24"/>
          <w:szCs w:val="24"/>
          <w:lang w:val="en-GB"/>
        </w:rPr>
        <w:t>were submitted to the secretariat on time</w:t>
      </w:r>
      <w:r w:rsidR="00EF7929" w:rsidRPr="00F65360">
        <w:rPr>
          <w:rFonts w:ascii="Sylfaen" w:hAnsi="Sylfaen"/>
          <w:sz w:val="24"/>
          <w:szCs w:val="24"/>
          <w:lang w:val="en-GB"/>
        </w:rPr>
        <w:t xml:space="preserve"> about implementation, target settings and reporting</w:t>
      </w:r>
      <w:r w:rsidRPr="00F65360">
        <w:rPr>
          <w:rFonts w:ascii="Sylfaen" w:hAnsi="Sylfaen"/>
          <w:sz w:val="24"/>
          <w:szCs w:val="24"/>
          <w:lang w:val="en-GB"/>
        </w:rPr>
        <w:t xml:space="preserve">. </w:t>
      </w:r>
      <w:r w:rsidR="00EF7929" w:rsidRPr="00F65360">
        <w:rPr>
          <w:rFonts w:ascii="Sylfaen" w:hAnsi="Sylfaen"/>
          <w:sz w:val="24"/>
          <w:szCs w:val="24"/>
        </w:rPr>
        <w:t xml:space="preserve">Georgia is involved in strengthening Water, Sanitation and Hygiene (WASH) in Schools in European Region.  Georgia is </w:t>
      </w:r>
      <w:r w:rsidR="00D822C8" w:rsidRPr="00F65360">
        <w:rPr>
          <w:rFonts w:ascii="Sylfaen" w:hAnsi="Sylfaen"/>
          <w:sz w:val="24"/>
          <w:szCs w:val="24"/>
        </w:rPr>
        <w:t>co-leader with Hungary and Moldova</w:t>
      </w:r>
      <w:r w:rsidR="00EF7929" w:rsidRPr="00F65360">
        <w:rPr>
          <w:rFonts w:ascii="Sylfaen" w:hAnsi="Sylfaen"/>
          <w:sz w:val="24"/>
          <w:szCs w:val="24"/>
        </w:rPr>
        <w:t xml:space="preserve"> </w:t>
      </w:r>
      <w:r w:rsidR="00D822C8" w:rsidRPr="00F65360">
        <w:rPr>
          <w:rFonts w:ascii="Sylfaen" w:hAnsi="Sylfaen"/>
          <w:sz w:val="24"/>
          <w:szCs w:val="24"/>
        </w:rPr>
        <w:t xml:space="preserve"> </w:t>
      </w:r>
      <w:r w:rsidR="00EF7929" w:rsidRPr="00F65360">
        <w:rPr>
          <w:rFonts w:ascii="Sylfaen" w:hAnsi="Sylfaen"/>
          <w:sz w:val="24"/>
          <w:szCs w:val="24"/>
        </w:rPr>
        <w:t xml:space="preserve">to continue co-leading in WASH activity in </w:t>
      </w:r>
      <w:r w:rsidR="00D822C8" w:rsidRPr="00F65360">
        <w:rPr>
          <w:rFonts w:ascii="Sylfaen" w:hAnsi="Sylfaen"/>
          <w:sz w:val="24"/>
          <w:szCs w:val="24"/>
        </w:rPr>
        <w:t xml:space="preserve">schools. </w:t>
      </w:r>
      <w:r w:rsidR="00EF7929" w:rsidRPr="00F65360">
        <w:rPr>
          <w:rFonts w:ascii="Sylfaen" w:hAnsi="Sylfaen"/>
          <w:sz w:val="24"/>
          <w:szCs w:val="24"/>
        </w:rPr>
        <w:t>NCDC is strongly involved in drafting process of WHO recommendations and strategies.</w:t>
      </w:r>
    </w:p>
    <w:p w:rsidR="00B030EE" w:rsidRPr="00F65360" w:rsidRDefault="00B030EE" w:rsidP="00F65360">
      <w:pPr>
        <w:pStyle w:val="H23G"/>
        <w:spacing w:before="0" w:after="0" w:line="276" w:lineRule="auto"/>
        <w:ind w:left="0" w:right="-1"/>
        <w:jc w:val="both"/>
        <w:rPr>
          <w:rFonts w:ascii="Sylfaen" w:hAnsi="Sylfaen"/>
          <w:sz w:val="24"/>
          <w:szCs w:val="24"/>
        </w:rPr>
      </w:pPr>
      <w:r w:rsidRPr="00F65360">
        <w:rPr>
          <w:rFonts w:ascii="Sylfaen" w:hAnsi="Sylfaen"/>
          <w:sz w:val="24"/>
          <w:szCs w:val="24"/>
        </w:rPr>
        <w:t xml:space="preserve">                     The national guidelines on WASH for preschools was developed and approved by the Minister of Labour, Health and Social Affairs through the Ministerial Decree N01-172/o on July 28, 2016. </w:t>
      </w:r>
    </w:p>
    <w:p w:rsidR="00B030EE" w:rsidRPr="00F65360" w:rsidRDefault="00B030EE" w:rsidP="00F65360">
      <w:pPr>
        <w:pStyle w:val="SingleTxtG"/>
        <w:spacing w:after="0" w:line="276" w:lineRule="auto"/>
        <w:ind w:left="0" w:right="-1"/>
        <w:rPr>
          <w:rFonts w:ascii="Sylfaen" w:hAnsi="Sylfaen"/>
          <w:sz w:val="24"/>
          <w:szCs w:val="24"/>
        </w:rPr>
      </w:pPr>
      <w:r w:rsidRPr="00F65360">
        <w:rPr>
          <w:rFonts w:ascii="Sylfaen" w:hAnsi="Sylfaen"/>
          <w:sz w:val="24"/>
          <w:szCs w:val="24"/>
        </w:rPr>
        <w:t>The WASH technical regulations for preschools was developed and approved by the government of Georgia through the government resolution N 485 of October 27, 2017.</w:t>
      </w:r>
    </w:p>
    <w:p w:rsidR="00EF7929" w:rsidRPr="00F65360" w:rsidRDefault="00B030EE" w:rsidP="00F65360">
      <w:pPr>
        <w:pStyle w:val="ListParagraph"/>
        <w:keepNext/>
        <w:spacing w:after="0" w:line="276" w:lineRule="auto"/>
        <w:ind w:left="0" w:right="-1"/>
        <w:jc w:val="both"/>
        <w:rPr>
          <w:rFonts w:ascii="Sylfaen" w:hAnsi="Sylfaen"/>
          <w:sz w:val="24"/>
          <w:szCs w:val="24"/>
        </w:rPr>
      </w:pPr>
      <w:r w:rsidRPr="00F65360">
        <w:rPr>
          <w:rFonts w:ascii="Sylfaen" w:hAnsi="Sylfaen"/>
          <w:sz w:val="24"/>
          <w:szCs w:val="24"/>
        </w:rPr>
        <w:t xml:space="preserve">   </w:t>
      </w:r>
      <w:r w:rsidR="009C5E1F" w:rsidRPr="00F65360">
        <w:rPr>
          <w:rFonts w:ascii="Sylfaen" w:hAnsi="Sylfaen"/>
          <w:b/>
          <w:sz w:val="24"/>
          <w:szCs w:val="24"/>
          <w:lang w:val="en-US"/>
        </w:rPr>
        <w:t xml:space="preserve">   </w:t>
      </w:r>
      <w:r w:rsidR="00EF7929" w:rsidRPr="00F65360">
        <w:rPr>
          <w:rFonts w:ascii="Sylfaen" w:hAnsi="Sylfaen"/>
          <w:b/>
          <w:sz w:val="24"/>
          <w:szCs w:val="24"/>
        </w:rPr>
        <w:t>Multiple Indicator Cluster Survey (MICS) was</w:t>
      </w:r>
      <w:r w:rsidR="00EF7929" w:rsidRPr="00F65360">
        <w:rPr>
          <w:rFonts w:ascii="Sylfaen" w:hAnsi="Sylfaen"/>
          <w:sz w:val="24"/>
          <w:szCs w:val="24"/>
        </w:rPr>
        <w:t xml:space="preserve"> successfully carried out in Georgia in 2018 (between September-December). The current round of MICS for Georgia has been expanded in content and scope to include questionnaires for  drinking water and water quality testing. The NCDC supported the inclusion of Water Quality testing in Georgia MICS Survey in 2018, with the financial and technical support of WHO.</w:t>
      </w:r>
    </w:p>
    <w:p w:rsidR="00EF7929" w:rsidRPr="00F65360" w:rsidRDefault="00EF7929" w:rsidP="00F65360">
      <w:pPr>
        <w:spacing w:after="0" w:line="276" w:lineRule="auto"/>
        <w:jc w:val="both"/>
        <w:rPr>
          <w:rFonts w:ascii="Sylfaen" w:hAnsi="Sylfaen"/>
          <w:sz w:val="24"/>
          <w:szCs w:val="24"/>
        </w:rPr>
      </w:pPr>
      <w:r w:rsidRPr="00F65360">
        <w:rPr>
          <w:rFonts w:ascii="Sylfaen" w:hAnsi="Sylfaen"/>
          <w:sz w:val="24"/>
          <w:szCs w:val="24"/>
        </w:rPr>
        <w:t>The results of the Multiple Indicator Cluster Survey are available since September 2019 and National Statistics Office of Georgia published report of the survey.   MICS  results clarified , that Georgia has to work hard  on “Institutional water, sanitation and hygiene”. Namely MICS report  reconfirmed, that following activities should be implemented:</w:t>
      </w:r>
    </w:p>
    <w:p w:rsidR="00EF7929" w:rsidRPr="00F65360" w:rsidRDefault="00EF7929" w:rsidP="00F65360">
      <w:pPr>
        <w:spacing w:after="0" w:line="276" w:lineRule="auto"/>
        <w:jc w:val="both"/>
        <w:rPr>
          <w:rFonts w:ascii="Sylfaen" w:hAnsi="Sylfaen"/>
          <w:sz w:val="24"/>
          <w:szCs w:val="24"/>
        </w:rPr>
      </w:pPr>
      <w:r w:rsidRPr="00F65360">
        <w:rPr>
          <w:rFonts w:ascii="Sylfaen" w:hAnsi="Sylfaen"/>
          <w:sz w:val="24"/>
          <w:szCs w:val="24"/>
        </w:rPr>
        <w:t>1. Training and Implementation Water safety plans;</w:t>
      </w:r>
    </w:p>
    <w:p w:rsidR="00EF7929" w:rsidRPr="00F65360" w:rsidRDefault="00EF7929" w:rsidP="00F65360">
      <w:pPr>
        <w:spacing w:after="0" w:line="276" w:lineRule="auto"/>
        <w:jc w:val="both"/>
        <w:rPr>
          <w:rFonts w:ascii="Sylfaen" w:hAnsi="Sylfaen"/>
          <w:sz w:val="24"/>
          <w:szCs w:val="24"/>
        </w:rPr>
      </w:pPr>
      <w:r w:rsidRPr="00F65360">
        <w:rPr>
          <w:rFonts w:ascii="Sylfaen" w:hAnsi="Sylfaen"/>
          <w:sz w:val="24"/>
          <w:szCs w:val="24"/>
        </w:rPr>
        <w:t>2. Assessment of WASH in Health Care facilities;</w:t>
      </w:r>
    </w:p>
    <w:p w:rsidR="00EF7929" w:rsidRPr="00F65360" w:rsidRDefault="00EF7929" w:rsidP="00F65360">
      <w:pPr>
        <w:spacing w:after="0" w:line="276" w:lineRule="auto"/>
        <w:jc w:val="both"/>
        <w:rPr>
          <w:rFonts w:ascii="Sylfaen" w:hAnsi="Sylfaen"/>
          <w:sz w:val="24"/>
          <w:szCs w:val="24"/>
        </w:rPr>
      </w:pPr>
      <w:r w:rsidRPr="00F65360">
        <w:rPr>
          <w:rFonts w:ascii="Sylfaen" w:hAnsi="Sylfaen"/>
          <w:sz w:val="24"/>
          <w:szCs w:val="24"/>
        </w:rPr>
        <w:t>3. Elaboration of WASH Strategy in Georgia;</w:t>
      </w:r>
    </w:p>
    <w:p w:rsidR="00EF7929" w:rsidRPr="00F65360" w:rsidRDefault="00EF7929" w:rsidP="00F65360">
      <w:pPr>
        <w:spacing w:after="0" w:line="276" w:lineRule="auto"/>
        <w:jc w:val="both"/>
        <w:rPr>
          <w:rFonts w:ascii="Sylfaen" w:hAnsi="Sylfaen"/>
          <w:sz w:val="24"/>
          <w:szCs w:val="24"/>
        </w:rPr>
      </w:pPr>
      <w:r w:rsidRPr="00F65360">
        <w:rPr>
          <w:rFonts w:ascii="Sylfaen" w:hAnsi="Sylfaen"/>
          <w:sz w:val="24"/>
          <w:szCs w:val="24"/>
        </w:rPr>
        <w:t>4. Implementation NEHAP objectives.</w:t>
      </w:r>
    </w:p>
    <w:p w:rsidR="00B030EE" w:rsidRPr="00F65360" w:rsidRDefault="00B030EE" w:rsidP="00F65360">
      <w:pPr>
        <w:keepNext/>
        <w:spacing w:after="0" w:line="276" w:lineRule="auto"/>
        <w:ind w:right="-1"/>
        <w:jc w:val="both"/>
        <w:rPr>
          <w:rFonts w:ascii="Sylfaen" w:hAnsi="Sylfaen"/>
          <w:b/>
          <w:sz w:val="24"/>
          <w:szCs w:val="24"/>
          <w:lang w:val="en-US"/>
        </w:rPr>
      </w:pPr>
      <w:r w:rsidRPr="00F65360">
        <w:rPr>
          <w:rFonts w:ascii="Sylfaen" w:hAnsi="Sylfaen"/>
          <w:b/>
          <w:sz w:val="24"/>
          <w:szCs w:val="24"/>
          <w:lang w:val="en-US"/>
        </w:rPr>
        <w:t xml:space="preserve">  </w:t>
      </w:r>
    </w:p>
    <w:p w:rsidR="001B7ABE" w:rsidRPr="004F333B" w:rsidRDefault="004F333B" w:rsidP="00F65360">
      <w:pPr>
        <w:keepNext/>
        <w:spacing w:after="0" w:line="276" w:lineRule="auto"/>
        <w:ind w:right="-1"/>
        <w:jc w:val="both"/>
        <w:rPr>
          <w:rFonts w:ascii="Sylfaen" w:hAnsi="Sylfaen"/>
          <w:b/>
          <w:sz w:val="24"/>
          <w:szCs w:val="24"/>
          <w:lang w:val="en-US"/>
        </w:rPr>
      </w:pPr>
      <w:r>
        <w:rPr>
          <w:rFonts w:ascii="Sylfaen" w:hAnsi="Sylfaen"/>
          <w:sz w:val="24"/>
          <w:szCs w:val="24"/>
        </w:rPr>
        <w:t xml:space="preserve">     </w:t>
      </w:r>
      <w:bookmarkStart w:id="0" w:name="_GoBack"/>
      <w:bookmarkEnd w:id="0"/>
      <w:r w:rsidRPr="004F333B">
        <w:rPr>
          <w:rFonts w:ascii="Sylfaen" w:hAnsi="Sylfaen"/>
          <w:sz w:val="24"/>
          <w:szCs w:val="24"/>
        </w:rPr>
        <w:t>It should be noted that, The Ministry of Internally Displaced Persons from the Occupied Territories, Labor, Health and Social Affairs of Georgia, within the competence, was fully involved  in the preparation  of the the key legislative framework for integrated water resources management nationwide</w:t>
      </w:r>
      <w:r>
        <w:rPr>
          <w:rFonts w:ascii="Sylfaen" w:hAnsi="Sylfaen"/>
          <w:sz w:val="24"/>
          <w:szCs w:val="24"/>
          <w:lang w:val="ka-GE"/>
        </w:rPr>
        <w:t xml:space="preserve"> (</w:t>
      </w:r>
      <w:r>
        <w:rPr>
          <w:rFonts w:ascii="Sylfaen" w:hAnsi="Sylfaen"/>
          <w:sz w:val="24"/>
          <w:szCs w:val="24"/>
          <w:lang w:val="en-US"/>
        </w:rPr>
        <w:t>IWRM -</w:t>
      </w:r>
      <w:r w:rsidRPr="00731E40">
        <w:rPr>
          <w:rFonts w:ascii="Times New Roman" w:eastAsia="Times New Roman" w:hAnsi="Times New Roman" w:cs="Times New Roman"/>
          <w:color w:val="000000"/>
        </w:rPr>
        <w:t>integrated water resources management</w:t>
      </w:r>
      <w:r>
        <w:rPr>
          <w:rFonts w:ascii="Sylfaen" w:hAnsi="Sylfaen"/>
          <w:sz w:val="24"/>
          <w:szCs w:val="24"/>
          <w:lang w:val="ka-GE"/>
        </w:rPr>
        <w:t xml:space="preserve"> </w:t>
      </w:r>
      <w:r>
        <w:rPr>
          <w:rFonts w:ascii="Sylfaen" w:hAnsi="Sylfaen"/>
          <w:sz w:val="24"/>
          <w:szCs w:val="24"/>
          <w:lang w:val="en-US"/>
        </w:rPr>
        <w:t>)</w:t>
      </w:r>
      <w:r w:rsidRPr="004F333B">
        <w:rPr>
          <w:rFonts w:ascii="Sylfaen" w:hAnsi="Sylfaen"/>
          <w:sz w:val="24"/>
          <w:szCs w:val="24"/>
        </w:rPr>
        <w:t>.</w:t>
      </w:r>
    </w:p>
    <w:sectPr w:rsidR="001B7ABE" w:rsidRPr="004F3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857"/>
    <w:multiLevelType w:val="hybridMultilevel"/>
    <w:tmpl w:val="EDAED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764D2"/>
    <w:multiLevelType w:val="hybridMultilevel"/>
    <w:tmpl w:val="D06A0C0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4B1C46F9"/>
    <w:multiLevelType w:val="hybridMultilevel"/>
    <w:tmpl w:val="2F32E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6E02699"/>
    <w:multiLevelType w:val="hybridMultilevel"/>
    <w:tmpl w:val="BC8007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87625F4"/>
    <w:multiLevelType w:val="hybridMultilevel"/>
    <w:tmpl w:val="5D18C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A684D3D"/>
    <w:multiLevelType w:val="hybridMultilevel"/>
    <w:tmpl w:val="ACE08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DE"/>
    <w:rsid w:val="000747D3"/>
    <w:rsid w:val="001B7ABE"/>
    <w:rsid w:val="00250DA4"/>
    <w:rsid w:val="00407424"/>
    <w:rsid w:val="004B7EC9"/>
    <w:rsid w:val="004F333B"/>
    <w:rsid w:val="00550B4A"/>
    <w:rsid w:val="006222CB"/>
    <w:rsid w:val="006670C1"/>
    <w:rsid w:val="0093604C"/>
    <w:rsid w:val="009A1176"/>
    <w:rsid w:val="009C5E1F"/>
    <w:rsid w:val="00B030B4"/>
    <w:rsid w:val="00B030EE"/>
    <w:rsid w:val="00C8518C"/>
    <w:rsid w:val="00D1409F"/>
    <w:rsid w:val="00D822C8"/>
    <w:rsid w:val="00ED0D58"/>
    <w:rsid w:val="00EF7929"/>
    <w:rsid w:val="00F3214C"/>
    <w:rsid w:val="00F65360"/>
    <w:rsid w:val="00FA2ED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BBC39-C30F-45FD-82B8-BBE77E09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04C"/>
    <w:rPr>
      <w:lang w:val="it-IT"/>
    </w:rPr>
  </w:style>
  <w:style w:type="paragraph" w:styleId="Heading3">
    <w:name w:val="heading 3"/>
    <w:basedOn w:val="Normal"/>
    <w:link w:val="Heading3Char"/>
    <w:uiPriority w:val="9"/>
    <w:semiHidden/>
    <w:unhideWhenUsed/>
    <w:qFormat/>
    <w:rsid w:val="009A117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604C"/>
    <w:pPr>
      <w:ind w:left="720"/>
      <w:contextualSpacing/>
    </w:pPr>
  </w:style>
  <w:style w:type="character" w:customStyle="1" w:styleId="ListParagraphChar">
    <w:name w:val="List Paragraph Char"/>
    <w:basedOn w:val="DefaultParagraphFont"/>
    <w:link w:val="ListParagraph"/>
    <w:uiPriority w:val="34"/>
    <w:locked/>
    <w:rsid w:val="0093604C"/>
    <w:rPr>
      <w:lang w:val="it-IT"/>
    </w:rPr>
  </w:style>
  <w:style w:type="paragraph" w:customStyle="1" w:styleId="gmail-m8054850879347127123gmail-m-6898458208248727124msolistparagraph">
    <w:name w:val="gmail-m_8054850879347127123gmail-m-6898458208248727124msolistparagraph"/>
    <w:basedOn w:val="Normal"/>
    <w:rsid w:val="0093604C"/>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9A1176"/>
    <w:rPr>
      <w:rFonts w:ascii="Times New Roman" w:eastAsia="Times New Roman" w:hAnsi="Times New Roman" w:cs="Times New Roman"/>
      <w:b/>
      <w:bCs/>
      <w:sz w:val="27"/>
      <w:szCs w:val="27"/>
      <w:lang w:val="en-US"/>
    </w:rPr>
  </w:style>
  <w:style w:type="character" w:styleId="Hyperlink">
    <w:name w:val="Hyperlink"/>
    <w:basedOn w:val="DefaultParagraphFont"/>
    <w:uiPriority w:val="99"/>
    <w:semiHidden/>
    <w:unhideWhenUsed/>
    <w:rsid w:val="009A1176"/>
    <w:rPr>
      <w:color w:val="0563C1" w:themeColor="hyperlink"/>
      <w:u w:val="single"/>
    </w:rPr>
  </w:style>
  <w:style w:type="paragraph" w:customStyle="1" w:styleId="H1G">
    <w:name w:val="_ H_1_G"/>
    <w:basedOn w:val="Normal"/>
    <w:next w:val="Normal"/>
    <w:uiPriority w:val="99"/>
    <w:rsid w:val="009A1176"/>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n-GB"/>
    </w:rPr>
  </w:style>
  <w:style w:type="character" w:customStyle="1" w:styleId="SingleTxtGChar">
    <w:name w:val="_ Single Txt_G Char"/>
    <w:link w:val="SingleTxtG"/>
    <w:uiPriority w:val="99"/>
    <w:locked/>
    <w:rsid w:val="009A1176"/>
    <w:rPr>
      <w:rFonts w:ascii="Times New Roman" w:eastAsia="Times New Roman" w:hAnsi="Times New Roman" w:cs="Times New Roman"/>
      <w:sz w:val="20"/>
      <w:szCs w:val="20"/>
      <w:lang w:val="en-GB"/>
    </w:rPr>
  </w:style>
  <w:style w:type="paragraph" w:customStyle="1" w:styleId="SingleTxtG">
    <w:name w:val="_ Single Txt_G"/>
    <w:basedOn w:val="Normal"/>
    <w:link w:val="SingleTxtGChar"/>
    <w:uiPriority w:val="99"/>
    <w:rsid w:val="009A1176"/>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customStyle="1" w:styleId="HChG">
    <w:name w:val="_ H _Ch_G"/>
    <w:basedOn w:val="Normal"/>
    <w:next w:val="Normal"/>
    <w:rsid w:val="009A1176"/>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paragraph" w:customStyle="1" w:styleId="H23G">
    <w:name w:val="_ H_2/3_G"/>
    <w:basedOn w:val="Normal"/>
    <w:next w:val="Normal"/>
    <w:uiPriority w:val="99"/>
    <w:rsid w:val="009A1176"/>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n-GB"/>
    </w:rPr>
  </w:style>
  <w:style w:type="table" w:styleId="TableGrid">
    <w:name w:val="Table Grid"/>
    <w:basedOn w:val="TableNormal"/>
    <w:uiPriority w:val="39"/>
    <w:rsid w:val="009A1176"/>
    <w:pPr>
      <w:spacing w:before="200" w:after="0" w:line="240"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22C8"/>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65360"/>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F65360"/>
    <w:rPr>
      <w:rFonts w:ascii="Consolas" w:hAnsi="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2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Gabriadze</dc:creator>
  <cp:keywords/>
  <dc:description/>
  <cp:lastModifiedBy>Nana Gabriadze</cp:lastModifiedBy>
  <cp:revision>4</cp:revision>
  <dcterms:created xsi:type="dcterms:W3CDTF">2020-05-27T11:52:00Z</dcterms:created>
  <dcterms:modified xsi:type="dcterms:W3CDTF">2020-05-27T12:12:00Z</dcterms:modified>
</cp:coreProperties>
</file>