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26" w:rsidRPr="00447672" w:rsidRDefault="00EB2226" w:rsidP="00EB2226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4767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EB2226" w:rsidRPr="00447672" w:rsidRDefault="00EB2226" w:rsidP="00EB2226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r w:rsidRPr="00447672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ბატონ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გიორგი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EB2226" w:rsidRPr="00447672" w:rsidRDefault="00EB2226" w:rsidP="00EB2226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</w:p>
    <w:p w:rsidR="00EB2226" w:rsidRPr="00447672" w:rsidRDefault="00EB2226" w:rsidP="00EB222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EB2226" w:rsidRPr="00447672" w:rsidRDefault="00EB2226" w:rsidP="00EB2226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EB2226" w:rsidRPr="00447672" w:rsidRDefault="00EB2226" w:rsidP="00EB2226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EB2226" w:rsidRPr="00447672" w:rsidRDefault="00EB2226" w:rsidP="00EB2226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447672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447672" w:rsidRDefault="00EB2226" w:rsidP="00447672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47672">
        <w:rPr>
          <w:rFonts w:ascii="Sylfaen" w:eastAsia="Times New Roman" w:hAnsi="Sylfaen" w:cs="Sylfaen"/>
          <w:sz w:val="24"/>
          <w:szCs w:val="24"/>
          <w:lang w:val="ka-GE"/>
        </w:rPr>
        <w:t xml:space="preserve">„საქართველოში ახალი კორონავირუსის </w:t>
      </w:r>
      <w:r w:rsidR="00EB674D" w:rsidRPr="00EB674D">
        <w:rPr>
          <w:rFonts w:ascii="Sylfaen" w:eastAsia="Times New Roman" w:hAnsi="Sylfaen" w:cs="Sylfaen"/>
          <w:sz w:val="24"/>
          <w:szCs w:val="24"/>
          <w:lang w:val="ka-GE"/>
        </w:rPr>
        <w:t>შესაძლო გავრცელების</w:t>
      </w:r>
      <w:r w:rsidR="00EB674D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447672">
        <w:rPr>
          <w:rFonts w:ascii="Sylfaen" w:eastAsia="Times New Roman" w:hAnsi="Sylfaen" w:cs="Sylfaen"/>
          <w:sz w:val="24"/>
          <w:szCs w:val="24"/>
          <w:lang w:val="ka-GE"/>
        </w:rPr>
        <w:t>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შესახებ“ საქართველოს მთავრობის 2020 წლის 28 იანვრის N164 განკარგულების პირველი პუნქტის „ბ“ ქვეპუნქტის საფუძველზე კორონავირუსის დ</w:t>
      </w:r>
      <w:r w:rsidR="00447672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447672">
        <w:rPr>
          <w:rFonts w:ascii="Sylfaen" w:eastAsia="Times New Roman" w:hAnsi="Sylfaen" w:cs="Sylfaen"/>
          <w:sz w:val="24"/>
          <w:szCs w:val="24"/>
          <w:lang w:val="ka-GE"/>
        </w:rPr>
        <w:t xml:space="preserve">ავადების წინააღმდეგ სახელმწიფოს მზადყოფნისა და პრევენციული ღონისძიებების გასატარებლად, </w:t>
      </w:r>
      <w:r w:rsidR="00447672" w:rsidRPr="00447672">
        <w:rPr>
          <w:rFonts w:ascii="Sylfaen" w:eastAsia="Times New Roman" w:hAnsi="Sylfaen" w:cs="Sylfaen"/>
          <w:sz w:val="24"/>
          <w:szCs w:val="24"/>
          <w:lang w:val="ka-GE"/>
        </w:rPr>
        <w:t xml:space="preserve">ჯანმრთელობის მსოფლიო ორგანიზაციის შესაბამისი რეკომენდაციის გათვალისწინებით  </w:t>
      </w:r>
      <w:proofErr w:type="spellStart"/>
      <w:r w:rsidR="00447672" w:rsidRPr="00447672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="00447672" w:rsidRPr="00447672">
        <w:rPr>
          <w:rFonts w:ascii="Sylfaen" w:hAnsi="Sylfaen" w:cs="Arial"/>
          <w:sz w:val="24"/>
          <w:szCs w:val="24"/>
        </w:rPr>
        <w:t>/</w:t>
      </w:r>
      <w:proofErr w:type="spellStart"/>
      <w:r w:rsidR="00447672" w:rsidRPr="00447672">
        <w:rPr>
          <w:rFonts w:ascii="Sylfaen" w:hAnsi="Sylfaen" w:cs="Sylfaen"/>
          <w:sz w:val="24"/>
          <w:szCs w:val="24"/>
        </w:rPr>
        <w:t>საქონლის</w:t>
      </w:r>
      <w:proofErr w:type="spellEnd"/>
      <w:r w:rsidR="00447672" w:rsidRPr="0044767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D1E86">
        <w:rPr>
          <w:rFonts w:ascii="Sylfaen" w:hAnsi="Sylfaen" w:cs="Sylfaen"/>
          <w:sz w:val="24"/>
          <w:szCs w:val="24"/>
          <w:lang w:val="ka-GE"/>
        </w:rPr>
        <w:t>(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პერსონალური დაცვის სათვალე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სამედიცინო სახის დამცავი  საშუალება (ფარი)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პერსონალური დაცვის ტანსაცმელი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პერ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სონალური დაცვის ნიღაბი </w:t>
      </w:r>
      <w:r w:rsidR="005B7193">
        <w:rPr>
          <w:rFonts w:ascii="Sylfaen" w:eastAsia="Times New Roman" w:hAnsi="Sylfaen" w:cs="Sylfaen"/>
          <w:sz w:val="24"/>
          <w:szCs w:val="24"/>
          <w:lang w:val="ka-GE"/>
        </w:rPr>
        <w:t>(N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95/P2/P3)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მარტივი ქირურგიული ნიღაბი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საიზოლა</w:t>
      </w:r>
      <w:r w:rsidR="005B7193">
        <w:rPr>
          <w:rFonts w:ascii="Sylfaen" w:eastAsia="Times New Roman" w:hAnsi="Sylfaen" w:cs="Sylfaen"/>
          <w:sz w:val="24"/>
          <w:szCs w:val="24"/>
          <w:lang w:val="ka-GE"/>
        </w:rPr>
        <w:t>ციო სატრანსპორტო კაფსულა (საკაცე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საიზოლაციო სტაციონარული მრავალადგილიანი კაფსულა (იზოლატორი)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სამედიცინ</w:t>
      </w:r>
      <w:r w:rsidR="005B7193">
        <w:rPr>
          <w:rFonts w:ascii="Sylfaen" w:eastAsia="Times New Roman" w:hAnsi="Sylfaen" w:cs="Sylfaen"/>
          <w:sz w:val="24"/>
          <w:szCs w:val="24"/>
          <w:lang w:val="ka-GE"/>
        </w:rPr>
        <w:t>ო ნარჩენების მართვის მომსახურება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ხელის სადეზინფექციო საშუალებებ</w:t>
      </w:r>
      <w:r w:rsidR="005B7193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B7193" w:rsidRPr="005D1E86">
        <w:rPr>
          <w:rFonts w:ascii="Sylfaen" w:eastAsia="Times New Roman" w:hAnsi="Sylfaen" w:cs="Sylfaen"/>
          <w:sz w:val="24"/>
          <w:szCs w:val="24"/>
          <w:lang w:val="ka-GE"/>
        </w:rPr>
        <w:t>არასტერილური</w:t>
      </w:r>
      <w:r w:rsidR="005B71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ხელთათმანი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D1E86" w:rsidRPr="005D1E86">
        <w:rPr>
          <w:rFonts w:ascii="Sylfaen" w:eastAsia="Times New Roman" w:hAnsi="Sylfaen" w:cs="Sylfaen"/>
          <w:sz w:val="24"/>
          <w:szCs w:val="24"/>
          <w:lang w:val="ka-GE"/>
        </w:rPr>
        <w:t>სკრინიგისა და პრევენციის უზრუნვ</w:t>
      </w:r>
      <w:r w:rsidR="005B7193">
        <w:rPr>
          <w:rFonts w:ascii="Sylfaen" w:eastAsia="Times New Roman" w:hAnsi="Sylfaen" w:cs="Sylfaen"/>
          <w:sz w:val="24"/>
          <w:szCs w:val="24"/>
          <w:lang w:val="ka-GE"/>
        </w:rPr>
        <w:t>ელსაყოფი შესაბამისი მომსახურება</w:t>
      </w:r>
      <w:r w:rsidR="005D1E86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447672">
        <w:rPr>
          <w:rFonts w:ascii="Sylfaen" w:hAnsi="Sylfaen" w:cs="Sylfaen"/>
          <w:sz w:val="24"/>
          <w:szCs w:val="24"/>
          <w:lang w:val="ka-GE"/>
        </w:rPr>
        <w:t xml:space="preserve">შესყიდვის მიზნით გთხოვთ, </w:t>
      </w:r>
      <w:r w:rsidR="00447672" w:rsidRPr="00447672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4767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7672">
        <w:rPr>
          <w:rFonts w:ascii="Sylfaen" w:hAnsi="Sylfaen"/>
          <w:sz w:val="24"/>
          <w:szCs w:val="24"/>
          <w:lang w:val="ka-GE"/>
        </w:rPr>
        <w:t xml:space="preserve"> </w:t>
      </w:r>
      <w:r w:rsidR="00875245">
        <w:rPr>
          <w:rFonts w:ascii="Sylfaen" w:hAnsi="Sylfaen"/>
          <w:sz w:val="24"/>
          <w:szCs w:val="24"/>
          <w:lang w:val="ka-GE"/>
        </w:rPr>
        <w:t xml:space="preserve">ამ ეტაპისთვის </w:t>
      </w:r>
      <w:r w:rsidR="00447672">
        <w:rPr>
          <w:rFonts w:ascii="Sylfaen" w:hAnsi="Sylfaen"/>
          <w:sz w:val="24"/>
          <w:szCs w:val="24"/>
          <w:lang w:val="ka-GE"/>
        </w:rPr>
        <w:t>გამოუყოთ 1 000 000 (ერთი მილიონი) ლარი.</w:t>
      </w:r>
    </w:p>
    <w:p w:rsidR="00EB2226" w:rsidRPr="00447672" w:rsidRDefault="00EB2226" w:rsidP="00EB2226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EB2226" w:rsidRPr="00447672" w:rsidRDefault="00EB2226" w:rsidP="00EB2226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4767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EB2226" w:rsidRPr="00447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26"/>
    <w:rsid w:val="00447672"/>
    <w:rsid w:val="005B7193"/>
    <w:rsid w:val="005D1E86"/>
    <w:rsid w:val="00875245"/>
    <w:rsid w:val="00996583"/>
    <w:rsid w:val="009D7D39"/>
    <w:rsid w:val="00EB2226"/>
    <w:rsid w:val="00EB674D"/>
    <w:rsid w:val="00F2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682C-1C01-41E9-9B87-50215B8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6</cp:revision>
  <cp:lastPrinted>2020-01-29T12:43:00Z</cp:lastPrinted>
  <dcterms:created xsi:type="dcterms:W3CDTF">2020-01-29T12:14:00Z</dcterms:created>
  <dcterms:modified xsi:type="dcterms:W3CDTF">2020-01-29T14:25:00Z</dcterms:modified>
</cp:coreProperties>
</file>