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94" w:rsidRPr="00534194" w:rsidRDefault="00B61D7E" w:rsidP="00B61D7E">
      <w:pPr>
        <w:jc w:val="both"/>
        <w:rPr>
          <w:rFonts w:ascii="Sylfaen" w:hAnsi="Sylfaen"/>
          <w:lang w:val="ka-GE"/>
        </w:rPr>
      </w:pPr>
      <w:r w:rsidRPr="00534194">
        <w:rPr>
          <w:rFonts w:ascii="Sylfaen" w:hAnsi="Sylfaen"/>
          <w:lang w:val="ka-GE"/>
        </w:rPr>
        <w:t>საქართველო აქტიურად მიჰყვება  იმ გლობალურ დღის წესრიგს, რომელიც გაეროს მდგრადი გავნითარების  17 მიზნით არის განსაზღვრული</w:t>
      </w:r>
      <w:r w:rsidR="00534194" w:rsidRPr="00534194">
        <w:rPr>
          <w:rFonts w:ascii="Sylfaen" w:hAnsi="Sylfaen"/>
          <w:lang w:val="ka-GE"/>
        </w:rPr>
        <w:t xml:space="preserve"> და მოსახლეობის კეთილდღეობის უზრუნველყოფის მნიშვნელოვანი ინსტრუმენტია. ს</w:t>
      </w:r>
      <w:r w:rsidRPr="00534194">
        <w:rPr>
          <w:rFonts w:ascii="Sylfaen" w:hAnsi="Sylfaen"/>
          <w:lang w:val="ka-GE"/>
        </w:rPr>
        <w:t xml:space="preserve">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534194" w:rsidRPr="00534194">
        <w:rPr>
          <w:rFonts w:ascii="Sylfaen" w:hAnsi="Sylfaen"/>
          <w:lang w:val="ka-GE"/>
        </w:rPr>
        <w:t>საქმიანობა ორიენტირებულია 2030 წლისთვის შემდეგი მიზნების განხორციელებაზე.</w:t>
      </w:r>
    </w:p>
    <w:p w:rsidR="00534194" w:rsidRDefault="00B61D7E" w:rsidP="00B61D7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მიზანი 1: </w:t>
      </w:r>
      <w:r w:rsidR="00534194">
        <w:rPr>
          <w:rFonts w:ascii="Sylfaen" w:hAnsi="Sylfaen"/>
          <w:b/>
          <w:lang w:val="ka-GE"/>
        </w:rPr>
        <w:t xml:space="preserve"> სიღარიბის ყველა ფორმის აღმოფხვრა</w:t>
      </w:r>
    </w:p>
    <w:p w:rsidR="00F6068E" w:rsidRDefault="007F71DD" w:rsidP="00B61D7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ამოცანა: </w:t>
      </w:r>
      <w:r w:rsidR="00CA473B">
        <w:rPr>
          <w:rFonts w:ascii="Sylfaen" w:hAnsi="Sylfaen"/>
          <w:lang w:val="ka-GE"/>
        </w:rPr>
        <w:t xml:space="preserve"> </w:t>
      </w:r>
      <w:r w:rsidR="001F5754">
        <w:rPr>
          <w:rFonts w:ascii="Sylfaen" w:hAnsi="Sylfaen"/>
          <w:lang w:val="ka-GE"/>
        </w:rPr>
        <w:t xml:space="preserve">სოციალური დაცვის </w:t>
      </w:r>
      <w:r w:rsidR="00CA473B">
        <w:rPr>
          <w:rFonts w:ascii="Sylfaen" w:hAnsi="Sylfaen"/>
          <w:lang w:val="ka-GE"/>
        </w:rPr>
        <w:t xml:space="preserve">ეროვნული </w:t>
      </w:r>
      <w:r w:rsidR="001F5754">
        <w:rPr>
          <w:rFonts w:ascii="Sylfaen" w:hAnsi="Sylfaen"/>
          <w:lang w:val="ka-GE"/>
        </w:rPr>
        <w:t>სისტემები</w:t>
      </w:r>
      <w:r w:rsidR="00CA473B">
        <w:rPr>
          <w:rFonts w:ascii="Sylfaen" w:hAnsi="Sylfaen"/>
          <w:lang w:val="ka-GE"/>
        </w:rPr>
        <w:t>ს</w:t>
      </w:r>
      <w:r w:rsidR="001F5754">
        <w:rPr>
          <w:rFonts w:ascii="Sylfaen" w:hAnsi="Sylfaen"/>
          <w:lang w:val="ka-GE"/>
        </w:rPr>
        <w:t xml:space="preserve"> და ზომები</w:t>
      </w:r>
      <w:r w:rsidR="00CA473B">
        <w:rPr>
          <w:rFonts w:ascii="Sylfaen" w:hAnsi="Sylfaen"/>
          <w:lang w:val="ka-GE"/>
        </w:rPr>
        <w:t xml:space="preserve">ს განხორციელება, რათა  </w:t>
      </w:r>
      <w:r w:rsidR="001F5754">
        <w:rPr>
          <w:rFonts w:ascii="Sylfaen" w:hAnsi="Sylfaen"/>
          <w:lang w:val="ka-GE"/>
        </w:rPr>
        <w:t>2030 წლისთვის მიღწეულ იქნეს ღარიბი და მოწყვლადი ადამიანების არსებითი დაფარვა.</w:t>
      </w:r>
      <w:r w:rsidR="00B92C98">
        <w:rPr>
          <w:rFonts w:ascii="Sylfaen" w:hAnsi="Sylfaen"/>
        </w:rPr>
        <w:t xml:space="preserve"> </w:t>
      </w:r>
      <w:r w:rsidR="00B92C98">
        <w:rPr>
          <w:rFonts w:ascii="Sylfaen" w:hAnsi="Sylfaen"/>
          <w:lang w:val="ka-GE"/>
        </w:rPr>
        <w:t xml:space="preserve"> </w:t>
      </w:r>
    </w:p>
    <w:p w:rsidR="00B92C98" w:rsidRPr="00B92C98" w:rsidRDefault="00B92C98" w:rsidP="00B61D7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საქმიანობა აღნიშნულის  მისაღწევად:</w:t>
      </w:r>
    </w:p>
    <w:p w:rsidR="00B92C98" w:rsidRPr="00C40A4D" w:rsidRDefault="00F6068E" w:rsidP="00C40A4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6068E">
        <w:rPr>
          <w:rFonts w:ascii="Sylfaen" w:hAnsi="Sylfaen"/>
          <w:lang w:val="ka-GE"/>
        </w:rPr>
        <w:t xml:space="preserve">2019 წლის მდგომარეობით „სოციალურად დაუცველი ოჯახების მონაცემთა ერთიან ბაზაში რეგისტრირებულია და ამავდროულად ფულადი სოციალური დახმარების მიმღებია  </w:t>
      </w:r>
      <w:r w:rsidR="00B92C98" w:rsidRPr="00C40A4D">
        <w:rPr>
          <w:rFonts w:ascii="Sylfaen" w:hAnsi="Sylfaen"/>
          <w:lang w:val="ka-GE"/>
        </w:rPr>
        <w:t>428 608</w:t>
      </w:r>
      <w:r w:rsidRPr="00C40A4D">
        <w:rPr>
          <w:rFonts w:ascii="Sylfaen" w:hAnsi="Sylfaen"/>
          <w:lang w:val="ka-GE"/>
        </w:rPr>
        <w:t xml:space="preserve"> პირი;</w:t>
      </w:r>
      <w:r w:rsidR="00B92C98" w:rsidRPr="00C40A4D">
        <w:rPr>
          <w:rFonts w:ascii="Sylfaen" w:hAnsi="Sylfaen"/>
        </w:rPr>
        <w:t xml:space="preserve"> </w:t>
      </w:r>
    </w:p>
    <w:p w:rsidR="00B92C98" w:rsidRPr="00B92C98" w:rsidRDefault="00F6068E" w:rsidP="00B92C9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B92C98">
        <w:rPr>
          <w:rFonts w:ascii="Sylfaen" w:hAnsi="Sylfaen" w:cs="Sylfaen"/>
          <w:lang w:val="ka-GE"/>
        </w:rPr>
        <w:t>სოციალური</w:t>
      </w:r>
      <w:r w:rsidRPr="00B92C98">
        <w:rPr>
          <w:rFonts w:ascii="Sylfaen" w:hAnsi="Sylfaen"/>
          <w:lang w:val="ka-GE"/>
        </w:rPr>
        <w:t xml:space="preserve"> პაკეტის მიმღებია</w:t>
      </w:r>
      <w:r w:rsidR="00B92C98">
        <w:rPr>
          <w:rFonts w:ascii="Sylfaen" w:hAnsi="Sylfaen"/>
          <w:lang w:val="ka-GE"/>
        </w:rPr>
        <w:t xml:space="preserve"> 34 072</w:t>
      </w:r>
      <w:r w:rsidRPr="00B92C98">
        <w:rPr>
          <w:rFonts w:ascii="Sylfaen" w:hAnsi="Sylfaen"/>
          <w:lang w:val="ka-GE"/>
        </w:rPr>
        <w:t xml:space="preserve"> პირი</w:t>
      </w:r>
      <w:r w:rsidR="00B92C98" w:rsidRPr="00B92C98">
        <w:rPr>
          <w:rFonts w:ascii="Sylfaen" w:hAnsi="Sylfaen"/>
        </w:rPr>
        <w:t xml:space="preserve">;  </w:t>
      </w:r>
    </w:p>
    <w:p w:rsidR="00F6068E" w:rsidRDefault="00F6068E" w:rsidP="00B92C9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B92C98">
        <w:rPr>
          <w:rFonts w:ascii="Sylfaen" w:hAnsi="Sylfaen" w:cs="Sylfaen"/>
          <w:lang w:val="ka-GE"/>
        </w:rPr>
        <w:t>სახელმწიფო</w:t>
      </w:r>
      <w:r w:rsidRPr="00B92C98">
        <w:rPr>
          <w:rFonts w:ascii="Sylfaen" w:hAnsi="Sylfaen"/>
          <w:lang w:val="ka-GE"/>
        </w:rPr>
        <w:t xml:space="preserve"> პენსიის მიმღებია</w:t>
      </w:r>
      <w:r w:rsidR="00B92C98">
        <w:rPr>
          <w:rFonts w:ascii="Sylfaen" w:hAnsi="Sylfaen"/>
          <w:lang w:val="ka-GE"/>
        </w:rPr>
        <w:t xml:space="preserve"> 147 733</w:t>
      </w:r>
      <w:r w:rsidRPr="00B92C98">
        <w:rPr>
          <w:rFonts w:ascii="Sylfaen" w:hAnsi="Sylfaen"/>
          <w:lang w:val="ka-GE"/>
        </w:rPr>
        <w:t xml:space="preserve"> პირი.</w:t>
      </w:r>
    </w:p>
    <w:p w:rsidR="00B92C98" w:rsidRPr="00B92C98" w:rsidRDefault="00B92C98" w:rsidP="00B92C98">
      <w:pPr>
        <w:pStyle w:val="ListParagraph"/>
        <w:jc w:val="both"/>
        <w:rPr>
          <w:rFonts w:ascii="Sylfaen" w:hAnsi="Sylfaen"/>
          <w:lang w:val="ka-GE"/>
        </w:rPr>
      </w:pPr>
    </w:p>
    <w:p w:rsidR="00F6068E" w:rsidRDefault="00B92C98" w:rsidP="00B92C9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92C98">
        <w:rPr>
          <w:rFonts w:ascii="Sylfaen" w:hAnsi="Sylfaen"/>
          <w:lang w:val="ka-GE"/>
        </w:rPr>
        <w:t>2019 წლის იანვრიდან ასაკით პენსია გაიზარდა 200 ლარამდე.</w:t>
      </w:r>
      <w:r w:rsidR="007F71DD">
        <w:rPr>
          <w:rFonts w:ascii="Sylfaen" w:hAnsi="Sylfaen"/>
          <w:lang w:val="ka-GE"/>
        </w:rPr>
        <w:t xml:space="preserve"> 2020 წლიდან ყველა პენსიონერის პენსია გაიზრდება 20 ლარით, 70 </w:t>
      </w:r>
      <w:r w:rsidR="00CA473B">
        <w:rPr>
          <w:rFonts w:ascii="Sylfaen" w:hAnsi="Sylfaen"/>
          <w:lang w:val="ka-GE"/>
        </w:rPr>
        <w:t>წელზე უფროსი ასაკის პირებისთვის დამატებით 30 ლარით.</w:t>
      </w:r>
    </w:p>
    <w:p w:rsidR="00D80D6C" w:rsidRDefault="00B92C98" w:rsidP="00B92C9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მკვეთრად გამოხატული შეზღუდული შესაძლებლობის მქონე პირებისთვის და შშმ  ბავშვებისთვის  სოციალური პაკეტის ოდენობა </w:t>
      </w:r>
      <w:r w:rsidRPr="00B92C98">
        <w:rPr>
          <w:rFonts w:ascii="Sylfaen" w:hAnsi="Sylfaen"/>
          <w:lang w:val="ka-GE"/>
        </w:rPr>
        <w:t>გაიზარდა 200 ლარამდე.</w:t>
      </w:r>
      <w:r>
        <w:rPr>
          <w:rFonts w:ascii="Sylfaen" w:hAnsi="Sylfaen"/>
          <w:lang w:val="ka-GE"/>
        </w:rPr>
        <w:t xml:space="preserve"> </w:t>
      </w:r>
      <w:r w:rsidR="00CA473B">
        <w:rPr>
          <w:rFonts w:ascii="Sylfaen" w:hAnsi="Sylfaen"/>
          <w:lang w:val="ka-GE"/>
        </w:rPr>
        <w:t>2020 წლიდან ამ ჯგუფისთვის სოციალური პაკეტის ოდენობა გაიზრდება დამატებით 50 ლარით.</w:t>
      </w:r>
    </w:p>
    <w:p w:rsidR="00B92C98" w:rsidRPr="00B92C98" w:rsidRDefault="00B92C98" w:rsidP="00B92C9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92C98">
        <w:rPr>
          <w:rFonts w:ascii="Sylfaen" w:hAnsi="Sylfaen"/>
          <w:lang w:val="ka-GE"/>
        </w:rPr>
        <w:t>მნიშვნელოვნად გამოხატული შშმ პირთა სოციალური პაკეტის ოდენობა</w:t>
      </w:r>
      <w:r w:rsidR="00D80D6C">
        <w:rPr>
          <w:rFonts w:ascii="Sylfaen" w:hAnsi="Sylfaen"/>
          <w:lang w:val="ka-GE"/>
        </w:rPr>
        <w:t xml:space="preserve"> გაიზარდა 120 ლარამდე.</w:t>
      </w:r>
      <w:r w:rsidR="00CA473B">
        <w:rPr>
          <w:rFonts w:ascii="Sylfaen" w:hAnsi="Sylfaen"/>
          <w:lang w:val="ka-GE"/>
        </w:rPr>
        <w:t xml:space="preserve"> 2020 წლიდან ამ ჯგუფისთვის სოციალური პაკეტის ოდენობა გაიზრდება დამატებით 20 ლარით.</w:t>
      </w:r>
    </w:p>
    <w:p w:rsidR="00002569" w:rsidRDefault="00002569" w:rsidP="0000256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გაიზარდა მაღალმთიან</w:t>
      </w:r>
      <w:r w:rsidR="00B61D7E" w:rsidRPr="00D80D6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რეგიონებში მცხოვრები </w:t>
      </w:r>
      <w:r w:rsidR="00B61D7E" w:rsidRPr="00D80D6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პენსიონერებისა </w:t>
      </w:r>
      <w:r w:rsidR="00B61D7E" w:rsidRPr="00D80D6C">
        <w:rPr>
          <w:rFonts w:ascii="Sylfaen" w:hAnsi="Sylfaen"/>
          <w:lang w:val="ka-GE"/>
        </w:rPr>
        <w:t>და სოციალური პაკეტის მიმღებთათვის გათვალისწინებული შეღავათები</w:t>
      </w:r>
      <w:r w:rsidR="00D80D6C">
        <w:rPr>
          <w:rFonts w:ascii="Sylfaen" w:hAnsi="Sylfaen"/>
          <w:lang w:val="ka-GE"/>
        </w:rPr>
        <w:t>.</w:t>
      </w:r>
    </w:p>
    <w:p w:rsidR="00002569" w:rsidRDefault="00002569" w:rsidP="00002569">
      <w:pPr>
        <w:pStyle w:val="ListParagraph"/>
        <w:jc w:val="both"/>
        <w:rPr>
          <w:rFonts w:ascii="Sylfaen" w:hAnsi="Sylfaen"/>
          <w:lang w:val="ka-GE"/>
        </w:rPr>
      </w:pPr>
    </w:p>
    <w:p w:rsidR="00002569" w:rsidRPr="00002569" w:rsidRDefault="00B61D7E" w:rsidP="00002569">
      <w:pPr>
        <w:pStyle w:val="ListParagraph"/>
        <w:numPr>
          <w:ilvl w:val="0"/>
          <w:numId w:val="5"/>
        </w:numPr>
        <w:ind w:left="709"/>
        <w:jc w:val="both"/>
        <w:rPr>
          <w:rFonts w:ascii="Sylfaen" w:hAnsi="Sylfaen"/>
          <w:lang w:val="ka-GE"/>
        </w:rPr>
      </w:pPr>
      <w:r w:rsidRPr="00002569">
        <w:rPr>
          <w:rFonts w:ascii="Sylfaen" w:hAnsi="Sylfaen" w:cs="Sylfaen"/>
          <w:lang w:val="ka-GE"/>
        </w:rPr>
        <w:t>სოციალური</w:t>
      </w:r>
      <w:r w:rsidRPr="00002569">
        <w:rPr>
          <w:rFonts w:ascii="Sylfaen" w:hAnsi="Sylfaen"/>
          <w:lang w:val="ka-GE"/>
        </w:rPr>
        <w:t xml:space="preserve"> დაცვის სისტემებით მოსახლეობის არსებითი დაფარვის მიზნით 2015 წლიდან მსოფლიო ბანკისა და გაეროს ბავშვთა ფონდის მხარდაჭერით </w:t>
      </w:r>
      <w:r w:rsidR="00002569" w:rsidRPr="00002569">
        <w:rPr>
          <w:rFonts w:ascii="Sylfaen" w:hAnsi="Sylfaen"/>
          <w:lang w:val="ka-GE"/>
        </w:rPr>
        <w:t xml:space="preserve">გაუმჯობესდა </w:t>
      </w:r>
      <w:r w:rsidRPr="00002569">
        <w:rPr>
          <w:rFonts w:ascii="Sylfaen" w:hAnsi="Sylfaen"/>
          <w:lang w:val="ka-GE"/>
        </w:rPr>
        <w:t xml:space="preserve">მიზნობრივი სოციალური დახმარების </w:t>
      </w:r>
      <w:r w:rsidR="007F71DD">
        <w:rPr>
          <w:rFonts w:ascii="Sylfaen" w:hAnsi="Sylfaen"/>
          <w:lang w:val="ka-GE"/>
        </w:rPr>
        <w:t>სისტემა,</w:t>
      </w:r>
      <w:r w:rsidRPr="00002569">
        <w:rPr>
          <w:rFonts w:ascii="Sylfaen" w:hAnsi="Sylfaen"/>
          <w:lang w:val="ka-GE"/>
        </w:rPr>
        <w:t xml:space="preserve"> რომელიც უფრო მეტად </w:t>
      </w:r>
      <w:r w:rsidR="00002569" w:rsidRPr="00002569">
        <w:rPr>
          <w:rFonts w:ascii="Sylfaen" w:hAnsi="Sylfaen"/>
          <w:lang w:val="ka-GE"/>
        </w:rPr>
        <w:t>ორიენტირებული</w:t>
      </w:r>
      <w:r w:rsidR="007F71DD">
        <w:rPr>
          <w:rFonts w:ascii="Sylfaen" w:hAnsi="Sylfaen"/>
          <w:lang w:val="ka-GE"/>
        </w:rPr>
        <w:t>ა</w:t>
      </w:r>
      <w:r w:rsidR="00002569" w:rsidRPr="00002569">
        <w:rPr>
          <w:rFonts w:ascii="Sylfaen" w:hAnsi="Sylfaen"/>
          <w:lang w:val="ka-GE"/>
        </w:rPr>
        <w:t xml:space="preserve"> </w:t>
      </w:r>
      <w:r w:rsidRPr="00002569">
        <w:rPr>
          <w:rFonts w:ascii="Sylfaen" w:hAnsi="Sylfaen"/>
          <w:lang w:val="ka-GE"/>
        </w:rPr>
        <w:t xml:space="preserve"> ბავშვებისა და ბავშვიანი ოჯახების საჭიროებებზე. </w:t>
      </w:r>
    </w:p>
    <w:p w:rsidR="00B61D7E" w:rsidRPr="00002569" w:rsidRDefault="00B61D7E" w:rsidP="00002569">
      <w:pPr>
        <w:pStyle w:val="ListParagraph"/>
        <w:numPr>
          <w:ilvl w:val="0"/>
          <w:numId w:val="1"/>
        </w:numPr>
        <w:ind w:left="709"/>
        <w:jc w:val="both"/>
        <w:rPr>
          <w:rFonts w:ascii="Sylfaen" w:hAnsi="Sylfaen"/>
          <w:lang w:val="ka-GE"/>
        </w:rPr>
      </w:pPr>
      <w:r w:rsidRPr="00002569">
        <w:rPr>
          <w:rFonts w:ascii="Sylfaen" w:hAnsi="Sylfaen"/>
          <w:lang w:val="ka-GE"/>
        </w:rPr>
        <w:t xml:space="preserve">2019 წლის იანვრიდან </w:t>
      </w:r>
      <w:r w:rsidRPr="00002569">
        <w:rPr>
          <w:rFonts w:ascii="Sylfaen" w:hAnsi="Sylfaen" w:cs="Sylfaen"/>
          <w:shd w:val="clear" w:color="auto" w:fill="FFFFFF"/>
          <w:lang w:val="ka-GE"/>
        </w:rPr>
        <w:t>გახუთმაგდა ბავშვის ბენეფიტის ოდენობა სოციალურად დაუცველ ოჯახებში მცხოვრები ბავშვებისთვის და შეადგინა 50 ლარი.</w:t>
      </w:r>
      <w:r w:rsidR="007F71DD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00256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7F71DD">
        <w:rPr>
          <w:rFonts w:ascii="Sylfaen" w:hAnsi="Sylfaen" w:cs="Sylfaen"/>
          <w:shd w:val="clear" w:color="auto" w:fill="FFFFFF"/>
          <w:lang w:val="ka-GE"/>
        </w:rPr>
        <w:t xml:space="preserve">აღნიშნულ </w:t>
      </w:r>
      <w:r w:rsidRPr="00002569">
        <w:rPr>
          <w:rFonts w:ascii="Sylfaen" w:hAnsi="Sylfaen" w:cs="Sylfaen"/>
          <w:shd w:val="clear" w:color="auto" w:fill="FFFFFF"/>
          <w:lang w:val="ka-GE"/>
        </w:rPr>
        <w:t xml:space="preserve">ოჯახებში მცხოვრები ყველა ბავშვი ყოველთვიურ დახმარებასთან ერთად იღებს დამატებით 50 ლარს.  </w:t>
      </w:r>
    </w:p>
    <w:p w:rsidR="00C9311C" w:rsidRDefault="00B61D7E" w:rsidP="00B61D7E">
      <w:pPr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lastRenderedPageBreak/>
        <w:t xml:space="preserve">გაეროს ბავშვთა ფონდის მიერ ჩატარებული მოსახლეობის </w:t>
      </w:r>
      <w:r w:rsidR="007F71DD">
        <w:rPr>
          <w:rFonts w:ascii="Sylfaen" w:hAnsi="Sylfaen"/>
          <w:lang w:val="ka-GE"/>
        </w:rPr>
        <w:t>კეთი</w:t>
      </w:r>
      <w:r>
        <w:rPr>
          <w:rFonts w:ascii="Sylfaen" w:hAnsi="Sylfaen"/>
          <w:lang w:val="ka-GE"/>
        </w:rPr>
        <w:t>ლდღეობის 201</w:t>
      </w:r>
      <w:r>
        <w:rPr>
          <w:rFonts w:ascii="Sylfaen" w:hAnsi="Sylfaen"/>
        </w:rPr>
        <w:t>7</w:t>
      </w:r>
      <w:r>
        <w:rPr>
          <w:rFonts w:ascii="Sylfaen" w:hAnsi="Sylfaen"/>
          <w:lang w:val="ka-GE"/>
        </w:rPr>
        <w:t xml:space="preserve"> წლის </w:t>
      </w:r>
      <w:r w:rsidR="00C9311C">
        <w:rPr>
          <w:rFonts w:ascii="Sylfaen" w:hAnsi="Sylfaen"/>
          <w:lang w:val="ka-GE"/>
        </w:rPr>
        <w:t>კვლევა: „</w:t>
      </w:r>
      <w:proofErr w:type="spellStart"/>
      <w:r w:rsidR="00C9311C">
        <w:rPr>
          <w:rFonts w:ascii="Sylfaen" w:hAnsi="Sylfaen" w:cs="Sylfaen"/>
        </w:rPr>
        <w:t>უკიდურესად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ღარიბად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მიჩნეულ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შინამეურნეობებში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ბავშვების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საერთო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რაოდენობის</w:t>
      </w:r>
      <w:proofErr w:type="spellEnd"/>
      <w:r w:rsidR="00C9311C">
        <w:t xml:space="preserve"> 6.3%-</w:t>
      </w:r>
      <w:proofErr w:type="spellStart"/>
      <w:r w:rsidR="00C9311C">
        <w:rPr>
          <w:rFonts w:ascii="Sylfaen" w:hAnsi="Sylfaen" w:cs="Sylfaen"/>
        </w:rPr>
        <w:t>მა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დაძლია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უკიდურესი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სიღარიბე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მიზნობრივი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სოციალური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დახმარებისა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და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ბავშვებისთვის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განკუთვნილი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დახმარების</w:t>
      </w:r>
      <w:proofErr w:type="spellEnd"/>
      <w:r w:rsidR="00C9311C">
        <w:t xml:space="preserve"> </w:t>
      </w:r>
      <w:proofErr w:type="spellStart"/>
      <w:r w:rsidR="00C9311C">
        <w:rPr>
          <w:rFonts w:ascii="Sylfaen" w:hAnsi="Sylfaen" w:cs="Sylfaen"/>
        </w:rPr>
        <w:t>მიღებით</w:t>
      </w:r>
      <w:proofErr w:type="spellEnd"/>
      <w:r w:rsidR="007F71DD">
        <w:rPr>
          <w:rFonts w:ascii="Sylfaen" w:hAnsi="Sylfaen" w:cs="Sylfaen"/>
          <w:lang w:val="ka-GE"/>
        </w:rPr>
        <w:t>“.</w:t>
      </w:r>
    </w:p>
    <w:p w:rsidR="0001090B" w:rsidRDefault="0001090B" w:rsidP="00B61D7E">
      <w:pPr>
        <w:jc w:val="both"/>
        <w:rPr>
          <w:rFonts w:ascii="Sylfaen" w:hAnsi="Sylfaen" w:cs="Sylfaen"/>
          <w:lang w:val="ka-GE"/>
        </w:rPr>
      </w:pPr>
    </w:p>
    <w:p w:rsidR="00B11F6A" w:rsidRDefault="00B11F6A" w:rsidP="00B61D7E">
      <w:pPr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მიზანი 3. </w:t>
      </w:r>
      <w:r w:rsidRPr="00B11F6A">
        <w:rPr>
          <w:rFonts w:ascii="Sylfaen" w:hAnsi="Sylfaen" w:cs="Sylfaen"/>
          <w:b/>
          <w:bCs/>
          <w:lang w:val="ka-GE"/>
        </w:rPr>
        <w:t>ჯანსაღი ცხოვრებისა და კეთილდღეობის უზრუნველყოფა ყველა ასაკის ადამიანისათვის</w:t>
      </w:r>
    </w:p>
    <w:p w:rsidR="00B11F6A" w:rsidRPr="00B11F6A" w:rsidRDefault="00B11F6A" w:rsidP="00B11F6A">
      <w:pPr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ამოცანა 3.1-3.2: </w:t>
      </w:r>
      <w:r w:rsidRPr="00B11F6A">
        <w:rPr>
          <w:rFonts w:ascii="Sylfaen" w:hAnsi="Sylfaen" w:cs="Sylfaen"/>
          <w:b/>
          <w:bCs/>
          <w:lang w:val="ka-GE"/>
        </w:rPr>
        <w:t>2030 წლისათვის საქართველოში დედათა, 5 წლამდე და ნეონატალური ასაკის ბავშვთა სიკვდილიანობის მაჩვენებლის შემცირება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89"/>
        <w:gridCol w:w="1019"/>
        <w:gridCol w:w="1281"/>
        <w:gridCol w:w="859"/>
      </w:tblGrid>
      <w:tr w:rsidR="003D1CDD" w:rsidRPr="003D1CDD" w:rsidTr="0014303D">
        <w:trPr>
          <w:trHeight w:val="217"/>
        </w:trPr>
        <w:tc>
          <w:tcPr>
            <w:tcW w:w="336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2015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2018</w:t>
            </w:r>
          </w:p>
        </w:tc>
        <w:tc>
          <w:tcPr>
            <w:tcW w:w="44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2030</w:t>
            </w:r>
          </w:p>
        </w:tc>
      </w:tr>
      <w:tr w:rsidR="003D1CDD" w:rsidRPr="003D1CDD" w:rsidTr="003D1CDD">
        <w:trPr>
          <w:trHeight w:val="287"/>
        </w:trPr>
        <w:tc>
          <w:tcPr>
            <w:tcW w:w="336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3.1.1: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დედათა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სიკვდილიანობის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მაჩვენებელი</w:t>
            </w:r>
          </w:p>
        </w:tc>
        <w:tc>
          <w:tcPr>
            <w:tcW w:w="52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32</w:t>
            </w:r>
          </w:p>
        </w:tc>
        <w:tc>
          <w:tcPr>
            <w:tcW w:w="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27.4</w:t>
            </w:r>
          </w:p>
        </w:tc>
        <w:tc>
          <w:tcPr>
            <w:tcW w:w="44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12</w:t>
            </w:r>
          </w:p>
        </w:tc>
      </w:tr>
      <w:tr w:rsidR="003D1CDD" w:rsidRPr="003D1CDD" w:rsidTr="003D1CDD">
        <w:trPr>
          <w:trHeight w:val="532"/>
        </w:trPr>
        <w:tc>
          <w:tcPr>
            <w:tcW w:w="33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3.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2.1: 5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წლამდე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ბავშვთა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სიკვდილიანობის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მაჩვენებელი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: 1000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ცოცხალშობილზე</w:t>
            </w:r>
          </w:p>
        </w:tc>
        <w:tc>
          <w:tcPr>
            <w:tcW w:w="52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10.2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9.8</w:t>
            </w:r>
          </w:p>
        </w:tc>
        <w:tc>
          <w:tcPr>
            <w:tcW w:w="4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</w:tr>
      <w:tr w:rsidR="003D1CDD" w:rsidRPr="003D1CDD" w:rsidTr="003D1CDD">
        <w:trPr>
          <w:trHeight w:val="584"/>
        </w:trPr>
        <w:tc>
          <w:tcPr>
            <w:tcW w:w="33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3.2.2: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ნეონატალური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სიკვდილიანობის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მაჩვენებელი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: 6.3, 1000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ცოცხალშობილზე</w:t>
            </w:r>
          </w:p>
        </w:tc>
        <w:tc>
          <w:tcPr>
            <w:tcW w:w="52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6.1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4.9</w:t>
            </w:r>
          </w:p>
        </w:tc>
        <w:tc>
          <w:tcPr>
            <w:tcW w:w="4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5</w:t>
            </w:r>
          </w:p>
        </w:tc>
      </w:tr>
    </w:tbl>
    <w:p w:rsidR="00B11F6A" w:rsidRDefault="00B11F6A" w:rsidP="00B61D7E">
      <w:pPr>
        <w:jc w:val="both"/>
        <w:rPr>
          <w:rFonts w:ascii="Sylfaen" w:hAnsi="Sylfaen" w:cs="Sylfaen"/>
          <w:b/>
          <w:bCs/>
          <w:lang w:val="ka-GE"/>
        </w:rPr>
      </w:pPr>
    </w:p>
    <w:p w:rsidR="00000000" w:rsidRPr="00B11F6A" w:rsidRDefault="00F6550A" w:rsidP="00B11F6A">
      <w:pPr>
        <w:numPr>
          <w:ilvl w:val="0"/>
          <w:numId w:val="6"/>
        </w:numPr>
        <w:jc w:val="both"/>
        <w:rPr>
          <w:rFonts w:ascii="Sylfaen" w:hAnsi="Sylfaen"/>
        </w:rPr>
      </w:pPr>
      <w:r w:rsidRPr="00B11F6A">
        <w:rPr>
          <w:rFonts w:ascii="Sylfaen" w:hAnsi="Sylfaen"/>
          <w:lang w:val="ka-GE"/>
        </w:rPr>
        <w:t xml:space="preserve">2015 </w:t>
      </w:r>
      <w:r w:rsidRPr="00B11F6A">
        <w:rPr>
          <w:rFonts w:ascii="Sylfaen" w:hAnsi="Sylfaen"/>
          <w:lang w:val="ka-GE"/>
        </w:rPr>
        <w:t>წელს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დაიწყო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</w:t>
      </w:r>
      <w:r w:rsidRPr="00B11F6A">
        <w:rPr>
          <w:rFonts w:ascii="Sylfaen" w:hAnsi="Sylfaen"/>
          <w:lang w:val="ka-GE"/>
        </w:rPr>
        <w:t xml:space="preserve"> 2017 </w:t>
      </w:r>
      <w:r w:rsidRPr="00B11F6A">
        <w:rPr>
          <w:rFonts w:ascii="Sylfaen" w:hAnsi="Sylfaen"/>
          <w:lang w:val="ka-GE"/>
        </w:rPr>
        <w:t>წელს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დასრულდა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პერინატალური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რეგიონალიზაცია</w:t>
      </w:r>
      <w:r w:rsidRPr="00B11F6A">
        <w:rPr>
          <w:rFonts w:ascii="Sylfaen" w:hAnsi="Sylfaen"/>
          <w:lang w:val="ka-GE"/>
        </w:rPr>
        <w:t xml:space="preserve"> - </w:t>
      </w:r>
      <w:r w:rsidRPr="00B11F6A">
        <w:rPr>
          <w:rFonts w:ascii="Sylfaen" w:hAnsi="Sylfaen"/>
          <w:lang w:val="ka-GE"/>
        </w:rPr>
        <w:t>პერინატალური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სერვისის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მიმწოდებელი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დაწესებულებების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დონეების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მათი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როლისა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პასუხისმგებლობის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განსაზღვრა</w:t>
      </w:r>
    </w:p>
    <w:p w:rsidR="00000000" w:rsidRPr="00B11F6A" w:rsidRDefault="00F6550A" w:rsidP="00B11F6A">
      <w:pPr>
        <w:numPr>
          <w:ilvl w:val="0"/>
          <w:numId w:val="6"/>
        </w:numPr>
        <w:jc w:val="both"/>
        <w:rPr>
          <w:rFonts w:ascii="Sylfaen" w:hAnsi="Sylfaen"/>
        </w:rPr>
      </w:pPr>
      <w:r w:rsidRPr="00B11F6A">
        <w:rPr>
          <w:rFonts w:ascii="Sylfaen" w:hAnsi="Sylfaen"/>
          <w:lang w:val="ka-GE"/>
        </w:rPr>
        <w:t>დამტკიცდა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დედათა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ახალშობილთა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ჯანმრთელობის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ხელშეწყობის</w:t>
      </w:r>
      <w:r w:rsidRPr="00B11F6A">
        <w:rPr>
          <w:rFonts w:ascii="Sylfaen" w:hAnsi="Sylfaen"/>
          <w:lang w:val="ka-GE"/>
        </w:rPr>
        <w:t xml:space="preserve"> 2017-2030 </w:t>
      </w:r>
      <w:r w:rsidRPr="00B11F6A">
        <w:rPr>
          <w:rFonts w:ascii="Sylfaen" w:hAnsi="Sylfaen"/>
          <w:lang w:val="ka-GE"/>
        </w:rPr>
        <w:t>წლების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ეროვნული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სტრატეგია</w:t>
      </w:r>
    </w:p>
    <w:p w:rsidR="00000000" w:rsidRPr="003D1CDD" w:rsidRDefault="00F6550A" w:rsidP="00B11F6A">
      <w:pPr>
        <w:numPr>
          <w:ilvl w:val="0"/>
          <w:numId w:val="6"/>
        </w:numPr>
        <w:jc w:val="both"/>
        <w:rPr>
          <w:rFonts w:ascii="Sylfaen" w:hAnsi="Sylfaen"/>
        </w:rPr>
      </w:pPr>
      <w:r w:rsidRPr="00B11F6A">
        <w:rPr>
          <w:rFonts w:ascii="Sylfaen" w:hAnsi="Sylfaen"/>
          <w:lang w:val="ka-GE"/>
        </w:rPr>
        <w:t xml:space="preserve">2018 </w:t>
      </w:r>
      <w:r w:rsidRPr="00B11F6A">
        <w:rPr>
          <w:rFonts w:ascii="Sylfaen" w:hAnsi="Sylfaen"/>
          <w:lang w:val="ka-GE"/>
        </w:rPr>
        <w:t>წლიდან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ანტენატალური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მეთვალყურეობის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ვიზიტების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რაოდენობა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გაიზარდა</w:t>
      </w:r>
      <w:r w:rsidRPr="00B11F6A">
        <w:rPr>
          <w:rFonts w:ascii="Sylfaen" w:hAnsi="Sylfaen"/>
          <w:lang w:val="ka-GE"/>
        </w:rPr>
        <w:t xml:space="preserve"> 8 </w:t>
      </w:r>
      <w:r w:rsidRPr="00B11F6A">
        <w:rPr>
          <w:rFonts w:ascii="Sylfaen" w:hAnsi="Sylfaen"/>
          <w:lang w:val="ka-GE"/>
        </w:rPr>
        <w:t>ვიზიტამდე</w:t>
      </w:r>
    </w:p>
    <w:p w:rsidR="003D1CDD" w:rsidRPr="003D1CDD" w:rsidRDefault="003D1CDD" w:rsidP="003D1CDD">
      <w:pPr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D1CDD">
        <w:rPr>
          <w:rFonts w:ascii="Sylfaen" w:hAnsi="Sylfaen"/>
          <w:lang w:val="ka-GE"/>
        </w:rPr>
        <w:t xml:space="preserve">2016 </w:t>
      </w:r>
      <w:proofErr w:type="spellStart"/>
      <w:r w:rsidRPr="003D1CDD">
        <w:rPr>
          <w:rFonts w:ascii="Sylfaen" w:hAnsi="Sylfaen"/>
          <w:lang w:val="ka-GE"/>
        </w:rPr>
        <w:t>წელს</w:t>
      </w:r>
      <w:proofErr w:type="spellEnd"/>
      <w:r w:rsidRPr="003D1CDD">
        <w:rPr>
          <w:rFonts w:ascii="Sylfaen" w:hAnsi="Sylfaen"/>
          <w:lang w:val="ka-GE"/>
        </w:rPr>
        <w:t xml:space="preserve"> ქვეყნის მასშტაბით ამოქმედდა „ორსულთა და ახალშობილთა ჯანმრთელობის მეთვალყურეობის ელექტრონული მოდული</w:t>
      </w:r>
      <w:r>
        <w:rPr>
          <w:rFonts w:ascii="Sylfaen" w:hAnsi="Sylfaen"/>
          <w:lang w:val="ka-GE"/>
        </w:rPr>
        <w:t xml:space="preserve">“ </w:t>
      </w:r>
      <w:r w:rsidRPr="003D1CDD">
        <w:rPr>
          <w:rFonts w:ascii="Sylfaen" w:hAnsi="Sylfaen"/>
          <w:lang w:val="ka-GE"/>
        </w:rPr>
        <w:t>ე.წ. „დაბადების რეგისტრი</w:t>
      </w:r>
      <w:r>
        <w:rPr>
          <w:rFonts w:ascii="Sylfaen" w:hAnsi="Sylfaen"/>
          <w:lang w:val="ka-GE"/>
        </w:rPr>
        <w:t>“</w:t>
      </w:r>
    </w:p>
    <w:p w:rsidR="00000000" w:rsidRPr="00B11F6A" w:rsidRDefault="00F6550A" w:rsidP="00B11F6A">
      <w:pPr>
        <w:numPr>
          <w:ilvl w:val="0"/>
          <w:numId w:val="6"/>
        </w:numPr>
        <w:jc w:val="both"/>
        <w:rPr>
          <w:rFonts w:ascii="Sylfaen" w:hAnsi="Sylfaen"/>
        </w:rPr>
      </w:pPr>
      <w:r w:rsidRPr="00B11F6A">
        <w:rPr>
          <w:rFonts w:ascii="Sylfaen" w:hAnsi="Sylfaen"/>
          <w:lang w:val="ka-GE"/>
        </w:rPr>
        <w:t xml:space="preserve">2017 </w:t>
      </w:r>
      <w:r w:rsidRPr="00B11F6A">
        <w:rPr>
          <w:rFonts w:ascii="Sylfaen" w:hAnsi="Sylfaen"/>
          <w:lang w:val="ka-GE"/>
        </w:rPr>
        <w:t>წელს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დაიწყო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გრძელდება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სამეანო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სერვისების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მიმწოდებელი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დაწესებულებების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სელექტიური</w:t>
      </w:r>
      <w:r w:rsidRPr="00B11F6A">
        <w:rPr>
          <w:rFonts w:ascii="Sylfaen" w:hAnsi="Sylfaen"/>
          <w:lang w:val="ka-GE"/>
        </w:rPr>
        <w:t xml:space="preserve"> </w:t>
      </w:r>
      <w:r w:rsidRPr="00B11F6A">
        <w:rPr>
          <w:rFonts w:ascii="Sylfaen" w:hAnsi="Sylfaen"/>
          <w:lang w:val="ka-GE"/>
        </w:rPr>
        <w:t>კონტრაქტირება</w:t>
      </w:r>
    </w:p>
    <w:p w:rsidR="0001090B" w:rsidRDefault="0001090B" w:rsidP="00B61D7E">
      <w:pPr>
        <w:jc w:val="both"/>
        <w:rPr>
          <w:rFonts w:ascii="Sylfaen" w:hAnsi="Sylfaen"/>
          <w:lang w:val="ka-GE"/>
        </w:rPr>
      </w:pPr>
    </w:p>
    <w:p w:rsidR="003D1CDD" w:rsidRDefault="003D1CDD" w:rsidP="00B61D7E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ამოცანა 3.3ა </w:t>
      </w:r>
      <w:r w:rsidRPr="003D1CDD">
        <w:rPr>
          <w:rFonts w:ascii="Sylfaen" w:hAnsi="Sylfaen"/>
          <w:b/>
          <w:bCs/>
          <w:lang w:val="ka-GE"/>
        </w:rPr>
        <w:t>2030 წლისათვის შიდს-ის ეპიდემიის და ტუბერკულოზის აღმოფხვრა და ჰეპატიტთან, წყლით გადამდებ და სხვა ინფექციურ დაავადებებთან ბრძოლა</w:t>
      </w:r>
    </w:p>
    <w:p w:rsidR="003D1CDD" w:rsidRDefault="003D1CDD" w:rsidP="00B61D7E">
      <w:pPr>
        <w:jc w:val="both"/>
        <w:rPr>
          <w:rFonts w:ascii="Sylfaen" w:hAnsi="Sylfaen"/>
          <w:b/>
          <w:bCs/>
          <w:lang w:val="ka-G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29"/>
        <w:gridCol w:w="1169"/>
        <w:gridCol w:w="1169"/>
        <w:gridCol w:w="1181"/>
      </w:tblGrid>
      <w:tr w:rsidR="003D1CDD" w:rsidRPr="003D1CDD" w:rsidTr="0014303D">
        <w:trPr>
          <w:trHeight w:val="214"/>
        </w:trPr>
        <w:tc>
          <w:tcPr>
            <w:tcW w:w="317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2015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2018</w:t>
            </w:r>
          </w:p>
        </w:tc>
        <w:tc>
          <w:tcPr>
            <w:tcW w:w="61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2030</w:t>
            </w:r>
          </w:p>
        </w:tc>
      </w:tr>
      <w:tr w:rsidR="003D1CDD" w:rsidRPr="003D1CDD" w:rsidTr="003D1CDD">
        <w:trPr>
          <w:trHeight w:val="564"/>
        </w:trPr>
        <w:tc>
          <w:tcPr>
            <w:tcW w:w="317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3.3.1: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აივ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-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ით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ინფიცირების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ახალი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შემთხვევების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რაოდენობა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100,000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ადამიანზე</w:t>
            </w:r>
          </w:p>
        </w:tc>
        <w:tc>
          <w:tcPr>
            <w:tcW w:w="6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19.2</w:t>
            </w:r>
          </w:p>
        </w:tc>
        <w:tc>
          <w:tcPr>
            <w:tcW w:w="6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554975" w:rsidP="003D1CD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 w:themeColor="dark1"/>
                <w:kern w:val="24"/>
                <w:sz w:val="20"/>
                <w:szCs w:val="20"/>
                <w:lang w:val="ka-GE"/>
              </w:rPr>
              <w:t>18.0</w:t>
            </w:r>
          </w:p>
        </w:tc>
        <w:tc>
          <w:tcPr>
            <w:tcW w:w="61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1.25</w:t>
            </w:r>
          </w:p>
        </w:tc>
      </w:tr>
      <w:tr w:rsidR="003D1CDD" w:rsidRPr="003D1CDD" w:rsidTr="003D1CDD">
        <w:trPr>
          <w:trHeight w:val="403"/>
        </w:trPr>
        <w:tc>
          <w:tcPr>
            <w:tcW w:w="31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3.3.2: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ტუბერკულოზის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ინციდენტობა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100,000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ადამიანზე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74.7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554975" w:rsidP="003D1CD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 w:themeColor="dark1"/>
                <w:kern w:val="24"/>
                <w:sz w:val="20"/>
                <w:szCs w:val="20"/>
                <w:lang w:val="ka-GE"/>
              </w:rPr>
              <w:t>62.3</w:t>
            </w:r>
          </w:p>
        </w:tc>
        <w:tc>
          <w:tcPr>
            <w:tcW w:w="6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15</w:t>
            </w:r>
          </w:p>
        </w:tc>
      </w:tr>
      <w:tr w:rsidR="003D1CDD" w:rsidRPr="003D1CDD" w:rsidTr="003D1CDD">
        <w:trPr>
          <w:trHeight w:val="397"/>
        </w:trPr>
        <w:tc>
          <w:tcPr>
            <w:tcW w:w="31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3.3.3: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მალარიის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ინციდენტობა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100,000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ადამიანზე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0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0</w:t>
            </w:r>
          </w:p>
        </w:tc>
        <w:tc>
          <w:tcPr>
            <w:tcW w:w="6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0</w:t>
            </w:r>
          </w:p>
        </w:tc>
      </w:tr>
      <w:tr w:rsidR="003D1CDD" w:rsidRPr="003D1CDD" w:rsidTr="003D1CDD">
        <w:trPr>
          <w:trHeight w:val="532"/>
        </w:trPr>
        <w:tc>
          <w:tcPr>
            <w:tcW w:w="31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3.3.4.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: 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C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ჰეპატიტის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გავრცელება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 %: 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C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ჰეპატიტის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3D1CD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ანტისხეულები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HCV RNA + 5.3%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HCV RNA + 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highlight w:val="yellow"/>
              </w:rPr>
              <w:t>5.3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% </w:t>
            </w:r>
          </w:p>
        </w:tc>
        <w:tc>
          <w:tcPr>
            <w:tcW w:w="6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CDD" w:rsidRPr="003D1CDD" w:rsidRDefault="003D1CDD" w:rsidP="003D1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HCV RNA + 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0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.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5</w:t>
            </w:r>
            <w:r w:rsidRPr="003D1CD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% </w:t>
            </w:r>
          </w:p>
        </w:tc>
      </w:tr>
    </w:tbl>
    <w:p w:rsidR="003D1CDD" w:rsidRDefault="003D1CDD" w:rsidP="00B61D7E">
      <w:pPr>
        <w:jc w:val="both"/>
        <w:rPr>
          <w:rFonts w:ascii="Sylfaen" w:hAnsi="Sylfaen"/>
          <w:b/>
          <w:bCs/>
          <w:lang w:val="ka-GE"/>
        </w:rPr>
      </w:pPr>
    </w:p>
    <w:p w:rsidR="00654930" w:rsidRPr="00654930" w:rsidRDefault="00654930" w:rsidP="00654930">
      <w:pPr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r w:rsidRPr="00B523B0">
        <w:rPr>
          <w:rFonts w:ascii="Sylfaen" w:hAnsi="Sylfaen" w:cs="Sylfaen"/>
          <w:lang w:val="ka-GE"/>
        </w:rPr>
        <w:t>2015 წლის</w:t>
      </w:r>
      <w:r w:rsidRPr="00B523B0">
        <w:rPr>
          <w:rFonts w:ascii="Sylfaen" w:hAnsi="Sylfaen" w:cstheme="minorHAnsi"/>
          <w:lang w:val="ka-GE"/>
        </w:rPr>
        <w:t xml:space="preserve"> 21 </w:t>
      </w:r>
      <w:r w:rsidRPr="00B523B0">
        <w:rPr>
          <w:rFonts w:ascii="Sylfaen" w:hAnsi="Sylfaen" w:cs="Sylfaen"/>
          <w:lang w:val="ka-GE"/>
        </w:rPr>
        <w:t>აპრილს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ხელი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მოეწერა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ურთიერთგაგების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მემორანდუმს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კომპანია</w:t>
      </w:r>
      <w:r w:rsidRPr="00B523B0">
        <w:rPr>
          <w:rFonts w:ascii="Sylfaen" w:hAnsi="Sylfaen" w:cstheme="minorHAnsi"/>
          <w:lang w:val="ka-GE"/>
        </w:rPr>
        <w:t xml:space="preserve"> „</w:t>
      </w:r>
      <w:r w:rsidRPr="00B523B0">
        <w:rPr>
          <w:rFonts w:ascii="Sylfaen" w:hAnsi="Sylfaen" w:cs="Sylfaen"/>
          <w:lang w:val="ka-GE"/>
        </w:rPr>
        <w:t>გილეადსა</w:t>
      </w:r>
      <w:r w:rsidRPr="00B523B0">
        <w:rPr>
          <w:rFonts w:ascii="Sylfaen" w:hAnsi="Sylfaen" w:cstheme="minorHAnsi"/>
          <w:lang w:val="ka-GE"/>
        </w:rPr>
        <w:t xml:space="preserve">“ </w:t>
      </w:r>
      <w:r w:rsidRPr="00B523B0">
        <w:rPr>
          <w:rFonts w:ascii="Sylfaen" w:hAnsi="Sylfaen" w:cs="Sylfaen"/>
          <w:lang w:val="ka-GE"/>
        </w:rPr>
        <w:t>და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საქართველოს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მთავრობას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შორის</w:t>
      </w:r>
      <w:r w:rsidRPr="00B523B0">
        <w:rPr>
          <w:rFonts w:ascii="Sylfaen" w:hAnsi="Sylfaen" w:cstheme="minorHAnsi"/>
          <w:lang w:val="ka-GE"/>
        </w:rPr>
        <w:t xml:space="preserve">, </w:t>
      </w:r>
      <w:r w:rsidRPr="00B523B0">
        <w:rPr>
          <w:rFonts w:ascii="Sylfaen" w:hAnsi="Sylfaen" w:cs="Sylfaen"/>
          <w:lang w:val="ka-GE"/>
        </w:rPr>
        <w:t>რამაც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საფუძველი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ჩაუყარა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საქართველოში</w:t>
      </w:r>
      <w:r w:rsidRPr="00B523B0">
        <w:rPr>
          <w:rFonts w:ascii="Sylfaen" w:hAnsi="Sylfaen" w:cstheme="minorHAnsi"/>
          <w:lang w:val="ka-GE"/>
        </w:rPr>
        <w:t xml:space="preserve"> C </w:t>
      </w:r>
      <w:r w:rsidRPr="00B523B0">
        <w:rPr>
          <w:rFonts w:ascii="Sylfaen" w:hAnsi="Sylfaen" w:cs="Sylfaen"/>
          <w:lang w:val="ka-GE"/>
        </w:rPr>
        <w:t>ჰეპატიტის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ელიმინაციის</w:t>
      </w:r>
      <w:r w:rsidRPr="00B523B0">
        <w:rPr>
          <w:rFonts w:ascii="Sylfaen" w:hAnsi="Sylfaen" w:cstheme="minorHAnsi"/>
          <w:lang w:val="ka-GE"/>
        </w:rPr>
        <w:t xml:space="preserve"> </w:t>
      </w:r>
      <w:r w:rsidRPr="00B523B0">
        <w:rPr>
          <w:rFonts w:ascii="Sylfaen" w:hAnsi="Sylfaen" w:cs="Sylfaen"/>
          <w:lang w:val="ka-GE"/>
        </w:rPr>
        <w:t>დაწყებას</w:t>
      </w:r>
      <w:r w:rsidRPr="00B523B0">
        <w:rPr>
          <w:rFonts w:ascii="Sylfaen" w:hAnsi="Sylfaen"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654930">
        <w:rPr>
          <w:rFonts w:ascii="Sylfaen" w:hAnsi="Sylfaen"/>
          <w:lang w:val="ka-GE"/>
        </w:rPr>
        <w:t xml:space="preserve">2019 </w:t>
      </w:r>
      <w:r>
        <w:rPr>
          <w:rFonts w:ascii="Sylfaen" w:hAnsi="Sylfaen"/>
          <w:lang w:val="ka-GE"/>
        </w:rPr>
        <w:t xml:space="preserve">წლის აგვისტოდან პროგრამის ფარგლებში დიაგნოსტიკური კვლევები სრულად ფინანსდება სახელმწიფოს მხრიდან. </w:t>
      </w:r>
      <w:r>
        <w:rPr>
          <w:rFonts w:ascii="Sylfaen" w:hAnsi="Sylfaen" w:cstheme="minorHAnsi"/>
          <w:lang w:val="ka-GE"/>
        </w:rPr>
        <w:t xml:space="preserve"> </w:t>
      </w:r>
    </w:p>
    <w:p w:rsidR="00654930" w:rsidRPr="00654930" w:rsidRDefault="00654930" w:rsidP="00654930">
      <w:pPr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r w:rsidRPr="003D1CDD">
        <w:rPr>
          <w:rFonts w:ascii="Sylfaen" w:hAnsi="Sylfaen"/>
          <w:bCs/>
          <w:lang w:val="ka-GE"/>
        </w:rPr>
        <w:t xml:space="preserve">2018 - პილოტი სამეგრელო-ზემო სვანეთში </w:t>
      </w:r>
      <w:r w:rsidRPr="00654930">
        <w:rPr>
          <w:rFonts w:ascii="Sylfaen" w:hAnsi="Sylfaen"/>
          <w:bCs/>
          <w:lang w:val="ka-GE"/>
        </w:rPr>
        <w:t xml:space="preserve">HCV, TB and HIV </w:t>
      </w:r>
      <w:r w:rsidRPr="003D1CDD">
        <w:rPr>
          <w:rFonts w:ascii="Sylfaen" w:hAnsi="Sylfaen"/>
          <w:bCs/>
          <w:lang w:val="ka-GE"/>
        </w:rPr>
        <w:t>გამოვლენის ინტეგრაცია პირველადი ჯანდაცვის რგოლში</w:t>
      </w:r>
    </w:p>
    <w:p w:rsidR="00654930" w:rsidRDefault="00654930" w:rsidP="00654930">
      <w:pPr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მომზადდა</w:t>
      </w:r>
      <w:r w:rsidRPr="00CA694B">
        <w:rPr>
          <w:rFonts w:ascii="Sylfaen" w:hAnsi="Sylfaen"/>
          <w:bCs/>
          <w:lang w:val="ka-GE"/>
        </w:rPr>
        <w:t xml:space="preserve"> აივ შიდსის და ტუბერკულოზის კონტროლის 2019-2022 წლების ეროვნული სტრატეგიები</w:t>
      </w:r>
      <w:r>
        <w:rPr>
          <w:rFonts w:ascii="Sylfaen" w:hAnsi="Sylfaen"/>
          <w:bCs/>
          <w:lang w:val="ka-GE"/>
        </w:rPr>
        <w:t>.</w:t>
      </w:r>
    </w:p>
    <w:p w:rsidR="00654930" w:rsidRPr="00654930" w:rsidRDefault="00654930" w:rsidP="00654930">
      <w:pPr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r w:rsidRPr="00CA694B">
        <w:rPr>
          <w:rFonts w:ascii="Sylfaen" w:eastAsiaTheme="minorEastAsia" w:hAnsi="Sylfaen" w:cs="Sylfaen"/>
          <w:lang w:val="ka-GE"/>
        </w:rPr>
        <w:t>საქართველომ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მნიშვნელოვან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წარმატებას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მიაღწია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ტუბერკულოზთან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ბრძოლაში</w:t>
      </w:r>
      <w:r w:rsidRPr="00CA694B">
        <w:rPr>
          <w:rFonts w:eastAsiaTheme="minorEastAsia"/>
          <w:lang w:val="ka-GE"/>
        </w:rPr>
        <w:t xml:space="preserve">. </w:t>
      </w:r>
      <w:r w:rsidRPr="00CA694B">
        <w:rPr>
          <w:rFonts w:ascii="Sylfaen" w:eastAsiaTheme="minorEastAsia" w:hAnsi="Sylfaen" w:cs="Sylfaen"/>
          <w:lang w:val="ka-GE"/>
        </w:rPr>
        <w:t>ჯანმრთელობის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მსოფლიო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ორგანიზაციის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მონაცემებით</w:t>
      </w:r>
      <w:r w:rsidRPr="00CA694B">
        <w:rPr>
          <w:rFonts w:eastAsiaTheme="minorEastAsia"/>
          <w:lang w:val="ka-GE"/>
        </w:rPr>
        <w:t>,</w:t>
      </w:r>
      <w:r w:rsidRPr="00CA694B">
        <w:rPr>
          <w:rFonts w:ascii="Sylfaen" w:hAnsi="Sylfaen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საქართველო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hAnsi="Sylfaen"/>
          <w:lang w:val="ka-GE"/>
        </w:rPr>
        <w:t xml:space="preserve">აღარ შედის </w:t>
      </w:r>
      <w:r w:rsidRPr="00CA694B">
        <w:rPr>
          <w:rFonts w:ascii="Sylfaen" w:eastAsiaTheme="minorEastAsia" w:hAnsi="Sylfaen" w:cs="Sylfaen"/>
          <w:lang w:val="ka-GE"/>
        </w:rPr>
        <w:t>მულტირეზისტენტული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ტუბერკულ</w:t>
      </w:r>
      <w:r w:rsidRPr="00CA694B">
        <w:rPr>
          <w:rFonts w:ascii="Sylfaen" w:hAnsi="Sylfaen" w:cs="Sylfaen"/>
          <w:lang w:val="ka-GE"/>
        </w:rPr>
        <w:t>ო</w:t>
      </w:r>
      <w:r w:rsidRPr="00CA694B">
        <w:rPr>
          <w:rFonts w:ascii="Sylfaen" w:eastAsiaTheme="minorEastAsia" w:hAnsi="Sylfaen" w:cs="Sylfaen"/>
          <w:lang w:val="ka-GE"/>
        </w:rPr>
        <w:t>ზის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მაღალი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ტვირთის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მქონე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ქვეყნების</w:t>
      </w:r>
      <w:r w:rsidRPr="00CA694B">
        <w:rPr>
          <w:rFonts w:eastAsiaTheme="minorEastAsia"/>
          <w:lang w:val="ka-GE"/>
        </w:rPr>
        <w:t xml:space="preserve"> </w:t>
      </w:r>
      <w:r w:rsidRPr="00CA694B">
        <w:rPr>
          <w:rFonts w:ascii="Sylfaen" w:eastAsiaTheme="minorEastAsia" w:hAnsi="Sylfaen" w:cs="Sylfaen"/>
          <w:lang w:val="ka-GE"/>
        </w:rPr>
        <w:t>ჩამონათვალში</w:t>
      </w:r>
      <w:r w:rsidRPr="00CA694B">
        <w:rPr>
          <w:rFonts w:eastAsiaTheme="minorEastAsia"/>
        </w:rPr>
        <w:t>.</w:t>
      </w:r>
    </w:p>
    <w:p w:rsidR="00654930" w:rsidRPr="00904EBA" w:rsidRDefault="00654930" w:rsidP="00654930">
      <w:pPr>
        <w:pStyle w:val="ListParagraph"/>
        <w:numPr>
          <w:ilvl w:val="0"/>
          <w:numId w:val="8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000000" w:rsidRPr="003D1CDD" w:rsidRDefault="00F6550A" w:rsidP="003D1CDD">
      <w:pPr>
        <w:numPr>
          <w:ilvl w:val="0"/>
          <w:numId w:val="8"/>
        </w:numPr>
        <w:jc w:val="both"/>
        <w:rPr>
          <w:rFonts w:ascii="Sylfaen" w:hAnsi="Sylfaen"/>
          <w:bCs/>
        </w:rPr>
      </w:pPr>
      <w:r w:rsidRPr="003D1CDD">
        <w:rPr>
          <w:rFonts w:ascii="Sylfaen" w:hAnsi="Sylfaen"/>
          <w:bCs/>
          <w:lang w:val="ka-GE"/>
        </w:rPr>
        <w:t xml:space="preserve">2015 </w:t>
      </w:r>
      <w:r w:rsidRPr="003D1CDD">
        <w:rPr>
          <w:rFonts w:ascii="Sylfaen" w:hAnsi="Sylfaen"/>
          <w:bCs/>
          <w:lang w:val="ka-GE"/>
        </w:rPr>
        <w:t>წლიდან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სახელმწიფო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მთლიანად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უზრუნველყოფს</w:t>
      </w:r>
      <w:r w:rsidRPr="003D1CDD">
        <w:rPr>
          <w:rFonts w:ascii="Sylfaen" w:hAnsi="Sylfaen"/>
          <w:bCs/>
          <w:lang w:val="ka-GE"/>
        </w:rPr>
        <w:t xml:space="preserve"> I </w:t>
      </w:r>
      <w:r w:rsidRPr="003D1CDD">
        <w:rPr>
          <w:rFonts w:ascii="Sylfaen" w:hAnsi="Sylfaen"/>
          <w:bCs/>
          <w:lang w:val="ka-GE"/>
        </w:rPr>
        <w:t>რიგის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ანტირეტროვირუსულ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და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ტუბერკულოზის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საწინააღმდეგო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მედიკამენტებზე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პაციენტების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ხელმისაწვდომობას</w:t>
      </w:r>
      <w:r w:rsidRPr="003D1CDD">
        <w:rPr>
          <w:rFonts w:ascii="Sylfaen" w:hAnsi="Sylfaen"/>
          <w:bCs/>
          <w:lang w:val="ka-GE"/>
        </w:rPr>
        <w:t xml:space="preserve">, </w:t>
      </w:r>
      <w:r w:rsidRPr="003D1CDD">
        <w:rPr>
          <w:rFonts w:ascii="Sylfaen" w:hAnsi="Sylfaen"/>
          <w:bCs/>
          <w:lang w:val="ka-GE"/>
        </w:rPr>
        <w:t>ხოლო</w:t>
      </w:r>
      <w:r w:rsidRPr="003D1CDD">
        <w:rPr>
          <w:rFonts w:ascii="Sylfaen" w:hAnsi="Sylfaen"/>
          <w:bCs/>
          <w:lang w:val="ka-GE"/>
        </w:rPr>
        <w:t xml:space="preserve"> 2017 </w:t>
      </w:r>
      <w:r w:rsidRPr="003D1CDD">
        <w:rPr>
          <w:rFonts w:ascii="Sylfaen" w:hAnsi="Sylfaen"/>
          <w:bCs/>
          <w:lang w:val="ka-GE"/>
        </w:rPr>
        <w:t>წელს</w:t>
      </w:r>
      <w:r w:rsidRPr="003D1CDD">
        <w:rPr>
          <w:rFonts w:ascii="Sylfaen" w:hAnsi="Sylfaen"/>
          <w:bCs/>
          <w:lang w:val="ka-GE"/>
        </w:rPr>
        <w:t xml:space="preserve"> - II </w:t>
      </w:r>
      <w:r w:rsidRPr="003D1CDD">
        <w:rPr>
          <w:rFonts w:ascii="Sylfaen" w:hAnsi="Sylfaen"/>
          <w:bCs/>
          <w:lang w:val="ka-GE"/>
        </w:rPr>
        <w:t>რიგის</w:t>
      </w:r>
      <w:r w:rsidRPr="003D1CDD">
        <w:rPr>
          <w:rFonts w:ascii="Sylfaen" w:hAnsi="Sylfaen"/>
          <w:bCs/>
          <w:lang w:val="ka-GE"/>
        </w:rPr>
        <w:t xml:space="preserve"> </w:t>
      </w:r>
      <w:r w:rsidRPr="003D1CDD">
        <w:rPr>
          <w:rFonts w:ascii="Sylfaen" w:hAnsi="Sylfaen"/>
          <w:bCs/>
          <w:lang w:val="ka-GE"/>
        </w:rPr>
        <w:t>მედიკამენტების</w:t>
      </w:r>
      <w:r w:rsidR="009E123E">
        <w:rPr>
          <w:rFonts w:ascii="Sylfaen" w:hAnsi="Sylfaen"/>
          <w:bCs/>
          <w:lang w:val="ka-GE"/>
        </w:rPr>
        <w:t xml:space="preserve"> 25%, 2018 – 50%; 2019 – 75%</w:t>
      </w:r>
    </w:p>
    <w:p w:rsidR="004C708D" w:rsidRDefault="004C708D" w:rsidP="003D1CDD">
      <w:pPr>
        <w:jc w:val="both"/>
        <w:rPr>
          <w:rFonts w:ascii="Sylfaen" w:hAnsi="Sylfaen"/>
          <w:b/>
          <w:bCs/>
          <w:lang w:val="ka-GE"/>
        </w:rPr>
      </w:pPr>
    </w:p>
    <w:p w:rsidR="003D1CDD" w:rsidRDefault="003D1CDD" w:rsidP="003D1CDD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ამოცანა 3.8: </w:t>
      </w:r>
      <w:r w:rsidRPr="003D1CDD">
        <w:rPr>
          <w:rFonts w:ascii="Sylfaen" w:hAnsi="Sylfaen"/>
          <w:b/>
          <w:bCs/>
          <w:lang w:val="ka-GE"/>
        </w:rPr>
        <w:t>2030 წლისთვის ჯანდაცვის სერვისებით საყოველთაო დაფარვის მიღწევა, მათ შორის ფინანსური რისკებისგან დაცვა, ჯანდაცვის ხარისხიანი ძირითადი სერვისების ხელმისაწვდომობა, ასევე უსაფრთხო, ეფექტიანი, ხარისხიანი და ხელმისაწვდომი ძირითადი მედიკამენტებისა და ვაქცინების ხელმისაწვდომობა</w:t>
      </w:r>
    </w:p>
    <w:p w:rsidR="00E622AD" w:rsidRDefault="00E622AD" w:rsidP="003D1CDD">
      <w:pPr>
        <w:jc w:val="both"/>
        <w:rPr>
          <w:rFonts w:ascii="Sylfaen" w:hAnsi="Sylfaen"/>
          <w:b/>
          <w:bCs/>
          <w:lang w:val="ka-G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99"/>
        <w:gridCol w:w="1283"/>
        <w:gridCol w:w="1183"/>
        <w:gridCol w:w="1183"/>
      </w:tblGrid>
      <w:tr w:rsidR="00E622AD" w:rsidRPr="00E622AD" w:rsidTr="0014303D">
        <w:trPr>
          <w:trHeight w:val="273"/>
        </w:trPr>
        <w:tc>
          <w:tcPr>
            <w:tcW w:w="310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2015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2017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2030</w:t>
            </w:r>
          </w:p>
        </w:tc>
      </w:tr>
      <w:tr w:rsidR="00E622AD" w:rsidRPr="00E622AD" w:rsidTr="00E622AD">
        <w:trPr>
          <w:trHeight w:val="571"/>
        </w:trPr>
        <w:tc>
          <w:tcPr>
            <w:tcW w:w="3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3.8.2.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ჯანმრთელობის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დაზღვევით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ან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ჯანდაცვის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სახელმწიფო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სისტემით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დაფარული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ადამიანების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%:</w:t>
            </w:r>
          </w:p>
        </w:tc>
        <w:tc>
          <w:tcPr>
            <w:tcW w:w="6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99.9%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100%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100%</w:t>
            </w:r>
          </w:p>
        </w:tc>
      </w:tr>
      <w:tr w:rsidR="00E622AD" w:rsidRPr="00E622AD" w:rsidTr="00E622AD">
        <w:trPr>
          <w:trHeight w:val="553"/>
        </w:trPr>
        <w:tc>
          <w:tcPr>
            <w:tcW w:w="3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3.8.2.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ა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: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ჯანმრთელობაზე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მთლიანი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დანახარჯებიდან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ჯანდაცვაზე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ჯიბიდან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</w:t>
            </w:r>
            <w:r w:rsidRPr="00E622AD">
              <w:rPr>
                <w:rFonts w:ascii="Sylfaen" w:eastAsia="Times New Roman" w:hAnsi="Sylfaen" w:cs="Sylfaen"/>
                <w:color w:val="000000" w:themeColor="dark1"/>
                <w:kern w:val="24"/>
                <w:sz w:val="20"/>
                <w:szCs w:val="20"/>
                <w:lang w:val="ka-GE"/>
              </w:rPr>
              <w:t>გადახდების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 xml:space="preserve"> (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OOP) %</w:t>
            </w:r>
          </w:p>
        </w:tc>
        <w:tc>
          <w:tcPr>
            <w:tcW w:w="6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57%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5</w:t>
            </w:r>
            <w:r w:rsidRPr="00E622AD">
              <w:rPr>
                <w:rFonts w:ascii="Sylfaen" w:eastAsia="Times New Roman" w:hAnsi="Sylfaen" w:cs="Arial"/>
                <w:color w:val="000000" w:themeColor="dark1"/>
                <w:kern w:val="24"/>
                <w:sz w:val="20"/>
                <w:szCs w:val="20"/>
                <w:lang w:val="ka-GE"/>
              </w:rPr>
              <w:t>4</w:t>
            </w: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%</w:t>
            </w:r>
          </w:p>
        </w:tc>
        <w:tc>
          <w:tcPr>
            <w:tcW w:w="6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22AD" w:rsidRPr="00E622AD" w:rsidRDefault="00E622AD" w:rsidP="00E622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2AD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val="ka-GE"/>
              </w:rPr>
              <w:t>30%</w:t>
            </w:r>
          </w:p>
        </w:tc>
      </w:tr>
    </w:tbl>
    <w:p w:rsidR="00E622AD" w:rsidRPr="003D1CDD" w:rsidRDefault="00E622AD" w:rsidP="003D1CDD">
      <w:pPr>
        <w:jc w:val="both"/>
        <w:rPr>
          <w:rFonts w:ascii="Sylfaen" w:hAnsi="Sylfaen"/>
          <w:b/>
          <w:bCs/>
        </w:rPr>
      </w:pPr>
    </w:p>
    <w:p w:rsidR="0014303D" w:rsidRPr="0014303D" w:rsidRDefault="00F6550A" w:rsidP="0014303D">
      <w:pPr>
        <w:pStyle w:val="ListParagraph"/>
        <w:numPr>
          <w:ilvl w:val="0"/>
          <w:numId w:val="9"/>
        </w:numPr>
        <w:jc w:val="both"/>
        <w:rPr>
          <w:rFonts w:ascii="Sylfaen" w:hAnsi="Sylfaen" w:cstheme="minorHAnsi"/>
          <w:lang w:val="ka-GE"/>
        </w:rPr>
      </w:pPr>
      <w:r w:rsidRPr="003D1CDD">
        <w:rPr>
          <w:rFonts w:ascii="Sylfaen" w:hAnsi="Sylfaen"/>
          <w:lang w:val="ka-GE"/>
        </w:rPr>
        <w:t xml:space="preserve">2013 </w:t>
      </w:r>
      <w:r w:rsidRPr="003D1CDD">
        <w:rPr>
          <w:rFonts w:ascii="Sylfaen" w:hAnsi="Sylfaen"/>
          <w:lang w:val="ka-GE"/>
        </w:rPr>
        <w:t>წლიდან</w:t>
      </w:r>
      <w:r w:rsidRPr="003D1CDD">
        <w:rPr>
          <w:rFonts w:ascii="Sylfaen" w:hAnsi="Sylfaen"/>
          <w:lang w:val="ka-GE"/>
        </w:rPr>
        <w:t xml:space="preserve">  </w:t>
      </w:r>
      <w:r w:rsidRPr="003D1CDD">
        <w:rPr>
          <w:rFonts w:ascii="Sylfaen" w:hAnsi="Sylfaen"/>
          <w:lang w:val="ka-GE"/>
        </w:rPr>
        <w:t>ამოქმედდა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საყოველთაო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ჯანდაცვის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სახელმწიფო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პროგრამა</w:t>
      </w:r>
      <w:r w:rsidR="0014303D">
        <w:rPr>
          <w:rFonts w:ascii="Sylfaen" w:hAnsi="Sylfaen"/>
          <w:lang w:val="ka-GE"/>
        </w:rPr>
        <w:t xml:space="preserve">. </w:t>
      </w:r>
      <w:r w:rsidR="0014303D" w:rsidRPr="00B523B0">
        <w:rPr>
          <w:rFonts w:ascii="Sylfaen" w:hAnsi="Sylfaen" w:cs="Sylfaen"/>
          <w:noProof/>
          <w:lang w:val="ka-GE"/>
        </w:rPr>
        <w:t xml:space="preserve"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</w:t>
      </w:r>
      <w:r w:rsidR="0014303D">
        <w:rPr>
          <w:rFonts w:ascii="Sylfaen" w:hAnsi="Sylfaen" w:cs="Sylfaen"/>
          <w:noProof/>
          <w:lang w:val="ka-GE"/>
        </w:rPr>
        <w:t>მოახდინა</w:t>
      </w:r>
      <w:r w:rsidR="0014303D" w:rsidRPr="00B523B0">
        <w:rPr>
          <w:rFonts w:ascii="Sylfaen" w:hAnsi="Sylfaen" w:cs="Sylfaen"/>
          <w:noProof/>
          <w:lang w:val="ka-GE"/>
        </w:rPr>
        <w:t xml:space="preserve">  </w:t>
      </w:r>
      <w:r w:rsidR="0014303D" w:rsidRPr="00461AD7">
        <w:rPr>
          <w:rFonts w:ascii="Sylfaen" w:hAnsi="Sylfaen"/>
          <w:lang w:val="ka-GE"/>
        </w:rPr>
        <w:t>სამედიცინო სერვისებზე ხელმისაწვდომიბის გაზრდა,  სამედიცინო სერვისების უტილიზაციის მატება, ფინანსური ბარიერების შემცირება და  მოცვის გაფართოვება</w:t>
      </w:r>
      <w:r w:rsidR="0014303D">
        <w:rPr>
          <w:rFonts w:ascii="Sylfaen" w:hAnsi="Sylfaen"/>
          <w:lang w:val="ka-GE"/>
        </w:rPr>
        <w:t>.</w:t>
      </w:r>
    </w:p>
    <w:p w:rsidR="0014303D" w:rsidRPr="0014303D" w:rsidRDefault="0014303D" w:rsidP="0014303D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B523B0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B523B0">
        <w:rPr>
          <w:rFonts w:eastAsia="Times New Roman" w:cs="Sylfaen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 xml:space="preserve">მნიშვნელოვანი ეტაპი - </w:t>
      </w:r>
      <w:r>
        <w:rPr>
          <w:rFonts w:ascii="Sylfaen" w:eastAsia="Times New Roman" w:hAnsi="Sylfaen" w:cs="Sylfaen"/>
          <w:lang w:val="ka-GE" w:eastAsia="ka-GE"/>
        </w:rPr>
        <w:t xml:space="preserve">მოსარგებლეების დირენცირება შემოსავლების მიხედვით და </w:t>
      </w:r>
      <w:r w:rsidRPr="0014303D">
        <w:rPr>
          <w:rFonts w:eastAsia="Times New Roman" w:cs="Sylfaen"/>
          <w:lang w:val="ka-GE" w:eastAsia="ka-GE"/>
        </w:rPr>
        <w:t>,,</w:t>
      </w:r>
      <w:r w:rsidRPr="0014303D">
        <w:rPr>
          <w:rFonts w:ascii="Sylfaen" w:eastAsia="Times New Roman" w:hAnsi="Sylfaen" w:cs="Sylfaen"/>
          <w:lang w:val="ka-GE" w:eastAsia="ka-GE"/>
        </w:rPr>
        <w:t>სოციალური</w:t>
      </w:r>
      <w:r w:rsidRPr="0014303D">
        <w:rPr>
          <w:rFonts w:eastAsia="Times New Roman" w:cs="Sylfaen"/>
          <w:lang w:val="ka-GE" w:eastAsia="ka-GE"/>
        </w:rPr>
        <w:t xml:space="preserve"> </w:t>
      </w:r>
      <w:r w:rsidRPr="0014303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14303D">
        <w:rPr>
          <w:rFonts w:ascii="Calibri" w:eastAsia="Times New Roman" w:hAnsi="Calibri" w:cs="Calibri"/>
          <w:lang w:val="ka-GE" w:eastAsia="ka-GE"/>
        </w:rPr>
        <w:t>“</w:t>
      </w:r>
      <w:r w:rsidRPr="0014303D">
        <w:rPr>
          <w:rFonts w:eastAsia="Times New Roman" w:cs="Sylfaen"/>
          <w:lang w:val="ka-GE" w:eastAsia="ka-GE"/>
        </w:rPr>
        <w:t xml:space="preserve"> </w:t>
      </w:r>
      <w:r w:rsidRPr="0014303D">
        <w:rPr>
          <w:rFonts w:ascii="Sylfaen" w:eastAsia="Times New Roman" w:hAnsi="Sylfaen" w:cs="Sylfaen"/>
          <w:lang w:val="ka-GE" w:eastAsia="ka-GE"/>
        </w:rPr>
        <w:t xml:space="preserve"> პრინციპების </w:t>
      </w:r>
      <w:r w:rsidRPr="0014303D">
        <w:rPr>
          <w:rFonts w:eastAsia="Times New Roman" w:cs="Sylfae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გათვალისწინებით</w:t>
      </w:r>
    </w:p>
    <w:p w:rsidR="003D1CDD" w:rsidRPr="00654930" w:rsidRDefault="003D1CDD" w:rsidP="003D1CDD">
      <w:pPr>
        <w:numPr>
          <w:ilvl w:val="0"/>
          <w:numId w:val="7"/>
        </w:numPr>
        <w:jc w:val="both"/>
        <w:rPr>
          <w:rFonts w:ascii="Sylfaen" w:hAnsi="Sylfaen"/>
        </w:rPr>
      </w:pPr>
      <w:r w:rsidRPr="003D1CDD">
        <w:rPr>
          <w:rFonts w:ascii="Sylfaen" w:hAnsi="Sylfaen"/>
          <w:lang w:val="ka-GE"/>
        </w:rPr>
        <w:t xml:space="preserve">2016 </w:t>
      </w:r>
      <w:proofErr w:type="spellStart"/>
      <w:r w:rsidRPr="003D1CDD">
        <w:rPr>
          <w:rFonts w:ascii="Sylfaen" w:hAnsi="Sylfaen"/>
        </w:rPr>
        <w:t>წლიდან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ადრეული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ძუძუს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აგრესიული</w:t>
      </w:r>
      <w:proofErr w:type="spellEnd"/>
      <w:r w:rsidRPr="003D1CDD">
        <w:rPr>
          <w:rFonts w:ascii="Sylfaen" w:hAnsi="Sylfaen"/>
        </w:rPr>
        <w:t xml:space="preserve"> HER-2 </w:t>
      </w:r>
      <w:proofErr w:type="spellStart"/>
      <w:r w:rsidRPr="003D1CDD">
        <w:rPr>
          <w:rFonts w:ascii="Sylfaen" w:hAnsi="Sylfaen"/>
        </w:rPr>
        <w:t>რეცეპტორდადებითი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კიბოს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დიაგნოზის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მქონე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პირები</w:t>
      </w:r>
      <w:proofErr w:type="spellEnd"/>
      <w:r w:rsidRPr="003D1CDD">
        <w:rPr>
          <w:rFonts w:ascii="Sylfaen" w:hAnsi="Sylfaen"/>
          <w:lang w:val="ka-GE"/>
        </w:rPr>
        <w:t xml:space="preserve"> უზრუნველყოფილი არიან</w:t>
      </w:r>
      <w:r w:rsidRPr="003D1CDD">
        <w:rPr>
          <w:rFonts w:ascii="Sylfaen" w:hAnsi="Sylfaen"/>
        </w:rPr>
        <w:t xml:space="preserve">  </w:t>
      </w:r>
      <w:proofErr w:type="spellStart"/>
      <w:r w:rsidRPr="003D1CDD">
        <w:rPr>
          <w:rFonts w:ascii="Sylfaen" w:hAnsi="Sylfaen"/>
        </w:rPr>
        <w:t>მედიკამენტ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ტრასტუზუმაბით</w:t>
      </w:r>
      <w:proofErr w:type="spellEnd"/>
      <w:r w:rsidRPr="003D1CDD">
        <w:rPr>
          <w:rFonts w:ascii="Sylfaen" w:hAnsi="Sylfaen"/>
        </w:rPr>
        <w:t xml:space="preserve"> </w:t>
      </w:r>
      <w:bookmarkStart w:id="0" w:name="_GoBack"/>
      <w:r w:rsidRPr="003D1CDD">
        <w:rPr>
          <w:rFonts w:ascii="Sylfaen" w:hAnsi="Sylfaen"/>
        </w:rPr>
        <w:t>(</w:t>
      </w:r>
      <w:proofErr w:type="spellStart"/>
      <w:r w:rsidRPr="003D1CDD">
        <w:rPr>
          <w:rFonts w:ascii="Sylfaen" w:hAnsi="Sylfaen"/>
        </w:rPr>
        <w:t>ჰერცეპტინი</w:t>
      </w:r>
      <w:proofErr w:type="spellEnd"/>
      <w:r w:rsidR="00654930">
        <w:rPr>
          <w:rFonts w:ascii="Sylfaen" w:hAnsi="Sylfaen"/>
          <w:lang w:val="ka-GE"/>
        </w:rPr>
        <w:t xml:space="preserve">). </w:t>
      </w:r>
    </w:p>
    <w:p w:rsidR="00654930" w:rsidRPr="00CA694B" w:rsidRDefault="00654930" w:rsidP="00654930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წლიდან რეფერალური მომსახურების პროგრამის ფარგლებში </w:t>
      </w:r>
      <w:r w:rsidRPr="00CA694B">
        <w:rPr>
          <w:rFonts w:ascii="Sylfaen" w:hAnsi="Sylfaen" w:cs="Sylfaen"/>
          <w:lang w:val="ka-GE"/>
        </w:rPr>
        <w:t>ჯანდაცვის</w:t>
      </w:r>
      <w:r w:rsidRPr="00CA694B">
        <w:rPr>
          <w:rFonts w:ascii="Sylfaen" w:hAnsi="Sylfaen"/>
          <w:lang w:val="ka-GE"/>
        </w:rPr>
        <w:t xml:space="preserve"> </w:t>
      </w:r>
      <w:r w:rsidRPr="00CA694B">
        <w:rPr>
          <w:rFonts w:ascii="Sylfaen" w:hAnsi="Sylfaen" w:cs="Sylfaen"/>
          <w:lang w:val="ka-GE"/>
        </w:rPr>
        <w:t>სამინისტრომ</w:t>
      </w:r>
      <w:r w:rsidRPr="00CA694B">
        <w:rPr>
          <w:rFonts w:ascii="Sylfaen" w:hAnsi="Sylfaen"/>
          <w:lang w:val="ka-GE"/>
        </w:rPr>
        <w:t xml:space="preserve"> </w:t>
      </w:r>
      <w:r w:rsidRPr="00CA694B">
        <w:rPr>
          <w:rFonts w:ascii="Sylfaen" w:hAnsi="Sylfaen" w:cs="Sylfaen"/>
          <w:lang w:val="ka-GE"/>
        </w:rPr>
        <w:t>დაიწყო</w:t>
      </w:r>
      <w:r w:rsidRPr="00CA694B">
        <w:rPr>
          <w:rFonts w:ascii="Sylfaen" w:hAnsi="Sylfaen"/>
          <w:lang w:val="ka-GE"/>
        </w:rPr>
        <w:t xml:space="preserve">  </w:t>
      </w:r>
      <w:r w:rsidRPr="006F3EE3">
        <w:rPr>
          <w:rFonts w:ascii="Sylfaen" w:eastAsia="Sylfaen" w:hAnsi="Sylfaen"/>
        </w:rPr>
        <w:t xml:space="preserve">HER-2 </w:t>
      </w:r>
      <w:proofErr w:type="spellStart"/>
      <w:r w:rsidRPr="006F3EE3">
        <w:rPr>
          <w:rFonts w:ascii="Sylfaen" w:eastAsia="Sylfaen" w:hAnsi="Sylfaen"/>
        </w:rPr>
        <w:t>რეცეპტორ-დადებითი</w:t>
      </w:r>
      <w:proofErr w:type="spellEnd"/>
      <w:r w:rsidRPr="006F3EE3">
        <w:rPr>
          <w:rFonts w:ascii="Sylfaen" w:eastAsia="Sylfaen" w:hAnsi="Sylfaen"/>
        </w:rPr>
        <w:t xml:space="preserve"> </w:t>
      </w:r>
      <w:r w:rsidRPr="006F3EE3">
        <w:rPr>
          <w:rFonts w:ascii="Sylfaen" w:eastAsia="Sylfaen" w:hAnsi="Sylfaen"/>
          <w:lang w:val="ka-GE"/>
        </w:rPr>
        <w:t xml:space="preserve">ძუძუს მეტასტაზური კიბოს </w:t>
      </w:r>
      <w:proofErr w:type="spellStart"/>
      <w:r w:rsidRPr="006F3EE3">
        <w:rPr>
          <w:rFonts w:ascii="Sylfaen" w:eastAsia="Sylfaen" w:hAnsi="Sylfaen"/>
        </w:rPr>
        <w:t>დიაგნოზის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მქონე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პირების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მედიკამენტ</w:t>
      </w:r>
      <w:proofErr w:type="spellEnd"/>
      <w:r w:rsidRPr="006F3EE3">
        <w:rPr>
          <w:rFonts w:ascii="Sylfaen" w:eastAsia="Sylfaen" w:hAnsi="Sylfaen"/>
          <w:lang w:val="ka-GE"/>
        </w:rPr>
        <w:t>ებ</w:t>
      </w:r>
      <w:proofErr w:type="spellStart"/>
      <w:r w:rsidRPr="006F3EE3">
        <w:rPr>
          <w:rFonts w:ascii="Sylfaen" w:eastAsia="Sylfaen" w:hAnsi="Sylfaen"/>
        </w:rPr>
        <w:t>ით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ნაწილობრივ</w:t>
      </w:r>
      <w:proofErr w:type="spellEnd"/>
      <w:r>
        <w:rPr>
          <w:rFonts w:ascii="Sylfaen" w:eastAsia="Sylfaen" w:hAnsi="Sylfaen"/>
          <w:lang w:val="ka-GE"/>
        </w:rPr>
        <w:t>ი</w:t>
      </w:r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ან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სრულად</w:t>
      </w:r>
      <w:proofErr w:type="spellEnd"/>
      <w:r w:rsidRPr="006F3EE3">
        <w:rPr>
          <w:rFonts w:ascii="Sylfaen" w:eastAsia="Sylfaen" w:hAnsi="Sylfaen"/>
        </w:rPr>
        <w:t xml:space="preserve"> </w:t>
      </w:r>
      <w:proofErr w:type="spellStart"/>
      <w:r w:rsidRPr="006F3EE3">
        <w:rPr>
          <w:rFonts w:ascii="Sylfaen" w:eastAsia="Sylfaen" w:hAnsi="Sylfaen"/>
        </w:rPr>
        <w:t>უზრუნველყოფა</w:t>
      </w:r>
      <w:proofErr w:type="spellEnd"/>
      <w:r>
        <w:rPr>
          <w:rFonts w:ascii="Sylfaen" w:eastAsia="Sylfaen" w:hAnsi="Sylfaen"/>
          <w:lang w:val="ka-GE"/>
        </w:rPr>
        <w:t>.</w:t>
      </w:r>
    </w:p>
    <w:p w:rsidR="00000000" w:rsidRPr="003D1CDD" w:rsidRDefault="00F6550A" w:rsidP="003D1CDD">
      <w:pPr>
        <w:numPr>
          <w:ilvl w:val="0"/>
          <w:numId w:val="7"/>
        </w:numPr>
        <w:jc w:val="both"/>
        <w:rPr>
          <w:rFonts w:ascii="Sylfaen" w:hAnsi="Sylfaen"/>
        </w:rPr>
      </w:pPr>
      <w:r w:rsidRPr="003D1CDD">
        <w:rPr>
          <w:rFonts w:ascii="Sylfaen" w:hAnsi="Sylfaen"/>
        </w:rPr>
        <w:t xml:space="preserve">2017 </w:t>
      </w:r>
      <w:proofErr w:type="spellStart"/>
      <w:r w:rsidRPr="003D1CDD">
        <w:rPr>
          <w:rFonts w:ascii="Sylfaen" w:hAnsi="Sylfaen"/>
        </w:rPr>
        <w:t>წლის</w:t>
      </w:r>
      <w:proofErr w:type="spellEnd"/>
      <w:r w:rsidRPr="003D1CDD">
        <w:rPr>
          <w:rFonts w:ascii="Sylfaen" w:hAnsi="Sylfaen"/>
        </w:rPr>
        <w:t xml:space="preserve"> 1 </w:t>
      </w:r>
      <w:proofErr w:type="spellStart"/>
      <w:r w:rsidRPr="003D1CDD">
        <w:rPr>
          <w:rFonts w:ascii="Sylfaen" w:hAnsi="Sylfaen"/>
        </w:rPr>
        <w:t>ივლისიდან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ქრონიკული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დაავადებების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მქონე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პირთათვის</w:t>
      </w:r>
      <w:proofErr w:type="spellEnd"/>
      <w:r w:rsidRPr="003D1CDD">
        <w:rPr>
          <w:rFonts w:ascii="Sylfaen" w:hAnsi="Sylfaen"/>
        </w:rPr>
        <w:t xml:space="preserve">, </w:t>
      </w:r>
      <w:proofErr w:type="spellStart"/>
      <w:r w:rsidRPr="003D1CDD">
        <w:rPr>
          <w:rFonts w:ascii="Sylfaen" w:hAnsi="Sylfaen"/>
        </w:rPr>
        <w:t>ამოქმედდა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ქრონიკული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დაავადებების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სამკურნალო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მედიკამენტებით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უზრუნველყოფის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სახელმწიფო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პროგრამა</w:t>
      </w:r>
      <w:proofErr w:type="spellEnd"/>
      <w:r w:rsidR="00654930">
        <w:rPr>
          <w:rFonts w:ascii="Sylfaen" w:hAnsi="Sylfaen"/>
          <w:lang w:val="ka-GE"/>
        </w:rPr>
        <w:t xml:space="preserve">, ომლის ფარგლებში გათვალისწინებულია </w:t>
      </w:r>
      <w:r w:rsidR="00654930" w:rsidRPr="00B523B0">
        <w:rPr>
          <w:rFonts w:ascii="Sylfaen" w:eastAsia="Times New Roman" w:hAnsi="Sylfaen" w:cs="Sylfaen"/>
          <w:lang w:val="ka-GE" w:eastAsia="ka-GE"/>
        </w:rPr>
        <w:t>გულ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>-</w:t>
      </w:r>
      <w:r w:rsidR="00654930" w:rsidRPr="00B523B0">
        <w:rPr>
          <w:rFonts w:ascii="Sylfaen" w:eastAsia="Times New Roman" w:hAnsi="Sylfaen" w:cs="Sylfaen"/>
          <w:lang w:val="ka-GE" w:eastAsia="ka-GE"/>
        </w:rPr>
        <w:t>სისხლძარღვთა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,  </w:t>
      </w:r>
      <w:r w:rsidR="00654930" w:rsidRPr="00B523B0">
        <w:rPr>
          <w:rFonts w:ascii="Sylfaen" w:eastAsia="Times New Roman" w:hAnsi="Sylfaen" w:cs="Sylfaen"/>
          <w:lang w:val="ka-GE" w:eastAsia="ka-GE"/>
        </w:rPr>
        <w:t>ფილტვის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, </w:t>
      </w:r>
      <w:r w:rsidR="00654930" w:rsidRPr="00B523B0">
        <w:rPr>
          <w:rFonts w:ascii="Sylfaen" w:eastAsia="Times New Roman" w:hAnsi="Sylfaen" w:cs="Sylfaen"/>
          <w:lang w:val="ka-GE" w:eastAsia="ka-GE"/>
        </w:rPr>
        <w:t>დიაბეტის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(</w:t>
      </w:r>
      <w:r w:rsidR="00654930" w:rsidRPr="00B523B0">
        <w:rPr>
          <w:rFonts w:ascii="Sylfaen" w:eastAsia="Times New Roman" w:hAnsi="Sylfaen" w:cs="Sylfaen"/>
          <w:lang w:val="ka-GE" w:eastAsia="ka-GE"/>
        </w:rPr>
        <w:t>ტიპი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2) </w:t>
      </w:r>
      <w:r w:rsidR="00654930" w:rsidRPr="00B523B0">
        <w:rPr>
          <w:rFonts w:ascii="Sylfaen" w:eastAsia="Times New Roman" w:hAnsi="Sylfaen" w:cs="Sylfaen"/>
          <w:lang w:val="ka-GE" w:eastAsia="ka-GE"/>
        </w:rPr>
        <w:t>და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ფარისებრი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ჯირკვლის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დაავადებათა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რიგი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სამკურნალო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პაციენტთა</w:t>
      </w:r>
      <w:r w:rsidR="00654930"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="00654930" w:rsidRPr="00B523B0">
        <w:rPr>
          <w:rFonts w:ascii="Sylfaen" w:eastAsia="Times New Roman" w:hAnsi="Sylfaen" w:cs="Sylfaen"/>
          <w:lang w:val="ka-GE" w:eastAsia="ka-GE"/>
        </w:rPr>
        <w:t>უზრუნველყოფა</w:t>
      </w:r>
      <w:r w:rsidR="00654930">
        <w:rPr>
          <w:rFonts w:ascii="Sylfaen" w:eastAsia="Times New Roman" w:hAnsi="Sylfaen" w:cs="Sylfaen"/>
          <w:lang w:val="ka-GE" w:eastAsia="ka-GE"/>
        </w:rPr>
        <w:t xml:space="preserve">. </w:t>
      </w:r>
      <w:r w:rsidR="00654930" w:rsidRPr="00B523B0">
        <w:rPr>
          <w:noProof/>
          <w:lang w:val="ka-GE"/>
        </w:rPr>
        <w:t xml:space="preserve">2018 </w:t>
      </w:r>
      <w:r w:rsidR="00654930" w:rsidRPr="00B523B0">
        <w:rPr>
          <w:rFonts w:ascii="Sylfaen" w:hAnsi="Sylfaen" w:cs="Sylfaen"/>
          <w:noProof/>
          <w:lang w:val="ka-GE"/>
        </w:rPr>
        <w:t>წლის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შემოდგომიდან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მედიკამენტების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ჩამონათვალს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დაემატა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პარკინსონისა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და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ეპილეფსიის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სამკურნალო</w:t>
      </w:r>
      <w:r w:rsidR="00654930" w:rsidRPr="00B523B0">
        <w:rPr>
          <w:noProof/>
          <w:lang w:val="ka-GE"/>
        </w:rPr>
        <w:t xml:space="preserve"> </w:t>
      </w:r>
      <w:r w:rsidR="00654930" w:rsidRPr="00B523B0">
        <w:rPr>
          <w:rFonts w:ascii="Sylfaen" w:hAnsi="Sylfaen" w:cs="Sylfaen"/>
          <w:noProof/>
          <w:lang w:val="ka-GE"/>
        </w:rPr>
        <w:t>მედიკამენეტები</w:t>
      </w:r>
      <w:r w:rsidR="00654930">
        <w:rPr>
          <w:rFonts w:ascii="Sylfaen" w:hAnsi="Sylfaen" w:cs="Sylfaen"/>
          <w:noProof/>
          <w:lang w:val="ka-GE"/>
        </w:rPr>
        <w:t xml:space="preserve">. </w:t>
      </w:r>
      <w:r w:rsidR="00654930">
        <w:rPr>
          <w:rFonts w:ascii="Sylfaen" w:hAnsi="Sylfaen"/>
          <w:noProof/>
          <w:lang w:val="ka-GE"/>
        </w:rPr>
        <w:t xml:space="preserve">2019 წლის აგვსიტოდან </w:t>
      </w:r>
      <w:r w:rsidR="00654930">
        <w:rPr>
          <w:rFonts w:ascii="Sylfaen" w:hAnsi="Sylfaen" w:cs="Sylfaen"/>
          <w:noProof/>
          <w:lang w:val="ka-GE"/>
        </w:rPr>
        <w:t xml:space="preserve">სოციალურად დაუცველი მოსახლეობა, </w:t>
      </w:r>
      <w:r w:rsidR="00654930">
        <w:rPr>
          <w:rFonts w:ascii="Sylfaen" w:hAnsi="Sylfaen"/>
          <w:lang w:val="ka-GE"/>
        </w:rPr>
        <w:lastRenderedPageBreak/>
        <w:t xml:space="preserve">პენსიონერები, </w:t>
      </w:r>
      <w:r w:rsidR="00654930" w:rsidRPr="00CA694B">
        <w:rPr>
          <w:rFonts w:ascii="Sylfaen" w:hAnsi="Sylfaen"/>
          <w:lang w:val="ka-GE"/>
        </w:rPr>
        <w:t>შეზღუდული</w:t>
      </w:r>
      <w:r w:rsidR="00654930" w:rsidRPr="00B523B0">
        <w:rPr>
          <w:lang w:val="ka-GE"/>
        </w:rPr>
        <w:t xml:space="preserve"> </w:t>
      </w:r>
      <w:r w:rsidR="00654930" w:rsidRPr="00CA694B">
        <w:rPr>
          <w:rFonts w:ascii="Sylfaen" w:hAnsi="Sylfaen"/>
          <w:lang w:val="ka-GE"/>
        </w:rPr>
        <w:t>შესაძლებლობის</w:t>
      </w:r>
      <w:r w:rsidR="00654930" w:rsidRPr="00B523B0">
        <w:rPr>
          <w:lang w:val="ka-GE"/>
        </w:rPr>
        <w:t xml:space="preserve"> </w:t>
      </w:r>
      <w:r w:rsidR="00654930" w:rsidRPr="00CA694B">
        <w:rPr>
          <w:rFonts w:ascii="Sylfaen" w:hAnsi="Sylfaen"/>
          <w:lang w:val="ka-GE"/>
        </w:rPr>
        <w:t>მქონე</w:t>
      </w:r>
      <w:r w:rsidR="00654930" w:rsidRPr="00B523B0">
        <w:rPr>
          <w:lang w:val="ka-GE"/>
        </w:rPr>
        <w:t xml:space="preserve"> </w:t>
      </w:r>
      <w:r w:rsidR="00654930" w:rsidRPr="00CA694B">
        <w:rPr>
          <w:rFonts w:ascii="Sylfaen" w:hAnsi="Sylfaen"/>
          <w:lang w:val="ka-GE"/>
        </w:rPr>
        <w:t>პირები</w:t>
      </w:r>
      <w:r w:rsidR="00654930">
        <w:rPr>
          <w:rFonts w:ascii="Sylfaen" w:hAnsi="Sylfaen"/>
          <w:lang w:val="ka-GE"/>
        </w:rPr>
        <w:t xml:space="preserve">და ვეტერანები </w:t>
      </w:r>
      <w:r w:rsidR="00654930" w:rsidRPr="00426F20">
        <w:rPr>
          <w:rFonts w:ascii="Sylfaen" w:hAnsi="Sylfaen" w:cs="Sylfaen"/>
          <w:szCs w:val="20"/>
          <w:lang w:val="ka-GE"/>
        </w:rPr>
        <w:t>მედიკამენტებს</w:t>
      </w:r>
      <w:r w:rsidR="00654930" w:rsidRPr="00426F20">
        <w:rPr>
          <w:rFonts w:ascii="Sylfaen" w:hAnsi="Sylfaen" w:cs="Arial"/>
          <w:szCs w:val="20"/>
          <w:lang w:val="ka-GE"/>
        </w:rPr>
        <w:t xml:space="preserve"> </w:t>
      </w:r>
      <w:r w:rsidR="00654930" w:rsidRPr="00426F20">
        <w:rPr>
          <w:rFonts w:ascii="Sylfaen" w:hAnsi="Sylfaen" w:cs="Sylfaen"/>
          <w:szCs w:val="20"/>
          <w:lang w:val="ka-GE"/>
        </w:rPr>
        <w:t>სიმბოლურ</w:t>
      </w:r>
      <w:r w:rsidR="00654930" w:rsidRPr="00426F20">
        <w:rPr>
          <w:rFonts w:ascii="Sylfaen" w:hAnsi="Sylfaen" w:cs="Arial"/>
          <w:szCs w:val="20"/>
          <w:lang w:val="ka-GE"/>
        </w:rPr>
        <w:t xml:space="preserve"> 1 </w:t>
      </w:r>
      <w:r w:rsidR="00654930" w:rsidRPr="00426F20">
        <w:rPr>
          <w:rFonts w:ascii="Sylfaen" w:hAnsi="Sylfaen" w:cs="Sylfaen"/>
          <w:szCs w:val="20"/>
          <w:lang w:val="ka-GE"/>
        </w:rPr>
        <w:t>ლარად</w:t>
      </w:r>
      <w:r w:rsidR="00654930">
        <w:rPr>
          <w:rFonts w:ascii="Sylfaen" w:hAnsi="Sylfaen" w:cs="Arial"/>
          <w:szCs w:val="20"/>
          <w:lang w:val="ka-GE"/>
        </w:rPr>
        <w:t xml:space="preserve"> იღებენ.</w:t>
      </w:r>
    </w:p>
    <w:p w:rsidR="00000000" w:rsidRPr="003D1CDD" w:rsidRDefault="00F6550A" w:rsidP="003D1CDD">
      <w:pPr>
        <w:numPr>
          <w:ilvl w:val="0"/>
          <w:numId w:val="7"/>
        </w:numPr>
        <w:jc w:val="both"/>
        <w:rPr>
          <w:rFonts w:ascii="Sylfaen" w:hAnsi="Sylfaen"/>
        </w:rPr>
      </w:pPr>
      <w:r w:rsidRPr="003D1CDD">
        <w:rPr>
          <w:rFonts w:ascii="Sylfaen" w:hAnsi="Sylfaen"/>
          <w:lang w:val="ka-GE"/>
        </w:rPr>
        <w:t xml:space="preserve">2017 </w:t>
      </w:r>
      <w:r w:rsidRPr="003D1CDD">
        <w:rPr>
          <w:rFonts w:ascii="Sylfaen" w:hAnsi="Sylfaen"/>
          <w:lang w:val="ka-GE"/>
        </w:rPr>
        <w:t>წლის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მარტიდან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დაიწყო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სელექტიური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კონტრაქტირება</w:t>
      </w:r>
      <w:r w:rsidRPr="003D1CDD">
        <w:rPr>
          <w:rFonts w:ascii="Sylfaen" w:hAnsi="Sylfaen"/>
          <w:lang w:val="ka-GE"/>
        </w:rPr>
        <w:t xml:space="preserve"> </w:t>
      </w:r>
      <w:r w:rsidRPr="003D1CDD">
        <w:rPr>
          <w:rFonts w:ascii="Sylfaen" w:hAnsi="Sylfaen"/>
          <w:lang w:val="ka-GE"/>
        </w:rPr>
        <w:t>და</w:t>
      </w:r>
      <w:r w:rsidRPr="003D1CDD">
        <w:rPr>
          <w:rFonts w:ascii="Sylfaen" w:hAnsi="Sylfaen"/>
          <w:lang w:val="ka-GE"/>
        </w:rPr>
        <w:t xml:space="preserve"> </w:t>
      </w:r>
      <w:r w:rsidR="003D1CDD">
        <w:rPr>
          <w:rFonts w:ascii="Sylfaen" w:hAnsi="Sylfaen"/>
          <w:lang w:val="ka-GE"/>
        </w:rPr>
        <w:t xml:space="preserve">პროცესი </w:t>
      </w:r>
      <w:r w:rsidRPr="003D1CDD">
        <w:rPr>
          <w:rFonts w:ascii="Sylfaen" w:hAnsi="Sylfaen"/>
          <w:lang w:val="ka-GE"/>
        </w:rPr>
        <w:t>გრძელდება</w:t>
      </w:r>
    </w:p>
    <w:p w:rsidR="00C559F0" w:rsidRPr="004C708D" w:rsidRDefault="00C559F0" w:rsidP="00C559F0">
      <w:pPr>
        <w:numPr>
          <w:ilvl w:val="0"/>
          <w:numId w:val="7"/>
        </w:numPr>
        <w:jc w:val="both"/>
        <w:rPr>
          <w:rFonts w:ascii="Sylfaen" w:hAnsi="Sylfaen"/>
        </w:rPr>
      </w:pPr>
      <w:r w:rsidRPr="00F966DD">
        <w:rPr>
          <w:rFonts w:ascii="Sylfaen" w:hAnsi="Sylfaen"/>
        </w:rPr>
        <w:t>201</w:t>
      </w:r>
      <w:r>
        <w:rPr>
          <w:rFonts w:ascii="Sylfaen" w:hAnsi="Sylfaen"/>
          <w:lang w:val="ka-GE"/>
        </w:rPr>
        <w:t>9</w:t>
      </w:r>
      <w:r w:rsidRPr="00F966DD">
        <w:rPr>
          <w:rFonts w:ascii="Sylfaen" w:hAnsi="Sylfaen"/>
        </w:rPr>
        <w:t xml:space="preserve"> </w:t>
      </w:r>
      <w:r w:rsidRPr="00F966DD">
        <w:rPr>
          <w:rFonts w:ascii="Sylfaen" w:hAnsi="Sylfaen"/>
          <w:lang w:val="ka-GE"/>
        </w:rPr>
        <w:t xml:space="preserve">წლიდან დაიწყო </w:t>
      </w:r>
      <w:r w:rsidRPr="00BC1542">
        <w:rPr>
          <w:rFonts w:ascii="&amp;quot" w:hAnsi="&amp;quot"/>
        </w:rPr>
        <w:t>GMP (</w:t>
      </w:r>
      <w:proofErr w:type="spellStart"/>
      <w:r w:rsidRPr="00BC1542">
        <w:rPr>
          <w:rFonts w:ascii="Sylfaen" w:hAnsi="Sylfaen" w:cs="Sylfaen"/>
        </w:rPr>
        <w:t>კარგი</w:t>
      </w:r>
      <w:proofErr w:type="spellEnd"/>
      <w:r w:rsidRPr="00BC1542">
        <w:rPr>
          <w:rFonts w:ascii="&amp;quot" w:hAnsi="&amp;quot"/>
        </w:rPr>
        <w:t xml:space="preserve"> </w:t>
      </w:r>
      <w:proofErr w:type="spellStart"/>
      <w:r w:rsidRPr="00BC1542">
        <w:rPr>
          <w:rFonts w:ascii="Sylfaen" w:hAnsi="Sylfaen" w:cs="Sylfaen"/>
        </w:rPr>
        <w:t>საწარმოო</w:t>
      </w:r>
      <w:proofErr w:type="spellEnd"/>
      <w:r w:rsidRPr="00BC1542">
        <w:rPr>
          <w:rFonts w:ascii="&amp;quot" w:hAnsi="&amp;quot"/>
        </w:rPr>
        <w:t xml:space="preserve"> </w:t>
      </w:r>
      <w:proofErr w:type="spellStart"/>
      <w:r w:rsidRPr="00BC1542">
        <w:rPr>
          <w:rFonts w:ascii="Sylfaen" w:hAnsi="Sylfaen" w:cs="Sylfaen"/>
        </w:rPr>
        <w:t>პრაქტიკის</w:t>
      </w:r>
      <w:proofErr w:type="spellEnd"/>
      <w:r w:rsidRPr="00BC1542">
        <w:rPr>
          <w:rFonts w:ascii="&amp;quot" w:hAnsi="&amp;quot"/>
        </w:rPr>
        <w:t xml:space="preserve">) </w:t>
      </w:r>
      <w:proofErr w:type="spellStart"/>
      <w:r w:rsidRPr="00BC1542">
        <w:rPr>
          <w:rFonts w:ascii="Sylfaen" w:hAnsi="Sylfaen" w:cs="Sylfaen"/>
        </w:rPr>
        <w:t>და</w:t>
      </w:r>
      <w:proofErr w:type="spellEnd"/>
      <w:r w:rsidRPr="00BC1542">
        <w:rPr>
          <w:rFonts w:ascii="&amp;quot" w:hAnsi="&amp;quot"/>
        </w:rPr>
        <w:t xml:space="preserve"> GDP (</w:t>
      </w:r>
      <w:proofErr w:type="spellStart"/>
      <w:r w:rsidRPr="00BC1542">
        <w:rPr>
          <w:rFonts w:ascii="Sylfaen" w:hAnsi="Sylfaen" w:cs="Sylfaen"/>
        </w:rPr>
        <w:t>კარგი</w:t>
      </w:r>
      <w:proofErr w:type="spellEnd"/>
      <w:r w:rsidRPr="00BC1542">
        <w:rPr>
          <w:rFonts w:ascii="&amp;quot" w:hAnsi="&amp;quot"/>
        </w:rPr>
        <w:t xml:space="preserve"> </w:t>
      </w:r>
      <w:proofErr w:type="spellStart"/>
      <w:r w:rsidRPr="00BC1542">
        <w:rPr>
          <w:rFonts w:ascii="Sylfaen" w:hAnsi="Sylfaen" w:cs="Sylfaen"/>
        </w:rPr>
        <w:t>დისტრიბუციის</w:t>
      </w:r>
      <w:proofErr w:type="spellEnd"/>
      <w:r w:rsidRPr="00BC1542">
        <w:rPr>
          <w:rFonts w:ascii="&amp;quot" w:hAnsi="&amp;quot"/>
        </w:rPr>
        <w:t xml:space="preserve"> </w:t>
      </w:r>
      <w:proofErr w:type="spellStart"/>
      <w:r w:rsidRPr="00BC1542">
        <w:rPr>
          <w:rFonts w:ascii="Sylfaen" w:hAnsi="Sylfaen" w:cs="Sylfaen"/>
        </w:rPr>
        <w:t>პრაქტიკის</w:t>
      </w:r>
      <w:proofErr w:type="spellEnd"/>
      <w:r w:rsidRPr="00BC1542">
        <w:rPr>
          <w:rFonts w:ascii="&amp;quot" w:hAnsi="&amp;quot"/>
        </w:rPr>
        <w:t xml:space="preserve">) </w:t>
      </w:r>
      <w:proofErr w:type="spellStart"/>
      <w:r w:rsidRPr="00BC1542">
        <w:rPr>
          <w:rFonts w:ascii="Sylfaen" w:hAnsi="Sylfaen" w:cs="Sylfaen"/>
        </w:rPr>
        <w:t>სტანდარტის</w:t>
      </w:r>
      <w:proofErr w:type="spellEnd"/>
      <w:r w:rsidRPr="00BC1542">
        <w:rPr>
          <w:rFonts w:ascii="&amp;quot" w:hAnsi="&amp;quot"/>
        </w:rPr>
        <w:t xml:space="preserve"> </w:t>
      </w:r>
      <w:proofErr w:type="spellStart"/>
      <w:r w:rsidRPr="00BC1542">
        <w:rPr>
          <w:rFonts w:ascii="Sylfaen" w:hAnsi="Sylfaen" w:cs="Sylfaen"/>
        </w:rPr>
        <w:t>დანერგვა</w:t>
      </w:r>
      <w:proofErr w:type="spellEnd"/>
      <w:r w:rsidRPr="00BC1542">
        <w:rPr>
          <w:rFonts w:ascii="Sylfaen" w:hAnsi="Sylfaen" w:cs="Sylfaen"/>
          <w:lang w:val="ka-GE"/>
        </w:rPr>
        <w:t xml:space="preserve">,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ზრდას.  </w:t>
      </w:r>
    </w:p>
    <w:p w:rsidR="00000000" w:rsidRPr="00654930" w:rsidRDefault="00654930" w:rsidP="003D1CDD">
      <w:pPr>
        <w:numPr>
          <w:ilvl w:val="0"/>
          <w:numId w:val="7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მომსახურების ხარჯეფექტიანობის გაუჯობესების მიზნით, </w:t>
      </w:r>
      <w:r w:rsidR="00F6550A" w:rsidRPr="003D1CDD">
        <w:rPr>
          <w:rFonts w:ascii="Sylfaen" w:hAnsi="Sylfaen"/>
          <w:lang w:val="ka-GE"/>
        </w:rPr>
        <w:t xml:space="preserve">2020 </w:t>
      </w:r>
      <w:r w:rsidR="00F6550A" w:rsidRPr="003D1CDD">
        <w:rPr>
          <w:rFonts w:ascii="Sylfaen" w:hAnsi="Sylfaen"/>
          <w:lang w:val="ka-GE"/>
        </w:rPr>
        <w:t>წლიდან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დაიწყება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მომსახურების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მიმწოდებლების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ანაზღაურების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ახალი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მეთოდების</w:t>
      </w:r>
      <w:r w:rsidR="00F6550A" w:rsidRPr="003D1CDD">
        <w:rPr>
          <w:rFonts w:ascii="Sylfaen" w:hAnsi="Sylfaen"/>
          <w:lang w:val="ka-GE"/>
        </w:rPr>
        <w:t xml:space="preserve"> </w:t>
      </w:r>
      <w:r w:rsidR="00F6550A" w:rsidRPr="003D1CDD">
        <w:rPr>
          <w:rFonts w:ascii="Sylfaen" w:hAnsi="Sylfaen"/>
          <w:lang w:val="ka-GE"/>
        </w:rPr>
        <w:t>დანერგვა</w:t>
      </w:r>
    </w:p>
    <w:p w:rsidR="00654930" w:rsidRPr="00C559F0" w:rsidRDefault="00654930" w:rsidP="003D1CDD">
      <w:pPr>
        <w:numPr>
          <w:ilvl w:val="0"/>
          <w:numId w:val="7"/>
        </w:numPr>
        <w:jc w:val="both"/>
        <w:rPr>
          <w:rFonts w:ascii="Sylfaen" w:hAnsi="Sylfaen"/>
        </w:rPr>
      </w:pPr>
      <w:r w:rsidRPr="003D1CDD">
        <w:rPr>
          <w:rFonts w:ascii="Sylfaen" w:hAnsi="Sylfaen"/>
          <w:lang w:val="ka-GE"/>
        </w:rPr>
        <w:t xml:space="preserve">2020 წლიდან </w:t>
      </w:r>
      <w:r>
        <w:rPr>
          <w:rFonts w:ascii="Sylfaen" w:hAnsi="Sylfaen"/>
          <w:lang w:val="ka-GE"/>
        </w:rPr>
        <w:t xml:space="preserve">შეიცვლება </w:t>
      </w:r>
      <w:proofErr w:type="spellStart"/>
      <w:r w:rsidRPr="003D1CDD">
        <w:rPr>
          <w:rFonts w:ascii="Sylfaen" w:hAnsi="Sylfaen"/>
        </w:rPr>
        <w:t>ქრონიკული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დაავადებების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სამკურნალო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მედიკამენტებით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უზრუნველყოფის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 w:rsidRPr="003D1CDD">
        <w:rPr>
          <w:rFonts w:ascii="Sylfaen" w:hAnsi="Sylfaen"/>
        </w:rPr>
        <w:t>სახელმწიფო</w:t>
      </w:r>
      <w:proofErr w:type="spellEnd"/>
      <w:r w:rsidRPr="003D1CDD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</w:t>
      </w:r>
      <w:proofErr w:type="spellEnd"/>
      <w:r>
        <w:rPr>
          <w:rFonts w:ascii="Sylfaen" w:hAnsi="Sylfaen"/>
          <w:lang w:val="ka-GE"/>
        </w:rPr>
        <w:t xml:space="preserve">ის დიზაინი </w:t>
      </w:r>
    </w:p>
    <w:bookmarkEnd w:id="0"/>
    <w:p w:rsidR="003D1CDD" w:rsidRPr="003D1CDD" w:rsidRDefault="003D1CDD" w:rsidP="003D1CDD">
      <w:pPr>
        <w:jc w:val="both"/>
        <w:rPr>
          <w:rFonts w:ascii="Sylfaen" w:hAnsi="Sylfaen"/>
        </w:rPr>
      </w:pPr>
    </w:p>
    <w:p w:rsidR="003D1CDD" w:rsidRPr="003D1CDD" w:rsidRDefault="003D1CDD" w:rsidP="00B61D7E">
      <w:pPr>
        <w:jc w:val="both"/>
        <w:rPr>
          <w:rFonts w:ascii="Sylfaen" w:hAnsi="Sylfaen"/>
          <w:lang w:val="ka-GE"/>
        </w:rPr>
      </w:pPr>
    </w:p>
    <w:p w:rsidR="00AF093B" w:rsidRPr="00CA473B" w:rsidRDefault="00CA47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AF093B" w:rsidRPr="00CA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0A" w:rsidRDefault="00F6550A" w:rsidP="00B61D7E">
      <w:pPr>
        <w:spacing w:after="0" w:line="240" w:lineRule="auto"/>
      </w:pPr>
      <w:r>
        <w:separator/>
      </w:r>
    </w:p>
  </w:endnote>
  <w:endnote w:type="continuationSeparator" w:id="0">
    <w:p w:rsidR="00F6550A" w:rsidRDefault="00F6550A" w:rsidP="00B6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0A" w:rsidRDefault="00F6550A" w:rsidP="00B61D7E">
      <w:pPr>
        <w:spacing w:after="0" w:line="240" w:lineRule="auto"/>
      </w:pPr>
      <w:r>
        <w:separator/>
      </w:r>
    </w:p>
  </w:footnote>
  <w:footnote w:type="continuationSeparator" w:id="0">
    <w:p w:rsidR="00F6550A" w:rsidRDefault="00F6550A" w:rsidP="00B6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C7B"/>
    <w:multiLevelType w:val="hybridMultilevel"/>
    <w:tmpl w:val="C256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BED"/>
    <w:multiLevelType w:val="hybridMultilevel"/>
    <w:tmpl w:val="41385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3359"/>
    <w:multiLevelType w:val="hybridMultilevel"/>
    <w:tmpl w:val="4734FBC2"/>
    <w:lvl w:ilvl="0" w:tplc="95D0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C071F"/>
    <w:multiLevelType w:val="hybridMultilevel"/>
    <w:tmpl w:val="D69A5C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D13A13"/>
    <w:multiLevelType w:val="hybridMultilevel"/>
    <w:tmpl w:val="4E0A65D8"/>
    <w:lvl w:ilvl="0" w:tplc="6EA41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2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A5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21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E4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2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2C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68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CF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6F5806"/>
    <w:multiLevelType w:val="hybridMultilevel"/>
    <w:tmpl w:val="4C4424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A6297"/>
    <w:multiLevelType w:val="hybridMultilevel"/>
    <w:tmpl w:val="F88A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25E87"/>
    <w:multiLevelType w:val="hybridMultilevel"/>
    <w:tmpl w:val="3280C778"/>
    <w:lvl w:ilvl="0" w:tplc="D3585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C5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4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A2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82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8F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A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43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E8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372474"/>
    <w:multiLevelType w:val="hybridMultilevel"/>
    <w:tmpl w:val="740C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4741F"/>
    <w:multiLevelType w:val="hybridMultilevel"/>
    <w:tmpl w:val="9C5C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05A16"/>
    <w:multiLevelType w:val="hybridMultilevel"/>
    <w:tmpl w:val="85EC1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66AFE"/>
    <w:multiLevelType w:val="hybridMultilevel"/>
    <w:tmpl w:val="9CB66E6A"/>
    <w:lvl w:ilvl="0" w:tplc="5CACC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A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29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4D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E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6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87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29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4F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F1E24CF"/>
    <w:multiLevelType w:val="hybridMultilevel"/>
    <w:tmpl w:val="A0B24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9D"/>
    <w:rsid w:val="00002569"/>
    <w:rsid w:val="0001090B"/>
    <w:rsid w:val="0014303D"/>
    <w:rsid w:val="00163242"/>
    <w:rsid w:val="001F5754"/>
    <w:rsid w:val="00282149"/>
    <w:rsid w:val="003D1CDD"/>
    <w:rsid w:val="0044309D"/>
    <w:rsid w:val="004C708D"/>
    <w:rsid w:val="00534194"/>
    <w:rsid w:val="00554975"/>
    <w:rsid w:val="00654930"/>
    <w:rsid w:val="007F71DD"/>
    <w:rsid w:val="00814D23"/>
    <w:rsid w:val="009E123E"/>
    <w:rsid w:val="00AF093B"/>
    <w:rsid w:val="00B11F6A"/>
    <w:rsid w:val="00B61D7E"/>
    <w:rsid w:val="00B92C98"/>
    <w:rsid w:val="00C40A4D"/>
    <w:rsid w:val="00C559F0"/>
    <w:rsid w:val="00C9311C"/>
    <w:rsid w:val="00CA473B"/>
    <w:rsid w:val="00D80D6C"/>
    <w:rsid w:val="00E622AD"/>
    <w:rsid w:val="00F6068E"/>
    <w:rsid w:val="00F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7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1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D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1D7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1D7E"/>
    <w:rPr>
      <w:color w:val="0000FF"/>
      <w:u w:val="singl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F606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143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7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1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D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1D7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1D7E"/>
    <w:rPr>
      <w:color w:val="0000FF"/>
      <w:u w:val="singl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F606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14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05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9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9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0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Ketevan Goginashvili</cp:lastModifiedBy>
  <cp:revision>7</cp:revision>
  <dcterms:created xsi:type="dcterms:W3CDTF">2019-10-18T14:13:00Z</dcterms:created>
  <dcterms:modified xsi:type="dcterms:W3CDTF">2019-10-18T15:11:00Z</dcterms:modified>
</cp:coreProperties>
</file>