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1C2BF7" w:rsidRDefault="00754548" w:rsidP="00BA1F07">
      <w:pPr>
        <w:spacing w:after="0" w:line="240" w:lineRule="auto"/>
        <w:jc w:val="center"/>
        <w:rPr>
          <w:rFonts w:ascii="Sylfaen" w:hAnsi="Sylfaen"/>
          <w:b/>
          <w:sz w:val="24"/>
          <w:szCs w:val="24"/>
          <w:lang w:val="ka-GE"/>
        </w:rPr>
      </w:pPr>
      <w:r w:rsidRPr="00C61C17">
        <w:rPr>
          <w:rFonts w:ascii="Sylfaen" w:hAnsi="Sylfaen"/>
          <w:b/>
          <w:sz w:val="24"/>
          <w:szCs w:val="24"/>
          <w:lang w:val="ka-GE"/>
        </w:rPr>
        <w:t xml:space="preserve">საქართველოს </w:t>
      </w:r>
      <w:r w:rsidR="00C61C17" w:rsidRPr="00C61C17">
        <w:rPr>
          <w:rFonts w:ascii="Sylfaen" w:hAnsi="Sylfaen"/>
          <w:b/>
          <w:sz w:val="24"/>
          <w:szCs w:val="24"/>
          <w:lang w:val="ka-GE"/>
        </w:rPr>
        <w:t>პარლამენტის რეგლამენტი</w:t>
      </w:r>
    </w:p>
    <w:p w:rsidR="00754548" w:rsidRPr="00C61C17" w:rsidRDefault="00C61C17" w:rsidP="00BA1F07">
      <w:pPr>
        <w:spacing w:after="0" w:line="240" w:lineRule="auto"/>
        <w:jc w:val="center"/>
        <w:rPr>
          <w:rFonts w:ascii="Sylfaen" w:hAnsi="Sylfaen"/>
          <w:b/>
          <w:sz w:val="24"/>
          <w:szCs w:val="24"/>
          <w:lang w:val="ka-GE"/>
        </w:rPr>
      </w:pPr>
      <w:r w:rsidRPr="00C61C17">
        <w:rPr>
          <w:rFonts w:ascii="Sylfaen" w:hAnsi="Sylfaen"/>
          <w:b/>
          <w:sz w:val="24"/>
          <w:szCs w:val="24"/>
          <w:lang w:val="ka-GE"/>
        </w:rPr>
        <w:t xml:space="preserve">საქართველოს პარლამენტის რეგლამენტში </w:t>
      </w:r>
      <w:r w:rsidR="00D97693" w:rsidRPr="008F2F14">
        <w:rPr>
          <w:rFonts w:ascii="Sylfaen" w:hAnsi="Sylfaen"/>
          <w:b/>
          <w:sz w:val="24"/>
          <w:szCs w:val="24"/>
          <w:lang w:val="ka-GE"/>
        </w:rPr>
        <w:t>ცვლილების</w:t>
      </w:r>
      <w:r w:rsidRPr="00C61C17">
        <w:rPr>
          <w:rFonts w:ascii="Sylfaen" w:hAnsi="Sylfaen"/>
          <w:b/>
          <w:sz w:val="24"/>
          <w:szCs w:val="24"/>
          <w:lang w:val="ka-GE"/>
        </w:rPr>
        <w:t xml:space="preserve"> </w:t>
      </w:r>
      <w:r w:rsidR="00754548" w:rsidRPr="00C61C17">
        <w:rPr>
          <w:rFonts w:ascii="Sylfaen" w:hAnsi="Sylfaen"/>
          <w:b/>
          <w:sz w:val="24"/>
          <w:szCs w:val="24"/>
          <w:lang w:val="ka-GE"/>
        </w:rPr>
        <w:t>შეტანის თაობაზე</w:t>
      </w:r>
    </w:p>
    <w:p w:rsidR="00754548" w:rsidRPr="00C61C17" w:rsidRDefault="00754548" w:rsidP="00BA1F07">
      <w:pPr>
        <w:spacing w:after="0" w:line="240" w:lineRule="auto"/>
        <w:jc w:val="center"/>
        <w:rPr>
          <w:rFonts w:ascii="Sylfaen" w:hAnsi="Sylfaen"/>
          <w:sz w:val="24"/>
          <w:szCs w:val="24"/>
          <w:lang w:val="ka-GE"/>
        </w:rPr>
      </w:pPr>
    </w:p>
    <w:p w:rsidR="00CA12C1" w:rsidRPr="00C61C17" w:rsidRDefault="00754548" w:rsidP="00CA12C1">
      <w:pPr>
        <w:spacing w:after="0" w:line="240" w:lineRule="auto"/>
        <w:jc w:val="both"/>
        <w:rPr>
          <w:rFonts w:ascii="Sylfaen" w:hAnsi="Sylfaen"/>
          <w:sz w:val="24"/>
          <w:szCs w:val="24"/>
          <w:lang w:val="ka-GE"/>
        </w:rPr>
      </w:pPr>
      <w:r w:rsidRPr="00C61C17">
        <w:rPr>
          <w:rFonts w:ascii="Sylfaen" w:hAnsi="Sylfaen"/>
          <w:b/>
          <w:sz w:val="24"/>
          <w:szCs w:val="24"/>
          <w:lang w:val="ka-GE"/>
        </w:rPr>
        <w:t>მუხლი 1.</w:t>
      </w:r>
      <w:r w:rsidRPr="00C61C17">
        <w:rPr>
          <w:rFonts w:ascii="Sylfaen" w:hAnsi="Sylfaen"/>
          <w:sz w:val="24"/>
          <w:szCs w:val="24"/>
          <w:lang w:val="ka-GE"/>
        </w:rPr>
        <w:t xml:space="preserve"> </w:t>
      </w:r>
      <w:r w:rsidR="00C61C17" w:rsidRPr="00C61C17">
        <w:rPr>
          <w:rFonts w:ascii="Sylfaen" w:hAnsi="Sylfaen"/>
          <w:sz w:val="24"/>
          <w:szCs w:val="24"/>
          <w:lang w:val="ka-GE"/>
        </w:rPr>
        <w:t>საქართველოს პარლამენტის რეგლამენტს (საქართველოს საკანონმდებლო მაცნე (www.matsne.gov.ge), 14.12.2018, სარეგისტრაციო კოდი: 010190030.06.001.016054) დაემატოს შემდეგი შინაარსის 169</w:t>
      </w:r>
      <w:r w:rsidR="00C61C17" w:rsidRPr="00C61C17">
        <w:rPr>
          <w:rFonts w:ascii="Sylfaen" w:hAnsi="Sylfaen"/>
          <w:sz w:val="24"/>
          <w:szCs w:val="24"/>
          <w:vertAlign w:val="superscript"/>
          <w:lang w:val="ka-GE"/>
        </w:rPr>
        <w:t>1</w:t>
      </w:r>
      <w:r w:rsidR="00C61C17" w:rsidRPr="00C61C17">
        <w:rPr>
          <w:rFonts w:ascii="Sylfaen" w:hAnsi="Sylfaen"/>
          <w:sz w:val="24"/>
          <w:szCs w:val="24"/>
          <w:lang w:val="ka-GE"/>
        </w:rPr>
        <w:t xml:space="preserve"> მუხლი: </w:t>
      </w:r>
    </w:p>
    <w:p w:rsidR="00CA12C1" w:rsidRPr="00C61C17" w:rsidRDefault="00CA12C1" w:rsidP="00CA12C1">
      <w:pPr>
        <w:spacing w:after="0" w:line="240" w:lineRule="auto"/>
        <w:jc w:val="both"/>
        <w:rPr>
          <w:rFonts w:ascii="Sylfaen" w:hAnsi="Sylfaen"/>
          <w:sz w:val="24"/>
          <w:szCs w:val="24"/>
          <w:lang w:val="ka-GE"/>
        </w:rPr>
      </w:pPr>
    </w:p>
    <w:p w:rsidR="00C61C17" w:rsidRPr="00C61C17" w:rsidRDefault="00CA12C1" w:rsidP="00CA12C1">
      <w:pPr>
        <w:spacing w:after="0" w:line="240" w:lineRule="auto"/>
        <w:jc w:val="both"/>
        <w:rPr>
          <w:rFonts w:ascii="Sylfaen" w:hAnsi="Sylfaen"/>
          <w:sz w:val="24"/>
          <w:szCs w:val="24"/>
          <w:lang w:val="ka-GE"/>
        </w:rPr>
      </w:pPr>
      <w:r w:rsidRPr="00C61C17">
        <w:rPr>
          <w:rFonts w:ascii="Sylfaen" w:hAnsi="Sylfaen"/>
          <w:sz w:val="24"/>
          <w:szCs w:val="24"/>
          <w:lang w:val="ka-GE"/>
        </w:rPr>
        <w:t>„</w:t>
      </w:r>
      <w:r w:rsidR="00C61C17" w:rsidRPr="00C61C17">
        <w:rPr>
          <w:rFonts w:ascii="Sylfaen" w:hAnsi="Sylfaen"/>
          <w:sz w:val="24"/>
          <w:szCs w:val="24"/>
          <w:lang w:val="ka-GE"/>
        </w:rPr>
        <w:t>მუხლი 169</w:t>
      </w:r>
      <w:r w:rsidR="00C61C17" w:rsidRPr="00C61C17">
        <w:rPr>
          <w:rFonts w:ascii="Sylfaen" w:hAnsi="Sylfaen"/>
          <w:sz w:val="24"/>
          <w:szCs w:val="24"/>
          <w:vertAlign w:val="superscript"/>
          <w:lang w:val="ka-GE"/>
        </w:rPr>
        <w:t>1</w:t>
      </w:r>
      <w:r w:rsidRPr="00C61C17">
        <w:rPr>
          <w:rFonts w:ascii="Sylfaen" w:hAnsi="Sylfaen"/>
          <w:sz w:val="24"/>
          <w:szCs w:val="24"/>
          <w:lang w:val="ka-GE"/>
        </w:rPr>
        <w:t>. მთავარი შრომის ინსპექტორი</w:t>
      </w:r>
      <w:r w:rsidR="00C61C17" w:rsidRPr="00C61C17">
        <w:rPr>
          <w:rFonts w:ascii="Sylfaen" w:hAnsi="Sylfaen"/>
          <w:sz w:val="24"/>
          <w:szCs w:val="24"/>
          <w:lang w:val="ka-GE"/>
        </w:rPr>
        <w:t>ს წლიური ანგარიში</w:t>
      </w:r>
    </w:p>
    <w:p w:rsidR="00C61C17" w:rsidRPr="00C61C17" w:rsidRDefault="00C61C17" w:rsidP="00CA12C1">
      <w:pPr>
        <w:spacing w:after="0" w:line="240" w:lineRule="auto"/>
        <w:jc w:val="both"/>
        <w:rPr>
          <w:rFonts w:ascii="Sylfaen" w:hAnsi="Sylfaen"/>
          <w:sz w:val="24"/>
          <w:szCs w:val="24"/>
          <w:lang w:val="ka-GE"/>
        </w:rPr>
      </w:pPr>
    </w:p>
    <w:p w:rsidR="00CA12C1" w:rsidRPr="00C61C17" w:rsidRDefault="00C61C17" w:rsidP="00CA12C1">
      <w:pPr>
        <w:spacing w:after="0" w:line="240" w:lineRule="auto"/>
        <w:jc w:val="both"/>
        <w:rPr>
          <w:rFonts w:ascii="Sylfaen" w:eastAsia="Times New Roman" w:hAnsi="Sylfaen"/>
          <w:color w:val="111111"/>
          <w:sz w:val="24"/>
          <w:szCs w:val="24"/>
          <w:lang w:val="ka-GE"/>
        </w:rPr>
      </w:pPr>
      <w:r w:rsidRPr="00C61C17">
        <w:rPr>
          <w:rFonts w:ascii="Sylfaen" w:hAnsi="Sylfaen"/>
          <w:sz w:val="24"/>
          <w:szCs w:val="24"/>
          <w:lang w:val="ka-GE"/>
        </w:rPr>
        <w:t xml:space="preserve">მთავარი შრომის ინსპექტორი წელიწადში ერთხელ, </w:t>
      </w:r>
      <w:r w:rsidRPr="00C61C17">
        <w:rPr>
          <w:rFonts w:ascii="Sylfaen" w:eastAsia="Times New Roman" w:hAnsi="Sylfaen"/>
          <w:color w:val="111111"/>
          <w:sz w:val="24"/>
          <w:szCs w:val="24"/>
          <w:lang w:val="ka-GE"/>
        </w:rPr>
        <w:t>კალენდარული წლის დასრულებიდან არაუგვიანეს 6 თვის განმავლობაში პარლამენტს წარუდგენს ანგარიშს შრომის ინსპექციის სამსახურის საქმიანობის შესახებ. მთავარი შრომის ინსპექტორის ანგარიშს პარლამენტი განიხილავს რეგლამენტის 176-ე მუხლის მე-2 − მე-5 და მე-9 პუნქტებით დადგენილი წესით</w:t>
      </w:r>
      <w:r w:rsidR="00CA12C1" w:rsidRPr="00C61C17">
        <w:rPr>
          <w:rFonts w:ascii="Sylfaen" w:eastAsia="Times New Roman" w:hAnsi="Sylfaen"/>
          <w:color w:val="111111"/>
          <w:sz w:val="24"/>
          <w:szCs w:val="24"/>
          <w:lang w:val="ka-GE"/>
        </w:rPr>
        <w:t xml:space="preserve">“.  </w:t>
      </w:r>
    </w:p>
    <w:p w:rsidR="00284BD8" w:rsidRPr="00C61C17" w:rsidRDefault="00284BD8" w:rsidP="00CA12C1">
      <w:pPr>
        <w:spacing w:after="0" w:line="240" w:lineRule="auto"/>
        <w:jc w:val="both"/>
        <w:rPr>
          <w:rFonts w:ascii="Sylfaen" w:hAnsi="Sylfaen"/>
          <w:sz w:val="24"/>
          <w:szCs w:val="24"/>
          <w:lang w:val="ka-GE"/>
        </w:rPr>
      </w:pPr>
    </w:p>
    <w:p w:rsidR="00BA1F07" w:rsidRPr="00C61C17" w:rsidRDefault="00BA1F07" w:rsidP="00BA1F07">
      <w:pPr>
        <w:spacing w:after="0" w:line="240" w:lineRule="auto"/>
        <w:jc w:val="both"/>
        <w:rPr>
          <w:rFonts w:ascii="Sylfaen" w:hAnsi="Sylfaen"/>
          <w:b/>
          <w:sz w:val="24"/>
          <w:szCs w:val="24"/>
          <w:lang w:val="ka-GE"/>
        </w:rPr>
      </w:pPr>
    </w:p>
    <w:p w:rsidR="00284BD8" w:rsidRPr="00C61C17" w:rsidRDefault="00284BD8" w:rsidP="00BA1F07">
      <w:pPr>
        <w:spacing w:after="0" w:line="240" w:lineRule="auto"/>
        <w:jc w:val="both"/>
        <w:rPr>
          <w:rFonts w:ascii="Sylfaen" w:eastAsia="Times New Roman" w:hAnsi="Sylfaen"/>
          <w:color w:val="111111"/>
          <w:sz w:val="24"/>
          <w:szCs w:val="24"/>
          <w:lang w:val="ka-GE"/>
        </w:rPr>
      </w:pPr>
      <w:r w:rsidRPr="00C61C17">
        <w:rPr>
          <w:rFonts w:ascii="Sylfaen" w:hAnsi="Sylfaen"/>
          <w:b/>
          <w:sz w:val="24"/>
          <w:szCs w:val="24"/>
          <w:lang w:val="ka-GE"/>
        </w:rPr>
        <w:t xml:space="preserve">მუხლი 2. </w:t>
      </w:r>
      <w:r w:rsidRPr="00C61C17">
        <w:rPr>
          <w:rFonts w:ascii="Sylfaen" w:eastAsia="Times New Roman" w:hAnsi="Sylfaen"/>
          <w:color w:val="111111"/>
          <w:sz w:val="24"/>
          <w:szCs w:val="24"/>
          <w:lang w:val="ka-GE"/>
        </w:rPr>
        <w:t xml:space="preserve">ეს </w:t>
      </w:r>
      <w:r w:rsidR="00D97693">
        <w:rPr>
          <w:rFonts w:ascii="Sylfaen" w:eastAsia="Times New Roman" w:hAnsi="Sylfaen"/>
          <w:color w:val="111111"/>
          <w:sz w:val="24"/>
          <w:szCs w:val="24"/>
          <w:lang w:val="ka-GE"/>
        </w:rPr>
        <w:t>რეგლამენტი</w:t>
      </w:r>
      <w:r w:rsidRPr="00C61C17">
        <w:rPr>
          <w:rFonts w:ascii="Sylfaen" w:eastAsia="Times New Roman" w:hAnsi="Sylfaen"/>
          <w:color w:val="111111"/>
          <w:sz w:val="24"/>
          <w:szCs w:val="24"/>
          <w:lang w:val="ka-GE"/>
        </w:rPr>
        <w:t xml:space="preserve">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D40F26" w:rsidRDefault="00E71037" w:rsidP="00BA1F07">
      <w:pPr>
        <w:spacing w:after="0" w:line="240" w:lineRule="auto"/>
        <w:jc w:val="both"/>
        <w:rPr>
          <w:rFonts w:ascii="Sylfaen" w:eastAsia="Times New Roman" w:hAnsi="Sylfaen"/>
          <w:b/>
          <w:color w:val="111111"/>
          <w:sz w:val="24"/>
          <w:szCs w:val="24"/>
          <w:lang w:val="ka-GE"/>
        </w:rPr>
      </w:pPr>
      <w:r w:rsidRPr="00D40F26">
        <w:rPr>
          <w:rFonts w:ascii="Sylfaen" w:eastAsia="Times New Roman" w:hAnsi="Sylfaen"/>
          <w:b/>
          <w:color w:val="111111"/>
          <w:sz w:val="24"/>
          <w:szCs w:val="24"/>
          <w:lang w:val="ka-GE"/>
        </w:rPr>
        <w:t>საქართველოს პარლამენტის თავმჯდომარე</w:t>
      </w:r>
    </w:p>
    <w:p w:rsidR="00E71037" w:rsidRDefault="00E71037" w:rsidP="00BA1F07">
      <w:pPr>
        <w:spacing w:after="0" w:line="240" w:lineRule="auto"/>
        <w:jc w:val="both"/>
        <w:rPr>
          <w:rFonts w:ascii="Sylfaen" w:eastAsia="Times New Roman" w:hAnsi="Sylfaen"/>
          <w:b/>
          <w:color w:val="111111"/>
          <w:sz w:val="24"/>
          <w:szCs w:val="24"/>
        </w:rPr>
      </w:pPr>
    </w:p>
    <w:p w:rsidR="00571129" w:rsidRPr="00571129" w:rsidRDefault="00571129" w:rsidP="00BA1F07">
      <w:pPr>
        <w:spacing w:after="0" w:line="240" w:lineRule="auto"/>
        <w:jc w:val="both"/>
        <w:rPr>
          <w:rFonts w:ascii="Sylfaen" w:eastAsia="Times New Roman" w:hAnsi="Sylfaen"/>
          <w:b/>
          <w:color w:val="111111"/>
          <w:sz w:val="24"/>
          <w:szCs w:val="24"/>
        </w:rPr>
      </w:pPr>
    </w:p>
    <w:p w:rsidR="00E71037" w:rsidRPr="00D40F26" w:rsidRDefault="00E71037" w:rsidP="00BA1F07">
      <w:pPr>
        <w:spacing w:after="0" w:line="240" w:lineRule="auto"/>
        <w:jc w:val="both"/>
        <w:rPr>
          <w:rFonts w:ascii="Sylfaen" w:eastAsia="Times New Roman" w:hAnsi="Sylfaen"/>
          <w:b/>
          <w:color w:val="111111"/>
          <w:sz w:val="24"/>
          <w:szCs w:val="24"/>
          <w:lang w:val="ka-GE"/>
        </w:rPr>
      </w:pPr>
      <w:r w:rsidRPr="00D40F26">
        <w:rPr>
          <w:rFonts w:ascii="Sylfaen" w:eastAsia="Times New Roman" w:hAnsi="Sylfaen"/>
          <w:b/>
          <w:color w:val="111111"/>
          <w:sz w:val="24"/>
          <w:szCs w:val="24"/>
          <w:lang w:val="ka-GE"/>
        </w:rPr>
        <w:t>არჩილ თალაკვაძე</w:t>
      </w: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 xml:space="preserve">საქართველოს </w:t>
      </w:r>
      <w:r w:rsidR="008F2F14">
        <w:rPr>
          <w:rFonts w:ascii="Sylfaen" w:hAnsi="Sylfaen"/>
          <w:sz w:val="24"/>
          <w:szCs w:val="24"/>
          <w:lang w:val="ka-GE"/>
        </w:rPr>
        <w:t>პარლამენტის რეგლამენტის</w:t>
      </w:r>
      <w:r w:rsidRPr="006F15D4">
        <w:rPr>
          <w:rFonts w:ascii="Sylfaen" w:hAnsi="Sylfaen"/>
          <w:sz w:val="24"/>
          <w:szCs w:val="24"/>
          <w:lang w:val="ka-GE"/>
        </w:rPr>
        <w:t xml:space="preserve"> პროექტზე</w:t>
      </w:r>
    </w:p>
    <w:p w:rsidR="0097228B" w:rsidRPr="00C61C17" w:rsidRDefault="0097228B" w:rsidP="0097228B">
      <w:pPr>
        <w:spacing w:after="0" w:line="240" w:lineRule="auto"/>
        <w:jc w:val="center"/>
        <w:rPr>
          <w:rFonts w:ascii="Sylfaen" w:hAnsi="Sylfaen"/>
          <w:b/>
          <w:sz w:val="24"/>
          <w:szCs w:val="24"/>
          <w:lang w:val="ka-GE"/>
        </w:rPr>
      </w:pPr>
      <w:r w:rsidRPr="00C61C17">
        <w:rPr>
          <w:rFonts w:ascii="Sylfaen" w:hAnsi="Sylfaen"/>
          <w:b/>
          <w:sz w:val="24"/>
          <w:szCs w:val="24"/>
          <w:lang w:val="ka-GE"/>
        </w:rPr>
        <w:t xml:space="preserve">საქართველოს პარლამენტის რეგლამენტში </w:t>
      </w:r>
      <w:r w:rsidR="00DA74C1" w:rsidRPr="005034DB">
        <w:rPr>
          <w:rFonts w:ascii="Sylfaen" w:hAnsi="Sylfaen"/>
          <w:b/>
          <w:sz w:val="24"/>
          <w:szCs w:val="24"/>
          <w:lang w:val="ka-GE"/>
        </w:rPr>
        <w:t>ცვლილების</w:t>
      </w:r>
      <w:r w:rsidRPr="00C61C17">
        <w:rPr>
          <w:rFonts w:ascii="Sylfaen" w:hAnsi="Sylfaen"/>
          <w:b/>
          <w:sz w:val="24"/>
          <w:szCs w:val="24"/>
          <w:lang w:val="ka-GE"/>
        </w:rPr>
        <w:t xml:space="preserve"> შეტანის თაობაზე</w:t>
      </w:r>
    </w:p>
    <w:p w:rsidR="009341F0" w:rsidRPr="006F15D4" w:rsidRDefault="009341F0" w:rsidP="009341F0">
      <w:pPr>
        <w:spacing w:after="0" w:line="240" w:lineRule="auto"/>
        <w:jc w:val="center"/>
        <w:rPr>
          <w:rFonts w:ascii="Sylfaen" w:hAnsi="Sylfaen"/>
          <w:b/>
          <w:sz w:val="24"/>
          <w:szCs w:val="24"/>
          <w:lang w:val="ka-GE"/>
        </w:rPr>
      </w:pPr>
    </w:p>
    <w:p w:rsidR="009341F0" w:rsidRPr="006F15D4" w:rsidRDefault="009341F0" w:rsidP="009341F0">
      <w:pPr>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 ზოგადი ინფორმაცია </w:t>
      </w:r>
      <w:r w:rsidR="005034DB" w:rsidRPr="005034DB">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 </w:t>
      </w:r>
      <w:r w:rsidR="005034DB" w:rsidRPr="005034DB">
        <w:rPr>
          <w:rFonts w:ascii="Sylfaen" w:hAnsi="Sylfaen"/>
          <w:b/>
          <w:sz w:val="24"/>
          <w:szCs w:val="24"/>
          <w:lang w:val="ka-GE"/>
        </w:rPr>
        <w:t>რეგლამენტის პროექტ</w:t>
      </w:r>
      <w:r w:rsidRPr="005034DB">
        <w:rPr>
          <w:rFonts w:ascii="Sylfaen" w:hAnsi="Sylfaen"/>
          <w:b/>
          <w:sz w:val="24"/>
          <w:szCs w:val="24"/>
          <w:lang w:val="ka-GE"/>
        </w:rPr>
        <w:t>ის</w:t>
      </w:r>
      <w:r w:rsidRPr="006F15D4">
        <w:rPr>
          <w:rFonts w:ascii="Sylfaen" w:hAnsi="Sylfaen"/>
          <w:b/>
          <w:sz w:val="24"/>
          <w:szCs w:val="24"/>
          <w:lang w:val="ka-GE"/>
        </w:rPr>
        <w:t xml:space="preserve">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w:t>
      </w:r>
      <w:r w:rsidR="005034DB" w:rsidRPr="005034DB">
        <w:rPr>
          <w:rFonts w:ascii="Sylfaen" w:hAnsi="Sylfaen"/>
          <w:b/>
          <w:sz w:val="24"/>
          <w:szCs w:val="24"/>
          <w:lang w:val="ka-GE"/>
        </w:rPr>
        <w:t>რეგლამენტის პროექტ</w:t>
      </w:r>
      <w:r w:rsidR="005034DB">
        <w:rPr>
          <w:rFonts w:ascii="Sylfaen" w:hAnsi="Sylfaen"/>
          <w:b/>
          <w:sz w:val="24"/>
          <w:szCs w:val="24"/>
          <w:lang w:val="ka-GE"/>
        </w:rPr>
        <w:t>ი</w:t>
      </w:r>
      <w:r w:rsidRPr="006F15D4">
        <w:rPr>
          <w:rFonts w:ascii="Sylfaen" w:hAnsi="Sylfaen"/>
          <w:b/>
          <w:sz w:val="24"/>
          <w:szCs w:val="24"/>
          <w:lang w:val="ka-GE"/>
        </w:rPr>
        <w:t xml:space="preserve">: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D74112" w:rsidP="00191BE0">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 </w:t>
      </w:r>
      <w:r>
        <w:rPr>
          <w:rFonts w:ascii="Sylfaen" w:hAnsi="Sylfaen"/>
          <w:sz w:val="24"/>
          <w:szCs w:val="24"/>
          <w:lang w:val="ka-GE"/>
        </w:rPr>
        <w:t xml:space="preserve">შრომის </w:t>
      </w:r>
      <w:r w:rsidR="00191BE0" w:rsidRPr="006F15D4">
        <w:rPr>
          <w:rFonts w:ascii="Sylfaen" w:hAnsi="Sylfaen"/>
          <w:sz w:val="24"/>
          <w:szCs w:val="24"/>
          <w:lang w:val="ka-GE"/>
        </w:rPr>
        <w:t>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00191BE0"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00191BE0"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 xml:space="preserve">2018 წელს, საქართველოს სახალხო დამცველმა, </w:t>
      </w:r>
      <w:r w:rsidR="00D76475" w:rsidRPr="00661908">
        <w:rPr>
          <w:rFonts w:ascii="Sylfaen" w:hAnsi="Sylfaen"/>
          <w:sz w:val="24"/>
          <w:szCs w:val="24"/>
          <w:lang w:val="ka-GE"/>
        </w:rPr>
        <w:lastRenderedPageBreak/>
        <w:t>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w:t>
      </w:r>
      <w:r w:rsidR="00601B6D">
        <w:rPr>
          <w:rFonts w:ascii="Sylfaen" w:hAnsi="Sylfaen"/>
          <w:sz w:val="24"/>
          <w:szCs w:val="24"/>
          <w:lang w:val="ka-GE"/>
        </w:rPr>
        <w:t>ი</w:t>
      </w:r>
      <w:r w:rsidRPr="006F15D4">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w:t>
      </w:r>
      <w:r w:rsidRPr="006F15D4">
        <w:rPr>
          <w:rFonts w:ascii="Sylfaen" w:hAnsi="Sylfaen"/>
          <w:sz w:val="24"/>
          <w:szCs w:val="24"/>
          <w:lang w:val="ka-GE"/>
        </w:rPr>
        <w:lastRenderedPageBreak/>
        <w:t>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 xml:space="preserve">სწორედ აღნიშნული „შრომის სამართლის რეფორმის პაკეტის“ ნაწილია წარმოდგენილი </w:t>
      </w:r>
      <w:r w:rsidR="00161CE8" w:rsidRPr="00161CE8">
        <w:rPr>
          <w:rFonts w:ascii="Sylfaen" w:hAnsi="Sylfaen"/>
          <w:sz w:val="24"/>
          <w:szCs w:val="24"/>
          <w:lang w:val="ka-GE"/>
        </w:rPr>
        <w:t>რეგლამენტის პროექტ</w:t>
      </w:r>
      <w:r w:rsidR="00161CE8">
        <w:rPr>
          <w:rFonts w:ascii="Sylfaen" w:hAnsi="Sylfaen"/>
          <w:sz w:val="24"/>
          <w:szCs w:val="24"/>
          <w:lang w:val="ka-GE"/>
        </w:rPr>
        <w:t>ი</w:t>
      </w:r>
      <w:r w:rsidR="00A048BB" w:rsidRPr="00161CE8">
        <w:rPr>
          <w:rFonts w:ascii="Sylfaen" w:hAnsi="Sylfaen"/>
          <w:sz w:val="24"/>
          <w:szCs w:val="24"/>
          <w:lang w:val="ka-GE"/>
        </w:rPr>
        <w:t>.</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ა.ა.ბ) არსებული პრობლების გადასაჭრელად </w:t>
      </w:r>
      <w:r w:rsidR="006703F6"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w:t>
      </w:r>
      <w:r w:rsidRPr="00161CE8">
        <w:rPr>
          <w:rFonts w:ascii="Sylfaen" w:hAnsi="Sylfaen"/>
          <w:sz w:val="24"/>
          <w:szCs w:val="24"/>
          <w:lang w:val="ka-GE"/>
        </w:rPr>
        <w:t xml:space="preserve">ჩარჩო. წინამდებარე </w:t>
      </w:r>
      <w:r w:rsidR="00161CE8" w:rsidRPr="00161CE8">
        <w:rPr>
          <w:rFonts w:ascii="Sylfaen" w:hAnsi="Sylfaen"/>
          <w:sz w:val="24"/>
          <w:szCs w:val="24"/>
          <w:lang w:val="ka-GE"/>
        </w:rPr>
        <w:t>რეგლამენტის პროექტით</w:t>
      </w:r>
      <w:r w:rsidRPr="00161CE8">
        <w:rPr>
          <w:rFonts w:ascii="Sylfaen" w:hAnsi="Sylfaen"/>
          <w:sz w:val="24"/>
          <w:szCs w:val="24"/>
          <w:lang w:val="ka-GE"/>
        </w:rPr>
        <w:t xml:space="preserve"> </w:t>
      </w:r>
      <w:r w:rsidR="00161CE8" w:rsidRPr="00161CE8">
        <w:rPr>
          <w:rFonts w:ascii="Sylfaen" w:hAnsi="Sylfaen"/>
          <w:sz w:val="24"/>
          <w:szCs w:val="24"/>
          <w:lang w:val="ka-GE"/>
        </w:rPr>
        <w:t xml:space="preserve">გათვალისწინებული ცვლილება </w:t>
      </w:r>
      <w:r w:rsidR="004D6D25">
        <w:rPr>
          <w:rFonts w:ascii="Sylfaen" w:hAnsi="Sylfaen"/>
          <w:sz w:val="24"/>
          <w:szCs w:val="24"/>
          <w:lang w:val="ka-GE"/>
        </w:rPr>
        <w:t>ეხება</w:t>
      </w:r>
      <w:r w:rsidR="00161CE8" w:rsidRPr="00161CE8">
        <w:rPr>
          <w:rFonts w:ascii="Sylfaen" w:hAnsi="Sylfaen"/>
          <w:sz w:val="24"/>
          <w:szCs w:val="24"/>
          <w:lang w:val="ka-GE"/>
        </w:rPr>
        <w:t xml:space="preserve"> </w:t>
      </w:r>
      <w:r w:rsidRPr="00161CE8">
        <w:rPr>
          <w:rFonts w:ascii="Sylfaen" w:hAnsi="Sylfaen"/>
          <w:sz w:val="24"/>
          <w:szCs w:val="24"/>
          <w:lang w:val="ka-GE"/>
        </w:rPr>
        <w:t xml:space="preserve">საჯარო სამართლის იურიდიული პირის </w:t>
      </w:r>
      <w:r w:rsidR="0085000F">
        <w:rPr>
          <w:rFonts w:ascii="Sylfaen" w:hAnsi="Sylfaen"/>
          <w:sz w:val="24"/>
          <w:szCs w:val="24"/>
          <w:lang w:val="ka-GE"/>
        </w:rPr>
        <w:t xml:space="preserve">- შრომის ინსპექციის </w:t>
      </w:r>
      <w:r w:rsidRPr="00161CE8">
        <w:rPr>
          <w:rFonts w:ascii="Sylfaen" w:hAnsi="Sylfaen"/>
          <w:sz w:val="24"/>
          <w:szCs w:val="24"/>
          <w:lang w:val="ka-GE"/>
        </w:rPr>
        <w:t xml:space="preserve">ფუნციონირებისთვის </w:t>
      </w:r>
      <w:r w:rsidR="004D6D25">
        <w:rPr>
          <w:rFonts w:ascii="Sylfaen" w:hAnsi="Sylfaen"/>
          <w:sz w:val="24"/>
          <w:szCs w:val="24"/>
          <w:lang w:val="ka-GE"/>
        </w:rPr>
        <w:t>მნიშვნელოვან</w:t>
      </w:r>
      <w:r w:rsidRPr="006F15D4">
        <w:rPr>
          <w:rFonts w:ascii="Sylfaen" w:hAnsi="Sylfaen"/>
          <w:sz w:val="24"/>
          <w:szCs w:val="24"/>
          <w:lang w:val="ka-GE"/>
        </w:rPr>
        <w:t xml:space="preserve"> პრინციპ</w:t>
      </w:r>
      <w:r w:rsidR="004D6D25">
        <w:rPr>
          <w:rFonts w:ascii="Sylfaen" w:hAnsi="Sylfaen"/>
          <w:sz w:val="24"/>
          <w:szCs w:val="24"/>
          <w:lang w:val="ka-GE"/>
        </w:rPr>
        <w:t>ს</w:t>
      </w:r>
      <w:r w:rsidRPr="006F15D4">
        <w:rPr>
          <w:rFonts w:ascii="Sylfaen" w:hAnsi="Sylfaen"/>
          <w:sz w:val="24"/>
          <w:szCs w:val="24"/>
          <w:lang w:val="ka-GE"/>
        </w:rPr>
        <w:t xml:space="preserve">.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w:t>
      </w:r>
      <w:r w:rsidR="006703F6"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161CE8" w:rsidP="009341F0">
      <w:pPr>
        <w:spacing w:after="0" w:line="240" w:lineRule="auto"/>
        <w:jc w:val="both"/>
        <w:rPr>
          <w:rFonts w:ascii="Sylfaen" w:hAnsi="Sylfaen"/>
          <w:sz w:val="24"/>
          <w:szCs w:val="24"/>
          <w:lang w:val="ka-GE"/>
        </w:rPr>
      </w:pPr>
      <w:r w:rsidRPr="00161CE8">
        <w:rPr>
          <w:rFonts w:ascii="Sylfaen" w:hAnsi="Sylfaen"/>
          <w:sz w:val="24"/>
          <w:szCs w:val="24"/>
          <w:lang w:val="ka-GE"/>
        </w:rPr>
        <w:t>რეგლამენტის პროექტის</w:t>
      </w:r>
      <w:r w:rsidR="009341F0" w:rsidRPr="00161CE8">
        <w:rPr>
          <w:rFonts w:ascii="Sylfaen" w:hAnsi="Sylfaen" w:cstheme="minorHAnsi"/>
          <w:sz w:val="24"/>
          <w:szCs w:val="24"/>
          <w:lang w:val="ka-GE"/>
        </w:rPr>
        <w:t xml:space="preserve"> მიღება</w:t>
      </w:r>
      <w:r w:rsidR="009341F0" w:rsidRPr="006F15D4">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w:t>
      </w:r>
      <w:r>
        <w:rPr>
          <w:rFonts w:ascii="Sylfaen" w:hAnsi="Sylfaen" w:cstheme="minorHAnsi"/>
          <w:sz w:val="24"/>
          <w:szCs w:val="24"/>
          <w:lang w:val="ka-GE"/>
        </w:rPr>
        <w:t xml:space="preserve">. </w:t>
      </w:r>
      <w:r w:rsidRPr="00161CE8">
        <w:rPr>
          <w:rFonts w:ascii="Sylfaen" w:hAnsi="Sylfaen"/>
          <w:sz w:val="24"/>
          <w:szCs w:val="24"/>
          <w:lang w:val="ka-GE"/>
        </w:rPr>
        <w:t>რეგლამენტის პროექტის</w:t>
      </w:r>
      <w:r w:rsidRPr="006F15D4">
        <w:rPr>
          <w:rFonts w:ascii="Sylfaen" w:hAnsi="Sylfaen"/>
          <w:b/>
          <w:sz w:val="24"/>
          <w:szCs w:val="24"/>
          <w:lang w:val="ka-GE"/>
        </w:rPr>
        <w:t xml:space="preserve"> </w:t>
      </w:r>
      <w:r w:rsidR="009341F0" w:rsidRPr="006F15D4">
        <w:rPr>
          <w:rFonts w:ascii="Sylfaen" w:hAnsi="Sylfaen"/>
          <w:sz w:val="24"/>
          <w:szCs w:val="24"/>
          <w:lang w:val="ka-GE"/>
        </w:rPr>
        <w:t>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ა.გ) </w:t>
      </w:r>
      <w:r w:rsidR="006703F6" w:rsidRPr="006703F6">
        <w:rPr>
          <w:rFonts w:ascii="Sylfaen" w:hAnsi="Sylfaen"/>
          <w:b/>
          <w:sz w:val="24"/>
          <w:szCs w:val="24"/>
          <w:lang w:val="ka-GE"/>
        </w:rPr>
        <w:t>რეგლამენტის პროექტის</w:t>
      </w:r>
      <w:r w:rsidR="006703F6" w:rsidRPr="006F15D4">
        <w:rPr>
          <w:rFonts w:ascii="Sylfaen" w:hAnsi="Sylfaen"/>
          <w:b/>
          <w:sz w:val="24"/>
          <w:szCs w:val="24"/>
          <w:lang w:val="ka-GE"/>
        </w:rPr>
        <w:t xml:space="preserve"> </w:t>
      </w:r>
      <w:r w:rsidRPr="006F15D4">
        <w:rPr>
          <w:rFonts w:ascii="Sylfaen" w:hAnsi="Sylfaen"/>
          <w:b/>
          <w:sz w:val="24"/>
          <w:szCs w:val="24"/>
          <w:lang w:val="ka-GE"/>
        </w:rPr>
        <w:t>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601B6D" w:rsidRPr="006F15D4" w:rsidRDefault="00A048BB" w:rsidP="00601B6D">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w:t>
      </w:r>
      <w:r w:rsidR="005A1E02" w:rsidRPr="006F15D4">
        <w:rPr>
          <w:rFonts w:ascii="Sylfaen" w:hAnsi="Sylfaen"/>
          <w:sz w:val="24"/>
          <w:szCs w:val="24"/>
          <w:lang w:val="ka-GE"/>
        </w:rPr>
        <w:t xml:space="preserve">, </w:t>
      </w:r>
      <w:r w:rsidR="00DB4321">
        <w:rPr>
          <w:rFonts w:ascii="Sylfaen" w:hAnsi="Sylfaen"/>
          <w:sz w:val="24"/>
          <w:szCs w:val="24"/>
          <w:lang w:val="ka-GE"/>
        </w:rPr>
        <w:t>იქმნებ</w:t>
      </w:r>
      <w:r w:rsidR="00025B0B">
        <w:rPr>
          <w:rFonts w:ascii="Sylfaen" w:hAnsi="Sylfaen"/>
          <w:sz w:val="24"/>
          <w:szCs w:val="24"/>
          <w:lang w:val="ka-GE"/>
        </w:rPr>
        <w:t xml:space="preserve">ა საჯარო სამართლის იურიდიული პირი - შრომის ინსპექცია. შრომის ინსპექციას ზედამხედველობას განახორციელებს მთავარი </w:t>
      </w:r>
      <w:r w:rsidR="005A1E02" w:rsidRPr="006F15D4">
        <w:rPr>
          <w:rFonts w:ascii="Sylfaen" w:hAnsi="Sylfaen"/>
          <w:sz w:val="24"/>
          <w:szCs w:val="24"/>
          <w:lang w:val="ka-GE"/>
        </w:rPr>
        <w:t>შრომის ინსპექტორი</w:t>
      </w:r>
      <w:r w:rsidR="00025B0B">
        <w:rPr>
          <w:rFonts w:ascii="Sylfaen" w:hAnsi="Sylfaen"/>
          <w:sz w:val="24"/>
          <w:szCs w:val="24"/>
          <w:lang w:val="ka-GE"/>
        </w:rPr>
        <w:t xml:space="preserve">. შრომის </w:t>
      </w:r>
      <w:r w:rsidR="00025B0B">
        <w:rPr>
          <w:rFonts w:ascii="Sylfaen" w:hAnsi="Sylfaen"/>
          <w:sz w:val="24"/>
          <w:szCs w:val="24"/>
          <w:lang w:val="ka-GE"/>
        </w:rPr>
        <w:lastRenderedPageBreak/>
        <w:t xml:space="preserve">ინსპექციის სტრუქტურის გამჭირვალობისა და </w:t>
      </w:r>
      <w:r w:rsidR="00601B6D" w:rsidRPr="006F15D4">
        <w:rPr>
          <w:rFonts w:ascii="Sylfaen" w:hAnsi="Sylfaen"/>
          <w:sz w:val="24"/>
          <w:szCs w:val="24"/>
          <w:lang w:val="ka-GE"/>
        </w:rPr>
        <w:t>ანგარიშვალდებულების</w:t>
      </w:r>
      <w:r w:rsidR="00601B6D">
        <w:rPr>
          <w:rFonts w:ascii="Sylfaen" w:hAnsi="Sylfaen"/>
          <w:sz w:val="24"/>
          <w:szCs w:val="24"/>
          <w:lang w:val="ka-GE"/>
        </w:rPr>
        <w:t xml:space="preserve"> </w:t>
      </w:r>
      <w:r w:rsidR="00025B0B">
        <w:rPr>
          <w:rFonts w:ascii="Sylfaen" w:hAnsi="Sylfaen"/>
          <w:sz w:val="24"/>
          <w:szCs w:val="24"/>
          <w:lang w:val="ka-GE"/>
        </w:rPr>
        <w:t>უზრუნველყოფის მიზნით, მნიშვნელოვანია, რომ</w:t>
      </w:r>
      <w:r w:rsidR="00601B6D">
        <w:rPr>
          <w:rFonts w:ascii="Sylfaen" w:hAnsi="Sylfaen"/>
          <w:sz w:val="24"/>
          <w:szCs w:val="24"/>
          <w:lang w:val="ka-GE"/>
        </w:rPr>
        <w:t xml:space="preserve"> შრომის ინსპექციის სამსახურზე განხორციელდეს საპარლამენტო კონტროლი.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w:t>
      </w:r>
      <w:r w:rsidR="006703F6"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w:t>
      </w:r>
      <w:r w:rsidR="00FC1027"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r w:rsidR="00C10AD7">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რეგლამენტის პროექტის ძალაში შესვლის თარიღად განისაზღვრა მისი გამოქვეყნების თარიღი.</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w:t>
      </w:r>
      <w:r w:rsidR="00FC1027"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დაჩქარებული წესით განხილვის მიზეზები და შესაბამისი დასაბუთება (თუ ინიციატორი ითხოვს </w:t>
      </w:r>
      <w:r w:rsidR="004D6D25" w:rsidRPr="006703F6">
        <w:rPr>
          <w:rFonts w:ascii="Sylfaen" w:hAnsi="Sylfaen"/>
          <w:b/>
          <w:sz w:val="24"/>
          <w:szCs w:val="24"/>
          <w:lang w:val="ka-GE"/>
        </w:rPr>
        <w:t>რეგლამენტის პროექტის</w:t>
      </w:r>
      <w:r w:rsidRPr="006F15D4">
        <w:rPr>
          <w:rFonts w:ascii="Sylfaen" w:hAnsi="Sylfaen" w:cs="Arial"/>
          <w:b/>
          <w:sz w:val="24"/>
          <w:szCs w:val="24"/>
          <w:lang w:val="ka-GE"/>
        </w:rPr>
        <w:t xml:space="preserve">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 </w:t>
      </w:r>
      <w:r w:rsidR="00FC1027" w:rsidRPr="006703F6">
        <w:rPr>
          <w:rFonts w:ascii="Sylfaen" w:hAnsi="Sylfaen"/>
          <w:b/>
          <w:sz w:val="24"/>
          <w:szCs w:val="24"/>
          <w:lang w:val="ka-GE"/>
        </w:rPr>
        <w:t>რეგლამენტის პროექტის</w:t>
      </w:r>
      <w:r w:rsidR="00FC1027" w:rsidRPr="006F15D4">
        <w:rPr>
          <w:rFonts w:ascii="Sylfaen" w:hAnsi="Sylfaen"/>
          <w:b/>
          <w:sz w:val="24"/>
          <w:szCs w:val="24"/>
          <w:lang w:val="ka-GE"/>
        </w:rPr>
        <w:t xml:space="preserve"> </w:t>
      </w:r>
      <w:r w:rsidRPr="006F15D4">
        <w:rPr>
          <w:rFonts w:ascii="Sylfaen" w:hAnsi="Sylfaen"/>
          <w:b/>
          <w:sz w:val="24"/>
          <w:szCs w:val="24"/>
          <w:lang w:val="ka-GE"/>
        </w:rPr>
        <w:t xml:space="preserve">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ბ.ა)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ბ.ბ)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ბ.გ)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 xml:space="preserve">ბ.დ) სახელმწიფოს ახალი ფინანსური ვალდებულება, </w:t>
      </w:r>
      <w:r w:rsidR="00FC1027"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4D6D25" w:rsidP="009341F0">
      <w:pPr>
        <w:spacing w:after="0" w:line="240" w:lineRule="auto"/>
        <w:jc w:val="both"/>
        <w:rPr>
          <w:rFonts w:ascii="Sylfaen" w:hAnsi="Sylfaen"/>
          <w:sz w:val="24"/>
          <w:szCs w:val="24"/>
          <w:lang w:val="ka-GE"/>
        </w:rPr>
      </w:pPr>
      <w:r w:rsidRPr="004D6D25">
        <w:rPr>
          <w:rFonts w:ascii="Sylfaen" w:hAnsi="Sylfaen"/>
          <w:sz w:val="24"/>
          <w:szCs w:val="24"/>
          <w:lang w:val="ka-GE"/>
        </w:rPr>
        <w:t>რეგლამენტის პროექტის</w:t>
      </w:r>
      <w:r w:rsidRPr="006F15D4">
        <w:rPr>
          <w:rFonts w:ascii="Sylfaen" w:hAnsi="Sylfaen" w:cs="Arial"/>
          <w:b/>
          <w:sz w:val="24"/>
          <w:szCs w:val="24"/>
          <w:lang w:val="ka-GE"/>
        </w:rPr>
        <w:t xml:space="preserve"> </w:t>
      </w:r>
      <w:r w:rsidR="009341F0" w:rsidRPr="006F15D4">
        <w:rPr>
          <w:rFonts w:ascii="Sylfaen" w:hAnsi="Sylfaen"/>
          <w:sz w:val="24"/>
          <w:szCs w:val="24"/>
          <w:lang w:val="ka-GE"/>
        </w:rPr>
        <w:t xml:space="preserve">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ბ.ე) </w:t>
      </w:r>
      <w:r w:rsidR="004D6D25"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მოსალოდნელი ფინანსური შედეგები იმ პირთათვის, რომელთა მიმართაც ვრცელდება </w:t>
      </w:r>
      <w:r w:rsidR="004D6D25"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w:t>
      </w:r>
      <w:r w:rsidR="004D6D25" w:rsidRPr="006703F6">
        <w:rPr>
          <w:rFonts w:ascii="Sylfaen" w:hAnsi="Sylfaen"/>
          <w:b/>
          <w:sz w:val="24"/>
          <w:szCs w:val="24"/>
          <w:lang w:val="ka-GE"/>
        </w:rPr>
        <w:t>რეგლამენტის პროექტ</w:t>
      </w:r>
      <w:r w:rsidR="004D6D25">
        <w:rPr>
          <w:rFonts w:ascii="Sylfaen" w:hAnsi="Sylfaen"/>
          <w:b/>
          <w:sz w:val="24"/>
          <w:szCs w:val="24"/>
          <w:lang w:val="ka-GE"/>
        </w:rPr>
        <w:t>ით</w:t>
      </w:r>
      <w:r w:rsidRPr="006F15D4">
        <w:rPr>
          <w:rFonts w:ascii="Sylfaen" w:hAnsi="Sylfaen"/>
          <w:b/>
          <w:sz w:val="24"/>
          <w:szCs w:val="24"/>
          <w:lang w:val="ka-GE"/>
        </w:rPr>
        <w:t xml:space="preserve">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ბ.ვ) </w:t>
      </w:r>
      <w:r w:rsidR="00CE0F97" w:rsidRPr="006703F6">
        <w:rPr>
          <w:rFonts w:ascii="Sylfaen" w:hAnsi="Sylfaen"/>
          <w:b/>
          <w:sz w:val="24"/>
          <w:szCs w:val="24"/>
          <w:lang w:val="ka-GE"/>
        </w:rPr>
        <w:t>რეგლამენტის პროექტ</w:t>
      </w:r>
      <w:r w:rsidR="00CE0F97">
        <w:rPr>
          <w:rFonts w:ascii="Sylfaen" w:hAnsi="Sylfaen"/>
          <w:b/>
          <w:sz w:val="24"/>
          <w:szCs w:val="24"/>
          <w:lang w:val="ka-GE"/>
        </w:rPr>
        <w:t>ით</w:t>
      </w:r>
      <w:r w:rsidRPr="006F15D4">
        <w:rPr>
          <w:rFonts w:ascii="Sylfaen" w:hAnsi="Sylfaen"/>
          <w:b/>
          <w:sz w:val="24"/>
          <w:szCs w:val="24"/>
          <w:lang w:val="ka-GE"/>
        </w:rPr>
        <w:t xml:space="preserve">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 </w:t>
      </w:r>
      <w:r w:rsidR="00285E3B"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285E3B" w:rsidP="009341F0">
      <w:pPr>
        <w:spacing w:after="0" w:line="240" w:lineRule="auto"/>
        <w:jc w:val="both"/>
        <w:rPr>
          <w:rFonts w:ascii="Sylfaen" w:hAnsi="Sylfaen"/>
          <w:sz w:val="24"/>
          <w:szCs w:val="24"/>
          <w:lang w:val="ka-GE"/>
        </w:rPr>
      </w:pPr>
      <w:r w:rsidRPr="00285E3B">
        <w:rPr>
          <w:rFonts w:ascii="Sylfaen" w:hAnsi="Sylfaen"/>
          <w:sz w:val="24"/>
          <w:szCs w:val="24"/>
          <w:lang w:val="ka-GE"/>
        </w:rPr>
        <w:t>რეგლამენტის პროექტი</w:t>
      </w:r>
      <w:r w:rsidR="009341F0" w:rsidRPr="006F15D4">
        <w:rPr>
          <w:rFonts w:ascii="Sylfaen" w:hAnsi="Sylfaen"/>
          <w:sz w:val="24"/>
          <w:szCs w:val="24"/>
          <w:lang w:val="ka-GE"/>
        </w:rPr>
        <w:t xml:space="preserve"> </w:t>
      </w:r>
      <w:r w:rsidR="00FF5315">
        <w:rPr>
          <w:rFonts w:ascii="Sylfaen" w:hAnsi="Sylfaen"/>
          <w:sz w:val="24"/>
          <w:szCs w:val="24"/>
          <w:lang w:val="ka-GE"/>
        </w:rPr>
        <w:t>არ ეწინააღდეგება</w:t>
      </w:r>
      <w:r w:rsidR="009341F0" w:rsidRPr="006F15D4">
        <w:rPr>
          <w:rFonts w:ascii="Sylfaen" w:hAnsi="Sylfaen"/>
          <w:sz w:val="24"/>
          <w:szCs w:val="24"/>
          <w:lang w:val="ka-GE"/>
        </w:rPr>
        <w:t xml:space="preserve">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გ.ბ) </w:t>
      </w:r>
      <w:r w:rsidR="00285E3B"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გ.გ) </w:t>
      </w:r>
      <w:r w:rsidR="00E32023" w:rsidRPr="006703F6">
        <w:rPr>
          <w:rFonts w:ascii="Sylfaen" w:hAnsi="Sylfaen"/>
          <w:b/>
          <w:sz w:val="24"/>
          <w:szCs w:val="24"/>
          <w:lang w:val="ka-GE"/>
        </w:rPr>
        <w:t>რეგლამენტის პროექტის</w:t>
      </w:r>
      <w:r w:rsidRPr="006F15D4">
        <w:rPr>
          <w:rFonts w:ascii="Sylfaen" w:hAnsi="Sylfaen"/>
          <w:b/>
          <w:sz w:val="24"/>
          <w:szCs w:val="24"/>
          <w:lang w:val="ka-GE"/>
        </w:rPr>
        <w:t xml:space="preserve">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6B1D78" w:rsidRPr="006F15D4" w:rsidRDefault="00EE0511" w:rsidP="006B1D78">
      <w:pPr>
        <w:spacing w:after="0" w:line="240" w:lineRule="auto"/>
        <w:jc w:val="both"/>
        <w:rPr>
          <w:rFonts w:ascii="Sylfaen" w:hAnsi="Sylfaen"/>
          <w:sz w:val="24"/>
          <w:szCs w:val="24"/>
          <w:lang w:val="ka-GE"/>
        </w:rPr>
      </w:pPr>
      <w:r w:rsidRPr="00D566A2">
        <w:rPr>
          <w:rFonts w:ascii="Sylfaen" w:hAnsi="Sylfaen"/>
          <w:sz w:val="24"/>
          <w:szCs w:val="24"/>
          <w:lang w:val="ka-GE"/>
        </w:rPr>
        <w:lastRenderedPageBreak/>
        <w:t>რეგლამენტის პროექტის</w:t>
      </w:r>
      <w:r w:rsidR="009341F0" w:rsidRPr="006F15D4">
        <w:rPr>
          <w:rFonts w:ascii="Sylfaen" w:hAnsi="Sylfaen"/>
          <w:sz w:val="24"/>
          <w:szCs w:val="24"/>
          <w:lang w:val="ka-GE"/>
        </w:rPr>
        <w:t xml:space="preserve">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6B1D78">
        <w:rPr>
          <w:rFonts w:ascii="Sylfaen" w:hAnsi="Sylfaen"/>
          <w:sz w:val="24"/>
          <w:szCs w:val="24"/>
          <w:lang w:val="ka-GE"/>
        </w:rPr>
        <w:t xml:space="preserve">რეგლამენტის </w:t>
      </w:r>
      <w:r w:rsidR="006B1D78" w:rsidRPr="00661908">
        <w:rPr>
          <w:rFonts w:ascii="Sylfaen" w:hAnsi="Sylfaen"/>
          <w:sz w:val="24"/>
          <w:szCs w:val="24"/>
          <w:lang w:val="ka-GE"/>
        </w:rPr>
        <w:t xml:space="preserve">მიღება </w:t>
      </w:r>
      <w:r w:rsidR="006B1D78">
        <w:rPr>
          <w:rFonts w:ascii="Sylfaen" w:hAnsi="Sylfaen"/>
          <w:sz w:val="24"/>
          <w:szCs w:val="24"/>
          <w:lang w:val="ka-GE"/>
        </w:rPr>
        <w:t>არ გამომდინარეობს</w:t>
      </w:r>
      <w:r w:rsidR="006B1D78" w:rsidRPr="00661908">
        <w:rPr>
          <w:rFonts w:ascii="Sylfaen" w:hAnsi="Sylfaen"/>
          <w:sz w:val="24"/>
          <w:szCs w:val="24"/>
          <w:lang w:val="ka-GE"/>
        </w:rPr>
        <w:t xml:space="preserve"> ასოცირების შესახებ შეთანხმებ</w:t>
      </w:r>
      <w:r w:rsidR="006B1D78">
        <w:rPr>
          <w:rFonts w:ascii="Sylfaen" w:hAnsi="Sylfaen"/>
          <w:sz w:val="24"/>
          <w:szCs w:val="24"/>
          <w:lang w:val="ka-GE"/>
        </w:rPr>
        <w:t>იდან</w:t>
      </w:r>
      <w:r w:rsidR="006B1D78"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დ) </w:t>
      </w:r>
      <w:r w:rsidR="00EE0511"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w:t>
      </w:r>
      <w:r w:rsidR="00EE0511"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EE0511" w:rsidP="009341F0">
      <w:pPr>
        <w:spacing w:after="0" w:line="240" w:lineRule="auto"/>
        <w:jc w:val="both"/>
        <w:rPr>
          <w:rFonts w:ascii="Sylfaen" w:hAnsi="Sylfaen"/>
          <w:sz w:val="24"/>
          <w:szCs w:val="24"/>
          <w:lang w:val="ka-GE"/>
        </w:rPr>
      </w:pPr>
      <w:r w:rsidRPr="00EE0511">
        <w:rPr>
          <w:rFonts w:ascii="Sylfaen" w:hAnsi="Sylfaen"/>
          <w:sz w:val="24"/>
          <w:szCs w:val="24"/>
          <w:lang w:val="ka-GE"/>
        </w:rPr>
        <w:t>რეგლამენტის პროექტის</w:t>
      </w:r>
      <w:r w:rsidR="009341F0" w:rsidRPr="006F15D4">
        <w:rPr>
          <w:rFonts w:ascii="Sylfaen" w:hAnsi="Sylfaen" w:cstheme="minorHAnsi"/>
          <w:sz w:val="24"/>
          <w:szCs w:val="24"/>
          <w:lang w:val="ka-GE"/>
        </w:rPr>
        <w:t xml:space="preserve"> შემუშავებაში მონაწილეობა მიიღეს: საქართველოს </w:t>
      </w:r>
      <w:r w:rsidR="009341F0"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დ.ბ) </w:t>
      </w:r>
      <w:r w:rsidR="00EC0D75"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ე) </w:t>
      </w:r>
      <w:r w:rsidR="00FF443C"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ვ) </w:t>
      </w:r>
      <w:r w:rsidR="002E6222" w:rsidRPr="006703F6">
        <w:rPr>
          <w:rFonts w:ascii="Sylfaen" w:hAnsi="Sylfaen"/>
          <w:b/>
          <w:sz w:val="24"/>
          <w:szCs w:val="24"/>
          <w:lang w:val="ka-GE"/>
        </w:rPr>
        <w:t>რეგლამენტის პროექტის</w:t>
      </w:r>
      <w:r w:rsidRPr="006F15D4">
        <w:rPr>
          <w:rFonts w:ascii="Sylfaen" w:hAnsi="Sylfaen" w:cstheme="minorHAnsi"/>
          <w:b/>
          <w:sz w:val="24"/>
          <w:szCs w:val="24"/>
          <w:lang w:val="ka-GE"/>
        </w:rPr>
        <w:t xml:space="preserve">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9341F0" w:rsidRPr="006F15D4" w:rsidRDefault="00D566A2" w:rsidP="009341F0">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სოფიო კილაძე.</w:t>
      </w:r>
      <w:r w:rsidR="009341F0"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0AB" w:rsidRDefault="000C20AB" w:rsidP="009341F0">
      <w:pPr>
        <w:spacing w:after="0" w:line="240" w:lineRule="auto"/>
      </w:pPr>
      <w:r>
        <w:separator/>
      </w:r>
    </w:p>
  </w:endnote>
  <w:endnote w:type="continuationSeparator" w:id="0">
    <w:p w:rsidR="000C20AB" w:rsidRDefault="000C20AB"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0AB" w:rsidRDefault="000C20AB" w:rsidP="009341F0">
      <w:pPr>
        <w:spacing w:after="0" w:line="240" w:lineRule="auto"/>
      </w:pPr>
      <w:r>
        <w:separator/>
      </w:r>
    </w:p>
  </w:footnote>
  <w:footnote w:type="continuationSeparator" w:id="0">
    <w:p w:rsidR="000C20AB" w:rsidRDefault="000C20AB"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r w:rsidR="001D7639">
        <w:fldChar w:fldCharType="begin"/>
      </w:r>
      <w:r w:rsidR="001D7639" w:rsidRPr="00C10AD7">
        <w:rPr>
          <w:lang w:val="ka-GE"/>
        </w:rPr>
        <w:instrText>HYPERLINK "https://eeas.europa.eu/sites/eeas/files/annex_ii_-_eu-georgia_association_agenda_text.pdf"</w:instrText>
      </w:r>
      <w:r w:rsidR="001D7639">
        <w:fldChar w:fldCharType="separate"/>
      </w:r>
      <w:r w:rsidRPr="00A048BB">
        <w:rPr>
          <w:rStyle w:val="Hyperlink"/>
          <w:rFonts w:ascii="Sylfaen" w:hAnsi="Sylfaen"/>
          <w:sz w:val="18"/>
          <w:szCs w:val="18"/>
          <w:lang w:val="ka-GE"/>
        </w:rPr>
        <w:t>https://eeas.europa.eu/sites/eeas/files/annex_ii_-_eu-georgia_association_agenda_text.pdf</w:t>
      </w:r>
      <w:r w:rsidR="001D7639">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r w:rsidR="001D7639">
        <w:fldChar w:fldCharType="begin"/>
      </w:r>
      <w:r w:rsidR="001D7639" w:rsidRPr="00C10AD7">
        <w:rPr>
          <w:lang w:val="ka-GE"/>
        </w:rPr>
        <w:instrText>HYPERLINK "http://ombudsman.ge/res/docs/2019042620571319466.pdf"</w:instrText>
      </w:r>
      <w:r w:rsidR="001D7639">
        <w:fldChar w:fldCharType="separate"/>
      </w:r>
      <w:r w:rsidRPr="000228CE">
        <w:rPr>
          <w:rStyle w:val="Hyperlink"/>
          <w:rFonts w:ascii="Sylfaen" w:hAnsi="Sylfaen" w:cstheme="minorHAnsi"/>
          <w:lang w:val="ka-GE"/>
        </w:rPr>
        <w:t>http://ombudsman.ge/res/docs/2019042620571319466.pdf</w:t>
      </w:r>
      <w:r w:rsidR="001D7639">
        <w:fldChar w:fldCharType="end"/>
      </w:r>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r w:rsidR="001D7639">
        <w:fldChar w:fldCharType="begin"/>
      </w:r>
      <w:r w:rsidR="001D7639" w:rsidRPr="00C10AD7">
        <w:rPr>
          <w:lang w:val="ka-GE"/>
        </w:rPr>
        <w:instrText>HYPERLINK "https://drive.google.com/file/d/1jlujQ6bN40WrlBJFukQx3wv326StelIl/view"</w:instrText>
      </w:r>
      <w:r w:rsidR="001D7639">
        <w:fldChar w:fldCharType="separate"/>
      </w:r>
      <w:r w:rsidRPr="000228CE">
        <w:rPr>
          <w:rStyle w:val="Hyperlink"/>
          <w:rFonts w:ascii="Sylfaen" w:hAnsi="Sylfaen" w:cstheme="minorHAnsi"/>
          <w:lang w:val="ka-GE"/>
        </w:rPr>
        <w:t>https://drive.google.com/file/d/1jlujQ6bN40WrlBJFukQx3wv326StelIl/view</w:t>
      </w:r>
      <w:r w:rsidR="001D7639">
        <w:fldChar w:fldCharType="end"/>
      </w:r>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r w:rsidR="001D7639">
        <w:fldChar w:fldCharType="begin"/>
      </w:r>
      <w:r w:rsidR="001D7639" w:rsidRPr="00C10AD7">
        <w:rPr>
          <w:lang w:val="ka-GE"/>
        </w:rPr>
        <w:instrText>HYPERLINK "https://www.ilo.org/dyn/normlex/en/f?p=1000:11110:0::NO:11110:P11110_COUNTRY_ID,P11110_CONTEXT:102639,SC"</w:instrText>
      </w:r>
      <w:r w:rsidR="001D7639">
        <w:fldChar w:fldCharType="separate"/>
      </w:r>
      <w:r w:rsidRPr="00A048BB">
        <w:rPr>
          <w:rStyle w:val="Hyperlink"/>
          <w:sz w:val="18"/>
          <w:szCs w:val="18"/>
          <w:lang w:val="ka-GE"/>
        </w:rPr>
        <w:t>https://www.ilo.org/dyn/normlex/en/f?p=1000:11110:0::NO:11110:P11110_COUNTRY_ID,P11110_CONTEXT:102639,SC</w:t>
      </w:r>
      <w:r w:rsidR="001D7639">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r w:rsidR="001D7639">
        <w:fldChar w:fldCharType="begin"/>
      </w:r>
      <w:r w:rsidR="001D7639" w:rsidRPr="00C10AD7">
        <w:rPr>
          <w:lang w:val="ka-GE"/>
        </w:rPr>
        <w:instrText>HYPERLINK "https://www.state.gov/wp-content/uploads/2019/03/GEORGIA-2018-HUMAN-RIGHTS-REPORT.pdf"</w:instrText>
      </w:r>
      <w:r w:rsidR="001D7639">
        <w:fldChar w:fldCharType="separate"/>
      </w:r>
      <w:r w:rsidRPr="00A048BB">
        <w:rPr>
          <w:rStyle w:val="Hyperlink"/>
          <w:rFonts w:ascii="Sylfaen" w:hAnsi="Sylfaen"/>
          <w:sz w:val="18"/>
          <w:szCs w:val="18"/>
          <w:lang w:val="ka-GE"/>
        </w:rPr>
        <w:t>https://www.state.gov/wp-content/uploads/2019/03/GEORGIA-2018-HUMAN-RIGHTS-REPORT.pdf</w:t>
      </w:r>
      <w:r w:rsidR="001D7639">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r w:rsidR="001D7639">
        <w:fldChar w:fldCharType="begin"/>
      </w:r>
      <w:r w:rsidR="001D7639" w:rsidRPr="00C10AD7">
        <w:rPr>
          <w:lang w:val="ka-GE"/>
        </w:rPr>
        <w:instrText>HYPERLINK "https://www.ohchr.org/EN/NewsEvents/Pages/DisplayNews.aspx?NewsID=24474&amp;LangID=E"</w:instrText>
      </w:r>
      <w:r w:rsidR="001D7639">
        <w:fldChar w:fldCharType="separate"/>
      </w:r>
      <w:r w:rsidRPr="00A048BB">
        <w:rPr>
          <w:rStyle w:val="Hyperlink"/>
          <w:rFonts w:ascii="Sylfaen" w:hAnsi="Sylfaen"/>
          <w:sz w:val="18"/>
          <w:szCs w:val="18"/>
          <w:lang w:val="ka-GE"/>
        </w:rPr>
        <w:t>https://www.ohchr.org/EN/NewsEvents/Pages/DisplayNews.aspx?NewsID=24474&amp;LangID=E</w:t>
      </w:r>
      <w:r w:rsidR="001D7639">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B7252"/>
    <w:rsid w:val="000C20AB"/>
    <w:rsid w:val="00150BE3"/>
    <w:rsid w:val="00161CE8"/>
    <w:rsid w:val="00191BE0"/>
    <w:rsid w:val="001B4B29"/>
    <w:rsid w:val="001C2BF7"/>
    <w:rsid w:val="001C591C"/>
    <w:rsid w:val="001D7639"/>
    <w:rsid w:val="002178F2"/>
    <w:rsid w:val="00253B3B"/>
    <w:rsid w:val="002673AF"/>
    <w:rsid w:val="002735A7"/>
    <w:rsid w:val="00284BD8"/>
    <w:rsid w:val="00285E3B"/>
    <w:rsid w:val="002D0BD0"/>
    <w:rsid w:val="002E6222"/>
    <w:rsid w:val="00320186"/>
    <w:rsid w:val="003A148E"/>
    <w:rsid w:val="003A2EE8"/>
    <w:rsid w:val="00437569"/>
    <w:rsid w:val="004375AD"/>
    <w:rsid w:val="004A3F9C"/>
    <w:rsid w:val="004D6D25"/>
    <w:rsid w:val="004E5468"/>
    <w:rsid w:val="005034DB"/>
    <w:rsid w:val="00532110"/>
    <w:rsid w:val="005525E4"/>
    <w:rsid w:val="005642E8"/>
    <w:rsid w:val="00571129"/>
    <w:rsid w:val="005877DE"/>
    <w:rsid w:val="00597EA6"/>
    <w:rsid w:val="005A1E02"/>
    <w:rsid w:val="005A34E4"/>
    <w:rsid w:val="005D6B30"/>
    <w:rsid w:val="005E2DB1"/>
    <w:rsid w:val="005F02B1"/>
    <w:rsid w:val="00601B6D"/>
    <w:rsid w:val="0060482E"/>
    <w:rsid w:val="006202BD"/>
    <w:rsid w:val="006307F0"/>
    <w:rsid w:val="00645CBB"/>
    <w:rsid w:val="006703F6"/>
    <w:rsid w:val="006B1D78"/>
    <w:rsid w:val="006F15D4"/>
    <w:rsid w:val="00740FFA"/>
    <w:rsid w:val="00746659"/>
    <w:rsid w:val="00754548"/>
    <w:rsid w:val="007B36E5"/>
    <w:rsid w:val="007E5FBB"/>
    <w:rsid w:val="007F3F11"/>
    <w:rsid w:val="00825125"/>
    <w:rsid w:val="0085000F"/>
    <w:rsid w:val="00892ED5"/>
    <w:rsid w:val="0089729E"/>
    <w:rsid w:val="008B46B5"/>
    <w:rsid w:val="008E07BA"/>
    <w:rsid w:val="008F2F14"/>
    <w:rsid w:val="00911CE5"/>
    <w:rsid w:val="009341F0"/>
    <w:rsid w:val="0097228B"/>
    <w:rsid w:val="009770A2"/>
    <w:rsid w:val="00A048BB"/>
    <w:rsid w:val="00A21382"/>
    <w:rsid w:val="00A245CE"/>
    <w:rsid w:val="00A44B0A"/>
    <w:rsid w:val="00AA6279"/>
    <w:rsid w:val="00B20526"/>
    <w:rsid w:val="00B339C9"/>
    <w:rsid w:val="00B56BAA"/>
    <w:rsid w:val="00B66E6B"/>
    <w:rsid w:val="00BA1F07"/>
    <w:rsid w:val="00BE1A11"/>
    <w:rsid w:val="00C10AD7"/>
    <w:rsid w:val="00C14FD6"/>
    <w:rsid w:val="00C61C17"/>
    <w:rsid w:val="00CA12C1"/>
    <w:rsid w:val="00CB5DAD"/>
    <w:rsid w:val="00CE0F97"/>
    <w:rsid w:val="00D40F26"/>
    <w:rsid w:val="00D566A2"/>
    <w:rsid w:val="00D74112"/>
    <w:rsid w:val="00D76475"/>
    <w:rsid w:val="00D97693"/>
    <w:rsid w:val="00DA74C1"/>
    <w:rsid w:val="00DB4321"/>
    <w:rsid w:val="00DF0727"/>
    <w:rsid w:val="00E10DB1"/>
    <w:rsid w:val="00E32023"/>
    <w:rsid w:val="00E54F1C"/>
    <w:rsid w:val="00E5617E"/>
    <w:rsid w:val="00E71037"/>
    <w:rsid w:val="00EC0D75"/>
    <w:rsid w:val="00EE0511"/>
    <w:rsid w:val="00EF6B86"/>
    <w:rsid w:val="00F052E8"/>
    <w:rsid w:val="00F30E9C"/>
    <w:rsid w:val="00F53029"/>
    <w:rsid w:val="00F73380"/>
    <w:rsid w:val="00FC1027"/>
    <w:rsid w:val="00FC1A09"/>
    <w:rsid w:val="00FD0A55"/>
    <w:rsid w:val="00FF2075"/>
    <w:rsid w:val="00FF3E10"/>
    <w:rsid w:val="00FF443C"/>
    <w:rsid w:val="00FF5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divs>
    <w:div w:id="74517113">
      <w:bodyDiv w:val="1"/>
      <w:marLeft w:val="0"/>
      <w:marRight w:val="0"/>
      <w:marTop w:val="0"/>
      <w:marBottom w:val="0"/>
      <w:divBdr>
        <w:top w:val="none" w:sz="0" w:space="0" w:color="auto"/>
        <w:left w:val="none" w:sz="0" w:space="0" w:color="auto"/>
        <w:bottom w:val="none" w:sz="0" w:space="0" w:color="auto"/>
        <w:right w:val="none" w:sz="0" w:space="0" w:color="auto"/>
      </w:divBdr>
      <w:divsChild>
        <w:div w:id="982737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hrw.org/report/2019/08/22/no-year-without-deaths/decade-deregulation-puts-georgian-miners-risk" TargetMode="External"/><Relationship Id="rId1" Type="http://schemas.openxmlformats.org/officeDocument/2006/relationships/hyperlink" Target="https://matsne.gov.ge/ka/document/view/2496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2020-03-11T14:23:00Z</dcterms:modified>
</cp:coreProperties>
</file>