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C51" w:rsidRPr="007C43FC" w:rsidRDefault="001C4C51" w:rsidP="001C4C51">
      <w:pPr>
        <w:spacing w:line="360" w:lineRule="auto"/>
        <w:jc w:val="center"/>
        <w:rPr>
          <w:b/>
          <w:sz w:val="32"/>
          <w:szCs w:val="32"/>
          <w:lang w:val="en-US"/>
        </w:rPr>
      </w:pPr>
      <w:r w:rsidRPr="007C43FC">
        <w:rPr>
          <w:b/>
          <w:sz w:val="32"/>
          <w:szCs w:val="32"/>
          <w:lang w:val="en-US"/>
        </w:rPr>
        <w:t>Concept</w:t>
      </w:r>
      <w:r w:rsidR="00067CF2" w:rsidRPr="007C43FC">
        <w:rPr>
          <w:b/>
          <w:sz w:val="32"/>
          <w:szCs w:val="32"/>
          <w:lang w:val="en-US"/>
        </w:rPr>
        <w:t xml:space="preserve"> Paper on</w:t>
      </w:r>
    </w:p>
    <w:p w:rsidR="00137BE7" w:rsidRPr="007C43FC" w:rsidRDefault="00067CF2" w:rsidP="001C4C51">
      <w:pPr>
        <w:spacing w:line="360" w:lineRule="auto"/>
        <w:jc w:val="center"/>
        <w:rPr>
          <w:b/>
          <w:sz w:val="32"/>
          <w:szCs w:val="32"/>
          <w:lang w:val="en-US"/>
        </w:rPr>
      </w:pPr>
      <w:r w:rsidRPr="007C43FC">
        <w:rPr>
          <w:b/>
          <w:sz w:val="32"/>
          <w:szCs w:val="32"/>
          <w:lang w:val="en-US"/>
        </w:rPr>
        <w:t xml:space="preserve">Links between the </w:t>
      </w:r>
      <w:r w:rsidR="00137BE7" w:rsidRPr="007C43FC">
        <w:rPr>
          <w:b/>
          <w:sz w:val="32"/>
          <w:szCs w:val="32"/>
          <w:lang w:val="en-US"/>
        </w:rPr>
        <w:t>Human Rights</w:t>
      </w:r>
      <w:r w:rsidR="001C4C51" w:rsidRPr="007C43FC">
        <w:rPr>
          <w:b/>
          <w:sz w:val="32"/>
          <w:szCs w:val="32"/>
          <w:lang w:val="en-US"/>
        </w:rPr>
        <w:t xml:space="preserve"> and Environmental Protection</w:t>
      </w:r>
    </w:p>
    <w:p w:rsidR="00067CF2" w:rsidRPr="007C43FC" w:rsidRDefault="00067CF2" w:rsidP="00137BE7">
      <w:pPr>
        <w:spacing w:line="360" w:lineRule="auto"/>
        <w:rPr>
          <w:b/>
          <w:sz w:val="28"/>
          <w:szCs w:val="28"/>
          <w:lang w:val="en-US"/>
        </w:rPr>
      </w:pPr>
    </w:p>
    <w:p w:rsidR="00A278F9" w:rsidRPr="007C43FC" w:rsidRDefault="00A278F9" w:rsidP="00137BE7">
      <w:pPr>
        <w:spacing w:line="360" w:lineRule="auto"/>
        <w:rPr>
          <w:b/>
          <w:sz w:val="28"/>
          <w:szCs w:val="28"/>
          <w:lang w:val="en-US"/>
        </w:rPr>
      </w:pPr>
    </w:p>
    <w:p w:rsidR="00D4787F" w:rsidRPr="007C43FC" w:rsidRDefault="00C659D1" w:rsidP="00137BE7">
      <w:pPr>
        <w:spacing w:line="360" w:lineRule="auto"/>
        <w:rPr>
          <w:b/>
          <w:sz w:val="28"/>
          <w:szCs w:val="28"/>
          <w:lang w:val="en-US"/>
        </w:rPr>
      </w:pPr>
      <w:r w:rsidRPr="007C43FC">
        <w:rPr>
          <w:b/>
          <w:sz w:val="28"/>
          <w:szCs w:val="28"/>
          <w:lang w:val="en-US"/>
        </w:rPr>
        <w:t xml:space="preserve">1. </w:t>
      </w:r>
      <w:r w:rsidR="00D4787F" w:rsidRPr="007C43FC">
        <w:rPr>
          <w:b/>
          <w:sz w:val="28"/>
          <w:szCs w:val="28"/>
          <w:lang w:val="en-US"/>
        </w:rPr>
        <w:t>European Convention on Human Rights and Environmental Protection</w:t>
      </w:r>
    </w:p>
    <w:p w:rsidR="00EC7815" w:rsidRPr="007C43FC" w:rsidRDefault="00EC7815" w:rsidP="00137BE7">
      <w:pPr>
        <w:spacing w:line="360" w:lineRule="auto"/>
        <w:rPr>
          <w:b/>
          <w:sz w:val="28"/>
          <w:szCs w:val="28"/>
          <w:lang w:val="en-US"/>
        </w:rPr>
      </w:pPr>
    </w:p>
    <w:p w:rsidR="00137BE7" w:rsidRPr="007C43FC" w:rsidRDefault="008E30AC" w:rsidP="00137BE7">
      <w:pPr>
        <w:spacing w:line="360" w:lineRule="auto"/>
        <w:rPr>
          <w:b/>
          <w:i/>
          <w:lang w:val="en-US"/>
        </w:rPr>
      </w:pPr>
      <w:r w:rsidRPr="007C43FC">
        <w:rPr>
          <w:b/>
          <w:i/>
          <w:lang w:val="en-US"/>
        </w:rPr>
        <w:t xml:space="preserve">1.1 </w:t>
      </w:r>
      <w:r w:rsidR="00D2043B" w:rsidRPr="007C43FC">
        <w:rPr>
          <w:b/>
          <w:i/>
          <w:lang w:val="en-US"/>
        </w:rPr>
        <w:t>Introduction</w:t>
      </w:r>
    </w:p>
    <w:p w:rsidR="00D2043B" w:rsidRPr="007C43FC" w:rsidRDefault="00D2043B" w:rsidP="00137BE7">
      <w:pPr>
        <w:spacing w:line="360" w:lineRule="auto"/>
        <w:rPr>
          <w:b/>
          <w:i/>
          <w:sz w:val="28"/>
          <w:szCs w:val="28"/>
          <w:lang w:val="en-US"/>
        </w:rPr>
      </w:pPr>
    </w:p>
    <w:p w:rsidR="00805196" w:rsidRPr="007C43FC" w:rsidRDefault="00A278F9" w:rsidP="00805196">
      <w:pPr>
        <w:spacing w:line="360" w:lineRule="auto"/>
        <w:jc w:val="both"/>
        <w:rPr>
          <w:lang w:val="en-US"/>
        </w:rPr>
      </w:pPr>
      <w:r w:rsidRPr="007C43FC">
        <w:rPr>
          <w:lang w:val="en-US"/>
        </w:rPr>
        <w:t xml:space="preserve">It is fascinating </w:t>
      </w:r>
      <w:r w:rsidR="00805196" w:rsidRPr="007C43FC">
        <w:rPr>
          <w:lang w:val="en-US"/>
        </w:rPr>
        <w:t>to examine the European Convention on Human Rights (ECHR) in the light of its potential to be used for environmental protection.</w:t>
      </w:r>
      <w:r w:rsidRPr="007C43FC">
        <w:rPr>
          <w:lang w:val="en-US"/>
        </w:rPr>
        <w:t xml:space="preserve"> </w:t>
      </w:r>
      <w:r w:rsidR="002D795B" w:rsidRPr="007C43FC">
        <w:rPr>
          <w:lang w:val="en-US"/>
        </w:rPr>
        <w:t>The ECHR does not mention the environment and it is not specifically designed to provide general protection of the environment as such</w:t>
      </w:r>
      <w:r w:rsidR="00805196" w:rsidRPr="007C43FC">
        <w:rPr>
          <w:lang w:val="en-US"/>
        </w:rPr>
        <w:t>. However</w:t>
      </w:r>
      <w:r w:rsidR="00B552E2" w:rsidRPr="007C43FC">
        <w:rPr>
          <w:lang w:val="en-US"/>
        </w:rPr>
        <w:t xml:space="preserve"> </w:t>
      </w:r>
      <w:r w:rsidR="00805196" w:rsidRPr="007C43FC">
        <w:rPr>
          <w:lang w:val="en-US"/>
        </w:rPr>
        <w:t>the European Court of Human Rights (ECtHR) has interpreted the provisions of the ECHR in the context of envi</w:t>
      </w:r>
      <w:r w:rsidRPr="007C43FC">
        <w:rPr>
          <w:lang w:val="en-US"/>
        </w:rPr>
        <w:t>ronmental issues</w:t>
      </w:r>
      <w:r w:rsidR="00805196" w:rsidRPr="007C43FC">
        <w:rPr>
          <w:lang w:val="en-US"/>
        </w:rPr>
        <w:t>. As a result, the ECtHR has produced a body of environmental jurisprudence in which the “greening” of existing rights of the ECHR has taken place.</w:t>
      </w:r>
    </w:p>
    <w:p w:rsidR="00997881" w:rsidRPr="007C43FC" w:rsidRDefault="00997881" w:rsidP="00805196">
      <w:pPr>
        <w:spacing w:line="360" w:lineRule="auto"/>
        <w:jc w:val="both"/>
        <w:rPr>
          <w:lang w:val="en-US"/>
        </w:rPr>
      </w:pPr>
    </w:p>
    <w:p w:rsidR="00EC74F3" w:rsidRPr="007C43FC" w:rsidRDefault="00997881" w:rsidP="00B160BF">
      <w:pPr>
        <w:suppressAutoHyphens/>
        <w:spacing w:before="120" w:line="360" w:lineRule="auto"/>
        <w:jc w:val="both"/>
        <w:rPr>
          <w:lang w:val="en-US"/>
        </w:rPr>
      </w:pPr>
      <w:r w:rsidRPr="007C43FC">
        <w:rPr>
          <w:lang w:val="en-US"/>
        </w:rPr>
        <w:t xml:space="preserve">The Council of Europe has produced a number of relevant publications on Human Rights and Environmental Protection </w:t>
      </w:r>
      <w:r w:rsidR="006D5CE2" w:rsidRPr="007C43FC">
        <w:rPr>
          <w:lang w:val="en-US"/>
        </w:rPr>
        <w:t xml:space="preserve">as well as </w:t>
      </w:r>
      <w:r w:rsidR="00856B5D" w:rsidRPr="007C43FC">
        <w:rPr>
          <w:lang w:val="en-US"/>
        </w:rPr>
        <w:t>a</w:t>
      </w:r>
      <w:r w:rsidR="009A0614" w:rsidRPr="007C43FC">
        <w:rPr>
          <w:lang w:val="en-US"/>
        </w:rPr>
        <w:t xml:space="preserve"> </w:t>
      </w:r>
      <w:r w:rsidR="00856B5D" w:rsidRPr="007C43FC">
        <w:rPr>
          <w:color w:val="161616"/>
          <w:lang w:val="en-GB"/>
        </w:rPr>
        <w:t>Charter on General Principles for Protection of the Environment and Sustainable Development</w:t>
      </w:r>
      <w:r w:rsidR="00510C8E" w:rsidRPr="007C43FC">
        <w:rPr>
          <w:color w:val="161616"/>
          <w:lang w:val="en-GB"/>
        </w:rPr>
        <w:t xml:space="preserve">. </w:t>
      </w:r>
      <w:r w:rsidR="001A0CBB" w:rsidRPr="007C43FC">
        <w:rPr>
          <w:color w:val="161616"/>
          <w:lang w:val="en-GB"/>
        </w:rPr>
        <w:t>The main work on environmental and biodiversity conservation is ca</w:t>
      </w:r>
      <w:r w:rsidR="001C2D7A" w:rsidRPr="007C43FC">
        <w:rPr>
          <w:color w:val="161616"/>
          <w:lang w:val="en-GB"/>
        </w:rPr>
        <w:t>rried</w:t>
      </w:r>
      <w:r w:rsidR="00953113" w:rsidRPr="007C43FC">
        <w:rPr>
          <w:color w:val="161616"/>
          <w:lang w:val="en-GB"/>
        </w:rPr>
        <w:t xml:space="preserve"> out in the framework of the</w:t>
      </w:r>
      <w:r w:rsidR="00953113" w:rsidRPr="007C43FC">
        <w:rPr>
          <w:lang w:val="en-US"/>
        </w:rPr>
        <w:t xml:space="preserve"> C</w:t>
      </w:r>
      <w:r w:rsidR="00953113" w:rsidRPr="007C43FC">
        <w:t>onvention on the Conservation of European Wildlife and Natural Habitats</w:t>
      </w:r>
      <w:r w:rsidR="00953113" w:rsidRPr="007C43FC">
        <w:rPr>
          <w:lang w:val="en-US"/>
        </w:rPr>
        <w:t xml:space="preserve"> </w:t>
      </w:r>
      <w:r w:rsidR="00222944" w:rsidRPr="007C43FC">
        <w:rPr>
          <w:lang w:val="en-US"/>
        </w:rPr>
        <w:t>(Bern Convention)</w:t>
      </w:r>
      <w:r w:rsidR="00314B90" w:rsidRPr="007C43FC">
        <w:rPr>
          <w:lang w:val="en-US"/>
        </w:rPr>
        <w:t xml:space="preserve">. </w:t>
      </w:r>
    </w:p>
    <w:p w:rsidR="009D502C" w:rsidRPr="007C43FC" w:rsidRDefault="00314B90" w:rsidP="00B160BF">
      <w:pPr>
        <w:suppressAutoHyphens/>
        <w:spacing w:before="120" w:line="360" w:lineRule="auto"/>
        <w:jc w:val="both"/>
        <w:rPr>
          <w:lang w:val="en-US"/>
        </w:rPr>
      </w:pPr>
      <w:r w:rsidRPr="007C43FC">
        <w:rPr>
          <w:lang w:val="en-US"/>
        </w:rPr>
        <w:t>T</w:t>
      </w:r>
      <w:r w:rsidR="00953113" w:rsidRPr="007C43FC">
        <w:rPr>
          <w:lang w:val="en-US"/>
        </w:rPr>
        <w:t>he European Landscape Convention</w:t>
      </w:r>
      <w:r w:rsidRPr="007C43FC">
        <w:rPr>
          <w:lang w:val="en-US"/>
        </w:rPr>
        <w:t xml:space="preserve"> notes that</w:t>
      </w:r>
      <w:r w:rsidR="00197AD0" w:rsidRPr="007C43FC">
        <w:rPr>
          <w:spacing w:val="-3"/>
        </w:rPr>
        <w:t xml:space="preserve"> </w:t>
      </w:r>
      <w:r w:rsidRPr="007C43FC">
        <w:rPr>
          <w:spacing w:val="-3"/>
        </w:rPr>
        <w:t>landscape has an important public interest role in</w:t>
      </w:r>
      <w:r w:rsidR="00197AD0" w:rsidRPr="007C43FC">
        <w:rPr>
          <w:spacing w:val="-3"/>
          <w:lang w:val="en-US"/>
        </w:rPr>
        <w:t xml:space="preserve"> </w:t>
      </w:r>
      <w:r w:rsidRPr="007C43FC">
        <w:rPr>
          <w:spacing w:val="-3"/>
        </w:rPr>
        <w:t>cultural, ecological, environmental and social fields</w:t>
      </w:r>
      <w:r w:rsidR="000A070B" w:rsidRPr="007C43FC">
        <w:rPr>
          <w:spacing w:val="-3"/>
          <w:lang w:val="en-US"/>
        </w:rPr>
        <w:t xml:space="preserve">. Landscape </w:t>
      </w:r>
      <w:r w:rsidRPr="007C43FC">
        <w:rPr>
          <w:spacing w:val="-3"/>
        </w:rPr>
        <w:t xml:space="preserve">constitutes a resource </w:t>
      </w:r>
      <w:r w:rsidR="00F47FA9" w:rsidRPr="007C43FC">
        <w:rPr>
          <w:spacing w:val="-3"/>
          <w:lang w:val="en-US"/>
        </w:rPr>
        <w:t xml:space="preserve">that is </w:t>
      </w:r>
      <w:r w:rsidRPr="007C43FC">
        <w:rPr>
          <w:spacing w:val="-3"/>
        </w:rPr>
        <w:t>favourable to economic activity</w:t>
      </w:r>
      <w:r w:rsidR="00F47FA9" w:rsidRPr="007C43FC">
        <w:rPr>
          <w:spacing w:val="-3"/>
        </w:rPr>
        <w:t>,</w:t>
      </w:r>
      <w:r w:rsidRPr="007C43FC">
        <w:rPr>
          <w:spacing w:val="-3"/>
        </w:rPr>
        <w:t xml:space="preserve"> </w:t>
      </w:r>
      <w:r w:rsidR="005B7331" w:rsidRPr="007C43FC">
        <w:rPr>
          <w:spacing w:val="-3"/>
          <w:lang w:val="en-US"/>
        </w:rPr>
        <w:t>the</w:t>
      </w:r>
      <w:r w:rsidRPr="007C43FC">
        <w:rPr>
          <w:spacing w:val="-3"/>
        </w:rPr>
        <w:t xml:space="preserve"> protection, management and planning</w:t>
      </w:r>
      <w:r w:rsidR="005B7331" w:rsidRPr="007C43FC">
        <w:rPr>
          <w:spacing w:val="-3"/>
          <w:lang w:val="en-US"/>
        </w:rPr>
        <w:t xml:space="preserve"> of which </w:t>
      </w:r>
      <w:r w:rsidRPr="007C43FC">
        <w:rPr>
          <w:spacing w:val="-3"/>
        </w:rPr>
        <w:t>can contribute to job creation</w:t>
      </w:r>
      <w:r w:rsidRPr="007C43FC">
        <w:rPr>
          <w:spacing w:val="-3"/>
          <w:lang w:val="en-US"/>
        </w:rPr>
        <w:t>.</w:t>
      </w:r>
      <w:r w:rsidR="00EC74F3" w:rsidRPr="007C43FC">
        <w:rPr>
          <w:spacing w:val="-3"/>
          <w:lang w:val="en-US"/>
        </w:rPr>
        <w:t xml:space="preserve"> </w:t>
      </w:r>
      <w:r w:rsidR="00C22446" w:rsidRPr="007C43FC">
        <w:rPr>
          <w:lang w:val="en-US"/>
        </w:rPr>
        <w:t>The</w:t>
      </w:r>
      <w:r w:rsidR="003A1C42" w:rsidRPr="007C43FC">
        <w:rPr>
          <w:lang w:val="en-US"/>
        </w:rPr>
        <w:t xml:space="preserve"> activities </w:t>
      </w:r>
      <w:r w:rsidRPr="007C43FC">
        <w:rPr>
          <w:lang w:val="en-US"/>
        </w:rPr>
        <w:t xml:space="preserve">developed in the Working Programmes </w:t>
      </w:r>
      <w:r w:rsidR="0000265A" w:rsidRPr="007C43FC">
        <w:rPr>
          <w:lang w:val="en-US"/>
        </w:rPr>
        <w:t xml:space="preserve">contribute </w:t>
      </w:r>
      <w:r w:rsidR="003A1C42" w:rsidRPr="007C43FC">
        <w:rPr>
          <w:lang w:val="en-US"/>
        </w:rPr>
        <w:t xml:space="preserve">to the implementation of </w:t>
      </w:r>
      <w:r w:rsidR="00C22446" w:rsidRPr="007C43FC">
        <w:rPr>
          <w:lang w:val="en-US"/>
        </w:rPr>
        <w:t>Sustainable Development Goals</w:t>
      </w:r>
      <w:r w:rsidR="00617E1B" w:rsidRPr="007C43FC">
        <w:rPr>
          <w:lang w:val="en-US"/>
        </w:rPr>
        <w:t>.</w:t>
      </w:r>
    </w:p>
    <w:p w:rsidR="00EC74F3" w:rsidRPr="007C43FC" w:rsidRDefault="00EC74F3" w:rsidP="00EC74F3">
      <w:pPr>
        <w:suppressAutoHyphens/>
        <w:spacing w:before="120"/>
        <w:rPr>
          <w:b/>
          <w:i/>
          <w:lang w:val="en-US"/>
        </w:rPr>
      </w:pPr>
    </w:p>
    <w:p w:rsidR="00DA49CA" w:rsidRPr="007C43FC" w:rsidRDefault="00DA49CA" w:rsidP="00EC74F3">
      <w:pPr>
        <w:suppressAutoHyphens/>
        <w:spacing w:before="120"/>
        <w:rPr>
          <w:b/>
          <w:i/>
          <w:lang w:val="en-US"/>
        </w:rPr>
      </w:pPr>
    </w:p>
    <w:p w:rsidR="00DA49CA" w:rsidRPr="007C43FC" w:rsidRDefault="00DA49CA" w:rsidP="00EC74F3">
      <w:pPr>
        <w:suppressAutoHyphens/>
        <w:spacing w:before="120"/>
        <w:rPr>
          <w:b/>
          <w:i/>
          <w:lang w:val="en-US"/>
        </w:rPr>
      </w:pPr>
    </w:p>
    <w:p w:rsidR="00D2043B" w:rsidRPr="007C43FC" w:rsidRDefault="008E30AC" w:rsidP="007D795D">
      <w:pPr>
        <w:spacing w:line="360" w:lineRule="auto"/>
        <w:jc w:val="both"/>
        <w:rPr>
          <w:b/>
          <w:i/>
          <w:lang w:val="en-US"/>
        </w:rPr>
      </w:pPr>
      <w:r w:rsidRPr="007C43FC">
        <w:rPr>
          <w:b/>
          <w:i/>
          <w:lang w:val="en-US"/>
        </w:rPr>
        <w:lastRenderedPageBreak/>
        <w:t xml:space="preserve">1.2 </w:t>
      </w:r>
      <w:r w:rsidR="00D2043B" w:rsidRPr="007C43FC">
        <w:rPr>
          <w:b/>
          <w:i/>
          <w:lang w:val="en-US"/>
        </w:rPr>
        <w:t>Articles 8 of the ECHR</w:t>
      </w:r>
    </w:p>
    <w:p w:rsidR="00D2043B" w:rsidRPr="007C43FC" w:rsidRDefault="00D2043B" w:rsidP="007D795D">
      <w:pPr>
        <w:spacing w:line="360" w:lineRule="auto"/>
        <w:jc w:val="both"/>
        <w:rPr>
          <w:lang w:val="en-US"/>
        </w:rPr>
      </w:pPr>
    </w:p>
    <w:p w:rsidR="00F05B1D" w:rsidRPr="007C43FC" w:rsidRDefault="00F05B1D" w:rsidP="00F05B1D">
      <w:pPr>
        <w:widowControl w:val="0"/>
        <w:autoSpaceDE w:val="0"/>
        <w:autoSpaceDN w:val="0"/>
        <w:adjustRightInd w:val="0"/>
        <w:spacing w:line="360" w:lineRule="auto"/>
        <w:jc w:val="both"/>
        <w:rPr>
          <w:lang w:val="en-US"/>
        </w:rPr>
      </w:pPr>
      <w:r w:rsidRPr="007C43FC">
        <w:rPr>
          <w:lang w:val="en-US"/>
        </w:rPr>
        <w:t>The ECtHR has interpreted Article 8 of the ECHR to protect individuals against environmental harms (</w:t>
      </w:r>
      <w:r w:rsidRPr="007C43FC">
        <w:rPr>
          <w:i/>
          <w:lang w:val="en-US"/>
        </w:rPr>
        <w:t>see</w:t>
      </w:r>
      <w:r w:rsidR="00744430" w:rsidRPr="007C43FC">
        <w:rPr>
          <w:i/>
          <w:lang w:val="en-US"/>
        </w:rPr>
        <w:t>,</w:t>
      </w:r>
      <w:r w:rsidRPr="007C43FC">
        <w:rPr>
          <w:lang w:val="en-US"/>
        </w:rPr>
        <w:t xml:space="preserve"> for example, the case </w:t>
      </w:r>
      <w:r w:rsidRPr="007C43FC">
        <w:rPr>
          <w:i/>
          <w:lang w:val="en-US"/>
        </w:rPr>
        <w:t xml:space="preserve">Lopez Ostrea v. Spain, </w:t>
      </w:r>
      <w:r w:rsidRPr="007C43FC">
        <w:rPr>
          <w:lang w:val="en-US"/>
        </w:rPr>
        <w:t xml:space="preserve">the case </w:t>
      </w:r>
      <w:r w:rsidRPr="007C43FC">
        <w:rPr>
          <w:i/>
          <w:lang w:val="en-US"/>
        </w:rPr>
        <w:t>Fadeyeva v. Russia</w:t>
      </w:r>
      <w:r w:rsidRPr="007C43FC">
        <w:rPr>
          <w:lang w:val="en-US"/>
        </w:rPr>
        <w:t xml:space="preserve">, the case </w:t>
      </w:r>
      <w:r w:rsidRPr="007C43FC">
        <w:rPr>
          <w:i/>
          <w:lang w:val="en-US"/>
        </w:rPr>
        <w:t>Guerra and Others v. Italy;</w:t>
      </w:r>
      <w:r w:rsidR="00744430" w:rsidRPr="007C43FC">
        <w:rPr>
          <w:i/>
          <w:lang w:val="en-US"/>
        </w:rPr>
        <w:t xml:space="preserve"> </w:t>
      </w:r>
      <w:r w:rsidR="00744430" w:rsidRPr="007C43FC">
        <w:rPr>
          <w:lang w:val="en-US"/>
        </w:rPr>
        <w:t>and</w:t>
      </w:r>
      <w:r w:rsidRPr="007C43FC">
        <w:rPr>
          <w:i/>
          <w:lang w:val="en-US"/>
        </w:rPr>
        <w:t xml:space="preserve"> Hatton and Others v. UK</w:t>
      </w:r>
      <w:r w:rsidRPr="007C43FC">
        <w:rPr>
          <w:lang w:val="en-US"/>
        </w:rPr>
        <w:t xml:space="preserve">). </w:t>
      </w:r>
    </w:p>
    <w:p w:rsidR="00F05B1D" w:rsidRPr="007C43FC" w:rsidRDefault="00F05B1D" w:rsidP="00F05B1D">
      <w:pPr>
        <w:widowControl w:val="0"/>
        <w:autoSpaceDE w:val="0"/>
        <w:autoSpaceDN w:val="0"/>
        <w:adjustRightInd w:val="0"/>
        <w:spacing w:line="360" w:lineRule="auto"/>
        <w:jc w:val="both"/>
        <w:rPr>
          <w:bCs/>
          <w:lang w:val="en-US"/>
        </w:rPr>
      </w:pPr>
    </w:p>
    <w:p w:rsidR="0042164A" w:rsidRPr="007C43FC" w:rsidRDefault="00574547" w:rsidP="003A352C">
      <w:pPr>
        <w:widowControl w:val="0"/>
        <w:autoSpaceDE w:val="0"/>
        <w:autoSpaceDN w:val="0"/>
        <w:adjustRightInd w:val="0"/>
        <w:spacing w:line="360" w:lineRule="auto"/>
        <w:jc w:val="both"/>
        <w:rPr>
          <w:bCs/>
          <w:lang w:val="en-US"/>
        </w:rPr>
      </w:pPr>
      <w:r w:rsidRPr="007C43FC">
        <w:rPr>
          <w:bCs/>
          <w:lang w:val="en-US"/>
        </w:rPr>
        <w:t xml:space="preserve">More specifically, </w:t>
      </w:r>
      <w:r w:rsidR="0042164A" w:rsidRPr="007C43FC">
        <w:rPr>
          <w:bCs/>
          <w:lang w:val="en-US"/>
        </w:rPr>
        <w:t>Article 8 of the ECHR can be violated by environmental harm arising from private industries. The case law of the ECtHR suggest that t</w:t>
      </w:r>
      <w:r w:rsidR="00D2043B" w:rsidRPr="007C43FC">
        <w:rPr>
          <w:bCs/>
          <w:lang w:val="en-US"/>
        </w:rPr>
        <w:t xml:space="preserve">he right to respect for private and home life under Article 8 may be violated when actual nuisances such as toxic emissions, noise or smell affect individuals, even without </w:t>
      </w:r>
      <w:r w:rsidR="00D2043B" w:rsidRPr="007C43FC">
        <w:rPr>
          <w:lang w:val="en-US"/>
        </w:rPr>
        <w:t xml:space="preserve">seriously endangering the health </w:t>
      </w:r>
      <w:r w:rsidR="00D2043B" w:rsidRPr="007C43FC">
        <w:rPr>
          <w:bCs/>
          <w:lang w:val="en-US"/>
        </w:rPr>
        <w:t>and when states fail to take adequate measures. Violation of domestic law, including legislation on access to environmental information and environmental impact assessment is a factor which is taken into account by the ECtHR.</w:t>
      </w:r>
      <w:r w:rsidR="0042164A" w:rsidRPr="007C43FC">
        <w:rPr>
          <w:bCs/>
          <w:lang w:val="en-US"/>
        </w:rPr>
        <w:t xml:space="preserve"> </w:t>
      </w:r>
      <w:r w:rsidR="00D2043B" w:rsidRPr="007C43FC">
        <w:rPr>
          <w:bCs/>
          <w:lang w:val="en-US"/>
        </w:rPr>
        <w:t>An actual environmental harm is not a pre-condition for a violation of Article 8 when the government fails to release crucial safety and environmental information to local residents threatened by severe pollution. However, the lack of access to environmental information that are held by public authorities may be sufficient for a violation of Article 8. This means that Article 8 is being interpreted in certain situations to encompass the right to access to environmental information held by public authorities.</w:t>
      </w:r>
      <w:r w:rsidR="003A352C" w:rsidRPr="007C43FC">
        <w:rPr>
          <w:bCs/>
          <w:lang w:val="en-US"/>
        </w:rPr>
        <w:t xml:space="preserve"> </w:t>
      </w:r>
      <w:r w:rsidR="0042164A" w:rsidRPr="007C43FC">
        <w:rPr>
          <w:bCs/>
          <w:lang w:val="en-US"/>
        </w:rPr>
        <w:t>In the case of big economic actors causing pollution, a state may strike a fair balance between competing interests of individuals and the economic well-being of the country by paying for the resettlement of individuals from polluted areas or by taking certain mitigating measures.</w:t>
      </w:r>
    </w:p>
    <w:p w:rsidR="00F93FDB" w:rsidRPr="007C43FC" w:rsidRDefault="00F93FDB" w:rsidP="00F93FDB">
      <w:pPr>
        <w:widowControl w:val="0"/>
        <w:autoSpaceDE w:val="0"/>
        <w:autoSpaceDN w:val="0"/>
        <w:adjustRightInd w:val="0"/>
        <w:spacing w:line="360" w:lineRule="auto"/>
        <w:rPr>
          <w:bCs/>
          <w:lang w:val="en-US"/>
        </w:rPr>
      </w:pPr>
    </w:p>
    <w:p w:rsidR="003A352C" w:rsidRPr="007C43FC" w:rsidRDefault="00574547" w:rsidP="003A352C">
      <w:pPr>
        <w:widowControl w:val="0"/>
        <w:autoSpaceDE w:val="0"/>
        <w:autoSpaceDN w:val="0"/>
        <w:adjustRightInd w:val="0"/>
        <w:spacing w:line="360" w:lineRule="auto"/>
        <w:jc w:val="both"/>
        <w:rPr>
          <w:bCs/>
          <w:lang w:val="en-US"/>
        </w:rPr>
      </w:pPr>
      <w:r w:rsidRPr="007C43FC">
        <w:rPr>
          <w:bCs/>
          <w:lang w:val="en-US"/>
        </w:rPr>
        <w:t xml:space="preserve">In addition to the above, </w:t>
      </w:r>
      <w:r w:rsidR="003A352C" w:rsidRPr="007C43FC">
        <w:rPr>
          <w:bCs/>
          <w:lang w:val="en-US"/>
        </w:rPr>
        <w:t>Article 8 of the ECHR is interpreted to include procedural safeguards</w:t>
      </w:r>
      <w:r w:rsidR="00D71F09" w:rsidRPr="007C43FC">
        <w:rPr>
          <w:bCs/>
          <w:lang w:val="en-US"/>
        </w:rPr>
        <w:t xml:space="preserve"> as well</w:t>
      </w:r>
      <w:r w:rsidR="003A352C" w:rsidRPr="007C43FC">
        <w:rPr>
          <w:bCs/>
          <w:lang w:val="en-US"/>
        </w:rPr>
        <w:t xml:space="preserve">. Namely, when assessing the proportionality of interferences of nuisances with the right under Article 8 of the Convention, the </w:t>
      </w:r>
      <w:r w:rsidR="009D502C" w:rsidRPr="007C43FC">
        <w:rPr>
          <w:bCs/>
          <w:lang w:val="en-US"/>
        </w:rPr>
        <w:t>ECtHR takes into account the following factors: d</w:t>
      </w:r>
      <w:r w:rsidR="003A352C" w:rsidRPr="007C43FC">
        <w:rPr>
          <w:bCs/>
          <w:lang w:val="en-US"/>
        </w:rPr>
        <w:t xml:space="preserve">id the </w:t>
      </w:r>
      <w:r w:rsidR="003A352C" w:rsidRPr="007C43FC">
        <w:rPr>
          <w:lang w:val="en-US"/>
        </w:rPr>
        <w:t xml:space="preserve">public authorities assess adverse environmental impacts of </w:t>
      </w:r>
      <w:r w:rsidR="003A352C" w:rsidRPr="007C43FC">
        <w:rPr>
          <w:bCs/>
          <w:lang w:val="en-US"/>
        </w:rPr>
        <w:t>co</w:t>
      </w:r>
      <w:r w:rsidR="009D502C" w:rsidRPr="007C43FC">
        <w:rPr>
          <w:bCs/>
          <w:lang w:val="en-US"/>
        </w:rPr>
        <w:t>mplex environmental decisions? d</w:t>
      </w:r>
      <w:r w:rsidR="003A352C" w:rsidRPr="007C43FC">
        <w:rPr>
          <w:bCs/>
          <w:lang w:val="en-US"/>
        </w:rPr>
        <w:t>id the government provide access to potentially affected individuals to information on envir</w:t>
      </w:r>
      <w:r w:rsidR="009D502C" w:rsidRPr="007C43FC">
        <w:rPr>
          <w:bCs/>
          <w:lang w:val="en-US"/>
        </w:rPr>
        <w:t>onmental impacts of decisions? d</w:t>
      </w:r>
      <w:r w:rsidR="003A352C" w:rsidRPr="007C43FC">
        <w:rPr>
          <w:bCs/>
          <w:lang w:val="en-US"/>
        </w:rPr>
        <w:t>id the government provide the possibility for individuals concerned to participate in decision-ma</w:t>
      </w:r>
      <w:r w:rsidR="009D502C" w:rsidRPr="007C43FC">
        <w:rPr>
          <w:bCs/>
          <w:lang w:val="en-US"/>
        </w:rPr>
        <w:t>king in environmental matters? d</w:t>
      </w:r>
      <w:r w:rsidR="003A352C" w:rsidRPr="007C43FC">
        <w:rPr>
          <w:bCs/>
          <w:lang w:val="en-US"/>
        </w:rPr>
        <w:t>id the judiciary provide the possibility for affected individuals to challenge decisions of the public authorities?</w:t>
      </w:r>
    </w:p>
    <w:p w:rsidR="002D795B" w:rsidRPr="007C43FC" w:rsidRDefault="002D795B" w:rsidP="00137BE7">
      <w:pPr>
        <w:spacing w:line="360" w:lineRule="auto"/>
        <w:rPr>
          <w:lang w:val="en-US"/>
        </w:rPr>
      </w:pPr>
    </w:p>
    <w:p w:rsidR="0042164A" w:rsidRPr="007C43FC" w:rsidRDefault="008E30AC" w:rsidP="00D2043B">
      <w:pPr>
        <w:spacing w:line="360" w:lineRule="auto"/>
        <w:jc w:val="both"/>
        <w:rPr>
          <w:b/>
          <w:i/>
          <w:lang w:val="en-US"/>
        </w:rPr>
      </w:pPr>
      <w:r w:rsidRPr="007C43FC">
        <w:rPr>
          <w:b/>
          <w:i/>
          <w:lang w:val="en-US"/>
        </w:rPr>
        <w:lastRenderedPageBreak/>
        <w:t xml:space="preserve">1.3 </w:t>
      </w:r>
      <w:r w:rsidR="0042164A" w:rsidRPr="007C43FC">
        <w:rPr>
          <w:b/>
          <w:i/>
          <w:lang w:val="en-US"/>
        </w:rPr>
        <w:t>Article 1</w:t>
      </w:r>
      <w:r w:rsidR="00F918EA" w:rsidRPr="007C43FC">
        <w:rPr>
          <w:b/>
          <w:i/>
          <w:lang w:val="en-US"/>
        </w:rPr>
        <w:t xml:space="preserve"> of Protocol </w:t>
      </w:r>
      <w:r w:rsidR="00574547" w:rsidRPr="007C43FC">
        <w:rPr>
          <w:b/>
          <w:i/>
          <w:lang w:val="en-US"/>
        </w:rPr>
        <w:t>No. 1 of the ECHR</w:t>
      </w:r>
    </w:p>
    <w:p w:rsidR="0042164A" w:rsidRPr="007C43FC" w:rsidRDefault="0042164A" w:rsidP="00D2043B">
      <w:pPr>
        <w:spacing w:line="360" w:lineRule="auto"/>
        <w:jc w:val="both"/>
        <w:rPr>
          <w:lang w:val="en-US"/>
        </w:rPr>
      </w:pPr>
    </w:p>
    <w:p w:rsidR="00D2043B" w:rsidRPr="007C43FC" w:rsidRDefault="00574547" w:rsidP="00D2043B">
      <w:pPr>
        <w:spacing w:line="360" w:lineRule="auto"/>
        <w:jc w:val="both"/>
        <w:rPr>
          <w:lang w:val="en-US"/>
        </w:rPr>
      </w:pPr>
      <w:r w:rsidRPr="007C43FC">
        <w:rPr>
          <w:lang w:val="en-US"/>
        </w:rPr>
        <w:t>T</w:t>
      </w:r>
      <w:r w:rsidR="0042164A" w:rsidRPr="007C43FC">
        <w:rPr>
          <w:lang w:val="en-US"/>
        </w:rPr>
        <w:t xml:space="preserve">he ECtHR has established in its case law that obligation under Article 1 of Protocol No. 1 of the ECHR may require states to protect individuals against </w:t>
      </w:r>
      <w:r w:rsidRPr="007C43FC">
        <w:rPr>
          <w:lang w:val="en-US"/>
        </w:rPr>
        <w:t xml:space="preserve">environmental harms and that </w:t>
      </w:r>
      <w:r w:rsidR="00D2043B" w:rsidRPr="007C43FC">
        <w:rPr>
          <w:lang w:val="en-US"/>
        </w:rPr>
        <w:t xml:space="preserve">failure of the state to take adequate measures for the prevention of industrial nuisance may constitute a violation of Article 1 of Protocol No. 1 (see for example, </w:t>
      </w:r>
      <w:r w:rsidR="00D2043B" w:rsidRPr="007C43FC">
        <w:rPr>
          <w:rStyle w:val="normal--char"/>
          <w:bCs/>
          <w:i/>
          <w:lang w:val="en-US"/>
        </w:rPr>
        <w:t>Ö</w:t>
      </w:r>
      <w:r w:rsidR="00D2043B" w:rsidRPr="007C43FC">
        <w:rPr>
          <w:i/>
          <w:lang w:val="en-US"/>
        </w:rPr>
        <w:t>neryildiz v. Turkey</w:t>
      </w:r>
      <w:r w:rsidR="00D2043B" w:rsidRPr="007C43FC">
        <w:rPr>
          <w:lang w:val="en-US"/>
        </w:rPr>
        <w:t>).</w:t>
      </w:r>
    </w:p>
    <w:p w:rsidR="002D795B" w:rsidRPr="007C43FC" w:rsidRDefault="002D795B" w:rsidP="00137BE7">
      <w:pPr>
        <w:spacing w:line="360" w:lineRule="auto"/>
        <w:rPr>
          <w:lang w:val="en-US"/>
        </w:rPr>
      </w:pPr>
    </w:p>
    <w:p w:rsidR="00574547" w:rsidRPr="007C43FC" w:rsidRDefault="00574547" w:rsidP="00574547">
      <w:pPr>
        <w:widowControl w:val="0"/>
        <w:autoSpaceDE w:val="0"/>
        <w:autoSpaceDN w:val="0"/>
        <w:adjustRightInd w:val="0"/>
        <w:spacing w:line="360" w:lineRule="auto"/>
        <w:jc w:val="both"/>
        <w:rPr>
          <w:i/>
          <w:lang w:val="en-US"/>
        </w:rPr>
      </w:pPr>
      <w:r w:rsidRPr="007C43FC">
        <w:rPr>
          <w:bCs/>
          <w:lang w:val="en-US"/>
        </w:rPr>
        <w:t xml:space="preserve">More specifically, the right to property under Article 1 of Protocol No. 1 may be violated when environmental nuisances affect it and when the property declines in value. Environmental nuisances may be grave enough to amount to a </w:t>
      </w:r>
      <w:r w:rsidRPr="007C43FC">
        <w:rPr>
          <w:bCs/>
          <w:i/>
          <w:lang w:val="en-US"/>
        </w:rPr>
        <w:t>de facto</w:t>
      </w:r>
      <w:r w:rsidRPr="007C43FC">
        <w:rPr>
          <w:bCs/>
          <w:lang w:val="en-US"/>
        </w:rPr>
        <w:t xml:space="preserve"> expropriation.</w:t>
      </w:r>
      <w:r w:rsidRPr="007C43FC">
        <w:rPr>
          <w:rStyle w:val="FootnoteReference"/>
          <w:bCs/>
          <w:lang w:val="en-US"/>
        </w:rPr>
        <w:t xml:space="preserve"> </w:t>
      </w:r>
      <w:r w:rsidRPr="007C43FC">
        <w:rPr>
          <w:bCs/>
          <w:lang w:val="en-US"/>
        </w:rPr>
        <w:t>However, a state may strike a fair balance by providing adequate compensation. It can be argued that the right of access to information on environmental risks held by public authorities, similarly to Article 8, arises also from Article 1 of Protocol No. 1.</w:t>
      </w:r>
    </w:p>
    <w:p w:rsidR="00A17DAD" w:rsidRPr="007C43FC" w:rsidRDefault="00A17DAD" w:rsidP="00137BE7">
      <w:pPr>
        <w:spacing w:line="360" w:lineRule="auto"/>
        <w:rPr>
          <w:b/>
          <w:i/>
          <w:lang w:val="en-US"/>
        </w:rPr>
      </w:pPr>
    </w:p>
    <w:p w:rsidR="00574547" w:rsidRPr="007C43FC" w:rsidRDefault="008E30AC" w:rsidP="00137BE7">
      <w:pPr>
        <w:spacing w:line="360" w:lineRule="auto"/>
        <w:rPr>
          <w:b/>
          <w:i/>
          <w:lang w:val="en-US"/>
        </w:rPr>
      </w:pPr>
      <w:r w:rsidRPr="007C43FC">
        <w:rPr>
          <w:b/>
          <w:i/>
          <w:lang w:val="en-US"/>
        </w:rPr>
        <w:t xml:space="preserve">1.4 </w:t>
      </w:r>
      <w:r w:rsidR="00983FF6" w:rsidRPr="007C43FC">
        <w:rPr>
          <w:b/>
          <w:i/>
          <w:lang w:val="en-US"/>
        </w:rPr>
        <w:t>Article 10 of the ECHR</w:t>
      </w:r>
    </w:p>
    <w:p w:rsidR="00983FF6" w:rsidRPr="007C43FC" w:rsidRDefault="00983FF6" w:rsidP="00137BE7">
      <w:pPr>
        <w:spacing w:line="360" w:lineRule="auto"/>
        <w:rPr>
          <w:lang w:val="en-US"/>
        </w:rPr>
      </w:pPr>
    </w:p>
    <w:p w:rsidR="00576B7B" w:rsidRPr="007C43FC" w:rsidRDefault="00576B7B" w:rsidP="00576B7B">
      <w:pPr>
        <w:spacing w:line="360" w:lineRule="auto"/>
        <w:jc w:val="both"/>
        <w:rPr>
          <w:lang w:val="en-US"/>
        </w:rPr>
      </w:pPr>
      <w:r w:rsidRPr="007C43FC">
        <w:rPr>
          <w:lang w:val="en-US"/>
        </w:rPr>
        <w:t>The ECHR may have a more indirect effect on the environmental sphere: freedom of expression under Article 10 can be applied for environmental protection (</w:t>
      </w:r>
      <w:r w:rsidRPr="007C43FC">
        <w:rPr>
          <w:i/>
          <w:lang w:val="en-US"/>
        </w:rPr>
        <w:t>see</w:t>
      </w:r>
      <w:r w:rsidRPr="007C43FC">
        <w:rPr>
          <w:lang w:val="en-US"/>
        </w:rPr>
        <w:t xml:space="preserve">, for example, the case </w:t>
      </w:r>
      <w:r w:rsidRPr="007C43FC">
        <w:rPr>
          <w:i/>
          <w:lang w:val="en-US"/>
        </w:rPr>
        <w:t>Bladet Tromsø and Stensaas</w:t>
      </w:r>
      <w:r w:rsidRPr="007C43FC">
        <w:rPr>
          <w:lang w:val="en-US"/>
        </w:rPr>
        <w:t xml:space="preserve"> v. Norway).</w:t>
      </w:r>
    </w:p>
    <w:p w:rsidR="00983FF6" w:rsidRPr="007C43FC" w:rsidRDefault="00983FF6" w:rsidP="002D795B">
      <w:pPr>
        <w:spacing w:line="360" w:lineRule="auto"/>
        <w:jc w:val="both"/>
        <w:rPr>
          <w:lang w:val="en-US"/>
        </w:rPr>
      </w:pPr>
    </w:p>
    <w:p w:rsidR="00EC7815" w:rsidRPr="007C43FC" w:rsidRDefault="00EC7815" w:rsidP="00EC7815">
      <w:pPr>
        <w:spacing w:line="360" w:lineRule="auto"/>
        <w:jc w:val="both"/>
        <w:rPr>
          <w:bCs/>
          <w:lang w:val="en-US"/>
        </w:rPr>
      </w:pPr>
      <w:r w:rsidRPr="007C43FC">
        <w:rPr>
          <w:bCs/>
          <w:lang w:val="en-US"/>
        </w:rPr>
        <w:t xml:space="preserve">More specifically, the right to freedom of expression under Article 10 protects the substance of opinions, as well as the form in which they are expressed. Therefore, Article 10 protects the expression of opinions on environmental issues, including expression of such opinions in the form of public protest and demonstration. It can be argued that Article 10 may apply to stakeholders wishing to express their views on the environmental impact of a proposed project within the environmental assessment (EA) procedure. </w:t>
      </w:r>
    </w:p>
    <w:p w:rsidR="00983FF6" w:rsidRPr="007C43FC" w:rsidRDefault="00983FF6" w:rsidP="00EC7815">
      <w:pPr>
        <w:spacing w:line="360" w:lineRule="auto"/>
        <w:jc w:val="both"/>
        <w:rPr>
          <w:lang w:val="en-US"/>
        </w:rPr>
      </w:pPr>
    </w:p>
    <w:p w:rsidR="00EC7815" w:rsidRPr="007C43FC" w:rsidRDefault="008E30AC" w:rsidP="00EC7815">
      <w:pPr>
        <w:spacing w:line="360" w:lineRule="auto"/>
        <w:rPr>
          <w:b/>
          <w:i/>
          <w:lang w:val="en-US"/>
        </w:rPr>
      </w:pPr>
      <w:r w:rsidRPr="007C43FC">
        <w:rPr>
          <w:b/>
          <w:i/>
          <w:lang w:val="en-US"/>
        </w:rPr>
        <w:t xml:space="preserve">1.5 </w:t>
      </w:r>
      <w:r w:rsidR="00EC7815" w:rsidRPr="007C43FC">
        <w:rPr>
          <w:b/>
          <w:i/>
          <w:lang w:val="en-US"/>
        </w:rPr>
        <w:t>Article 11 of the ECHR</w:t>
      </w:r>
    </w:p>
    <w:p w:rsidR="00EC7815" w:rsidRPr="007C43FC" w:rsidRDefault="00EC7815" w:rsidP="00EC7815">
      <w:pPr>
        <w:spacing w:line="360" w:lineRule="auto"/>
        <w:jc w:val="both"/>
        <w:rPr>
          <w:lang w:val="en-US"/>
        </w:rPr>
      </w:pPr>
    </w:p>
    <w:p w:rsidR="00EB496E" w:rsidRPr="007C43FC" w:rsidRDefault="00EB496E" w:rsidP="00EB496E">
      <w:pPr>
        <w:spacing w:line="360" w:lineRule="auto"/>
        <w:jc w:val="both"/>
        <w:rPr>
          <w:lang w:val="en-US"/>
        </w:rPr>
      </w:pPr>
      <w:r w:rsidRPr="007C43FC">
        <w:rPr>
          <w:lang w:val="en-US"/>
        </w:rPr>
        <w:t>T</w:t>
      </w:r>
      <w:r w:rsidR="002D795B" w:rsidRPr="007C43FC">
        <w:rPr>
          <w:lang w:val="en-US"/>
        </w:rPr>
        <w:t xml:space="preserve">he right to freedom of assembly under Article 11 of the Convention can be applied for environmental protection. </w:t>
      </w:r>
      <w:r w:rsidRPr="007C43FC">
        <w:rPr>
          <w:lang w:val="en-US"/>
        </w:rPr>
        <w:t xml:space="preserve">This right </w:t>
      </w:r>
      <w:r w:rsidR="00137BE7" w:rsidRPr="007C43FC">
        <w:rPr>
          <w:lang w:val="en-US"/>
        </w:rPr>
        <w:t>ma</w:t>
      </w:r>
      <w:r w:rsidR="0049328A" w:rsidRPr="007C43FC">
        <w:rPr>
          <w:lang w:val="en-US"/>
        </w:rPr>
        <w:t>y be applied by individuals t</w:t>
      </w:r>
      <w:r w:rsidR="00137BE7" w:rsidRPr="007C43FC">
        <w:rPr>
          <w:lang w:val="en-US"/>
        </w:rPr>
        <w:t xml:space="preserve">o the extent that changes to </w:t>
      </w:r>
      <w:r w:rsidR="00137BE7" w:rsidRPr="007C43FC">
        <w:rPr>
          <w:lang w:val="en-US"/>
        </w:rPr>
        <w:lastRenderedPageBreak/>
        <w:t>environmental law or policy are argued for through publi</w:t>
      </w:r>
      <w:r w:rsidR="0049328A" w:rsidRPr="007C43FC">
        <w:rPr>
          <w:lang w:val="en-US"/>
        </w:rPr>
        <w:t>c protest rather than lobbying.</w:t>
      </w:r>
      <w:r w:rsidRPr="007C43FC">
        <w:rPr>
          <w:lang w:val="en-US"/>
        </w:rPr>
        <w:t xml:space="preserve"> </w:t>
      </w:r>
      <w:r w:rsidRPr="007C43FC">
        <w:rPr>
          <w:bCs/>
          <w:lang w:val="en-US"/>
        </w:rPr>
        <w:t>The freedom of assembly can be exercised in the form of protest demonstrations. Therefore it can be argued that the scope of freedom of a peaceful assembly under Article 11 allows for the protection of assemblies dedicated to issues of environmental protection.</w:t>
      </w:r>
    </w:p>
    <w:p w:rsidR="00576B7B" w:rsidRPr="007C43FC" w:rsidRDefault="00576B7B" w:rsidP="00137BE7">
      <w:pPr>
        <w:spacing w:line="360" w:lineRule="auto"/>
        <w:rPr>
          <w:lang w:val="en-US"/>
        </w:rPr>
      </w:pPr>
    </w:p>
    <w:p w:rsidR="00574547" w:rsidRPr="007C43FC" w:rsidRDefault="008E30AC" w:rsidP="00137BE7">
      <w:pPr>
        <w:spacing w:line="360" w:lineRule="auto"/>
        <w:rPr>
          <w:b/>
          <w:i/>
          <w:lang w:val="en-US"/>
        </w:rPr>
      </w:pPr>
      <w:r w:rsidRPr="007C43FC">
        <w:rPr>
          <w:b/>
          <w:i/>
          <w:lang w:val="en-US"/>
        </w:rPr>
        <w:t xml:space="preserve">1.6 </w:t>
      </w:r>
      <w:r w:rsidR="00574547" w:rsidRPr="007C43FC">
        <w:rPr>
          <w:b/>
          <w:i/>
          <w:lang w:val="en-US"/>
        </w:rPr>
        <w:t>Article 6 (1) of the ECHR</w:t>
      </w:r>
    </w:p>
    <w:p w:rsidR="00574547" w:rsidRPr="007C43FC" w:rsidRDefault="00574547" w:rsidP="00137BE7">
      <w:pPr>
        <w:spacing w:line="360" w:lineRule="auto"/>
        <w:rPr>
          <w:lang w:val="en-US"/>
        </w:rPr>
      </w:pPr>
    </w:p>
    <w:p w:rsidR="00137BE7" w:rsidRPr="007C43FC" w:rsidRDefault="00A17DAD" w:rsidP="00A17DAD">
      <w:pPr>
        <w:spacing w:line="360" w:lineRule="auto"/>
        <w:jc w:val="both"/>
        <w:rPr>
          <w:lang w:val="en-US"/>
        </w:rPr>
      </w:pPr>
      <w:r w:rsidRPr="007C43FC">
        <w:rPr>
          <w:lang w:val="en-US"/>
        </w:rPr>
        <w:t>T</w:t>
      </w:r>
      <w:r w:rsidR="00137BE7" w:rsidRPr="007C43FC">
        <w:rPr>
          <w:lang w:val="en-US"/>
        </w:rPr>
        <w:t>he procedural right to access to court under Article 6, paragraph 1 of the ECHR has been discussed by the ECtHR in cases involving environmental aspects. However the application of this right is limited to the determination of (a) “civil rights and obligations” within the meaning of the ECHR or (b) a criminal charge against an individual, and it does not provide for the general right to apply to a court for all violations of law.</w:t>
      </w:r>
      <w:r w:rsidR="00F1535B" w:rsidRPr="007C43FC">
        <w:rPr>
          <w:lang w:val="en-US"/>
        </w:rPr>
        <w:t xml:space="preserve"> </w:t>
      </w:r>
      <w:r w:rsidR="00137BE7" w:rsidRPr="007C43FC">
        <w:rPr>
          <w:lang w:val="en-US"/>
        </w:rPr>
        <w:t xml:space="preserve">For example, since the right to property is considered by the ECtHR as a “civil right”, in the case </w:t>
      </w:r>
      <w:r w:rsidR="00137BE7" w:rsidRPr="007C43FC">
        <w:rPr>
          <w:i/>
          <w:lang w:val="en-US"/>
        </w:rPr>
        <w:t>Zander v. Sweden</w:t>
      </w:r>
      <w:r w:rsidR="00137BE7" w:rsidRPr="007C43FC">
        <w:rPr>
          <w:lang w:val="en-US"/>
        </w:rPr>
        <w:t xml:space="preserve">, the ECtHR found a violation of Article 6 on account of the rejection of the judicial review of a decision threatening environmental harm to the property of the applicant.  </w:t>
      </w:r>
    </w:p>
    <w:p w:rsidR="00D71F09" w:rsidRPr="007C43FC" w:rsidRDefault="00D71F09" w:rsidP="00137BE7">
      <w:pPr>
        <w:spacing w:line="360" w:lineRule="auto"/>
        <w:rPr>
          <w:lang w:val="en-US"/>
        </w:rPr>
      </w:pPr>
    </w:p>
    <w:p w:rsidR="00D71F09" w:rsidRPr="007C43FC" w:rsidRDefault="008E30AC" w:rsidP="00137BE7">
      <w:pPr>
        <w:spacing w:line="360" w:lineRule="auto"/>
        <w:rPr>
          <w:b/>
          <w:i/>
          <w:lang w:val="en-US"/>
        </w:rPr>
      </w:pPr>
      <w:r w:rsidRPr="007C43FC">
        <w:rPr>
          <w:b/>
          <w:i/>
          <w:lang w:val="en-US"/>
        </w:rPr>
        <w:t xml:space="preserve">1.7 </w:t>
      </w:r>
      <w:r w:rsidR="00D71F09" w:rsidRPr="007C43FC">
        <w:rPr>
          <w:b/>
          <w:i/>
          <w:lang w:val="en-US"/>
        </w:rPr>
        <w:t>Principle of Proportionality and Environmental Protection</w:t>
      </w:r>
    </w:p>
    <w:p w:rsidR="00D71F09" w:rsidRPr="007C43FC" w:rsidRDefault="00D71F09" w:rsidP="00137BE7">
      <w:pPr>
        <w:spacing w:line="360" w:lineRule="auto"/>
        <w:rPr>
          <w:lang w:val="en-US"/>
        </w:rPr>
      </w:pPr>
    </w:p>
    <w:p w:rsidR="00137BE7" w:rsidRPr="007C43FC" w:rsidRDefault="00A17DAD" w:rsidP="00A17DAD">
      <w:pPr>
        <w:spacing w:line="360" w:lineRule="auto"/>
        <w:jc w:val="both"/>
        <w:rPr>
          <w:lang w:val="en-US"/>
        </w:rPr>
      </w:pPr>
      <w:r w:rsidRPr="007C43FC">
        <w:rPr>
          <w:lang w:val="en-US"/>
        </w:rPr>
        <w:t xml:space="preserve">In addition to the above, </w:t>
      </w:r>
      <w:r w:rsidR="00137BE7" w:rsidRPr="007C43FC">
        <w:rPr>
          <w:lang w:val="en-US"/>
        </w:rPr>
        <w:t>the ECHR can be used for environmental protection in the following way: environmental protection can be considered as of general interest to the community justifying the restrictions in the exercise of the qualified rights of the Convention. The ECtHR has stated that “in today’s society the protection of the environment is an increasingly important consideration” and has established that environmental protection may coincide with the “public interest” of a community.</w:t>
      </w:r>
      <w:r w:rsidR="00137BE7" w:rsidRPr="007C43FC">
        <w:rPr>
          <w:rStyle w:val="FootnoteReference"/>
          <w:lang w:val="en-US"/>
        </w:rPr>
        <w:t xml:space="preserve"> </w:t>
      </w:r>
    </w:p>
    <w:p w:rsidR="00137BE7" w:rsidRPr="007C43FC" w:rsidRDefault="00137BE7" w:rsidP="00137BE7">
      <w:pPr>
        <w:spacing w:line="360" w:lineRule="auto"/>
        <w:rPr>
          <w:lang w:val="en-US"/>
        </w:rPr>
      </w:pPr>
    </w:p>
    <w:p w:rsidR="00C659D1" w:rsidRPr="007C43FC" w:rsidRDefault="00C659D1" w:rsidP="00137BE7">
      <w:pPr>
        <w:spacing w:line="360" w:lineRule="auto"/>
        <w:rPr>
          <w:b/>
          <w:i/>
          <w:sz w:val="28"/>
          <w:szCs w:val="28"/>
          <w:lang w:val="en-US"/>
        </w:rPr>
      </w:pPr>
      <w:r w:rsidRPr="007C43FC">
        <w:rPr>
          <w:b/>
          <w:i/>
          <w:sz w:val="28"/>
          <w:szCs w:val="28"/>
          <w:lang w:val="en-US"/>
        </w:rPr>
        <w:t xml:space="preserve">2. Environmental Ethics </w:t>
      </w:r>
    </w:p>
    <w:p w:rsidR="00137BE7" w:rsidRPr="007C43FC" w:rsidRDefault="00137BE7" w:rsidP="00C659D1">
      <w:pPr>
        <w:spacing w:line="360" w:lineRule="auto"/>
        <w:jc w:val="both"/>
        <w:rPr>
          <w:bCs/>
          <w:lang w:val="en-US"/>
        </w:rPr>
      </w:pPr>
    </w:p>
    <w:p w:rsidR="00C659D1" w:rsidRPr="007C43FC" w:rsidRDefault="00C659D1" w:rsidP="00C659D1">
      <w:pPr>
        <w:pStyle w:val="FootnoteText"/>
        <w:spacing w:line="360" w:lineRule="auto"/>
        <w:jc w:val="both"/>
        <w:rPr>
          <w:sz w:val="24"/>
          <w:szCs w:val="24"/>
          <w:lang w:val="en-US"/>
        </w:rPr>
      </w:pPr>
      <w:r w:rsidRPr="007C43FC">
        <w:rPr>
          <w:sz w:val="24"/>
          <w:szCs w:val="24"/>
          <w:lang w:val="en-US"/>
        </w:rPr>
        <w:t xml:space="preserve">There are two strains in environmentalism – “shallow ecology” and “deep ecology”. “Shallow” ecology is anthropocentric, because it claims that the earth is instrumental to human ends and that humans are “the sole reference point of value”. “Deep ecology” is ecocentric, since it claims that nature has an intrinsic value, in its own right, irrespective of its use value to human beings. The </w:t>
      </w:r>
      <w:r w:rsidRPr="007C43FC">
        <w:rPr>
          <w:sz w:val="24"/>
          <w:szCs w:val="24"/>
          <w:lang w:val="en-US"/>
        </w:rPr>
        <w:lastRenderedPageBreak/>
        <w:t xml:space="preserve">“anthropocentric” approach has been subject to criticism by ecological theorists, since they believe that such an approach is not comprehensive. It should be taken into consideration that human rights approach to environmental protection, as developed by the case law of the ECtHR, can </w:t>
      </w:r>
      <w:r w:rsidR="0025139B" w:rsidRPr="007C43FC">
        <w:rPr>
          <w:sz w:val="24"/>
          <w:szCs w:val="24"/>
          <w:lang w:val="en-US"/>
        </w:rPr>
        <w:t xml:space="preserve">be </w:t>
      </w:r>
      <w:r w:rsidRPr="007C43FC">
        <w:rPr>
          <w:sz w:val="24"/>
          <w:szCs w:val="24"/>
          <w:lang w:val="en-US"/>
        </w:rPr>
        <w:t xml:space="preserve">subject to criticism in terms of environmental ethics: namely it can be argued that such an approach is based solely on an “anthropocentric” view. </w:t>
      </w:r>
    </w:p>
    <w:p w:rsidR="00C659D1" w:rsidRPr="007C43FC" w:rsidRDefault="00C659D1" w:rsidP="00C659D1">
      <w:pPr>
        <w:pStyle w:val="FootnoteText"/>
        <w:spacing w:line="360" w:lineRule="auto"/>
        <w:jc w:val="both"/>
        <w:rPr>
          <w:sz w:val="24"/>
          <w:szCs w:val="24"/>
          <w:lang w:val="en-US"/>
        </w:rPr>
      </w:pPr>
    </w:p>
    <w:p w:rsidR="00C659D1" w:rsidRPr="007C43FC" w:rsidRDefault="00C659D1" w:rsidP="00765B9E">
      <w:pPr>
        <w:pStyle w:val="FootnoteText"/>
        <w:spacing w:line="360" w:lineRule="auto"/>
        <w:jc w:val="both"/>
        <w:rPr>
          <w:sz w:val="24"/>
          <w:szCs w:val="24"/>
          <w:lang w:val="en-US"/>
        </w:rPr>
      </w:pPr>
      <w:r w:rsidRPr="007C43FC">
        <w:rPr>
          <w:sz w:val="24"/>
          <w:szCs w:val="24"/>
          <w:lang w:val="en-US"/>
        </w:rPr>
        <w:t>However, t</w:t>
      </w:r>
      <w:r w:rsidRPr="007C43FC">
        <w:rPr>
          <w:sz w:val="24"/>
          <w:szCs w:val="24"/>
        </w:rPr>
        <w:t>he Council of Europe</w:t>
      </w:r>
      <w:r w:rsidRPr="007C43FC">
        <w:rPr>
          <w:sz w:val="24"/>
          <w:szCs w:val="24"/>
          <w:lang w:val="en-US"/>
        </w:rPr>
        <w:t xml:space="preserve"> is a unique regional organization </w:t>
      </w:r>
      <w:r w:rsidRPr="007C43FC">
        <w:rPr>
          <w:sz w:val="24"/>
          <w:szCs w:val="24"/>
        </w:rPr>
        <w:t>in terms of environmental ethics – it serves purposes of both strains of environmentalism as ecocentric as well as anthropocentric.</w:t>
      </w:r>
      <w:r w:rsidRPr="007C43FC">
        <w:rPr>
          <w:sz w:val="24"/>
          <w:szCs w:val="24"/>
          <w:lang w:val="en-US"/>
        </w:rPr>
        <w:t xml:space="preserve"> More precisely, </w:t>
      </w:r>
      <w:r w:rsidR="00765B9E" w:rsidRPr="007C43FC">
        <w:rPr>
          <w:sz w:val="24"/>
          <w:szCs w:val="24"/>
          <w:lang w:val="en-US"/>
        </w:rPr>
        <w:t xml:space="preserve">the Council of Europe a) enables </w:t>
      </w:r>
      <w:r w:rsidR="00765B9E" w:rsidRPr="007C43FC">
        <w:rPr>
          <w:sz w:val="24"/>
          <w:szCs w:val="24"/>
        </w:rPr>
        <w:t xml:space="preserve">securing certain standards of environmental protection through interpretation of </w:t>
      </w:r>
      <w:r w:rsidR="00765B9E" w:rsidRPr="007C43FC">
        <w:rPr>
          <w:sz w:val="24"/>
          <w:szCs w:val="24"/>
          <w:lang w:val="en-US"/>
        </w:rPr>
        <w:t xml:space="preserve">the </w:t>
      </w:r>
      <w:r w:rsidR="00765B9E" w:rsidRPr="007C43FC">
        <w:rPr>
          <w:sz w:val="24"/>
          <w:szCs w:val="24"/>
        </w:rPr>
        <w:t xml:space="preserve">ECHR for protection of individuals against environmental harms and b) </w:t>
      </w:r>
      <w:r w:rsidR="008E30AC" w:rsidRPr="007C43FC">
        <w:rPr>
          <w:sz w:val="24"/>
          <w:szCs w:val="24"/>
          <w:lang w:val="en-US"/>
        </w:rPr>
        <w:t xml:space="preserve">provides </w:t>
      </w:r>
      <w:r w:rsidR="00765B9E" w:rsidRPr="007C43FC">
        <w:rPr>
          <w:sz w:val="24"/>
          <w:szCs w:val="24"/>
        </w:rPr>
        <w:t>its own policies and standards in the field of protection of nature for its own value (e.g. the Bern Convention)</w:t>
      </w:r>
      <w:r w:rsidR="008E30AC" w:rsidRPr="007C43FC">
        <w:rPr>
          <w:sz w:val="24"/>
          <w:szCs w:val="24"/>
          <w:lang w:val="en-US"/>
        </w:rPr>
        <w:t xml:space="preserve">. </w:t>
      </w:r>
    </w:p>
    <w:p w:rsidR="001801DD" w:rsidRPr="007C43FC" w:rsidRDefault="001801DD" w:rsidP="000768F9">
      <w:pPr>
        <w:spacing w:before="100" w:beforeAutospacing="1" w:after="100" w:afterAutospacing="1" w:line="360" w:lineRule="auto"/>
        <w:jc w:val="both"/>
        <w:rPr>
          <w:lang w:val="en-GB" w:eastAsia="en-US"/>
        </w:rPr>
      </w:pPr>
      <w:r w:rsidRPr="007C43FC">
        <w:rPr>
          <w:lang w:val="en-GB" w:eastAsia="en-US"/>
        </w:rPr>
        <w:t xml:space="preserve">The Bern Convention has a long standing experience to assist member </w:t>
      </w:r>
      <w:r w:rsidR="00D142CD" w:rsidRPr="007C43FC">
        <w:rPr>
          <w:lang w:val="en-GB" w:eastAsia="en-US"/>
        </w:rPr>
        <w:t>S</w:t>
      </w:r>
      <w:r w:rsidRPr="007C43FC">
        <w:rPr>
          <w:lang w:val="en-GB" w:eastAsia="en-US"/>
        </w:rPr>
        <w:t xml:space="preserve">tates </w:t>
      </w:r>
      <w:r w:rsidR="007F5499" w:rsidRPr="007C43FC">
        <w:rPr>
          <w:lang w:val="en-GB" w:eastAsia="en-US"/>
        </w:rPr>
        <w:t>in</w:t>
      </w:r>
      <w:r w:rsidRPr="007C43FC">
        <w:rPr>
          <w:lang w:val="en-GB" w:eastAsia="en-US"/>
        </w:rPr>
        <w:t xml:space="preserve"> implement</w:t>
      </w:r>
      <w:r w:rsidR="007F5499" w:rsidRPr="007C43FC">
        <w:rPr>
          <w:lang w:val="en-GB" w:eastAsia="en-US"/>
        </w:rPr>
        <w:t>ing</w:t>
      </w:r>
      <w:r w:rsidR="00AA4E64" w:rsidRPr="007C43FC">
        <w:rPr>
          <w:lang w:val="en-GB" w:eastAsia="en-US"/>
        </w:rPr>
        <w:t xml:space="preserve"> the complementary</w:t>
      </w:r>
      <w:r w:rsidRPr="007C43FC">
        <w:rPr>
          <w:lang w:val="en-GB" w:eastAsia="en-US"/>
        </w:rPr>
        <w:t xml:space="preserve"> approaches described above. The strength of the Convention resides in the commitment of the Parties towards its implementation,</w:t>
      </w:r>
      <w:bookmarkStart w:id="0" w:name="_GoBack"/>
      <w:bookmarkEnd w:id="0"/>
      <w:r w:rsidRPr="007C43FC">
        <w:rPr>
          <w:lang w:val="en-GB" w:eastAsia="en-US"/>
        </w:rPr>
        <w:t xml:space="preserve"> as wel</w:t>
      </w:r>
      <w:r w:rsidR="00572511" w:rsidRPr="007C43FC">
        <w:rPr>
          <w:lang w:val="en-GB" w:eastAsia="en-US"/>
        </w:rPr>
        <w:t>l as in the possibility for civil society organisations</w:t>
      </w:r>
      <w:r w:rsidRPr="007C43FC">
        <w:rPr>
          <w:lang w:val="en-GB" w:eastAsia="en-US"/>
        </w:rPr>
        <w:t xml:space="preserve"> and the scientific community to contribute to its monitoring.</w:t>
      </w:r>
      <w:r w:rsidR="00D6053E" w:rsidRPr="007C43FC">
        <w:rPr>
          <w:lang w:val="en-GB" w:eastAsia="en-US"/>
        </w:rPr>
        <w:t xml:space="preserve"> </w:t>
      </w:r>
      <w:r w:rsidRPr="007C43FC">
        <w:rPr>
          <w:lang w:val="en-GB" w:eastAsia="en-US"/>
        </w:rPr>
        <w:t>The monitoring mecha</w:t>
      </w:r>
      <w:r w:rsidR="009D3FA8" w:rsidRPr="007C43FC">
        <w:rPr>
          <w:lang w:val="en-GB" w:eastAsia="en-US"/>
        </w:rPr>
        <w:t>nism</w:t>
      </w:r>
      <w:r w:rsidRPr="007C43FC">
        <w:rPr>
          <w:lang w:val="en-GB" w:eastAsia="en-US"/>
        </w:rPr>
        <w:t xml:space="preserve"> is composed of a wide range of tools fully accessible to Parties, observers, and private citizens. Among these too</w:t>
      </w:r>
      <w:r w:rsidR="00E8530D" w:rsidRPr="007C43FC">
        <w:rPr>
          <w:lang w:val="en-GB" w:eastAsia="en-US"/>
        </w:rPr>
        <w:t>ls, the most important are the r</w:t>
      </w:r>
      <w:r w:rsidRPr="007C43FC">
        <w:rPr>
          <w:lang w:val="en-GB" w:eastAsia="en-US"/>
        </w:rPr>
        <w:t>ep</w:t>
      </w:r>
      <w:r w:rsidR="00570809" w:rsidRPr="007C43FC">
        <w:rPr>
          <w:lang w:val="en-GB" w:eastAsia="en-US"/>
        </w:rPr>
        <w:t>orts from parties, and the case-</w:t>
      </w:r>
      <w:r w:rsidRPr="007C43FC">
        <w:rPr>
          <w:lang w:val="en-GB" w:eastAsia="en-US"/>
        </w:rPr>
        <w:t>file system.</w:t>
      </w:r>
    </w:p>
    <w:p w:rsidR="001801DD" w:rsidRPr="007C43FC" w:rsidRDefault="001801DD" w:rsidP="000768F9">
      <w:pPr>
        <w:spacing w:line="360" w:lineRule="auto"/>
        <w:jc w:val="both"/>
        <w:rPr>
          <w:lang w:val="en-GB" w:eastAsia="en-US"/>
        </w:rPr>
      </w:pPr>
      <w:r w:rsidRPr="007C43FC">
        <w:rPr>
          <w:noProof/>
          <w:lang w:val="en-US" w:eastAsia="en-US"/>
        </w:rPr>
        <w:drawing>
          <wp:inline distT="0" distB="0" distL="0" distR="0" wp14:anchorId="2DF42E4F" wp14:editId="0BA15FB9">
            <wp:extent cx="6350" cy="6350"/>
            <wp:effectExtent l="0" t="0" r="0" b="0"/>
            <wp:docPr id="1" name="rjus__column4__1" descr="https://www.coe.int/coe-2014-theme/images/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us__column4__1" descr="https://www.coe.int/coe-2014-theme/images/spac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7C43FC">
        <w:rPr>
          <w:lang w:val="en-GB" w:eastAsia="en-US"/>
        </w:rPr>
        <w:t xml:space="preserve">The case-file system, dating back to 1984, is a </w:t>
      </w:r>
      <w:r w:rsidRPr="007C43FC">
        <w:rPr>
          <w:bCs/>
          <w:lang w:val="en-GB" w:eastAsia="en-US"/>
        </w:rPr>
        <w:t>unique monitoring tool based on complaints for possible breaches of the Convention</w:t>
      </w:r>
      <w:r w:rsidRPr="007C43FC">
        <w:rPr>
          <w:lang w:val="en-GB" w:eastAsia="en-US"/>
        </w:rPr>
        <w:t xml:space="preserve"> that can be submitted by NGOs or even private citizens. The complaints so received are processed by </w:t>
      </w:r>
      <w:r w:rsidR="00D142CD" w:rsidRPr="007C43FC">
        <w:rPr>
          <w:lang w:val="en-GB" w:eastAsia="en-US"/>
        </w:rPr>
        <w:t>the Secretariat, the Bureau and</w:t>
      </w:r>
      <w:r w:rsidRPr="007C43FC">
        <w:rPr>
          <w:lang w:val="en-GB" w:eastAsia="en-US"/>
        </w:rPr>
        <w:t xml:space="preserve"> the Standing Comm</w:t>
      </w:r>
      <w:r w:rsidR="009942BA" w:rsidRPr="007C43FC">
        <w:rPr>
          <w:lang w:val="en-GB" w:eastAsia="en-US"/>
        </w:rPr>
        <w:t>ittee</w:t>
      </w:r>
      <w:r w:rsidRPr="007C43FC">
        <w:rPr>
          <w:lang w:val="en-GB" w:eastAsia="en-US"/>
        </w:rPr>
        <w:t>. When the Standing Committee or its Bureau considers that further information is needed, they can arrange for on-the-spot visits by independent experts, who report to the Standing Committee.</w:t>
      </w:r>
    </w:p>
    <w:p w:rsidR="001801DD" w:rsidRPr="007C43FC" w:rsidRDefault="001801DD" w:rsidP="000768F9">
      <w:pPr>
        <w:spacing w:before="100" w:beforeAutospacing="1" w:after="100" w:afterAutospacing="1" w:line="360" w:lineRule="auto"/>
        <w:jc w:val="both"/>
        <w:rPr>
          <w:lang w:val="en-GB" w:eastAsia="en-US"/>
        </w:rPr>
      </w:pPr>
      <w:r w:rsidRPr="007C43FC">
        <w:rPr>
          <w:lang w:val="en-GB" w:eastAsia="en-US"/>
        </w:rPr>
        <w:t xml:space="preserve">The case-file system </w:t>
      </w:r>
      <w:r w:rsidR="00570809" w:rsidRPr="007C43FC">
        <w:rPr>
          <w:lang w:val="en-GB" w:eastAsia="en-US"/>
        </w:rPr>
        <w:t>gives an opportunity to the authorities,</w:t>
      </w:r>
      <w:r w:rsidR="002E28FD" w:rsidRPr="007C43FC">
        <w:rPr>
          <w:lang w:val="en-GB" w:eastAsia="en-US"/>
        </w:rPr>
        <w:t xml:space="preserve"> the NGOs</w:t>
      </w:r>
      <w:r w:rsidR="00570809" w:rsidRPr="007C43FC">
        <w:rPr>
          <w:lang w:val="en-GB" w:eastAsia="en-US"/>
        </w:rPr>
        <w:t xml:space="preserve">, the scientists and the citizens to </w:t>
      </w:r>
      <w:r w:rsidR="000A5709" w:rsidRPr="007C43FC">
        <w:rPr>
          <w:lang w:val="en-GB" w:eastAsia="en-US"/>
        </w:rPr>
        <w:t xml:space="preserve">access to the same information and to </w:t>
      </w:r>
      <w:r w:rsidR="00570809" w:rsidRPr="007C43FC">
        <w:rPr>
          <w:lang w:val="en-GB" w:eastAsia="en-US"/>
        </w:rPr>
        <w:t xml:space="preserve">express </w:t>
      </w:r>
      <w:r w:rsidR="000A4519" w:rsidRPr="007C43FC">
        <w:rPr>
          <w:lang w:val="en-GB" w:eastAsia="en-US"/>
        </w:rPr>
        <w:t>their views</w:t>
      </w:r>
      <w:r w:rsidR="000E21D8" w:rsidRPr="007C43FC">
        <w:rPr>
          <w:lang w:val="en-GB" w:eastAsia="en-US"/>
        </w:rPr>
        <w:t xml:space="preserve"> to find</w:t>
      </w:r>
      <w:r w:rsidR="00B73B14" w:rsidRPr="007C43FC">
        <w:rPr>
          <w:lang w:val="en-GB" w:eastAsia="en-US"/>
        </w:rPr>
        <w:t xml:space="preserve"> a suitable solution.</w:t>
      </w:r>
      <w:r w:rsidR="00570809" w:rsidRPr="007C43FC">
        <w:rPr>
          <w:lang w:val="en-GB" w:eastAsia="en-US"/>
        </w:rPr>
        <w:t xml:space="preserve"> </w:t>
      </w:r>
      <w:r w:rsidR="000E21D8" w:rsidRPr="007C43FC">
        <w:rPr>
          <w:lang w:val="en-GB" w:eastAsia="en-US"/>
        </w:rPr>
        <w:t xml:space="preserve">This inclusive </w:t>
      </w:r>
      <w:r w:rsidR="00570809" w:rsidRPr="007C43FC">
        <w:rPr>
          <w:lang w:val="en-GB" w:eastAsia="en-US"/>
        </w:rPr>
        <w:t xml:space="preserve">and participatory approach </w:t>
      </w:r>
      <w:r w:rsidR="000A4519" w:rsidRPr="007C43FC">
        <w:rPr>
          <w:lang w:val="en-GB" w:eastAsia="en-US"/>
        </w:rPr>
        <w:t>has proven to be a</w:t>
      </w:r>
      <w:r w:rsidRPr="007C43FC">
        <w:rPr>
          <w:lang w:val="en-GB" w:eastAsia="en-US"/>
        </w:rPr>
        <w:t xml:space="preserve"> </w:t>
      </w:r>
      <w:r w:rsidR="0087473D" w:rsidRPr="007C43FC">
        <w:rPr>
          <w:lang w:val="en-GB" w:eastAsia="en-US"/>
        </w:rPr>
        <w:t xml:space="preserve">very </w:t>
      </w:r>
      <w:r w:rsidRPr="007C43FC">
        <w:rPr>
          <w:lang w:val="en-GB" w:eastAsia="en-US"/>
        </w:rPr>
        <w:t>succes</w:t>
      </w:r>
      <w:r w:rsidR="00EA0F0C" w:rsidRPr="007C43FC">
        <w:rPr>
          <w:lang w:val="en-GB" w:eastAsia="en-US"/>
        </w:rPr>
        <w:t>sful problem solving instrument in case of conflicts</w:t>
      </w:r>
      <w:r w:rsidR="00EB3049" w:rsidRPr="007C43FC">
        <w:rPr>
          <w:lang w:val="en-GB" w:eastAsia="en-US"/>
        </w:rPr>
        <w:t xml:space="preserve"> </w:t>
      </w:r>
      <w:r w:rsidR="00EA0F0C" w:rsidRPr="007C43FC">
        <w:rPr>
          <w:lang w:val="en-GB" w:eastAsia="en-US"/>
        </w:rPr>
        <w:t>between development projects and nature conservation.</w:t>
      </w:r>
    </w:p>
    <w:p w:rsidR="00137BE7" w:rsidRPr="007C43FC" w:rsidRDefault="008E30AC" w:rsidP="00137BE7">
      <w:pPr>
        <w:spacing w:line="360" w:lineRule="auto"/>
        <w:rPr>
          <w:b/>
          <w:i/>
          <w:sz w:val="28"/>
          <w:szCs w:val="28"/>
          <w:lang w:val="en-US"/>
        </w:rPr>
      </w:pPr>
      <w:r w:rsidRPr="007C43FC">
        <w:rPr>
          <w:b/>
          <w:i/>
          <w:sz w:val="28"/>
          <w:szCs w:val="28"/>
          <w:lang w:val="en-US"/>
        </w:rPr>
        <w:lastRenderedPageBreak/>
        <w:t>3</w:t>
      </w:r>
      <w:r w:rsidR="00A278F9" w:rsidRPr="007C43FC">
        <w:rPr>
          <w:b/>
          <w:i/>
          <w:sz w:val="28"/>
          <w:szCs w:val="28"/>
          <w:lang w:val="en-US"/>
        </w:rPr>
        <w:t>. Council of Europe and Environmental Protection</w:t>
      </w:r>
    </w:p>
    <w:p w:rsidR="00137BE7" w:rsidRPr="007C43FC" w:rsidRDefault="00137BE7" w:rsidP="00137BE7">
      <w:pPr>
        <w:spacing w:line="360" w:lineRule="auto"/>
        <w:rPr>
          <w:bCs/>
          <w:lang w:val="en-US"/>
        </w:rPr>
      </w:pPr>
    </w:p>
    <w:p w:rsidR="00E73AD4" w:rsidRPr="007C43FC" w:rsidRDefault="00E73AD4" w:rsidP="00E73AD4">
      <w:pPr>
        <w:jc w:val="both"/>
        <w:rPr>
          <w:b/>
        </w:rPr>
      </w:pPr>
      <w:r w:rsidRPr="007C43FC">
        <w:rPr>
          <w:b/>
        </w:rPr>
        <w:t>Convention on the Conservation of European Wildlife and Natural Habitats</w:t>
      </w:r>
    </w:p>
    <w:p w:rsidR="00C60714" w:rsidRPr="007C43FC" w:rsidRDefault="00C60714" w:rsidP="000768F9">
      <w:pPr>
        <w:spacing w:before="100" w:beforeAutospacing="1" w:after="100" w:afterAutospacing="1" w:line="360" w:lineRule="auto"/>
        <w:jc w:val="both"/>
        <w:rPr>
          <w:lang w:val="en-GB" w:eastAsia="en-US"/>
        </w:rPr>
      </w:pPr>
      <w:r w:rsidRPr="007C43FC">
        <w:rPr>
          <w:lang w:val="en-GB" w:eastAsia="en-US"/>
        </w:rPr>
        <w:t>The Bern Convention is a binding international legal instrument in the field of nature conservation, covering most of the natural heritage of the European continent and extending to some States of Africa.</w:t>
      </w:r>
    </w:p>
    <w:p w:rsidR="00C60714" w:rsidRPr="007C43FC" w:rsidRDefault="00C60714" w:rsidP="000768F9">
      <w:pPr>
        <w:spacing w:before="100" w:beforeAutospacing="1" w:after="100" w:afterAutospacing="1" w:line="360" w:lineRule="auto"/>
        <w:jc w:val="both"/>
        <w:rPr>
          <w:lang w:val="en-GB" w:eastAsia="en-US"/>
        </w:rPr>
      </w:pPr>
      <w:r w:rsidRPr="007C43FC">
        <w:rPr>
          <w:lang w:val="en-GB" w:eastAsia="en-US"/>
        </w:rPr>
        <w:t>It is the only regional Convention of its kind worldwide, and aims to conserve wild flora and fauna and their natural habitats, as well as to promote European co-operation in this field. The treaty also takes account of the impact that other policies may have on natural heritage and recognises the intrinsic value of wild flora and fauna, which needs to be preserved and passed to future generations.</w:t>
      </w:r>
    </w:p>
    <w:p w:rsidR="00C60714" w:rsidRPr="007C43FC" w:rsidRDefault="0073308B" w:rsidP="000768F9">
      <w:pPr>
        <w:spacing w:before="100" w:beforeAutospacing="1" w:after="100" w:afterAutospacing="1" w:line="360" w:lineRule="auto"/>
        <w:jc w:val="both"/>
        <w:rPr>
          <w:lang w:val="en-GB" w:eastAsia="en-US"/>
        </w:rPr>
      </w:pPr>
      <w:r w:rsidRPr="007C43FC">
        <w:rPr>
          <w:lang w:val="en-GB" w:eastAsia="en-US"/>
        </w:rPr>
        <w:t>Fifty-one</w:t>
      </w:r>
      <w:r w:rsidR="00C60714" w:rsidRPr="007C43FC">
        <w:rPr>
          <w:lang w:val="en-GB" w:eastAsia="en-US"/>
        </w:rPr>
        <w:t xml:space="preserve"> countries and the European Union have already signed up to the Convention and committed to promoting national conservation policies, considering the impact of planning and development on the natural environment, promoting education and information on conservation, and coordinating research.</w:t>
      </w:r>
    </w:p>
    <w:p w:rsidR="0073308B" w:rsidRPr="007C43FC" w:rsidRDefault="0073308B" w:rsidP="000768F9">
      <w:pPr>
        <w:spacing w:line="360" w:lineRule="auto"/>
        <w:jc w:val="both"/>
        <w:rPr>
          <w:sz w:val="28"/>
          <w:szCs w:val="28"/>
          <w:lang w:val="en-US"/>
        </w:rPr>
      </w:pPr>
      <w:r w:rsidRPr="007C43FC">
        <w:rPr>
          <w:lang w:val="en-US"/>
        </w:rPr>
        <w:t xml:space="preserve">The Bern Convention </w:t>
      </w:r>
      <w:r w:rsidR="0051768C" w:rsidRPr="007C43FC">
        <w:rPr>
          <w:lang w:val="en-US"/>
        </w:rPr>
        <w:t xml:space="preserve">substantially </w:t>
      </w:r>
      <w:r w:rsidRPr="007C43FC">
        <w:t>contribute</w:t>
      </w:r>
      <w:r w:rsidRPr="007C43FC">
        <w:rPr>
          <w:lang w:val="en-US"/>
        </w:rPr>
        <w:t>s</w:t>
      </w:r>
      <w:r w:rsidRPr="007C43FC">
        <w:t xml:space="preserve"> to the achievement of the UN Convention on Biological Diversity a</w:t>
      </w:r>
      <w:r w:rsidR="001502F1" w:rsidRPr="007C43FC">
        <w:t>s well as</w:t>
      </w:r>
      <w:r w:rsidRPr="007C43FC">
        <w:t xml:space="preserve"> </w:t>
      </w:r>
      <w:r w:rsidR="001502F1" w:rsidRPr="007C43FC">
        <w:rPr>
          <w:lang w:val="en-US"/>
        </w:rPr>
        <w:t>to</w:t>
      </w:r>
      <w:r w:rsidRPr="007C43FC">
        <w:t xml:space="preserve"> several </w:t>
      </w:r>
      <w:r w:rsidR="0051768C" w:rsidRPr="007C43FC">
        <w:rPr>
          <w:lang w:val="en-US"/>
        </w:rPr>
        <w:t xml:space="preserve">UN </w:t>
      </w:r>
      <w:r w:rsidRPr="007C43FC">
        <w:t>S</w:t>
      </w:r>
      <w:r w:rsidRPr="007C43FC">
        <w:rPr>
          <w:lang w:val="en-US"/>
        </w:rPr>
        <w:t>ustainable Development Goals</w:t>
      </w:r>
      <w:r w:rsidR="00462C41" w:rsidRPr="007C43FC">
        <w:rPr>
          <w:lang w:val="en-US"/>
        </w:rPr>
        <w:t>.</w:t>
      </w:r>
    </w:p>
    <w:p w:rsidR="00AB73A9" w:rsidRPr="007C43FC" w:rsidRDefault="00AB73A9" w:rsidP="000768F9">
      <w:pPr>
        <w:spacing w:line="360" w:lineRule="auto"/>
        <w:jc w:val="both"/>
        <w:rPr>
          <w:b/>
          <w:lang w:val="en-US"/>
        </w:rPr>
      </w:pPr>
    </w:p>
    <w:p w:rsidR="00314B90" w:rsidRPr="007C43FC" w:rsidRDefault="00314B90" w:rsidP="000768F9">
      <w:pPr>
        <w:spacing w:line="360" w:lineRule="auto"/>
        <w:jc w:val="both"/>
        <w:rPr>
          <w:b/>
          <w:lang w:val="en-US"/>
        </w:rPr>
      </w:pPr>
      <w:r w:rsidRPr="007C43FC">
        <w:rPr>
          <w:b/>
          <w:lang w:val="en-US"/>
        </w:rPr>
        <w:t>Other Council of Europe Conventions</w:t>
      </w:r>
    </w:p>
    <w:p w:rsidR="00220669" w:rsidRPr="007C43FC" w:rsidRDefault="00220669" w:rsidP="000768F9">
      <w:pPr>
        <w:spacing w:line="360" w:lineRule="auto"/>
        <w:jc w:val="both"/>
        <w:rPr>
          <w:b/>
        </w:rPr>
      </w:pPr>
    </w:p>
    <w:p w:rsidR="00E73AD4" w:rsidRPr="007C43FC" w:rsidRDefault="00E73AD4" w:rsidP="000768F9">
      <w:pPr>
        <w:spacing w:line="360" w:lineRule="auto"/>
        <w:jc w:val="both"/>
      </w:pPr>
      <w:r w:rsidRPr="007C43FC">
        <w:t>Convention on Civil Liability for Damage resulting from Activities Dangerous to the Environment</w:t>
      </w:r>
    </w:p>
    <w:p w:rsidR="00220669" w:rsidRPr="007C43FC" w:rsidRDefault="00220669" w:rsidP="000768F9">
      <w:pPr>
        <w:spacing w:line="360" w:lineRule="auto"/>
        <w:jc w:val="both"/>
      </w:pPr>
    </w:p>
    <w:p w:rsidR="00E73AD4" w:rsidRPr="007C43FC" w:rsidRDefault="00E73AD4" w:rsidP="000768F9">
      <w:pPr>
        <w:spacing w:line="360" w:lineRule="auto"/>
        <w:jc w:val="both"/>
      </w:pPr>
      <w:r w:rsidRPr="007C43FC">
        <w:t>Convention on the Protection of Environment through Criminal Law</w:t>
      </w:r>
    </w:p>
    <w:p w:rsidR="00AB73A9" w:rsidRPr="007C43FC" w:rsidRDefault="00AB73A9" w:rsidP="000768F9">
      <w:pPr>
        <w:spacing w:line="360" w:lineRule="auto"/>
        <w:jc w:val="both"/>
        <w:rPr>
          <w:lang w:val="fr-FR"/>
        </w:rPr>
      </w:pPr>
    </w:p>
    <w:p w:rsidR="00314B90" w:rsidRPr="007C43FC" w:rsidRDefault="00314B90" w:rsidP="000768F9">
      <w:pPr>
        <w:spacing w:line="360" w:lineRule="auto"/>
        <w:jc w:val="both"/>
        <w:rPr>
          <w:lang w:val="en-US"/>
        </w:rPr>
      </w:pPr>
      <w:r w:rsidRPr="007C43FC">
        <w:t>European Landscape Convention</w:t>
      </w:r>
    </w:p>
    <w:p w:rsidR="00220669" w:rsidRPr="007C43FC" w:rsidRDefault="00220669" w:rsidP="00220669">
      <w:pPr>
        <w:spacing w:line="360" w:lineRule="auto"/>
        <w:rPr>
          <w:b/>
          <w:i/>
          <w:sz w:val="28"/>
          <w:szCs w:val="28"/>
          <w:lang w:val="en-US"/>
        </w:rPr>
      </w:pPr>
    </w:p>
    <w:p w:rsidR="00137BE7" w:rsidRPr="007C43FC" w:rsidRDefault="0025139B" w:rsidP="00220669">
      <w:pPr>
        <w:spacing w:line="360" w:lineRule="auto"/>
        <w:rPr>
          <w:b/>
          <w:i/>
          <w:sz w:val="28"/>
          <w:szCs w:val="28"/>
          <w:lang w:val="en-US"/>
        </w:rPr>
      </w:pPr>
      <w:r w:rsidRPr="007C43FC">
        <w:rPr>
          <w:b/>
          <w:i/>
          <w:sz w:val="28"/>
          <w:szCs w:val="28"/>
          <w:lang w:val="en-US"/>
        </w:rPr>
        <w:t xml:space="preserve">4. Possible further steps of the Council of Europe </w:t>
      </w:r>
      <w:r w:rsidR="00220669" w:rsidRPr="007C43FC">
        <w:rPr>
          <w:b/>
          <w:i/>
          <w:sz w:val="28"/>
          <w:szCs w:val="28"/>
          <w:lang w:val="en-US"/>
        </w:rPr>
        <w:t xml:space="preserve">in the field of Environmental Protection </w:t>
      </w:r>
    </w:p>
    <w:p w:rsidR="00220669" w:rsidRPr="007C43FC" w:rsidRDefault="00220669" w:rsidP="00220669">
      <w:pPr>
        <w:spacing w:line="360" w:lineRule="auto"/>
        <w:rPr>
          <w:b/>
          <w:i/>
          <w:sz w:val="28"/>
          <w:szCs w:val="28"/>
          <w:lang w:val="en-US"/>
        </w:rPr>
      </w:pPr>
    </w:p>
    <w:p w:rsidR="00220669" w:rsidRPr="00AD63AF" w:rsidRDefault="00220669" w:rsidP="00220669">
      <w:pPr>
        <w:spacing w:line="360" w:lineRule="auto"/>
        <w:rPr>
          <w:i/>
          <w:lang w:val="en-GB"/>
        </w:rPr>
      </w:pPr>
      <w:r w:rsidRPr="007C43FC">
        <w:rPr>
          <w:lang w:val="en-US"/>
        </w:rPr>
        <w:t xml:space="preserve">CM </w:t>
      </w:r>
      <w:r w:rsidRPr="007C43FC">
        <w:t>guidelines/standards/principles on responsibility of states for environmental harm arising from private industries and on fair compensation for environmental nuisance affecting property.</w:t>
      </w:r>
    </w:p>
    <w:p w:rsidR="00137BE7" w:rsidRPr="00AD63AF" w:rsidRDefault="00137BE7" w:rsidP="00137BE7">
      <w:pPr>
        <w:spacing w:line="360" w:lineRule="auto"/>
        <w:outlineLvl w:val="0"/>
        <w:rPr>
          <w:i/>
          <w:lang w:val="en-US"/>
        </w:rPr>
      </w:pPr>
    </w:p>
    <w:sectPr w:rsidR="00137BE7" w:rsidRPr="00AD63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44B" w:rsidRDefault="00AD644B" w:rsidP="00137BE7">
      <w:r>
        <w:separator/>
      </w:r>
    </w:p>
  </w:endnote>
  <w:endnote w:type="continuationSeparator" w:id="0">
    <w:p w:rsidR="00AD644B" w:rsidRDefault="00AD644B" w:rsidP="0013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44B" w:rsidRDefault="00AD644B" w:rsidP="00137BE7">
      <w:r>
        <w:separator/>
      </w:r>
    </w:p>
  </w:footnote>
  <w:footnote w:type="continuationSeparator" w:id="0">
    <w:p w:rsidR="00AD644B" w:rsidRDefault="00AD644B" w:rsidP="00137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E5"/>
    <w:rsid w:val="0000265A"/>
    <w:rsid w:val="00014553"/>
    <w:rsid w:val="00067CF2"/>
    <w:rsid w:val="000768F9"/>
    <w:rsid w:val="00076DC2"/>
    <w:rsid w:val="00095151"/>
    <w:rsid w:val="000A070B"/>
    <w:rsid w:val="000A4519"/>
    <w:rsid w:val="000A5709"/>
    <w:rsid w:val="000D271B"/>
    <w:rsid w:val="000E21D8"/>
    <w:rsid w:val="00116F2E"/>
    <w:rsid w:val="00137BE7"/>
    <w:rsid w:val="00143DC7"/>
    <w:rsid w:val="001502F1"/>
    <w:rsid w:val="00154DC2"/>
    <w:rsid w:val="001801DD"/>
    <w:rsid w:val="00197AD0"/>
    <w:rsid w:val="001A0CBB"/>
    <w:rsid w:val="001C2D7A"/>
    <w:rsid w:val="001C4C51"/>
    <w:rsid w:val="001E15D3"/>
    <w:rsid w:val="00220669"/>
    <w:rsid w:val="00222944"/>
    <w:rsid w:val="0025139B"/>
    <w:rsid w:val="0026209B"/>
    <w:rsid w:val="002C5F7C"/>
    <w:rsid w:val="002D795B"/>
    <w:rsid w:val="002E28FD"/>
    <w:rsid w:val="00314B90"/>
    <w:rsid w:val="0035549F"/>
    <w:rsid w:val="003861A2"/>
    <w:rsid w:val="003A1C42"/>
    <w:rsid w:val="003A352C"/>
    <w:rsid w:val="003C5398"/>
    <w:rsid w:val="003E3977"/>
    <w:rsid w:val="0042164A"/>
    <w:rsid w:val="004231B9"/>
    <w:rsid w:val="00462C41"/>
    <w:rsid w:val="00471EC0"/>
    <w:rsid w:val="004850AC"/>
    <w:rsid w:val="0049328A"/>
    <w:rsid w:val="00510C8E"/>
    <w:rsid w:val="0051768C"/>
    <w:rsid w:val="005205B1"/>
    <w:rsid w:val="00534DE8"/>
    <w:rsid w:val="00552D20"/>
    <w:rsid w:val="0056086E"/>
    <w:rsid w:val="00562A72"/>
    <w:rsid w:val="0056343E"/>
    <w:rsid w:val="00564164"/>
    <w:rsid w:val="00570809"/>
    <w:rsid w:val="00572511"/>
    <w:rsid w:val="00574547"/>
    <w:rsid w:val="00576B7B"/>
    <w:rsid w:val="00586F5D"/>
    <w:rsid w:val="005B7331"/>
    <w:rsid w:val="00617E1B"/>
    <w:rsid w:val="00677F08"/>
    <w:rsid w:val="006A31D0"/>
    <w:rsid w:val="006B1522"/>
    <w:rsid w:val="006B2FB6"/>
    <w:rsid w:val="006D19DD"/>
    <w:rsid w:val="006D5CE2"/>
    <w:rsid w:val="0073308B"/>
    <w:rsid w:val="00744430"/>
    <w:rsid w:val="00746600"/>
    <w:rsid w:val="0076422A"/>
    <w:rsid w:val="00765B9E"/>
    <w:rsid w:val="007C43FC"/>
    <w:rsid w:val="007D795D"/>
    <w:rsid w:val="007E0655"/>
    <w:rsid w:val="007E0946"/>
    <w:rsid w:val="007F5499"/>
    <w:rsid w:val="00805196"/>
    <w:rsid w:val="008477DB"/>
    <w:rsid w:val="00856B5D"/>
    <w:rsid w:val="0087473D"/>
    <w:rsid w:val="008B1769"/>
    <w:rsid w:val="008B2B02"/>
    <w:rsid w:val="008B48FE"/>
    <w:rsid w:val="008D0BFB"/>
    <w:rsid w:val="008E30AC"/>
    <w:rsid w:val="008F1949"/>
    <w:rsid w:val="009017EC"/>
    <w:rsid w:val="00953113"/>
    <w:rsid w:val="00954792"/>
    <w:rsid w:val="00973C92"/>
    <w:rsid w:val="009764F8"/>
    <w:rsid w:val="00983FF6"/>
    <w:rsid w:val="009942BA"/>
    <w:rsid w:val="00997881"/>
    <w:rsid w:val="00997BE5"/>
    <w:rsid w:val="009A0614"/>
    <w:rsid w:val="009B3829"/>
    <w:rsid w:val="009C5687"/>
    <w:rsid w:val="009D3FA8"/>
    <w:rsid w:val="009D502C"/>
    <w:rsid w:val="009E1906"/>
    <w:rsid w:val="009F575C"/>
    <w:rsid w:val="00A17DAD"/>
    <w:rsid w:val="00A278F9"/>
    <w:rsid w:val="00A4308C"/>
    <w:rsid w:val="00A669CD"/>
    <w:rsid w:val="00A821C9"/>
    <w:rsid w:val="00AA4E64"/>
    <w:rsid w:val="00AB73A9"/>
    <w:rsid w:val="00AC678D"/>
    <w:rsid w:val="00AD63AF"/>
    <w:rsid w:val="00AD644B"/>
    <w:rsid w:val="00AF6CA1"/>
    <w:rsid w:val="00B07BAE"/>
    <w:rsid w:val="00B12FBD"/>
    <w:rsid w:val="00B160BF"/>
    <w:rsid w:val="00B552E2"/>
    <w:rsid w:val="00B73B14"/>
    <w:rsid w:val="00B807EA"/>
    <w:rsid w:val="00B82FD1"/>
    <w:rsid w:val="00B95E27"/>
    <w:rsid w:val="00BA4A35"/>
    <w:rsid w:val="00BA6DE5"/>
    <w:rsid w:val="00C02E9E"/>
    <w:rsid w:val="00C22446"/>
    <w:rsid w:val="00C45B27"/>
    <w:rsid w:val="00C60714"/>
    <w:rsid w:val="00C659D1"/>
    <w:rsid w:val="00C77E34"/>
    <w:rsid w:val="00CC3C15"/>
    <w:rsid w:val="00CC52D3"/>
    <w:rsid w:val="00CF7641"/>
    <w:rsid w:val="00D142CD"/>
    <w:rsid w:val="00D2043B"/>
    <w:rsid w:val="00D21C82"/>
    <w:rsid w:val="00D36088"/>
    <w:rsid w:val="00D4787F"/>
    <w:rsid w:val="00D57877"/>
    <w:rsid w:val="00D6053E"/>
    <w:rsid w:val="00D61B42"/>
    <w:rsid w:val="00D71F09"/>
    <w:rsid w:val="00D76BA6"/>
    <w:rsid w:val="00DA303B"/>
    <w:rsid w:val="00DA49CA"/>
    <w:rsid w:val="00DC58AE"/>
    <w:rsid w:val="00DF0635"/>
    <w:rsid w:val="00E73AD4"/>
    <w:rsid w:val="00E77C09"/>
    <w:rsid w:val="00E8125F"/>
    <w:rsid w:val="00E8530D"/>
    <w:rsid w:val="00E97401"/>
    <w:rsid w:val="00EA0F0C"/>
    <w:rsid w:val="00EA48D2"/>
    <w:rsid w:val="00EA5690"/>
    <w:rsid w:val="00EB3049"/>
    <w:rsid w:val="00EB496E"/>
    <w:rsid w:val="00EC74F3"/>
    <w:rsid w:val="00EC7815"/>
    <w:rsid w:val="00F05B1D"/>
    <w:rsid w:val="00F1535B"/>
    <w:rsid w:val="00F2623F"/>
    <w:rsid w:val="00F27CDB"/>
    <w:rsid w:val="00F47FA9"/>
    <w:rsid w:val="00F86046"/>
    <w:rsid w:val="00F918EA"/>
    <w:rsid w:val="00F9218D"/>
    <w:rsid w:val="00F93FDB"/>
    <w:rsid w:val="00FE0F8C"/>
    <w:rsid w:val="00FE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3ED01-82C0-4D0B-8F5E-CBD938E2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BE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 Char Char Char Char Char,Footnote Text Char Char Char Char Char Char1,Footnote Text Char Char Char Char Char Char Char1"/>
    <w:basedOn w:val="Normal"/>
    <w:link w:val="FootnoteTextChar1"/>
    <w:rsid w:val="00137BE7"/>
    <w:rPr>
      <w:sz w:val="20"/>
      <w:szCs w:val="20"/>
    </w:rPr>
  </w:style>
  <w:style w:type="character" w:customStyle="1" w:styleId="FootnoteTextChar">
    <w:name w:val="Footnote Text Char"/>
    <w:basedOn w:val="DefaultParagraphFont"/>
    <w:uiPriority w:val="99"/>
    <w:semiHidden/>
    <w:rsid w:val="00137BE7"/>
    <w:rPr>
      <w:rFonts w:ascii="Times New Roman" w:eastAsia="Times New Roman" w:hAnsi="Times New Roman" w:cs="Times New Roman"/>
      <w:sz w:val="20"/>
      <w:szCs w:val="20"/>
      <w:lang w:val="ru-RU" w:eastAsia="ru-RU"/>
    </w:rPr>
  </w:style>
  <w:style w:type="character" w:customStyle="1" w:styleId="FootnoteTextChar1">
    <w:name w:val="Footnote Text Char1"/>
    <w:aliases w:val="Footnote Text Char Char Char Char Char,Footnote Text Char Char Char Char Char Char Char Char Char,Footnote Text Char Char Char Char Char Char1 Char,Footnote Text Char Char Char Char Char Char Char1 Char"/>
    <w:basedOn w:val="DefaultParagraphFont"/>
    <w:link w:val="FootnoteText"/>
    <w:rsid w:val="00137BE7"/>
    <w:rPr>
      <w:rFonts w:ascii="Times New Roman" w:eastAsia="Times New Roman" w:hAnsi="Times New Roman" w:cs="Times New Roman"/>
      <w:sz w:val="20"/>
      <w:szCs w:val="20"/>
      <w:lang w:val="ru-RU" w:eastAsia="ru-RU"/>
    </w:rPr>
  </w:style>
  <w:style w:type="character" w:styleId="FootnoteReference">
    <w:name w:val="footnote reference"/>
    <w:basedOn w:val="DefaultParagraphFont"/>
    <w:rsid w:val="00137BE7"/>
    <w:rPr>
      <w:vertAlign w:val="superscript"/>
    </w:rPr>
  </w:style>
  <w:style w:type="paragraph" w:styleId="NormalWeb">
    <w:name w:val="Normal (Web)"/>
    <w:basedOn w:val="Normal"/>
    <w:rsid w:val="00137BE7"/>
    <w:pPr>
      <w:spacing w:before="100" w:beforeAutospacing="1" w:after="100" w:afterAutospacing="1"/>
    </w:pPr>
    <w:rPr>
      <w:color w:val="000000"/>
      <w:lang w:val="en-US" w:eastAsia="en-US"/>
    </w:rPr>
  </w:style>
  <w:style w:type="character" w:styleId="Emphasis">
    <w:name w:val="Emphasis"/>
    <w:basedOn w:val="DefaultParagraphFont"/>
    <w:uiPriority w:val="20"/>
    <w:qFormat/>
    <w:rsid w:val="00137BE7"/>
    <w:rPr>
      <w:i/>
      <w:iCs/>
    </w:rPr>
  </w:style>
  <w:style w:type="paragraph" w:styleId="Title">
    <w:name w:val="Title"/>
    <w:basedOn w:val="Normal"/>
    <w:link w:val="TitleChar"/>
    <w:qFormat/>
    <w:rsid w:val="00137BE7"/>
    <w:pPr>
      <w:jc w:val="center"/>
    </w:pPr>
    <w:rPr>
      <w:sz w:val="28"/>
      <w:szCs w:val="28"/>
      <w:lang w:val="de-DE" w:eastAsia="zh-CN"/>
    </w:rPr>
  </w:style>
  <w:style w:type="character" w:customStyle="1" w:styleId="TitleChar">
    <w:name w:val="Title Char"/>
    <w:basedOn w:val="DefaultParagraphFont"/>
    <w:link w:val="Title"/>
    <w:rsid w:val="00137BE7"/>
    <w:rPr>
      <w:rFonts w:ascii="Times New Roman" w:eastAsia="Times New Roman" w:hAnsi="Times New Roman" w:cs="Times New Roman"/>
      <w:sz w:val="28"/>
      <w:szCs w:val="28"/>
      <w:lang w:val="de-DE" w:eastAsia="zh-CN"/>
    </w:rPr>
  </w:style>
  <w:style w:type="character" w:customStyle="1" w:styleId="normal--char">
    <w:name w:val="normal--char"/>
    <w:basedOn w:val="DefaultParagraphFont"/>
    <w:rsid w:val="00137BE7"/>
  </w:style>
  <w:style w:type="paragraph" w:styleId="ListParagraph">
    <w:name w:val="List Paragraph"/>
    <w:basedOn w:val="Normal"/>
    <w:uiPriority w:val="34"/>
    <w:qFormat/>
    <w:rsid w:val="00AC678D"/>
    <w:pPr>
      <w:ind w:left="720"/>
      <w:contextualSpacing/>
    </w:pPr>
  </w:style>
  <w:style w:type="paragraph" w:styleId="BalloonText">
    <w:name w:val="Balloon Text"/>
    <w:basedOn w:val="Normal"/>
    <w:link w:val="BalloonTextChar"/>
    <w:uiPriority w:val="99"/>
    <w:semiHidden/>
    <w:unhideWhenUsed/>
    <w:rsid w:val="00C60714"/>
    <w:rPr>
      <w:rFonts w:ascii="Tahoma" w:hAnsi="Tahoma" w:cs="Tahoma"/>
      <w:sz w:val="16"/>
      <w:szCs w:val="16"/>
    </w:rPr>
  </w:style>
  <w:style w:type="character" w:customStyle="1" w:styleId="BalloonTextChar">
    <w:name w:val="Balloon Text Char"/>
    <w:basedOn w:val="DefaultParagraphFont"/>
    <w:link w:val="BalloonText"/>
    <w:uiPriority w:val="99"/>
    <w:semiHidden/>
    <w:rsid w:val="00C60714"/>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288821">
      <w:bodyDiv w:val="1"/>
      <w:marLeft w:val="0"/>
      <w:marRight w:val="0"/>
      <w:marTop w:val="0"/>
      <w:marBottom w:val="0"/>
      <w:divBdr>
        <w:top w:val="none" w:sz="0" w:space="0" w:color="auto"/>
        <w:left w:val="none" w:sz="0" w:space="0" w:color="auto"/>
        <w:bottom w:val="none" w:sz="0" w:space="0" w:color="auto"/>
        <w:right w:val="none" w:sz="0" w:space="0" w:color="auto"/>
      </w:divBdr>
      <w:divsChild>
        <w:div w:id="543493055">
          <w:marLeft w:val="0"/>
          <w:marRight w:val="0"/>
          <w:marTop w:val="0"/>
          <w:marBottom w:val="0"/>
          <w:divBdr>
            <w:top w:val="none" w:sz="0" w:space="0" w:color="auto"/>
            <w:left w:val="none" w:sz="0" w:space="0" w:color="auto"/>
            <w:bottom w:val="none" w:sz="0" w:space="0" w:color="auto"/>
            <w:right w:val="none" w:sz="0" w:space="0" w:color="auto"/>
          </w:divBdr>
          <w:divsChild>
            <w:div w:id="1161968331">
              <w:marLeft w:val="0"/>
              <w:marRight w:val="0"/>
              <w:marTop w:val="0"/>
              <w:marBottom w:val="0"/>
              <w:divBdr>
                <w:top w:val="none" w:sz="0" w:space="0" w:color="auto"/>
                <w:left w:val="none" w:sz="0" w:space="0" w:color="auto"/>
                <w:bottom w:val="none" w:sz="0" w:space="0" w:color="auto"/>
                <w:right w:val="none" w:sz="0" w:space="0" w:color="auto"/>
              </w:divBdr>
              <w:divsChild>
                <w:div w:id="663705825">
                  <w:marLeft w:val="0"/>
                  <w:marRight w:val="0"/>
                  <w:marTop w:val="0"/>
                  <w:marBottom w:val="0"/>
                  <w:divBdr>
                    <w:top w:val="none" w:sz="0" w:space="0" w:color="auto"/>
                    <w:left w:val="none" w:sz="0" w:space="0" w:color="auto"/>
                    <w:bottom w:val="none" w:sz="0" w:space="0" w:color="auto"/>
                    <w:right w:val="none" w:sz="0" w:space="0" w:color="auto"/>
                  </w:divBdr>
                  <w:divsChild>
                    <w:div w:id="1365207028">
                      <w:marLeft w:val="0"/>
                      <w:marRight w:val="0"/>
                      <w:marTop w:val="0"/>
                      <w:marBottom w:val="0"/>
                      <w:divBdr>
                        <w:top w:val="none" w:sz="0" w:space="0" w:color="auto"/>
                        <w:left w:val="none" w:sz="0" w:space="0" w:color="auto"/>
                        <w:bottom w:val="none" w:sz="0" w:space="0" w:color="auto"/>
                        <w:right w:val="none" w:sz="0" w:space="0" w:color="auto"/>
                      </w:divBdr>
                      <w:divsChild>
                        <w:div w:id="1228225502">
                          <w:marLeft w:val="0"/>
                          <w:marRight w:val="0"/>
                          <w:marTop w:val="0"/>
                          <w:marBottom w:val="0"/>
                          <w:divBdr>
                            <w:top w:val="none" w:sz="0" w:space="0" w:color="auto"/>
                            <w:left w:val="none" w:sz="0" w:space="0" w:color="auto"/>
                            <w:bottom w:val="none" w:sz="0" w:space="0" w:color="auto"/>
                            <w:right w:val="none" w:sz="0" w:space="0" w:color="auto"/>
                          </w:divBdr>
                          <w:divsChild>
                            <w:div w:id="1838615174">
                              <w:marLeft w:val="0"/>
                              <w:marRight w:val="0"/>
                              <w:marTop w:val="0"/>
                              <w:marBottom w:val="0"/>
                              <w:divBdr>
                                <w:top w:val="none" w:sz="0" w:space="0" w:color="auto"/>
                                <w:left w:val="none" w:sz="0" w:space="0" w:color="auto"/>
                                <w:bottom w:val="none" w:sz="0" w:space="0" w:color="auto"/>
                                <w:right w:val="none" w:sz="0" w:space="0" w:color="auto"/>
                              </w:divBdr>
                              <w:divsChild>
                                <w:div w:id="1921325818">
                                  <w:marLeft w:val="0"/>
                                  <w:marRight w:val="0"/>
                                  <w:marTop w:val="0"/>
                                  <w:marBottom w:val="0"/>
                                  <w:divBdr>
                                    <w:top w:val="none" w:sz="0" w:space="0" w:color="auto"/>
                                    <w:left w:val="none" w:sz="0" w:space="0" w:color="auto"/>
                                    <w:bottom w:val="none" w:sz="0" w:space="0" w:color="auto"/>
                                    <w:right w:val="none" w:sz="0" w:space="0" w:color="auto"/>
                                  </w:divBdr>
                                  <w:divsChild>
                                    <w:div w:id="1371224224">
                                      <w:marLeft w:val="0"/>
                                      <w:marRight w:val="0"/>
                                      <w:marTop w:val="0"/>
                                      <w:marBottom w:val="0"/>
                                      <w:divBdr>
                                        <w:top w:val="none" w:sz="0" w:space="0" w:color="auto"/>
                                        <w:left w:val="none" w:sz="0" w:space="0" w:color="auto"/>
                                        <w:bottom w:val="none" w:sz="0" w:space="0" w:color="auto"/>
                                        <w:right w:val="none" w:sz="0" w:space="0" w:color="auto"/>
                                      </w:divBdr>
                                      <w:divsChild>
                                        <w:div w:id="1930694853">
                                          <w:marLeft w:val="0"/>
                                          <w:marRight w:val="0"/>
                                          <w:marTop w:val="0"/>
                                          <w:marBottom w:val="0"/>
                                          <w:divBdr>
                                            <w:top w:val="none" w:sz="0" w:space="0" w:color="auto"/>
                                            <w:left w:val="none" w:sz="0" w:space="0" w:color="auto"/>
                                            <w:bottom w:val="none" w:sz="0" w:space="0" w:color="auto"/>
                                            <w:right w:val="none" w:sz="0" w:space="0" w:color="auto"/>
                                          </w:divBdr>
                                          <w:divsChild>
                                            <w:div w:id="1759905528">
                                              <w:marLeft w:val="0"/>
                                              <w:marRight w:val="0"/>
                                              <w:marTop w:val="0"/>
                                              <w:marBottom w:val="0"/>
                                              <w:divBdr>
                                                <w:top w:val="none" w:sz="0" w:space="0" w:color="auto"/>
                                                <w:left w:val="none" w:sz="0" w:space="0" w:color="auto"/>
                                                <w:bottom w:val="none" w:sz="0" w:space="0" w:color="auto"/>
                                                <w:right w:val="none" w:sz="0" w:space="0" w:color="auto"/>
                                              </w:divBdr>
                                              <w:divsChild>
                                                <w:div w:id="599026681">
                                                  <w:marLeft w:val="0"/>
                                                  <w:marRight w:val="0"/>
                                                  <w:marTop w:val="0"/>
                                                  <w:marBottom w:val="0"/>
                                                  <w:divBdr>
                                                    <w:top w:val="none" w:sz="0" w:space="0" w:color="auto"/>
                                                    <w:left w:val="none" w:sz="0" w:space="0" w:color="auto"/>
                                                    <w:bottom w:val="none" w:sz="0" w:space="0" w:color="auto"/>
                                                    <w:right w:val="none" w:sz="0" w:space="0" w:color="auto"/>
                                                  </w:divBdr>
                                                  <w:divsChild>
                                                    <w:div w:id="143547176">
                                                      <w:marLeft w:val="0"/>
                                                      <w:marRight w:val="0"/>
                                                      <w:marTop w:val="0"/>
                                                      <w:marBottom w:val="0"/>
                                                      <w:divBdr>
                                                        <w:top w:val="none" w:sz="0" w:space="0" w:color="auto"/>
                                                        <w:left w:val="none" w:sz="0" w:space="0" w:color="auto"/>
                                                        <w:bottom w:val="none" w:sz="0" w:space="0" w:color="auto"/>
                                                        <w:right w:val="none" w:sz="0" w:space="0" w:color="auto"/>
                                                      </w:divBdr>
                                                      <w:divsChild>
                                                        <w:div w:id="768114620">
                                                          <w:marLeft w:val="0"/>
                                                          <w:marRight w:val="0"/>
                                                          <w:marTop w:val="0"/>
                                                          <w:marBottom w:val="0"/>
                                                          <w:divBdr>
                                                            <w:top w:val="none" w:sz="0" w:space="0" w:color="auto"/>
                                                            <w:left w:val="none" w:sz="0" w:space="0" w:color="auto"/>
                                                            <w:bottom w:val="none" w:sz="0" w:space="0" w:color="auto"/>
                                                            <w:right w:val="none" w:sz="0" w:space="0" w:color="auto"/>
                                                          </w:divBdr>
                                                          <w:divsChild>
                                                            <w:div w:id="1181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259373">
      <w:bodyDiv w:val="1"/>
      <w:marLeft w:val="0"/>
      <w:marRight w:val="0"/>
      <w:marTop w:val="0"/>
      <w:marBottom w:val="0"/>
      <w:divBdr>
        <w:top w:val="none" w:sz="0" w:space="0" w:color="auto"/>
        <w:left w:val="none" w:sz="0" w:space="0" w:color="auto"/>
        <w:bottom w:val="none" w:sz="0" w:space="0" w:color="auto"/>
        <w:right w:val="none" w:sz="0" w:space="0" w:color="auto"/>
      </w:divBdr>
      <w:divsChild>
        <w:div w:id="539780394">
          <w:marLeft w:val="0"/>
          <w:marRight w:val="0"/>
          <w:marTop w:val="0"/>
          <w:marBottom w:val="0"/>
          <w:divBdr>
            <w:top w:val="none" w:sz="0" w:space="0" w:color="auto"/>
            <w:left w:val="none" w:sz="0" w:space="0" w:color="auto"/>
            <w:bottom w:val="none" w:sz="0" w:space="0" w:color="auto"/>
            <w:right w:val="none" w:sz="0" w:space="0" w:color="auto"/>
          </w:divBdr>
          <w:divsChild>
            <w:div w:id="1172333466">
              <w:marLeft w:val="0"/>
              <w:marRight w:val="0"/>
              <w:marTop w:val="0"/>
              <w:marBottom w:val="0"/>
              <w:divBdr>
                <w:top w:val="none" w:sz="0" w:space="0" w:color="auto"/>
                <w:left w:val="none" w:sz="0" w:space="0" w:color="auto"/>
                <w:bottom w:val="none" w:sz="0" w:space="0" w:color="auto"/>
                <w:right w:val="none" w:sz="0" w:space="0" w:color="auto"/>
              </w:divBdr>
              <w:divsChild>
                <w:div w:id="324356183">
                  <w:marLeft w:val="0"/>
                  <w:marRight w:val="0"/>
                  <w:marTop w:val="0"/>
                  <w:marBottom w:val="0"/>
                  <w:divBdr>
                    <w:top w:val="none" w:sz="0" w:space="0" w:color="auto"/>
                    <w:left w:val="none" w:sz="0" w:space="0" w:color="auto"/>
                    <w:bottom w:val="none" w:sz="0" w:space="0" w:color="auto"/>
                    <w:right w:val="none" w:sz="0" w:space="0" w:color="auto"/>
                  </w:divBdr>
                  <w:divsChild>
                    <w:div w:id="1582373753">
                      <w:marLeft w:val="0"/>
                      <w:marRight w:val="0"/>
                      <w:marTop w:val="0"/>
                      <w:marBottom w:val="0"/>
                      <w:divBdr>
                        <w:top w:val="none" w:sz="0" w:space="0" w:color="auto"/>
                        <w:left w:val="none" w:sz="0" w:space="0" w:color="auto"/>
                        <w:bottom w:val="none" w:sz="0" w:space="0" w:color="auto"/>
                        <w:right w:val="none" w:sz="0" w:space="0" w:color="auto"/>
                      </w:divBdr>
                      <w:divsChild>
                        <w:div w:id="623852314">
                          <w:marLeft w:val="0"/>
                          <w:marRight w:val="0"/>
                          <w:marTop w:val="0"/>
                          <w:marBottom w:val="0"/>
                          <w:divBdr>
                            <w:top w:val="none" w:sz="0" w:space="0" w:color="auto"/>
                            <w:left w:val="none" w:sz="0" w:space="0" w:color="auto"/>
                            <w:bottom w:val="none" w:sz="0" w:space="0" w:color="auto"/>
                            <w:right w:val="none" w:sz="0" w:space="0" w:color="auto"/>
                          </w:divBdr>
                          <w:divsChild>
                            <w:div w:id="992608707">
                              <w:marLeft w:val="0"/>
                              <w:marRight w:val="0"/>
                              <w:marTop w:val="0"/>
                              <w:marBottom w:val="0"/>
                              <w:divBdr>
                                <w:top w:val="none" w:sz="0" w:space="0" w:color="auto"/>
                                <w:left w:val="none" w:sz="0" w:space="0" w:color="auto"/>
                                <w:bottom w:val="none" w:sz="0" w:space="0" w:color="auto"/>
                                <w:right w:val="none" w:sz="0" w:space="0" w:color="auto"/>
                              </w:divBdr>
                              <w:divsChild>
                                <w:div w:id="1793742452">
                                  <w:marLeft w:val="0"/>
                                  <w:marRight w:val="0"/>
                                  <w:marTop w:val="0"/>
                                  <w:marBottom w:val="0"/>
                                  <w:divBdr>
                                    <w:top w:val="none" w:sz="0" w:space="0" w:color="auto"/>
                                    <w:left w:val="none" w:sz="0" w:space="0" w:color="auto"/>
                                    <w:bottom w:val="none" w:sz="0" w:space="0" w:color="auto"/>
                                    <w:right w:val="none" w:sz="0" w:space="0" w:color="auto"/>
                                  </w:divBdr>
                                  <w:divsChild>
                                    <w:div w:id="248389717">
                                      <w:marLeft w:val="0"/>
                                      <w:marRight w:val="0"/>
                                      <w:marTop w:val="0"/>
                                      <w:marBottom w:val="0"/>
                                      <w:divBdr>
                                        <w:top w:val="none" w:sz="0" w:space="0" w:color="auto"/>
                                        <w:left w:val="none" w:sz="0" w:space="0" w:color="auto"/>
                                        <w:bottom w:val="none" w:sz="0" w:space="0" w:color="auto"/>
                                        <w:right w:val="none" w:sz="0" w:space="0" w:color="auto"/>
                                      </w:divBdr>
                                      <w:divsChild>
                                        <w:div w:id="740294916">
                                          <w:marLeft w:val="0"/>
                                          <w:marRight w:val="0"/>
                                          <w:marTop w:val="0"/>
                                          <w:marBottom w:val="0"/>
                                          <w:divBdr>
                                            <w:top w:val="none" w:sz="0" w:space="0" w:color="auto"/>
                                            <w:left w:val="none" w:sz="0" w:space="0" w:color="auto"/>
                                            <w:bottom w:val="none" w:sz="0" w:space="0" w:color="auto"/>
                                            <w:right w:val="none" w:sz="0" w:space="0" w:color="auto"/>
                                          </w:divBdr>
                                          <w:divsChild>
                                            <w:div w:id="1258977396">
                                              <w:marLeft w:val="0"/>
                                              <w:marRight w:val="0"/>
                                              <w:marTop w:val="0"/>
                                              <w:marBottom w:val="0"/>
                                              <w:divBdr>
                                                <w:top w:val="none" w:sz="0" w:space="0" w:color="auto"/>
                                                <w:left w:val="none" w:sz="0" w:space="0" w:color="auto"/>
                                                <w:bottom w:val="none" w:sz="0" w:space="0" w:color="auto"/>
                                                <w:right w:val="none" w:sz="0" w:space="0" w:color="auto"/>
                                              </w:divBdr>
                                              <w:divsChild>
                                                <w:div w:id="1309164837">
                                                  <w:marLeft w:val="0"/>
                                                  <w:marRight w:val="0"/>
                                                  <w:marTop w:val="0"/>
                                                  <w:marBottom w:val="0"/>
                                                  <w:divBdr>
                                                    <w:top w:val="none" w:sz="0" w:space="0" w:color="auto"/>
                                                    <w:left w:val="none" w:sz="0" w:space="0" w:color="auto"/>
                                                    <w:bottom w:val="none" w:sz="0" w:space="0" w:color="auto"/>
                                                    <w:right w:val="none" w:sz="0" w:space="0" w:color="auto"/>
                                                  </w:divBdr>
                                                  <w:divsChild>
                                                    <w:div w:id="1440880230">
                                                      <w:marLeft w:val="0"/>
                                                      <w:marRight w:val="0"/>
                                                      <w:marTop w:val="0"/>
                                                      <w:marBottom w:val="0"/>
                                                      <w:divBdr>
                                                        <w:top w:val="none" w:sz="0" w:space="0" w:color="auto"/>
                                                        <w:left w:val="none" w:sz="0" w:space="0" w:color="auto"/>
                                                        <w:bottom w:val="none" w:sz="0" w:space="0" w:color="auto"/>
                                                        <w:right w:val="none" w:sz="0" w:space="0" w:color="auto"/>
                                                      </w:divBdr>
                                                      <w:divsChild>
                                                        <w:div w:id="218903514">
                                                          <w:marLeft w:val="0"/>
                                                          <w:marRight w:val="0"/>
                                                          <w:marTop w:val="0"/>
                                                          <w:marBottom w:val="0"/>
                                                          <w:divBdr>
                                                            <w:top w:val="none" w:sz="0" w:space="0" w:color="auto"/>
                                                            <w:left w:val="none" w:sz="0" w:space="0" w:color="auto"/>
                                                            <w:bottom w:val="none" w:sz="0" w:space="0" w:color="auto"/>
                                                            <w:right w:val="none" w:sz="0" w:space="0" w:color="auto"/>
                                                          </w:divBdr>
                                                          <w:divsChild>
                                                            <w:div w:id="1592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3561852">
      <w:bodyDiv w:val="1"/>
      <w:marLeft w:val="0"/>
      <w:marRight w:val="0"/>
      <w:marTop w:val="0"/>
      <w:marBottom w:val="0"/>
      <w:divBdr>
        <w:top w:val="none" w:sz="0" w:space="0" w:color="auto"/>
        <w:left w:val="none" w:sz="0" w:space="0" w:color="auto"/>
        <w:bottom w:val="none" w:sz="0" w:space="0" w:color="auto"/>
        <w:right w:val="none" w:sz="0" w:space="0" w:color="auto"/>
      </w:divBdr>
      <w:divsChild>
        <w:div w:id="97258742">
          <w:marLeft w:val="0"/>
          <w:marRight w:val="0"/>
          <w:marTop w:val="0"/>
          <w:marBottom w:val="0"/>
          <w:divBdr>
            <w:top w:val="none" w:sz="0" w:space="0" w:color="auto"/>
            <w:left w:val="none" w:sz="0" w:space="0" w:color="auto"/>
            <w:bottom w:val="none" w:sz="0" w:space="0" w:color="auto"/>
            <w:right w:val="none" w:sz="0" w:space="0" w:color="auto"/>
          </w:divBdr>
          <w:divsChild>
            <w:div w:id="2029598894">
              <w:marLeft w:val="0"/>
              <w:marRight w:val="0"/>
              <w:marTop w:val="0"/>
              <w:marBottom w:val="0"/>
              <w:divBdr>
                <w:top w:val="none" w:sz="0" w:space="0" w:color="auto"/>
                <w:left w:val="none" w:sz="0" w:space="0" w:color="auto"/>
                <w:bottom w:val="none" w:sz="0" w:space="0" w:color="auto"/>
                <w:right w:val="none" w:sz="0" w:space="0" w:color="auto"/>
              </w:divBdr>
              <w:divsChild>
                <w:div w:id="1219131070">
                  <w:marLeft w:val="0"/>
                  <w:marRight w:val="0"/>
                  <w:marTop w:val="0"/>
                  <w:marBottom w:val="0"/>
                  <w:divBdr>
                    <w:top w:val="none" w:sz="0" w:space="0" w:color="auto"/>
                    <w:left w:val="none" w:sz="0" w:space="0" w:color="auto"/>
                    <w:bottom w:val="none" w:sz="0" w:space="0" w:color="auto"/>
                    <w:right w:val="none" w:sz="0" w:space="0" w:color="auto"/>
                  </w:divBdr>
                  <w:divsChild>
                    <w:div w:id="43254846">
                      <w:marLeft w:val="0"/>
                      <w:marRight w:val="0"/>
                      <w:marTop w:val="0"/>
                      <w:marBottom w:val="0"/>
                      <w:divBdr>
                        <w:top w:val="none" w:sz="0" w:space="0" w:color="auto"/>
                        <w:left w:val="none" w:sz="0" w:space="0" w:color="auto"/>
                        <w:bottom w:val="none" w:sz="0" w:space="0" w:color="auto"/>
                        <w:right w:val="none" w:sz="0" w:space="0" w:color="auto"/>
                      </w:divBdr>
                      <w:divsChild>
                        <w:div w:id="935210221">
                          <w:marLeft w:val="0"/>
                          <w:marRight w:val="0"/>
                          <w:marTop w:val="0"/>
                          <w:marBottom w:val="0"/>
                          <w:divBdr>
                            <w:top w:val="none" w:sz="0" w:space="0" w:color="auto"/>
                            <w:left w:val="none" w:sz="0" w:space="0" w:color="auto"/>
                            <w:bottom w:val="none" w:sz="0" w:space="0" w:color="auto"/>
                            <w:right w:val="none" w:sz="0" w:space="0" w:color="auto"/>
                          </w:divBdr>
                          <w:divsChild>
                            <w:div w:id="1808667360">
                              <w:marLeft w:val="0"/>
                              <w:marRight w:val="0"/>
                              <w:marTop w:val="0"/>
                              <w:marBottom w:val="0"/>
                              <w:divBdr>
                                <w:top w:val="none" w:sz="0" w:space="0" w:color="auto"/>
                                <w:left w:val="none" w:sz="0" w:space="0" w:color="auto"/>
                                <w:bottom w:val="none" w:sz="0" w:space="0" w:color="auto"/>
                                <w:right w:val="none" w:sz="0" w:space="0" w:color="auto"/>
                              </w:divBdr>
                              <w:divsChild>
                                <w:div w:id="1947419906">
                                  <w:marLeft w:val="0"/>
                                  <w:marRight w:val="0"/>
                                  <w:marTop w:val="0"/>
                                  <w:marBottom w:val="0"/>
                                  <w:divBdr>
                                    <w:top w:val="none" w:sz="0" w:space="0" w:color="auto"/>
                                    <w:left w:val="none" w:sz="0" w:space="0" w:color="auto"/>
                                    <w:bottom w:val="none" w:sz="0" w:space="0" w:color="auto"/>
                                    <w:right w:val="none" w:sz="0" w:space="0" w:color="auto"/>
                                  </w:divBdr>
                                  <w:divsChild>
                                    <w:div w:id="1442915809">
                                      <w:marLeft w:val="0"/>
                                      <w:marRight w:val="0"/>
                                      <w:marTop w:val="0"/>
                                      <w:marBottom w:val="0"/>
                                      <w:divBdr>
                                        <w:top w:val="none" w:sz="0" w:space="0" w:color="auto"/>
                                        <w:left w:val="none" w:sz="0" w:space="0" w:color="auto"/>
                                        <w:bottom w:val="none" w:sz="0" w:space="0" w:color="auto"/>
                                        <w:right w:val="none" w:sz="0" w:space="0" w:color="auto"/>
                                      </w:divBdr>
                                      <w:divsChild>
                                        <w:div w:id="254100534">
                                          <w:marLeft w:val="0"/>
                                          <w:marRight w:val="0"/>
                                          <w:marTop w:val="0"/>
                                          <w:marBottom w:val="0"/>
                                          <w:divBdr>
                                            <w:top w:val="none" w:sz="0" w:space="0" w:color="auto"/>
                                            <w:left w:val="none" w:sz="0" w:space="0" w:color="auto"/>
                                            <w:bottom w:val="none" w:sz="0" w:space="0" w:color="auto"/>
                                            <w:right w:val="none" w:sz="0" w:space="0" w:color="auto"/>
                                          </w:divBdr>
                                          <w:divsChild>
                                            <w:div w:id="132718364">
                                              <w:marLeft w:val="0"/>
                                              <w:marRight w:val="0"/>
                                              <w:marTop w:val="0"/>
                                              <w:marBottom w:val="0"/>
                                              <w:divBdr>
                                                <w:top w:val="none" w:sz="0" w:space="0" w:color="auto"/>
                                                <w:left w:val="none" w:sz="0" w:space="0" w:color="auto"/>
                                                <w:bottom w:val="none" w:sz="0" w:space="0" w:color="auto"/>
                                                <w:right w:val="none" w:sz="0" w:space="0" w:color="auto"/>
                                              </w:divBdr>
                                              <w:divsChild>
                                                <w:div w:id="124736451">
                                                  <w:marLeft w:val="0"/>
                                                  <w:marRight w:val="0"/>
                                                  <w:marTop w:val="0"/>
                                                  <w:marBottom w:val="0"/>
                                                  <w:divBdr>
                                                    <w:top w:val="none" w:sz="0" w:space="0" w:color="auto"/>
                                                    <w:left w:val="none" w:sz="0" w:space="0" w:color="auto"/>
                                                    <w:bottom w:val="none" w:sz="0" w:space="0" w:color="auto"/>
                                                    <w:right w:val="none" w:sz="0" w:space="0" w:color="auto"/>
                                                  </w:divBdr>
                                                  <w:divsChild>
                                                    <w:div w:id="13296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2926">
                                      <w:marLeft w:val="0"/>
                                      <w:marRight w:val="0"/>
                                      <w:marTop w:val="0"/>
                                      <w:marBottom w:val="0"/>
                                      <w:divBdr>
                                        <w:top w:val="none" w:sz="0" w:space="0" w:color="auto"/>
                                        <w:left w:val="none" w:sz="0" w:space="0" w:color="auto"/>
                                        <w:bottom w:val="none" w:sz="0" w:space="0" w:color="auto"/>
                                        <w:right w:val="none" w:sz="0" w:space="0" w:color="auto"/>
                                      </w:divBdr>
                                      <w:divsChild>
                                        <w:div w:id="1284192838">
                                          <w:marLeft w:val="0"/>
                                          <w:marRight w:val="0"/>
                                          <w:marTop w:val="0"/>
                                          <w:marBottom w:val="0"/>
                                          <w:divBdr>
                                            <w:top w:val="none" w:sz="0" w:space="0" w:color="auto"/>
                                            <w:left w:val="none" w:sz="0" w:space="0" w:color="auto"/>
                                            <w:bottom w:val="none" w:sz="0" w:space="0" w:color="auto"/>
                                            <w:right w:val="none" w:sz="0" w:space="0" w:color="auto"/>
                                          </w:divBdr>
                                        </w:div>
                                        <w:div w:id="1532262265">
                                          <w:marLeft w:val="0"/>
                                          <w:marRight w:val="0"/>
                                          <w:marTop w:val="0"/>
                                          <w:marBottom w:val="0"/>
                                          <w:divBdr>
                                            <w:top w:val="none" w:sz="0" w:space="0" w:color="auto"/>
                                            <w:left w:val="none" w:sz="0" w:space="0" w:color="auto"/>
                                            <w:bottom w:val="none" w:sz="0" w:space="0" w:color="auto"/>
                                            <w:right w:val="none" w:sz="0" w:space="0" w:color="auto"/>
                                          </w:divBdr>
                                          <w:divsChild>
                                            <w:div w:id="1457262338">
                                              <w:marLeft w:val="0"/>
                                              <w:marRight w:val="0"/>
                                              <w:marTop w:val="0"/>
                                              <w:marBottom w:val="0"/>
                                              <w:divBdr>
                                                <w:top w:val="none" w:sz="0" w:space="0" w:color="auto"/>
                                                <w:left w:val="none" w:sz="0" w:space="0" w:color="auto"/>
                                                <w:bottom w:val="none" w:sz="0" w:space="0" w:color="auto"/>
                                                <w:right w:val="none" w:sz="0" w:space="0" w:color="auto"/>
                                              </w:divBdr>
                                              <w:divsChild>
                                                <w:div w:id="1240211410">
                                                  <w:marLeft w:val="0"/>
                                                  <w:marRight w:val="0"/>
                                                  <w:marTop w:val="0"/>
                                                  <w:marBottom w:val="0"/>
                                                  <w:divBdr>
                                                    <w:top w:val="none" w:sz="0" w:space="0" w:color="auto"/>
                                                    <w:left w:val="none" w:sz="0" w:space="0" w:color="auto"/>
                                                    <w:bottom w:val="none" w:sz="0" w:space="0" w:color="auto"/>
                                                    <w:right w:val="none" w:sz="0" w:space="0" w:color="auto"/>
                                                  </w:divBdr>
                                                  <w:divsChild>
                                                    <w:div w:id="15483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Giviashvili</dc:creator>
  <cp:lastModifiedBy>Irakli Giviashvili</cp:lastModifiedBy>
  <cp:revision>2</cp:revision>
  <cp:lastPrinted>2018-03-16T10:56:00Z</cp:lastPrinted>
  <dcterms:created xsi:type="dcterms:W3CDTF">2018-10-09T07:29:00Z</dcterms:created>
  <dcterms:modified xsi:type="dcterms:W3CDTF">2018-10-09T07:29:00Z</dcterms:modified>
</cp:coreProperties>
</file>