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4.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5.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6.xml" ContentType="application/vnd.openxmlformats-officedocument.themeOverrid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7.xml" ContentType="application/vnd.openxmlformats-officedocument.themeOverrid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8.xml" ContentType="application/vnd.openxmlformats-officedocument.themeOverrid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9.xml" ContentType="application/vnd.openxmlformats-officedocument.themeOverrid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10.xml" ContentType="application/vnd.openxmlformats-officedocument.themeOverride+xml"/>
  <Override PartName="/word/charts/chart4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11.xml" ContentType="application/vnd.openxmlformats-officedocument.themeOverride+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12.xml" ContentType="application/vnd.openxmlformats-officedocument.themeOverrid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13.xml" ContentType="application/vnd.openxmlformats-officedocument.themeOverrid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14.xml" ContentType="application/vnd.openxmlformats-officedocument.themeOverride+xml"/>
  <Override PartName="/word/charts/chart46.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15.xml" ContentType="application/vnd.openxmlformats-officedocument.themeOverride+xml"/>
  <Override PartName="/word/charts/chart47.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16.xml" ContentType="application/vnd.openxmlformats-officedocument.themeOverride+xml"/>
  <Override PartName="/word/charts/chart48.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17.xml" ContentType="application/vnd.openxmlformats-officedocument.themeOverride+xml"/>
  <Override PartName="/word/charts/chart49.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0.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8.xml" ContentType="application/vnd.openxmlformats-officedocument.themeOverride+xml"/>
  <Override PartName="/word/charts/chart51.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9.xml" ContentType="application/vnd.openxmlformats-officedocument.themeOverride+xml"/>
  <Override PartName="/word/charts/chart52.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20.xml" ContentType="application/vnd.openxmlformats-officedocument.themeOverride+xml"/>
  <Override PartName="/word/charts/chart53.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21.xml" ContentType="application/vnd.openxmlformats-officedocument.themeOverride+xml"/>
  <Override PartName="/word/charts/chart54.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22.xml" ContentType="application/vnd.openxmlformats-officedocument.themeOverride+xml"/>
  <Override PartName="/word/charts/chart55.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23.xml" ContentType="application/vnd.openxmlformats-officedocument.themeOverride+xml"/>
  <Override PartName="/word/charts/chart56.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24.xml" ContentType="application/vnd.openxmlformats-officedocument.themeOverride+xml"/>
  <Override PartName="/word/charts/chart57.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25.xml" ContentType="application/vnd.openxmlformats-officedocument.themeOverride+xml"/>
  <Override PartName="/word/charts/chart58.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26.xml" ContentType="application/vnd.openxmlformats-officedocument.themeOverride+xml"/>
  <Override PartName="/word/charts/chart59.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27.xml" ContentType="application/vnd.openxmlformats-officedocument.themeOverride+xml"/>
  <Override PartName="/word/charts/chart60.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1.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2.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3.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4.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5.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6.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7.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8.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9.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70.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71.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2.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3.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4.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5.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6.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7.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8.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9.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80.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81.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2.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3.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4.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5.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6.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7.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8.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9.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90.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91.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2.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3.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4.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5.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6.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7.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8.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9.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100.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101.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2.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3.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4.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5.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6.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7.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8.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9.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10.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11.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2.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3.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4.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5.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6.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7.xml" ContentType="application/vnd.openxmlformats-officedocument.drawingml.chart+xml"/>
  <Override PartName="/word/charts/style115.xml" ContentType="application/vnd.ms-office.chartstyle+xml"/>
  <Override PartName="/word/charts/colors11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D3F6A" w14:textId="3386A245" w:rsidR="00EC4B5C" w:rsidRDefault="00EC4B5C" w:rsidP="00127402">
      <w:pPr>
        <w:rPr>
          <w:b/>
          <w:color w:val="002060"/>
          <w:sz w:val="32"/>
        </w:rPr>
      </w:pPr>
    </w:p>
    <w:p w14:paraId="4F0C05F6" w14:textId="1B4D807E" w:rsidR="00EC4B5C" w:rsidRDefault="00EC4B5C" w:rsidP="00127402">
      <w:pPr>
        <w:rPr>
          <w:b/>
          <w:color w:val="002060"/>
          <w:sz w:val="32"/>
        </w:rPr>
      </w:pPr>
    </w:p>
    <w:p w14:paraId="07471840" w14:textId="4D7A04C0" w:rsidR="00EC4B5C" w:rsidRDefault="00EC4B5C" w:rsidP="00127402">
      <w:pPr>
        <w:rPr>
          <w:b/>
          <w:color w:val="002060"/>
          <w:sz w:val="32"/>
        </w:rPr>
      </w:pPr>
    </w:p>
    <w:p w14:paraId="5D1507C0" w14:textId="0AD72DF7" w:rsidR="00EC4B5C" w:rsidRDefault="00EC4B5C" w:rsidP="00127402">
      <w:pPr>
        <w:rPr>
          <w:b/>
          <w:color w:val="002060"/>
          <w:sz w:val="32"/>
        </w:rPr>
      </w:pPr>
    </w:p>
    <w:p w14:paraId="7C0B0EB4" w14:textId="4F401583" w:rsidR="00EC4B5C" w:rsidRDefault="00EC4B5C" w:rsidP="00127402">
      <w:pPr>
        <w:rPr>
          <w:b/>
          <w:color w:val="002060"/>
          <w:sz w:val="32"/>
        </w:rPr>
      </w:pPr>
    </w:p>
    <w:p w14:paraId="688621D2" w14:textId="77777777" w:rsidR="00EC4B5C" w:rsidRDefault="00EC4B5C" w:rsidP="00EC4B5C">
      <w:pPr>
        <w:jc w:val="center"/>
        <w:rPr>
          <w:b/>
          <w:color w:val="002060"/>
          <w:sz w:val="32"/>
        </w:rPr>
      </w:pPr>
    </w:p>
    <w:p w14:paraId="70DAFBE3" w14:textId="5F5A4ABD" w:rsidR="00EC4B5C" w:rsidRDefault="00EC4B5C" w:rsidP="00EC4B5C">
      <w:pPr>
        <w:jc w:val="center"/>
        <w:rPr>
          <w:b/>
          <w:color w:val="002060"/>
          <w:sz w:val="32"/>
          <w:lang w:val="en-GB"/>
        </w:rPr>
      </w:pPr>
      <w:r>
        <w:rPr>
          <w:b/>
          <w:color w:val="002060"/>
          <w:sz w:val="32"/>
          <w:lang w:val="en-GB"/>
        </w:rPr>
        <w:t>Policy Paper</w:t>
      </w:r>
    </w:p>
    <w:p w14:paraId="25F22175" w14:textId="77777777" w:rsidR="00780768" w:rsidRDefault="00780768" w:rsidP="00EC4B5C">
      <w:pPr>
        <w:jc w:val="center"/>
        <w:rPr>
          <w:b/>
          <w:color w:val="002060"/>
          <w:sz w:val="32"/>
          <w:lang w:val="en-GB"/>
        </w:rPr>
      </w:pPr>
    </w:p>
    <w:p w14:paraId="75C4ECF5" w14:textId="77777777" w:rsidR="00EC4B5C" w:rsidRDefault="00EC4B5C" w:rsidP="00EC4B5C">
      <w:pPr>
        <w:jc w:val="center"/>
        <w:rPr>
          <w:b/>
          <w:color w:val="002060"/>
          <w:sz w:val="32"/>
          <w:lang w:val="en-GB"/>
        </w:rPr>
      </w:pPr>
      <w:r>
        <w:rPr>
          <w:b/>
          <w:color w:val="002060"/>
          <w:sz w:val="32"/>
          <w:lang w:val="en-GB"/>
        </w:rPr>
        <w:t>Unstable Housing Policy in Georgia</w:t>
      </w:r>
    </w:p>
    <w:p w14:paraId="5D4138F0" w14:textId="77777777" w:rsidR="00EC4B5C" w:rsidRDefault="00EC4B5C" w:rsidP="00EC4B5C">
      <w:pPr>
        <w:jc w:val="center"/>
        <w:rPr>
          <w:b/>
          <w:color w:val="002060"/>
          <w:sz w:val="32"/>
        </w:rPr>
      </w:pPr>
    </w:p>
    <w:p w14:paraId="664D8A4F" w14:textId="77777777" w:rsidR="00EC4B5C" w:rsidRDefault="00EC4B5C" w:rsidP="00EC4B5C">
      <w:pPr>
        <w:jc w:val="center"/>
        <w:rPr>
          <w:b/>
          <w:color w:val="002060"/>
          <w:sz w:val="32"/>
        </w:rPr>
      </w:pPr>
    </w:p>
    <w:p w14:paraId="292459F5" w14:textId="77777777" w:rsidR="00EC4B5C" w:rsidRDefault="00EC4B5C" w:rsidP="00EC4B5C">
      <w:pPr>
        <w:jc w:val="center"/>
        <w:rPr>
          <w:b/>
          <w:color w:val="002060"/>
          <w:sz w:val="32"/>
        </w:rPr>
      </w:pPr>
    </w:p>
    <w:p w14:paraId="158E13ED" w14:textId="77777777" w:rsidR="00EC4B5C" w:rsidRDefault="00EC4B5C" w:rsidP="00EC4B5C">
      <w:pPr>
        <w:jc w:val="center"/>
        <w:rPr>
          <w:b/>
          <w:color w:val="002060"/>
          <w:sz w:val="32"/>
        </w:rPr>
      </w:pPr>
      <w:r>
        <w:rPr>
          <w:b/>
          <w:color w:val="002060"/>
          <w:sz w:val="32"/>
        </w:rPr>
        <w:t>ISET Policy Institute</w:t>
      </w:r>
    </w:p>
    <w:p w14:paraId="243BFE5B" w14:textId="77777777" w:rsidR="00EC4B5C" w:rsidRDefault="00EC4B5C" w:rsidP="00EC4B5C">
      <w:pPr>
        <w:jc w:val="center"/>
        <w:rPr>
          <w:b/>
          <w:color w:val="002060"/>
          <w:sz w:val="32"/>
        </w:rPr>
      </w:pPr>
    </w:p>
    <w:p w14:paraId="20BFEFC6" w14:textId="77777777" w:rsidR="00EC4B5C" w:rsidRDefault="00EC4B5C" w:rsidP="00EC4B5C">
      <w:pPr>
        <w:jc w:val="center"/>
        <w:rPr>
          <w:b/>
          <w:color w:val="002060"/>
          <w:sz w:val="32"/>
        </w:rPr>
      </w:pPr>
    </w:p>
    <w:p w14:paraId="0119566E" w14:textId="77777777" w:rsidR="00EC4B5C" w:rsidRDefault="00EC4B5C" w:rsidP="00EC4B5C">
      <w:pPr>
        <w:jc w:val="center"/>
        <w:rPr>
          <w:b/>
          <w:color w:val="002060"/>
          <w:sz w:val="32"/>
        </w:rPr>
      </w:pPr>
    </w:p>
    <w:p w14:paraId="026DD1E3" w14:textId="77777777" w:rsidR="00EC4B5C" w:rsidRDefault="00EC4B5C" w:rsidP="00EC4B5C">
      <w:pPr>
        <w:jc w:val="center"/>
        <w:rPr>
          <w:b/>
          <w:color w:val="002060"/>
          <w:sz w:val="32"/>
        </w:rPr>
      </w:pPr>
    </w:p>
    <w:p w14:paraId="52C5BB26" w14:textId="77777777" w:rsidR="00EC4B5C" w:rsidRDefault="00EC4B5C" w:rsidP="00EC4B5C">
      <w:pPr>
        <w:jc w:val="center"/>
        <w:rPr>
          <w:b/>
          <w:color w:val="002060"/>
          <w:sz w:val="32"/>
        </w:rPr>
      </w:pPr>
    </w:p>
    <w:p w14:paraId="31793F18" w14:textId="77777777" w:rsidR="00EC4B5C" w:rsidRDefault="00EC4B5C" w:rsidP="00EC4B5C">
      <w:pPr>
        <w:jc w:val="center"/>
        <w:rPr>
          <w:b/>
          <w:color w:val="002060"/>
          <w:sz w:val="32"/>
        </w:rPr>
      </w:pPr>
    </w:p>
    <w:p w14:paraId="3BA678AD" w14:textId="77777777" w:rsidR="00EC4B5C" w:rsidRDefault="00EC4B5C" w:rsidP="00EC4B5C">
      <w:pPr>
        <w:jc w:val="center"/>
        <w:rPr>
          <w:b/>
          <w:color w:val="002060"/>
          <w:sz w:val="32"/>
        </w:rPr>
      </w:pPr>
    </w:p>
    <w:p w14:paraId="748C37A2" w14:textId="77777777" w:rsidR="00EC4B5C" w:rsidRPr="00301123" w:rsidRDefault="00EC4B5C" w:rsidP="00EC4B5C">
      <w:pPr>
        <w:jc w:val="center"/>
        <w:rPr>
          <w:b/>
          <w:color w:val="002060"/>
        </w:rPr>
      </w:pPr>
      <w:r w:rsidRPr="00301123">
        <w:rPr>
          <w:b/>
          <w:color w:val="002060"/>
        </w:rPr>
        <w:t>Tbilisi</w:t>
      </w:r>
    </w:p>
    <w:p w14:paraId="691D40A4" w14:textId="4398F2AD" w:rsidR="00EC4B5C" w:rsidRDefault="00EC4B5C" w:rsidP="00EC4B5C">
      <w:pPr>
        <w:jc w:val="center"/>
        <w:rPr>
          <w:b/>
          <w:color w:val="002060"/>
          <w:sz w:val="32"/>
        </w:rPr>
      </w:pPr>
      <w:r w:rsidRPr="00301123">
        <w:rPr>
          <w:b/>
          <w:color w:val="002060"/>
        </w:rPr>
        <w:t>2019</w:t>
      </w:r>
      <w:r>
        <w:rPr>
          <w:b/>
          <w:color w:val="002060"/>
          <w:sz w:val="32"/>
        </w:rPr>
        <w:br w:type="page"/>
      </w:r>
    </w:p>
    <w:p w14:paraId="49FDDD5E" w14:textId="77777777" w:rsidR="00EC4B5C" w:rsidRDefault="00EC4B5C" w:rsidP="00EC4B5C">
      <w:pPr>
        <w:jc w:val="center"/>
        <w:rPr>
          <w:b/>
          <w:color w:val="002060"/>
          <w:sz w:val="32"/>
        </w:rPr>
      </w:pPr>
    </w:p>
    <w:p w14:paraId="418BE553" w14:textId="447F77A1" w:rsidR="004076AD" w:rsidRPr="00127402" w:rsidRDefault="004076AD" w:rsidP="00127402">
      <w:pPr>
        <w:rPr>
          <w:b/>
          <w:color w:val="002060"/>
          <w:sz w:val="32"/>
        </w:rPr>
      </w:pPr>
      <w:r w:rsidRPr="00127402">
        <w:rPr>
          <w:b/>
          <w:color w:val="002060"/>
          <w:sz w:val="32"/>
        </w:rPr>
        <w:t>Acronyms</w:t>
      </w:r>
    </w:p>
    <w:p w14:paraId="2EE97EF7" w14:textId="77777777" w:rsidR="004076AD" w:rsidRDefault="004076AD" w:rsidP="004076AD"/>
    <w:tbl>
      <w:tblPr>
        <w:tblStyle w:val="PlainTable4"/>
        <w:tblpPr w:leftFromText="180" w:rightFromText="180" w:vertAnchor="text" w:horzAnchor="margin" w:tblpY="90"/>
        <w:tblW w:w="9640" w:type="dxa"/>
        <w:tblLook w:val="04A0" w:firstRow="1" w:lastRow="0" w:firstColumn="1" w:lastColumn="0" w:noHBand="0" w:noVBand="1"/>
      </w:tblPr>
      <w:tblGrid>
        <w:gridCol w:w="1276"/>
        <w:gridCol w:w="8364"/>
      </w:tblGrid>
      <w:tr w:rsidR="004076AD" w14:paraId="1EF9AD4F" w14:textId="77777777" w:rsidTr="00EB13D3">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tcPr>
          <w:p w14:paraId="4EB88D17" w14:textId="77777777" w:rsidR="004076AD" w:rsidRPr="009053EC" w:rsidRDefault="004076AD" w:rsidP="00EB13D3">
            <w:pPr>
              <w:spacing w:line="276" w:lineRule="auto"/>
            </w:pPr>
            <w:r w:rsidRPr="009053EC">
              <w:t xml:space="preserve">ATIP Fund </w:t>
            </w:r>
          </w:p>
        </w:tc>
        <w:tc>
          <w:tcPr>
            <w:tcW w:w="8364" w:type="dxa"/>
          </w:tcPr>
          <w:p w14:paraId="19099083" w14:textId="57BF4483" w:rsidR="004076AD" w:rsidRDefault="004076AD" w:rsidP="00EB13D3">
            <w:pPr>
              <w:spacing w:line="276" w:lineRule="auto"/>
              <w:cnfStyle w:val="100000000000" w:firstRow="1" w:lastRow="0" w:firstColumn="0" w:lastColumn="0" w:oddVBand="0" w:evenVBand="0" w:oddHBand="0" w:evenHBand="0" w:firstRowFirstColumn="0" w:firstRowLastColumn="0" w:lastRowFirstColumn="0" w:lastRowLastColumn="0"/>
              <w:rPr>
                <w:b w:val="0"/>
              </w:rPr>
            </w:pPr>
            <w:r>
              <w:t>–</w:t>
            </w:r>
            <w:r w:rsidRPr="009053EC">
              <w:rPr>
                <w:b w:val="0"/>
              </w:rPr>
              <w:t>The State Fund for Protection and Assistance of (statutory) Victims of Human Trafficking</w:t>
            </w:r>
            <w:r w:rsidRPr="00FF4CC9">
              <w:t xml:space="preserve"> </w:t>
            </w:r>
          </w:p>
        </w:tc>
      </w:tr>
      <w:tr w:rsidR="004076AD" w14:paraId="3DD03350"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6B7A809F" w14:textId="77777777" w:rsidR="004076AD" w:rsidRPr="009053EC" w:rsidRDefault="004076AD" w:rsidP="00EB13D3">
            <w:pPr>
              <w:spacing w:line="276" w:lineRule="auto"/>
            </w:pPr>
            <w:r w:rsidRPr="009053EC">
              <w:t xml:space="preserve">EMC </w:t>
            </w:r>
          </w:p>
        </w:tc>
        <w:tc>
          <w:tcPr>
            <w:tcW w:w="8364" w:type="dxa"/>
            <w:shd w:val="clear" w:color="auto" w:fill="auto"/>
          </w:tcPr>
          <w:p w14:paraId="55A53432" w14:textId="77777777" w:rsidR="004076AD" w:rsidRDefault="004076AD" w:rsidP="00EB13D3">
            <w:pPr>
              <w:spacing w:line="276" w:lineRule="auto"/>
              <w:cnfStyle w:val="000000100000" w:firstRow="0" w:lastRow="0" w:firstColumn="0" w:lastColumn="0" w:oddVBand="0" w:evenVBand="0" w:oddHBand="1" w:evenHBand="0" w:firstRowFirstColumn="0" w:firstRowLastColumn="0" w:lastRowFirstColumn="0" w:lastRowLastColumn="0"/>
              <w:rPr>
                <w:b/>
              </w:rPr>
            </w:pPr>
            <w:r w:rsidRPr="00FF4CC9">
              <w:t xml:space="preserve"> – Human Rights Education and Monitoring Center</w:t>
            </w:r>
          </w:p>
        </w:tc>
      </w:tr>
      <w:tr w:rsidR="004076AD" w14:paraId="3C5DD82D"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774D5309" w14:textId="77777777" w:rsidR="004076AD" w:rsidRPr="009053EC" w:rsidRDefault="004076AD" w:rsidP="00EB13D3">
            <w:pPr>
              <w:spacing w:line="276" w:lineRule="auto"/>
            </w:pPr>
            <w:r w:rsidRPr="009053EC">
              <w:t xml:space="preserve">ETHOS </w:t>
            </w:r>
          </w:p>
        </w:tc>
        <w:tc>
          <w:tcPr>
            <w:tcW w:w="8364" w:type="dxa"/>
            <w:shd w:val="clear" w:color="auto" w:fill="auto"/>
          </w:tcPr>
          <w:p w14:paraId="6C776B57"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rsidRPr="00FF4CC9">
              <w:t xml:space="preserve"> – European Typology on Homelessness and Housing Exclusion</w:t>
            </w:r>
          </w:p>
        </w:tc>
      </w:tr>
      <w:tr w:rsidR="00AD640A" w14:paraId="689907C3"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30979E47" w14:textId="770532CF" w:rsidR="00AD640A" w:rsidRPr="00AD640A" w:rsidRDefault="00AD640A" w:rsidP="00EB13D3">
            <w:pPr>
              <w:spacing w:line="276" w:lineRule="auto"/>
              <w:rPr>
                <w:lang w:val="en-GB"/>
              </w:rPr>
            </w:pPr>
            <w:r>
              <w:rPr>
                <w:lang w:val="en-GB"/>
              </w:rPr>
              <w:t>CPI</w:t>
            </w:r>
          </w:p>
        </w:tc>
        <w:tc>
          <w:tcPr>
            <w:tcW w:w="8364" w:type="dxa"/>
            <w:shd w:val="clear" w:color="auto" w:fill="auto"/>
          </w:tcPr>
          <w:p w14:paraId="439FE821" w14:textId="35BC0EA0" w:rsidR="00AD640A" w:rsidRPr="00FF4CC9" w:rsidRDefault="00A77F27" w:rsidP="00EB13D3">
            <w:pPr>
              <w:spacing w:line="276" w:lineRule="auto"/>
              <w:cnfStyle w:val="000000100000" w:firstRow="0" w:lastRow="0" w:firstColumn="0" w:lastColumn="0" w:oddVBand="0" w:evenVBand="0" w:oddHBand="1" w:evenHBand="0" w:firstRowFirstColumn="0" w:firstRowLastColumn="0" w:lastRowFirstColumn="0" w:lastRowLastColumn="0"/>
            </w:pPr>
            <w:r>
              <w:t xml:space="preserve"> </w:t>
            </w:r>
            <w:r w:rsidR="00F7260C">
              <w:t>–</w:t>
            </w:r>
            <w:r w:rsidR="00AD640A">
              <w:t>C</w:t>
            </w:r>
            <w:r w:rsidR="00F7260C">
              <w:t xml:space="preserve">onsumer </w:t>
            </w:r>
            <w:r w:rsidR="00AD640A">
              <w:t>Price Index</w:t>
            </w:r>
          </w:p>
        </w:tc>
      </w:tr>
      <w:tr w:rsidR="004076AD" w14:paraId="0A9A5C86"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773AFBA7" w14:textId="77777777" w:rsidR="004076AD" w:rsidRPr="009053EC" w:rsidRDefault="004076AD" w:rsidP="00EB13D3">
            <w:pPr>
              <w:spacing w:line="276" w:lineRule="auto"/>
            </w:pPr>
            <w:proofErr w:type="spellStart"/>
            <w:r w:rsidRPr="009053EC">
              <w:t>Geostat</w:t>
            </w:r>
            <w:proofErr w:type="spellEnd"/>
            <w:r w:rsidRPr="009053EC">
              <w:t xml:space="preserve"> </w:t>
            </w:r>
          </w:p>
        </w:tc>
        <w:tc>
          <w:tcPr>
            <w:tcW w:w="8364" w:type="dxa"/>
            <w:shd w:val="clear" w:color="auto" w:fill="auto"/>
          </w:tcPr>
          <w:p w14:paraId="2CD5368C"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rsidRPr="00FF4CC9">
              <w:rPr>
                <w:b/>
              </w:rPr>
              <w:t xml:space="preserve"> </w:t>
            </w:r>
            <w:r w:rsidRPr="00FF4CC9">
              <w:t>– National Statistics Office of Georgia</w:t>
            </w:r>
          </w:p>
        </w:tc>
      </w:tr>
      <w:tr w:rsidR="004076AD" w14:paraId="52199514"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5EDC34FA" w14:textId="77777777" w:rsidR="004076AD" w:rsidRPr="009053EC" w:rsidRDefault="004076AD" w:rsidP="00EB13D3">
            <w:pPr>
              <w:spacing w:line="276" w:lineRule="auto"/>
            </w:pPr>
            <w:r w:rsidRPr="009053EC">
              <w:t>GoG</w:t>
            </w:r>
          </w:p>
        </w:tc>
        <w:tc>
          <w:tcPr>
            <w:tcW w:w="8364" w:type="dxa"/>
            <w:shd w:val="clear" w:color="auto" w:fill="auto"/>
          </w:tcPr>
          <w:p w14:paraId="40E952C8" w14:textId="77777777" w:rsidR="004076AD" w:rsidRDefault="004076AD" w:rsidP="00EB13D3">
            <w:pPr>
              <w:spacing w:line="276" w:lineRule="auto"/>
              <w:cnfStyle w:val="000000100000" w:firstRow="0" w:lastRow="0" w:firstColumn="0" w:lastColumn="0" w:oddVBand="0" w:evenVBand="0" w:oddHBand="1" w:evenHBand="0" w:firstRowFirstColumn="0" w:firstRowLastColumn="0" w:lastRowFirstColumn="0" w:lastRowLastColumn="0"/>
              <w:rPr>
                <w:b/>
              </w:rPr>
            </w:pPr>
            <w:r w:rsidRPr="00FF4CC9">
              <w:t>– Government of Georgia</w:t>
            </w:r>
          </w:p>
        </w:tc>
      </w:tr>
      <w:tr w:rsidR="004076AD" w14:paraId="1C60E1DA"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3A78F29D" w14:textId="77777777" w:rsidR="004076AD" w:rsidRPr="009053EC" w:rsidRDefault="004076AD" w:rsidP="00EB13D3">
            <w:pPr>
              <w:spacing w:line="276" w:lineRule="auto"/>
            </w:pPr>
            <w:r w:rsidRPr="009053EC">
              <w:t xml:space="preserve">HIS </w:t>
            </w:r>
          </w:p>
        </w:tc>
        <w:tc>
          <w:tcPr>
            <w:tcW w:w="8364" w:type="dxa"/>
            <w:shd w:val="clear" w:color="auto" w:fill="auto"/>
          </w:tcPr>
          <w:p w14:paraId="4D003C6A"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rsidRPr="00FF4CC9">
              <w:t>– Integrated Household Survey</w:t>
            </w:r>
          </w:p>
          <w:p w14:paraId="1D1A7E02"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p>
        </w:tc>
      </w:tr>
      <w:tr w:rsidR="004076AD" w14:paraId="0CC55571"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4BC53AD7" w14:textId="77777777" w:rsidR="004076AD" w:rsidRPr="009053EC" w:rsidRDefault="004076AD" w:rsidP="00EB13D3">
            <w:pPr>
              <w:spacing w:line="276" w:lineRule="auto"/>
            </w:pPr>
            <w:r w:rsidRPr="009053EC">
              <w:t xml:space="preserve">IDP </w:t>
            </w:r>
          </w:p>
        </w:tc>
        <w:tc>
          <w:tcPr>
            <w:tcW w:w="8364" w:type="dxa"/>
            <w:shd w:val="clear" w:color="auto" w:fill="auto"/>
          </w:tcPr>
          <w:p w14:paraId="686F315B" w14:textId="77777777" w:rsidR="004076AD" w:rsidRDefault="004076AD" w:rsidP="00EB13D3">
            <w:pPr>
              <w:spacing w:line="276" w:lineRule="auto"/>
              <w:cnfStyle w:val="000000100000" w:firstRow="0" w:lastRow="0" w:firstColumn="0" w:lastColumn="0" w:oddVBand="0" w:evenVBand="0" w:oddHBand="1" w:evenHBand="0" w:firstRowFirstColumn="0" w:firstRowLastColumn="0" w:lastRowFirstColumn="0" w:lastRowLastColumn="0"/>
              <w:rPr>
                <w:b/>
              </w:rPr>
            </w:pPr>
            <w:r w:rsidRPr="00FF4CC9">
              <w:t xml:space="preserve"> – Internally Displaced Person</w:t>
            </w:r>
          </w:p>
        </w:tc>
      </w:tr>
      <w:tr w:rsidR="004076AD" w14:paraId="643D9C51"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096B7A50" w14:textId="77777777" w:rsidR="004076AD" w:rsidRPr="009053EC" w:rsidRDefault="004076AD" w:rsidP="00EB13D3">
            <w:pPr>
              <w:spacing w:line="276" w:lineRule="auto"/>
            </w:pPr>
            <w:r w:rsidRPr="009053EC">
              <w:t xml:space="preserve">MDF </w:t>
            </w:r>
          </w:p>
        </w:tc>
        <w:tc>
          <w:tcPr>
            <w:tcW w:w="8364" w:type="dxa"/>
            <w:shd w:val="clear" w:color="auto" w:fill="auto"/>
          </w:tcPr>
          <w:p w14:paraId="7B40139E" w14:textId="1EC99093" w:rsidR="004076AD" w:rsidRDefault="00A77F27"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t xml:space="preserve"> </w:t>
            </w:r>
            <w:r w:rsidR="004076AD" w:rsidRPr="00FF4CC9">
              <w:t>– Municipal Development Fund</w:t>
            </w:r>
          </w:p>
        </w:tc>
      </w:tr>
      <w:tr w:rsidR="004076AD" w14:paraId="4AA88B46"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2AA2BC73" w14:textId="77777777" w:rsidR="004076AD" w:rsidRPr="009053EC" w:rsidRDefault="004076AD" w:rsidP="00EB13D3">
            <w:pPr>
              <w:spacing w:line="276" w:lineRule="auto"/>
            </w:pPr>
            <w:proofErr w:type="spellStart"/>
            <w:r w:rsidRPr="009053EC">
              <w:t>MoLSHA</w:t>
            </w:r>
            <w:proofErr w:type="spellEnd"/>
            <w:r w:rsidRPr="009053EC">
              <w:t xml:space="preserve"> </w:t>
            </w:r>
          </w:p>
        </w:tc>
        <w:tc>
          <w:tcPr>
            <w:tcW w:w="8364" w:type="dxa"/>
            <w:shd w:val="clear" w:color="auto" w:fill="auto"/>
          </w:tcPr>
          <w:p w14:paraId="30FAE7E2" w14:textId="5743C7D7" w:rsidR="004076AD" w:rsidRDefault="004076AD" w:rsidP="00A77F27">
            <w:pPr>
              <w:spacing w:line="276" w:lineRule="auto"/>
              <w:ind w:left="38"/>
              <w:cnfStyle w:val="000000100000" w:firstRow="0" w:lastRow="0" w:firstColumn="0" w:lastColumn="0" w:oddVBand="0" w:evenVBand="0" w:oddHBand="1" w:evenHBand="0" w:firstRowFirstColumn="0" w:firstRowLastColumn="0" w:lastRowFirstColumn="0" w:lastRowLastColumn="0"/>
            </w:pPr>
            <w:r w:rsidRPr="00FF4CC9">
              <w:rPr>
                <w:b/>
              </w:rPr>
              <w:t xml:space="preserve"> </w:t>
            </w:r>
            <w:r w:rsidRPr="00FF4CC9">
              <w:t xml:space="preserve">– Ministry of Internally Displaced Persons from the Occupied Territories, </w:t>
            </w:r>
            <w:proofErr w:type="spellStart"/>
            <w:r w:rsidRPr="00FF4CC9">
              <w:t>Labour</w:t>
            </w:r>
            <w:proofErr w:type="spellEnd"/>
            <w:r w:rsidRPr="00FF4CC9">
              <w:t xml:space="preserve">, </w:t>
            </w:r>
            <w:r w:rsidR="00A77F27" w:rsidRPr="00FF4CC9">
              <w:t xml:space="preserve">Health </w:t>
            </w:r>
            <w:r w:rsidR="00A77F27">
              <w:t>and</w:t>
            </w:r>
            <w:r w:rsidRPr="00FF4CC9">
              <w:t xml:space="preserve"> Social Affairs of Georgia</w:t>
            </w:r>
          </w:p>
          <w:p w14:paraId="40244645" w14:textId="33A3E0FC" w:rsidR="007D4301" w:rsidRDefault="007D4301" w:rsidP="00EB13D3">
            <w:pPr>
              <w:spacing w:line="276" w:lineRule="auto"/>
              <w:cnfStyle w:val="000000100000" w:firstRow="0" w:lastRow="0" w:firstColumn="0" w:lastColumn="0" w:oddVBand="0" w:evenVBand="0" w:oddHBand="1" w:evenHBand="0" w:firstRowFirstColumn="0" w:firstRowLastColumn="0" w:lastRowFirstColumn="0" w:lastRowLastColumn="0"/>
              <w:rPr>
                <w:b/>
              </w:rPr>
            </w:pPr>
          </w:p>
        </w:tc>
      </w:tr>
      <w:tr w:rsidR="004076AD" w14:paraId="00BB8103"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3EF3DDD6" w14:textId="77777777" w:rsidR="004076AD" w:rsidRPr="009053EC" w:rsidRDefault="004076AD" w:rsidP="00EB13D3">
            <w:pPr>
              <w:spacing w:line="276" w:lineRule="auto"/>
            </w:pPr>
            <w:r w:rsidRPr="009053EC">
              <w:t xml:space="preserve">MRDI </w:t>
            </w:r>
          </w:p>
        </w:tc>
        <w:tc>
          <w:tcPr>
            <w:tcW w:w="8364" w:type="dxa"/>
            <w:shd w:val="clear" w:color="auto" w:fill="auto"/>
          </w:tcPr>
          <w:p w14:paraId="2C9239AE"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t>–</w:t>
            </w:r>
            <w:r w:rsidRPr="00FF4CC9">
              <w:t>Ministry of Regional Development and Infrastructure of Georgia</w:t>
            </w:r>
          </w:p>
        </w:tc>
      </w:tr>
      <w:tr w:rsidR="004076AD" w14:paraId="6EB26FEF"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3450F76E" w14:textId="77777777" w:rsidR="004076AD" w:rsidRPr="009053EC" w:rsidRDefault="004076AD" w:rsidP="00EB13D3">
            <w:pPr>
              <w:spacing w:line="276" w:lineRule="auto"/>
            </w:pPr>
            <w:r w:rsidRPr="009053EC">
              <w:t xml:space="preserve">NASP </w:t>
            </w:r>
          </w:p>
        </w:tc>
        <w:tc>
          <w:tcPr>
            <w:tcW w:w="8364" w:type="dxa"/>
            <w:shd w:val="clear" w:color="auto" w:fill="auto"/>
          </w:tcPr>
          <w:p w14:paraId="2130F84D" w14:textId="77777777" w:rsidR="004076AD" w:rsidRDefault="004076AD" w:rsidP="00EB13D3">
            <w:pPr>
              <w:spacing w:line="276" w:lineRule="auto"/>
              <w:cnfStyle w:val="000000100000" w:firstRow="0" w:lastRow="0" w:firstColumn="0" w:lastColumn="0" w:oddVBand="0" w:evenVBand="0" w:oddHBand="1" w:evenHBand="0" w:firstRowFirstColumn="0" w:firstRowLastColumn="0" w:lastRowFirstColumn="0" w:lastRowLastColumn="0"/>
              <w:rPr>
                <w:b/>
              </w:rPr>
            </w:pPr>
            <w:r w:rsidRPr="00FF4CC9">
              <w:t>– National Agency of State Property</w:t>
            </w:r>
          </w:p>
        </w:tc>
      </w:tr>
      <w:tr w:rsidR="004076AD" w14:paraId="7215EE75"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4E7D10BB" w14:textId="77777777" w:rsidR="004076AD" w:rsidRPr="009053EC" w:rsidRDefault="004076AD" w:rsidP="00EB13D3">
            <w:pPr>
              <w:spacing w:line="276" w:lineRule="auto"/>
            </w:pPr>
            <w:r w:rsidRPr="009053EC">
              <w:t xml:space="preserve">NBG </w:t>
            </w:r>
          </w:p>
        </w:tc>
        <w:tc>
          <w:tcPr>
            <w:tcW w:w="8364" w:type="dxa"/>
            <w:shd w:val="clear" w:color="auto" w:fill="auto"/>
          </w:tcPr>
          <w:p w14:paraId="2EF7C38E"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rsidRPr="00FF4CC9">
              <w:t>–National Bank of Georgia</w:t>
            </w:r>
          </w:p>
        </w:tc>
      </w:tr>
      <w:tr w:rsidR="004076AD" w14:paraId="61E472A1"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4E69F078" w14:textId="77777777" w:rsidR="004076AD" w:rsidRPr="009053EC" w:rsidRDefault="004076AD" w:rsidP="00EB13D3">
            <w:pPr>
              <w:spacing w:line="276" w:lineRule="auto"/>
            </w:pPr>
            <w:r w:rsidRPr="009053EC">
              <w:t xml:space="preserve">NGO </w:t>
            </w:r>
          </w:p>
        </w:tc>
        <w:tc>
          <w:tcPr>
            <w:tcW w:w="8364" w:type="dxa"/>
            <w:shd w:val="clear" w:color="auto" w:fill="auto"/>
          </w:tcPr>
          <w:p w14:paraId="513B1012" w14:textId="77777777" w:rsidR="004076AD" w:rsidRDefault="004076AD" w:rsidP="00EB13D3">
            <w:pPr>
              <w:spacing w:line="276" w:lineRule="auto"/>
              <w:cnfStyle w:val="000000100000" w:firstRow="0" w:lastRow="0" w:firstColumn="0" w:lastColumn="0" w:oddVBand="0" w:evenVBand="0" w:oddHBand="1" w:evenHBand="0" w:firstRowFirstColumn="0" w:firstRowLastColumn="0" w:lastRowFirstColumn="0" w:lastRowLastColumn="0"/>
              <w:rPr>
                <w:b/>
              </w:rPr>
            </w:pPr>
            <w:r w:rsidRPr="00FF4CC9">
              <w:t>– Non-Government Organization</w:t>
            </w:r>
          </w:p>
        </w:tc>
      </w:tr>
      <w:tr w:rsidR="004076AD" w14:paraId="2B4ADDB8"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140E8081" w14:textId="77777777" w:rsidR="004076AD" w:rsidRPr="009053EC" w:rsidRDefault="004076AD" w:rsidP="00EB13D3">
            <w:pPr>
              <w:spacing w:line="276" w:lineRule="auto"/>
            </w:pPr>
            <w:r w:rsidRPr="009053EC">
              <w:t xml:space="preserve">RIA </w:t>
            </w:r>
            <w:r w:rsidRPr="009053EC">
              <w:softHyphen/>
            </w:r>
          </w:p>
        </w:tc>
        <w:tc>
          <w:tcPr>
            <w:tcW w:w="8364" w:type="dxa"/>
            <w:shd w:val="clear" w:color="auto" w:fill="auto"/>
          </w:tcPr>
          <w:p w14:paraId="0B648B91"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rsidRPr="00FF4CC9">
              <w:softHyphen/>
              <w:t>– Regulatory Impact Assessment</w:t>
            </w:r>
          </w:p>
        </w:tc>
      </w:tr>
      <w:tr w:rsidR="004076AD" w14:paraId="5BA6CBAA"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72289D7A" w14:textId="77777777" w:rsidR="004076AD" w:rsidRPr="009053EC" w:rsidRDefault="004076AD" w:rsidP="00EB13D3">
            <w:pPr>
              <w:spacing w:line="276" w:lineRule="auto"/>
            </w:pPr>
            <w:r w:rsidRPr="009053EC">
              <w:t xml:space="preserve">SDC </w:t>
            </w:r>
          </w:p>
        </w:tc>
        <w:tc>
          <w:tcPr>
            <w:tcW w:w="8364" w:type="dxa"/>
            <w:shd w:val="clear" w:color="auto" w:fill="auto"/>
          </w:tcPr>
          <w:p w14:paraId="1B2E5605" w14:textId="584CAB77" w:rsidR="004076AD" w:rsidRDefault="004076AD" w:rsidP="00EB13D3">
            <w:pPr>
              <w:spacing w:line="276" w:lineRule="auto"/>
              <w:cnfStyle w:val="000000100000" w:firstRow="0" w:lastRow="0" w:firstColumn="0" w:lastColumn="0" w:oddVBand="0" w:evenVBand="0" w:oddHBand="1" w:evenHBand="0" w:firstRowFirstColumn="0" w:firstRowLastColumn="0" w:lastRowFirstColumn="0" w:lastRowLastColumn="0"/>
              <w:rPr>
                <w:b/>
              </w:rPr>
            </w:pPr>
            <w:r w:rsidRPr="00FF4CC9">
              <w:t xml:space="preserve">– </w:t>
            </w:r>
            <w:r w:rsidR="00EB13D3" w:rsidRPr="00FF4CC9">
              <w:t xml:space="preserve">Swiss Agency </w:t>
            </w:r>
            <w:r w:rsidR="00EB13D3">
              <w:t xml:space="preserve">for </w:t>
            </w:r>
            <w:r w:rsidRPr="00FF4CC9">
              <w:t xml:space="preserve">Development and Cooperation </w:t>
            </w:r>
          </w:p>
        </w:tc>
      </w:tr>
      <w:tr w:rsidR="004076AD" w14:paraId="08B09171" w14:textId="77777777" w:rsidTr="00EB13D3">
        <w:trPr>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28E02E66" w14:textId="77777777" w:rsidR="004076AD" w:rsidRPr="009053EC" w:rsidRDefault="004076AD" w:rsidP="00EB13D3">
            <w:pPr>
              <w:spacing w:line="276" w:lineRule="auto"/>
            </w:pPr>
            <w:r w:rsidRPr="009053EC">
              <w:t xml:space="preserve">SDG </w:t>
            </w:r>
          </w:p>
        </w:tc>
        <w:tc>
          <w:tcPr>
            <w:tcW w:w="8364" w:type="dxa"/>
            <w:shd w:val="clear" w:color="auto" w:fill="auto"/>
          </w:tcPr>
          <w:p w14:paraId="3B60B946" w14:textId="77777777" w:rsidR="004076AD" w:rsidRDefault="004076AD" w:rsidP="00EB13D3">
            <w:pPr>
              <w:spacing w:line="276" w:lineRule="auto"/>
              <w:cnfStyle w:val="000000000000" w:firstRow="0" w:lastRow="0" w:firstColumn="0" w:lastColumn="0" w:oddVBand="0" w:evenVBand="0" w:oddHBand="0" w:evenHBand="0" w:firstRowFirstColumn="0" w:firstRowLastColumn="0" w:lastRowFirstColumn="0" w:lastRowLastColumn="0"/>
              <w:rPr>
                <w:b/>
              </w:rPr>
            </w:pPr>
            <w:r>
              <w:t>– Sustainable Development Goals</w:t>
            </w:r>
          </w:p>
        </w:tc>
      </w:tr>
      <w:tr w:rsidR="004076AD" w14:paraId="2BA67F17" w14:textId="77777777" w:rsidTr="00EB13D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76" w:type="dxa"/>
            <w:shd w:val="clear" w:color="auto" w:fill="auto"/>
          </w:tcPr>
          <w:p w14:paraId="78C85BD0" w14:textId="77777777" w:rsidR="004076AD" w:rsidRPr="009053EC" w:rsidRDefault="004076AD" w:rsidP="00EB13D3">
            <w:pPr>
              <w:spacing w:line="276" w:lineRule="auto"/>
            </w:pPr>
            <w:r w:rsidRPr="009053EC">
              <w:t>SSA</w:t>
            </w:r>
          </w:p>
        </w:tc>
        <w:tc>
          <w:tcPr>
            <w:tcW w:w="8364" w:type="dxa"/>
            <w:shd w:val="clear" w:color="auto" w:fill="auto"/>
          </w:tcPr>
          <w:p w14:paraId="39772A82" w14:textId="77777777" w:rsidR="004076AD" w:rsidRDefault="004076AD" w:rsidP="00EB13D3">
            <w:pPr>
              <w:spacing w:line="276" w:lineRule="auto"/>
              <w:cnfStyle w:val="000000100000" w:firstRow="0" w:lastRow="0" w:firstColumn="0" w:lastColumn="0" w:oddVBand="0" w:evenVBand="0" w:oddHBand="1" w:evenHBand="0" w:firstRowFirstColumn="0" w:firstRowLastColumn="0" w:lastRowFirstColumn="0" w:lastRowLastColumn="0"/>
              <w:rPr>
                <w:b/>
              </w:rPr>
            </w:pPr>
            <w:r>
              <w:t>– Social Service Agency</w:t>
            </w:r>
          </w:p>
        </w:tc>
      </w:tr>
    </w:tbl>
    <w:p w14:paraId="2D66623C" w14:textId="5F579B76" w:rsidR="004076AD" w:rsidRDefault="004076AD" w:rsidP="004076AD">
      <w:pPr>
        <w:spacing w:line="276" w:lineRule="auto"/>
        <w:rPr>
          <w:b/>
        </w:rPr>
      </w:pPr>
    </w:p>
    <w:p w14:paraId="4BD35935" w14:textId="77777777" w:rsidR="004076AD" w:rsidRDefault="004076AD" w:rsidP="00406701">
      <w:pPr>
        <w:spacing w:line="276" w:lineRule="auto"/>
      </w:pPr>
    </w:p>
    <w:p w14:paraId="1B925297" w14:textId="77777777" w:rsidR="00301123" w:rsidRPr="00127402" w:rsidRDefault="00301123" w:rsidP="00301123">
      <w:pPr>
        <w:rPr>
          <w:b/>
          <w:color w:val="002060"/>
          <w:sz w:val="32"/>
        </w:rPr>
      </w:pPr>
      <w:bookmarkStart w:id="0" w:name="_Toc27573115"/>
      <w:r w:rsidRPr="00127402">
        <w:rPr>
          <w:b/>
          <w:color w:val="002060"/>
          <w:sz w:val="32"/>
        </w:rPr>
        <w:lastRenderedPageBreak/>
        <w:t>Definitions</w:t>
      </w:r>
      <w:bookmarkEnd w:id="0"/>
    </w:p>
    <w:tbl>
      <w:tblPr>
        <w:tblStyle w:val="GridTable2-Accent3"/>
        <w:tblpPr w:leftFromText="180" w:rightFromText="180" w:vertAnchor="text" w:horzAnchor="margin" w:tblpY="225"/>
        <w:tblW w:w="9918"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2830"/>
        <w:gridCol w:w="7088"/>
      </w:tblGrid>
      <w:tr w:rsidR="00301123" w14:paraId="5B8E2648" w14:textId="77777777" w:rsidTr="006C3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bottom w:val="none" w:sz="0" w:space="0" w:color="auto"/>
              <w:right w:val="none" w:sz="0" w:space="0" w:color="auto"/>
            </w:tcBorders>
            <w:shd w:val="clear" w:color="auto" w:fill="auto"/>
          </w:tcPr>
          <w:p w14:paraId="57773A0E" w14:textId="77777777" w:rsidR="00301123" w:rsidRPr="00DF402A" w:rsidRDefault="00301123" w:rsidP="006C377F">
            <w:pPr>
              <w:rPr>
                <w:rFonts w:cstheme="minorHAnsi"/>
              </w:rPr>
            </w:pPr>
            <w:bookmarkStart w:id="1" w:name="_Hlk27652701"/>
            <w:r w:rsidRPr="00DF402A">
              <w:rPr>
                <w:lang w:val="en-GB"/>
              </w:rPr>
              <w:t xml:space="preserve">Adequate housing </w:t>
            </w:r>
          </w:p>
        </w:tc>
        <w:tc>
          <w:tcPr>
            <w:tcW w:w="7088" w:type="dxa"/>
            <w:tcBorders>
              <w:top w:val="none" w:sz="0" w:space="0" w:color="auto"/>
              <w:left w:val="none" w:sz="0" w:space="0" w:color="auto"/>
              <w:bottom w:val="none" w:sz="0" w:space="0" w:color="auto"/>
            </w:tcBorders>
            <w:shd w:val="clear" w:color="auto" w:fill="auto"/>
          </w:tcPr>
          <w:p w14:paraId="13FB04B4" w14:textId="77777777" w:rsidR="00301123" w:rsidRDefault="00301123" w:rsidP="006C377F">
            <w:pPr>
              <w:jc w:val="both"/>
              <w:cnfStyle w:val="100000000000" w:firstRow="1" w:lastRow="0" w:firstColumn="0" w:lastColumn="0" w:oddVBand="0" w:evenVBand="0" w:oddHBand="0" w:evenHBand="0" w:firstRowFirstColumn="0" w:firstRowLastColumn="0" w:lastRowFirstColumn="0" w:lastRowLastColumn="0"/>
              <w:rPr>
                <w:rFonts w:cstheme="minorHAnsi"/>
                <w:bCs w:val="0"/>
              </w:rPr>
            </w:pPr>
            <w:r w:rsidRPr="00DF402A">
              <w:rPr>
                <w:b w:val="0"/>
                <w:lang w:val="en-GB"/>
              </w:rPr>
              <w:t xml:space="preserve">– </w:t>
            </w:r>
            <w:r>
              <w:rPr>
                <w:rFonts w:ascii="Sylfaen" w:hAnsi="Sylfaen"/>
                <w:b w:val="0"/>
                <w:lang w:val="ka-GE"/>
              </w:rPr>
              <w:t xml:space="preserve"> </w:t>
            </w:r>
            <w:r w:rsidRPr="00DF402A">
              <w:rPr>
                <w:b w:val="0"/>
                <w:lang w:val="en-GB"/>
              </w:rPr>
              <w:t>I</w:t>
            </w:r>
            <w:proofErr w:type="spellStart"/>
            <w:r w:rsidRPr="00DF402A">
              <w:rPr>
                <w:rFonts w:cstheme="minorHAnsi"/>
                <w:b w:val="0"/>
              </w:rPr>
              <w:t>f</w:t>
            </w:r>
            <w:proofErr w:type="spellEnd"/>
            <w:r w:rsidRPr="00DF402A">
              <w:rPr>
                <w:rFonts w:cstheme="minorHAnsi"/>
                <w:b w:val="0"/>
              </w:rPr>
              <w:t xml:space="preserve"> the residential area can guarantee safety and access to the public infrastructure, and provide IDPs with satisfactory sanitary conditions (Defined by the Law on IDPs)</w:t>
            </w:r>
          </w:p>
          <w:p w14:paraId="1FF02A29" w14:textId="77777777" w:rsidR="00301123" w:rsidRPr="00DF402A" w:rsidRDefault="00301123" w:rsidP="006C377F">
            <w:pPr>
              <w:jc w:val="both"/>
              <w:cnfStyle w:val="100000000000" w:firstRow="1" w:lastRow="0" w:firstColumn="0" w:lastColumn="0" w:oddVBand="0" w:evenVBand="0" w:oddHBand="0" w:evenHBand="0" w:firstRowFirstColumn="0" w:firstRowLastColumn="0" w:lastRowFirstColumn="0" w:lastRowLastColumn="0"/>
              <w:rPr>
                <w:rFonts w:cstheme="minorHAnsi"/>
                <w:b w:val="0"/>
              </w:rPr>
            </w:pPr>
          </w:p>
        </w:tc>
      </w:tr>
      <w:tr w:rsidR="00301123" w14:paraId="0D39D2EE" w14:textId="77777777" w:rsidTr="006C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775F8B9E" w14:textId="77777777" w:rsidR="00301123" w:rsidRPr="00DF402A" w:rsidRDefault="00301123" w:rsidP="006C377F">
            <w:pPr>
              <w:rPr>
                <w:rFonts w:cstheme="minorHAnsi"/>
              </w:rPr>
            </w:pPr>
            <w:r w:rsidRPr="00DF402A">
              <w:rPr>
                <w:rFonts w:cstheme="minorHAnsi"/>
              </w:rPr>
              <w:t xml:space="preserve">Delegated Responsibilities </w:t>
            </w:r>
          </w:p>
        </w:tc>
        <w:tc>
          <w:tcPr>
            <w:tcW w:w="7088" w:type="dxa"/>
            <w:shd w:val="clear" w:color="auto" w:fill="auto"/>
          </w:tcPr>
          <w:p w14:paraId="277C2915"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r w:rsidRPr="000D5C21">
              <w:rPr>
                <w:rFonts w:cstheme="minorHAnsi"/>
              </w:rPr>
              <w:t xml:space="preserve">– </w:t>
            </w:r>
            <w:r>
              <w:rPr>
                <w:rFonts w:ascii="Sylfaen" w:hAnsi="Sylfaen" w:cstheme="minorHAnsi"/>
                <w:lang w:val="ka-GE"/>
              </w:rPr>
              <w:t xml:space="preserve"> </w:t>
            </w:r>
            <w:r>
              <w:rPr>
                <w:rFonts w:cstheme="minorHAnsi"/>
              </w:rPr>
              <w:t>T</w:t>
            </w:r>
            <w:r w:rsidRPr="000D5C21">
              <w:rPr>
                <w:rFonts w:cstheme="minorHAnsi"/>
              </w:rPr>
              <w:t>he rights and obligations of the local self-governments which are delegated from the central government for implementation.</w:t>
            </w:r>
          </w:p>
          <w:p w14:paraId="6140C7B2"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01123" w14:paraId="3BF80EF9" w14:textId="77777777" w:rsidTr="006C377F">
        <w:trPr>
          <w:trHeight w:val="617"/>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7E5DB113" w14:textId="77777777" w:rsidR="00301123" w:rsidRPr="00DF402A" w:rsidRDefault="00301123" w:rsidP="006C377F">
            <w:pPr>
              <w:rPr>
                <w:rFonts w:cstheme="minorHAnsi"/>
              </w:rPr>
            </w:pPr>
            <w:r w:rsidRPr="00DF402A">
              <w:rPr>
                <w:rFonts w:cstheme="minorHAnsi"/>
              </w:rPr>
              <w:t xml:space="preserve">Dependent Person </w:t>
            </w:r>
          </w:p>
        </w:tc>
        <w:tc>
          <w:tcPr>
            <w:tcW w:w="7088" w:type="dxa"/>
            <w:shd w:val="clear" w:color="auto" w:fill="auto"/>
          </w:tcPr>
          <w:p w14:paraId="6B5F2414" w14:textId="77777777" w:rsidR="00301123"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0D5C21">
              <w:rPr>
                <w:rFonts w:cstheme="minorHAnsi"/>
              </w:rPr>
              <w:t xml:space="preserve">– </w:t>
            </w:r>
            <w:r>
              <w:rPr>
                <w:rFonts w:ascii="Sylfaen" w:hAnsi="Sylfaen" w:cstheme="minorHAnsi"/>
                <w:lang w:val="ka-GE"/>
              </w:rPr>
              <w:t xml:space="preserve"> </w:t>
            </w:r>
            <w:r>
              <w:rPr>
                <w:rFonts w:cstheme="minorHAnsi"/>
              </w:rPr>
              <w:t>A</w:t>
            </w:r>
            <w:r w:rsidRPr="000D5C21">
              <w:rPr>
                <w:rFonts w:cstheme="minorHAnsi"/>
              </w:rPr>
              <w:t xml:space="preserve"> kid of the victim of the violence (under age 18)</w:t>
            </w:r>
          </w:p>
        </w:tc>
      </w:tr>
      <w:tr w:rsidR="00301123" w14:paraId="464B51BB" w14:textId="77777777" w:rsidTr="006C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6633C1A" w14:textId="77777777" w:rsidR="00301123" w:rsidRPr="00DF402A" w:rsidRDefault="00301123" w:rsidP="006C377F">
            <w:pPr>
              <w:rPr>
                <w:rFonts w:cstheme="minorHAnsi"/>
              </w:rPr>
            </w:pPr>
            <w:r w:rsidRPr="00DF402A">
              <w:rPr>
                <w:rFonts w:cstheme="minorHAnsi"/>
              </w:rPr>
              <w:t xml:space="preserve">Double-up families </w:t>
            </w:r>
          </w:p>
        </w:tc>
        <w:tc>
          <w:tcPr>
            <w:tcW w:w="7088" w:type="dxa"/>
            <w:shd w:val="clear" w:color="auto" w:fill="auto"/>
          </w:tcPr>
          <w:p w14:paraId="18057C87"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r w:rsidRPr="000D5C21">
              <w:rPr>
                <w:rFonts w:cstheme="minorHAnsi"/>
              </w:rPr>
              <w:t xml:space="preserve">– </w:t>
            </w:r>
            <w:r>
              <w:rPr>
                <w:rFonts w:ascii="Sylfaen" w:hAnsi="Sylfaen" w:cstheme="minorHAnsi"/>
                <w:lang w:val="ka-GE"/>
              </w:rPr>
              <w:t xml:space="preserve"> </w:t>
            </w:r>
            <w:r>
              <w:rPr>
                <w:rFonts w:cstheme="minorHAnsi"/>
              </w:rPr>
              <w:t>T</w:t>
            </w:r>
            <w:r w:rsidRPr="000D5C21">
              <w:rPr>
                <w:rFonts w:cstheme="minorHAnsi"/>
              </w:rPr>
              <w:t>he households where people (friends or relatives) with a distant relation status live together.</w:t>
            </w:r>
          </w:p>
          <w:p w14:paraId="2586FAAC"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01123" w14:paraId="2AB40705" w14:textId="77777777" w:rsidTr="006C377F">
        <w:trPr>
          <w:trHeight w:val="576"/>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28B4415" w14:textId="77777777" w:rsidR="00301123" w:rsidRPr="00DF402A" w:rsidRDefault="00301123" w:rsidP="006C377F">
            <w:pPr>
              <w:rPr>
                <w:rFonts w:cstheme="minorHAnsi"/>
              </w:rPr>
            </w:pPr>
            <w:r w:rsidRPr="00DF402A">
              <w:t xml:space="preserve">Elderly Families </w:t>
            </w:r>
          </w:p>
        </w:tc>
        <w:tc>
          <w:tcPr>
            <w:tcW w:w="7088" w:type="dxa"/>
            <w:shd w:val="clear" w:color="auto" w:fill="auto"/>
          </w:tcPr>
          <w:p w14:paraId="43BFA89A" w14:textId="77777777" w:rsidR="00301123"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0D5C21">
              <w:t xml:space="preserve">– </w:t>
            </w:r>
            <w:r>
              <w:rPr>
                <w:rFonts w:ascii="Sylfaen" w:hAnsi="Sylfaen"/>
                <w:lang w:val="ka-GE"/>
              </w:rPr>
              <w:t xml:space="preserve">  </w:t>
            </w:r>
            <w:r w:rsidRPr="000D5C21">
              <w:t>Families, where average age of family members is more than 60</w:t>
            </w:r>
          </w:p>
        </w:tc>
      </w:tr>
      <w:tr w:rsidR="00301123" w14:paraId="4F4555AA" w14:textId="77777777" w:rsidTr="006C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577E13F2" w14:textId="77777777" w:rsidR="00301123" w:rsidRPr="00DF402A" w:rsidRDefault="00301123" w:rsidP="006C377F">
            <w:pPr>
              <w:rPr>
                <w:rFonts w:cstheme="minorHAnsi"/>
              </w:rPr>
            </w:pPr>
            <w:r w:rsidRPr="00DF402A">
              <w:t xml:space="preserve">Gini Coefficient </w:t>
            </w:r>
          </w:p>
        </w:tc>
        <w:tc>
          <w:tcPr>
            <w:tcW w:w="7088" w:type="dxa"/>
            <w:shd w:val="clear" w:color="auto" w:fill="auto"/>
          </w:tcPr>
          <w:p w14:paraId="1AD00F8C"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pPr>
            <w:r w:rsidRPr="000D5C21">
              <w:t xml:space="preserve">– </w:t>
            </w:r>
            <w:hyperlink r:id="rId8" w:anchor="Measures_of_statistical_dispersion" w:tooltip="Statistical dispersion" w:history="1">
              <w:r w:rsidRPr="000D5C21">
                <w:t>Measure of statistical dispersion</w:t>
              </w:r>
            </w:hyperlink>
            <w:r w:rsidRPr="000D5C21">
              <w:t> </w:t>
            </w:r>
            <w:r>
              <w:rPr>
                <w:rFonts w:ascii="Sylfaen" w:hAnsi="Sylfaen"/>
                <w:lang w:val="ka-GE"/>
              </w:rPr>
              <w:t xml:space="preserve"> </w:t>
            </w:r>
            <w:r w:rsidRPr="000D5C21">
              <w:t>intended to represent the </w:t>
            </w:r>
            <w:hyperlink r:id="rId9" w:tooltip="Income distribution" w:history="1">
              <w:r w:rsidRPr="000D5C21">
                <w:t>income</w:t>
              </w:r>
            </w:hyperlink>
            <w:r w:rsidRPr="000D5C21">
              <w:t> or </w:t>
            </w:r>
            <w:hyperlink r:id="rId10" w:tooltip="Wealth distribution" w:history="1">
              <w:r w:rsidRPr="000D5C21">
                <w:t>wealth distribution</w:t>
              </w:r>
            </w:hyperlink>
            <w:r w:rsidRPr="000D5C21">
              <w:t> of a nation's residents.</w:t>
            </w:r>
          </w:p>
          <w:p w14:paraId="3AF11F2A"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01123" w14:paraId="4DF16556" w14:textId="77777777" w:rsidTr="006C377F">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1F43892" w14:textId="77777777" w:rsidR="00301123" w:rsidRPr="00DF402A" w:rsidRDefault="00301123" w:rsidP="006C377F">
            <w:pPr>
              <w:rPr>
                <w:rFonts w:cstheme="minorHAnsi"/>
              </w:rPr>
            </w:pPr>
            <w:r w:rsidRPr="00DF402A">
              <w:rPr>
                <w:lang w:val="en-GB"/>
              </w:rPr>
              <w:t xml:space="preserve">Homeless </w:t>
            </w:r>
          </w:p>
        </w:tc>
        <w:tc>
          <w:tcPr>
            <w:tcW w:w="7088" w:type="dxa"/>
            <w:shd w:val="clear" w:color="auto" w:fill="auto"/>
          </w:tcPr>
          <w:p w14:paraId="012AFC67" w14:textId="77777777" w:rsidR="00301123" w:rsidRDefault="00301123" w:rsidP="006C377F">
            <w:pPr>
              <w:jc w:val="both"/>
              <w:cnfStyle w:val="000000000000" w:firstRow="0" w:lastRow="0" w:firstColumn="0" w:lastColumn="0" w:oddVBand="0" w:evenVBand="0" w:oddHBand="0" w:evenHBand="0" w:firstRowFirstColumn="0" w:firstRowLastColumn="0" w:lastRowFirstColumn="0" w:lastRowLastColumn="0"/>
              <w:rPr>
                <w:lang w:val="en-GB"/>
              </w:rPr>
            </w:pPr>
            <w:r w:rsidRPr="000D5C21">
              <w:rPr>
                <w:lang w:val="en-GB"/>
              </w:rPr>
              <w:t xml:space="preserve">– </w:t>
            </w:r>
            <w:r>
              <w:rPr>
                <w:rFonts w:ascii="Sylfaen" w:hAnsi="Sylfaen"/>
                <w:lang w:val="ka-GE"/>
              </w:rPr>
              <w:t xml:space="preserve">  </w:t>
            </w:r>
            <w:r w:rsidRPr="000D5C21">
              <w:rPr>
                <w:lang w:val="en-GB"/>
              </w:rPr>
              <w:t>Person that does not have a permanent, defined living space and is registered in the local municipality as a homeless person (Definition based on Law on Social Ass</w:t>
            </w:r>
            <w:r>
              <w:rPr>
                <w:lang w:val="en-GB"/>
              </w:rPr>
              <w:t>istance</w:t>
            </w:r>
            <w:r w:rsidRPr="000D5C21">
              <w:rPr>
                <w:lang w:val="en-GB"/>
              </w:rPr>
              <w:t xml:space="preserve"> of Georgia).</w:t>
            </w:r>
          </w:p>
          <w:p w14:paraId="6921BA35" w14:textId="77777777" w:rsidR="00301123"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301123" w14:paraId="1F8E70E8" w14:textId="77777777" w:rsidTr="006C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40C970A1" w14:textId="77777777" w:rsidR="00301123" w:rsidRPr="00DF402A" w:rsidRDefault="00301123" w:rsidP="006C377F">
            <w:pPr>
              <w:rPr>
                <w:rFonts w:cstheme="minorHAnsi"/>
              </w:rPr>
            </w:pPr>
            <w:r w:rsidRPr="00DF402A">
              <w:rPr>
                <w:rFonts w:cstheme="minorHAnsi"/>
              </w:rPr>
              <w:t xml:space="preserve">Housing Affordability </w:t>
            </w:r>
          </w:p>
        </w:tc>
        <w:tc>
          <w:tcPr>
            <w:tcW w:w="7088" w:type="dxa"/>
            <w:shd w:val="clear" w:color="auto" w:fill="auto"/>
          </w:tcPr>
          <w:p w14:paraId="0AF2A8E8"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r w:rsidRPr="000D5C21">
              <w:rPr>
                <w:rFonts w:cstheme="minorHAnsi"/>
              </w:rPr>
              <w:t xml:space="preserve">– </w:t>
            </w:r>
            <w:r>
              <w:rPr>
                <w:rFonts w:ascii="Sylfaen" w:hAnsi="Sylfaen" w:cstheme="minorHAnsi"/>
                <w:lang w:val="ka-GE"/>
              </w:rPr>
              <w:t xml:space="preserve">  </w:t>
            </w:r>
            <w:r>
              <w:rPr>
                <w:rFonts w:cstheme="minorHAnsi"/>
              </w:rPr>
              <w:t>T</w:t>
            </w:r>
            <w:r w:rsidRPr="000D5C21">
              <w:rPr>
                <w:rFonts w:cstheme="minorHAnsi"/>
              </w:rPr>
              <w:t>he ration of income to house prices or the proportion of income to mortgage payment or rent.</w:t>
            </w:r>
          </w:p>
          <w:p w14:paraId="1A468CA6"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01123" w14:paraId="3303A784" w14:textId="77777777" w:rsidTr="006C377F">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368E3B64" w14:textId="77777777" w:rsidR="00301123" w:rsidRPr="00DF402A" w:rsidRDefault="00301123" w:rsidP="006C377F">
            <w:pPr>
              <w:rPr>
                <w:rFonts w:cstheme="minorHAnsi"/>
              </w:rPr>
            </w:pPr>
            <w:r w:rsidRPr="00DF402A">
              <w:rPr>
                <w:rFonts w:cstheme="minorHAnsi"/>
              </w:rPr>
              <w:t xml:space="preserve">Overcrowding </w:t>
            </w:r>
          </w:p>
        </w:tc>
        <w:tc>
          <w:tcPr>
            <w:tcW w:w="7088" w:type="dxa"/>
            <w:shd w:val="clear" w:color="auto" w:fill="auto"/>
          </w:tcPr>
          <w:p w14:paraId="09892D45" w14:textId="77777777" w:rsidR="00301123"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0D5C21">
              <w:rPr>
                <w:rFonts w:cstheme="minorHAnsi"/>
              </w:rPr>
              <w:t xml:space="preserve">– </w:t>
            </w:r>
            <w:r>
              <w:rPr>
                <w:rFonts w:ascii="Sylfaen" w:hAnsi="Sylfaen" w:cstheme="minorHAnsi"/>
                <w:lang w:val="ka-GE"/>
              </w:rPr>
              <w:t xml:space="preserve">     </w:t>
            </w:r>
            <w:r>
              <w:rPr>
                <w:rFonts w:cstheme="minorHAnsi"/>
              </w:rPr>
              <w:t>I</w:t>
            </w:r>
            <w:r w:rsidRPr="000D5C21">
              <w:rPr>
                <w:rFonts w:cstheme="minorHAnsi"/>
              </w:rPr>
              <w:t xml:space="preserve">f there are more than three people per habitable room (According to UN habitat) or if there is less than </w:t>
            </w:r>
            <w:r w:rsidRPr="003D7DE4">
              <w:rPr>
                <w:lang w:val="en-GB"/>
              </w:rPr>
              <w:t>3m</w:t>
            </w:r>
            <w:r w:rsidRPr="000D5C21">
              <w:rPr>
                <w:rFonts w:cstheme="minorHAnsi"/>
                <w:vertAlign w:val="superscript"/>
              </w:rPr>
              <w:t>2</w:t>
            </w:r>
            <w:r w:rsidRPr="000D5C21">
              <w:rPr>
                <w:rFonts w:cstheme="minorHAnsi"/>
              </w:rPr>
              <w:t xml:space="preserve"> living area per person (SDG Goal 11.1).</w:t>
            </w:r>
          </w:p>
          <w:p w14:paraId="6E9A5D8C" w14:textId="77777777" w:rsidR="00301123"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p>
        </w:tc>
      </w:tr>
      <w:tr w:rsidR="00301123" w14:paraId="7D81E893" w14:textId="77777777" w:rsidTr="006C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E3E3CE9" w14:textId="77777777" w:rsidR="00301123" w:rsidRPr="00DF402A" w:rsidRDefault="00301123" w:rsidP="006C377F">
            <w:pPr>
              <w:rPr>
                <w:rFonts w:cstheme="minorHAnsi"/>
              </w:rPr>
            </w:pPr>
            <w:r w:rsidRPr="00DF402A">
              <w:rPr>
                <w:lang w:val="en-GB"/>
              </w:rPr>
              <w:t xml:space="preserve">Roofless Kid </w:t>
            </w:r>
          </w:p>
        </w:tc>
        <w:tc>
          <w:tcPr>
            <w:tcW w:w="7088" w:type="dxa"/>
            <w:shd w:val="clear" w:color="auto" w:fill="auto"/>
          </w:tcPr>
          <w:p w14:paraId="24B374D6"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lang w:val="en-GB"/>
              </w:rPr>
            </w:pPr>
            <w:r>
              <w:rPr>
                <w:lang w:val="en-GB"/>
              </w:rPr>
              <w:t>–</w:t>
            </w:r>
            <w:r>
              <w:rPr>
                <w:rFonts w:ascii="Sylfaen" w:hAnsi="Sylfaen"/>
                <w:lang w:val="ka-GE"/>
              </w:rPr>
              <w:t xml:space="preserve">     </w:t>
            </w:r>
            <w:r w:rsidRPr="000D5C21">
              <w:rPr>
                <w:lang w:val="en-GB"/>
              </w:rPr>
              <w:t>A person under age 18, living and working in the street and is identified as roofless by the authorized social servant (Definition based on Law on Social Ass</w:t>
            </w:r>
            <w:r>
              <w:rPr>
                <w:lang w:val="en-GB"/>
              </w:rPr>
              <w:t>istance</w:t>
            </w:r>
            <w:r w:rsidRPr="000D5C21">
              <w:rPr>
                <w:lang w:val="en-GB"/>
              </w:rPr>
              <w:t xml:space="preserve"> of Georgia).</w:t>
            </w:r>
          </w:p>
          <w:p w14:paraId="13960671"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01123" w14:paraId="0A983746" w14:textId="77777777" w:rsidTr="006C377F">
        <w:trPr>
          <w:trHeight w:val="546"/>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7BC45333" w14:textId="77777777" w:rsidR="00301123" w:rsidRPr="00DF402A" w:rsidRDefault="00301123" w:rsidP="006C377F">
            <w:pPr>
              <w:rPr>
                <w:lang w:val="en-GB"/>
              </w:rPr>
            </w:pPr>
            <w:r w:rsidRPr="00DF402A">
              <w:rPr>
                <w:rFonts w:cstheme="minorHAnsi"/>
              </w:rPr>
              <w:t xml:space="preserve">Stock of housing </w:t>
            </w:r>
          </w:p>
        </w:tc>
        <w:tc>
          <w:tcPr>
            <w:tcW w:w="7088" w:type="dxa"/>
            <w:shd w:val="clear" w:color="auto" w:fill="auto"/>
          </w:tcPr>
          <w:p w14:paraId="35B8B8D9" w14:textId="77777777" w:rsidR="00301123" w:rsidRPr="000D5C21" w:rsidRDefault="00301123" w:rsidP="006C377F">
            <w:pPr>
              <w:jc w:val="both"/>
              <w:cnfStyle w:val="000000000000" w:firstRow="0" w:lastRow="0" w:firstColumn="0" w:lastColumn="0" w:oddVBand="0" w:evenVBand="0" w:oddHBand="0" w:evenHBand="0" w:firstRowFirstColumn="0" w:firstRowLastColumn="0" w:lastRowFirstColumn="0" w:lastRowLastColumn="0"/>
              <w:rPr>
                <w:lang w:val="en-GB"/>
              </w:rPr>
            </w:pPr>
            <w:r w:rsidRPr="00F66BAA">
              <w:rPr>
                <w:rFonts w:cstheme="minorHAnsi"/>
              </w:rPr>
              <w:t>–</w:t>
            </w:r>
            <w:r>
              <w:rPr>
                <w:rFonts w:ascii="Sylfaen" w:hAnsi="Sylfaen" w:cstheme="minorHAnsi"/>
                <w:lang w:val="ka-GE"/>
              </w:rPr>
              <w:t xml:space="preserve">     </w:t>
            </w:r>
            <w:r>
              <w:rPr>
                <w:rFonts w:cstheme="minorHAnsi"/>
              </w:rPr>
              <w:t>T</w:t>
            </w:r>
            <w:r w:rsidRPr="00F66BAA">
              <w:t>otal number of existing houses</w:t>
            </w:r>
          </w:p>
        </w:tc>
      </w:tr>
      <w:tr w:rsidR="00301123" w14:paraId="051EE013" w14:textId="77777777" w:rsidTr="006C3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C8D3520" w14:textId="77777777" w:rsidR="00301123" w:rsidRPr="00DF402A" w:rsidRDefault="00301123" w:rsidP="006C377F">
            <w:pPr>
              <w:rPr>
                <w:rFonts w:cstheme="minorHAnsi"/>
              </w:rPr>
            </w:pPr>
            <w:r w:rsidRPr="00DF402A">
              <w:rPr>
                <w:lang w:val="en-GB"/>
              </w:rPr>
              <w:t xml:space="preserve">Specialized Institution </w:t>
            </w:r>
          </w:p>
        </w:tc>
        <w:tc>
          <w:tcPr>
            <w:tcW w:w="7088" w:type="dxa"/>
            <w:shd w:val="clear" w:color="auto" w:fill="auto"/>
          </w:tcPr>
          <w:p w14:paraId="203BC50C" w14:textId="77777777" w:rsidR="00301123" w:rsidRDefault="00301123" w:rsidP="006C377F">
            <w:pPr>
              <w:jc w:val="both"/>
              <w:cnfStyle w:val="000000100000" w:firstRow="0" w:lastRow="0" w:firstColumn="0" w:lastColumn="0" w:oddVBand="0" w:evenVBand="0" w:oddHBand="1" w:evenHBand="0" w:firstRowFirstColumn="0" w:firstRowLastColumn="0" w:lastRowFirstColumn="0" w:lastRowLastColumn="0"/>
              <w:rPr>
                <w:lang w:val="en-GB"/>
              </w:rPr>
            </w:pPr>
            <w:r w:rsidRPr="00A1234C">
              <w:rPr>
                <w:lang w:val="en-GB"/>
              </w:rPr>
              <w:t xml:space="preserve">– </w:t>
            </w:r>
            <w:r>
              <w:rPr>
                <w:rFonts w:ascii="Sylfaen" w:hAnsi="Sylfaen"/>
                <w:lang w:val="ka-GE"/>
              </w:rPr>
              <w:t xml:space="preserve">     </w:t>
            </w:r>
            <w:r>
              <w:rPr>
                <w:lang w:val="en-GB"/>
              </w:rPr>
              <w:t>A</w:t>
            </w:r>
            <w:r w:rsidRPr="00A1234C">
              <w:rPr>
                <w:lang w:val="en-GB"/>
              </w:rPr>
              <w:t xml:space="preserve"> physical or legal entity which provides social support to the people who need a special care overnight or during a pre-determined period (Definition based on Law on Social Assis</w:t>
            </w:r>
            <w:r>
              <w:rPr>
                <w:lang w:val="en-GB"/>
              </w:rPr>
              <w:t>tance</w:t>
            </w:r>
            <w:r w:rsidRPr="00A1234C">
              <w:rPr>
                <w:lang w:val="en-GB"/>
              </w:rPr>
              <w:t xml:space="preserve"> of Georgia).</w:t>
            </w:r>
          </w:p>
          <w:p w14:paraId="30032E95" w14:textId="77777777" w:rsidR="00301123" w:rsidRPr="00F66BAA" w:rsidRDefault="00301123" w:rsidP="006C377F">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301123" w14:paraId="00298A8B" w14:textId="77777777" w:rsidTr="006C377F">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0C86F97E" w14:textId="77777777" w:rsidR="00301123" w:rsidRPr="00DF402A" w:rsidRDefault="00301123" w:rsidP="006C377F">
            <w:pPr>
              <w:rPr>
                <w:lang w:val="en-GB"/>
              </w:rPr>
            </w:pPr>
            <w:r w:rsidRPr="00DF402A">
              <w:rPr>
                <w:lang w:val="en-GB"/>
              </w:rPr>
              <w:t>Own responsibilities</w:t>
            </w:r>
          </w:p>
        </w:tc>
        <w:tc>
          <w:tcPr>
            <w:tcW w:w="7088" w:type="dxa"/>
            <w:shd w:val="clear" w:color="auto" w:fill="auto"/>
          </w:tcPr>
          <w:p w14:paraId="311E2048" w14:textId="77777777" w:rsidR="00301123" w:rsidRDefault="00301123" w:rsidP="006C377F">
            <w:pPr>
              <w:pStyle w:val="FootnoteText"/>
              <w:numPr>
                <w:ilvl w:val="0"/>
                <w:numId w:val="31"/>
              </w:numPr>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ascii="Sylfaen" w:hAnsi="Sylfaen" w:cstheme="minorHAnsi"/>
                <w:sz w:val="22"/>
                <w:szCs w:val="22"/>
                <w:lang w:val="ka-GE"/>
              </w:rPr>
              <w:t xml:space="preserve"> </w:t>
            </w:r>
            <w:r w:rsidRPr="00B17870">
              <w:rPr>
                <w:rFonts w:cstheme="minorHAnsi"/>
                <w:sz w:val="22"/>
                <w:szCs w:val="22"/>
              </w:rPr>
              <w:t>Authority of the local self-government</w:t>
            </w:r>
            <w:r>
              <w:rPr>
                <w:rFonts w:cstheme="minorHAnsi"/>
                <w:sz w:val="22"/>
                <w:szCs w:val="22"/>
              </w:rPr>
              <w:t xml:space="preserve"> </w:t>
            </w:r>
            <w:r w:rsidRPr="00B17870">
              <w:rPr>
                <w:rFonts w:cstheme="minorHAnsi"/>
                <w:sz w:val="22"/>
                <w:szCs w:val="22"/>
              </w:rPr>
              <w:t xml:space="preserve">that can be implemented independently </w:t>
            </w:r>
            <w:r>
              <w:rPr>
                <w:rFonts w:cstheme="minorHAnsi"/>
                <w:sz w:val="22"/>
                <w:szCs w:val="22"/>
              </w:rPr>
              <w:t>under</w:t>
            </w:r>
            <w:r w:rsidRPr="00B17870">
              <w:rPr>
                <w:rFonts w:cstheme="minorHAnsi"/>
                <w:sz w:val="22"/>
                <w:szCs w:val="22"/>
              </w:rPr>
              <w:t xml:space="preserve"> its own responsibility</w:t>
            </w:r>
          </w:p>
          <w:p w14:paraId="6BC924E6" w14:textId="77777777" w:rsidR="00301123" w:rsidRDefault="00301123" w:rsidP="006C377F">
            <w:pPr>
              <w:pStyle w:val="FootnoteText"/>
              <w:ind w:left="1843" w:hanging="1985"/>
              <w:jc w:val="both"/>
              <w:cnfStyle w:val="000000000000" w:firstRow="0" w:lastRow="0" w:firstColumn="0" w:lastColumn="0" w:oddVBand="0" w:evenVBand="0" w:oddHBand="0" w:evenHBand="0" w:firstRowFirstColumn="0" w:firstRowLastColumn="0" w:lastRowFirstColumn="0" w:lastRowLastColumn="0"/>
              <w:rPr>
                <w:rFonts w:cstheme="minorHAnsi"/>
                <w:sz w:val="22"/>
                <w:szCs w:val="22"/>
              </w:rPr>
            </w:pPr>
          </w:p>
          <w:p w14:paraId="1E9974FB" w14:textId="77777777" w:rsidR="00301123" w:rsidRPr="000D5C21" w:rsidRDefault="00301123" w:rsidP="006C377F">
            <w:pPr>
              <w:jc w:val="both"/>
              <w:cnfStyle w:val="000000000000" w:firstRow="0" w:lastRow="0" w:firstColumn="0" w:lastColumn="0" w:oddVBand="0" w:evenVBand="0" w:oddHBand="0" w:evenHBand="0" w:firstRowFirstColumn="0" w:firstRowLastColumn="0" w:lastRowFirstColumn="0" w:lastRowLastColumn="0"/>
              <w:rPr>
                <w:lang w:val="en-GB"/>
              </w:rPr>
            </w:pPr>
          </w:p>
        </w:tc>
      </w:tr>
      <w:bookmarkEnd w:id="1"/>
    </w:tbl>
    <w:p w14:paraId="54B4A34D" w14:textId="77777777" w:rsidR="00301123" w:rsidRPr="00A95172" w:rsidRDefault="00301123" w:rsidP="00301123"/>
    <w:p w14:paraId="30E9B2A4" w14:textId="77777777" w:rsidR="00301123" w:rsidRDefault="00301123" w:rsidP="00301123">
      <w:pPr>
        <w:ind w:left="1560" w:hanging="1560"/>
        <w:rPr>
          <w:rFonts w:cstheme="minorHAnsi"/>
        </w:rPr>
      </w:pPr>
    </w:p>
    <w:p w14:paraId="4B12F625" w14:textId="3179D471" w:rsidR="00301123" w:rsidRDefault="00301123" w:rsidP="00301123">
      <w:pPr>
        <w:pStyle w:val="TOCHeading"/>
        <w:rPr>
          <w:rFonts w:cstheme="minorHAnsi"/>
        </w:rPr>
      </w:pPr>
    </w:p>
    <w:sdt>
      <w:sdtPr>
        <w:id w:val="-1211040050"/>
        <w:docPartObj>
          <w:docPartGallery w:val="Table of Contents"/>
          <w:docPartUnique/>
        </w:docPartObj>
      </w:sdtPr>
      <w:sdtEndPr>
        <w:rPr>
          <w:b/>
          <w:bCs/>
          <w:noProof/>
        </w:rPr>
      </w:sdtEndPr>
      <w:sdtContent>
        <w:p w14:paraId="435A1A96" w14:textId="5436882D" w:rsidR="00301123" w:rsidRPr="004076AD" w:rsidRDefault="00301123" w:rsidP="00301123">
          <w:pPr>
            <w:rPr>
              <w:b/>
              <w:color w:val="002060"/>
            </w:rPr>
          </w:pPr>
          <w:r w:rsidRPr="004076AD">
            <w:rPr>
              <w:b/>
              <w:color w:val="002060"/>
            </w:rPr>
            <w:t>Contents</w:t>
          </w:r>
        </w:p>
        <w:p w14:paraId="6D529B04" w14:textId="1898B205" w:rsidR="00406701" w:rsidRDefault="00301123">
          <w:pPr>
            <w:pStyle w:val="TOC1"/>
            <w:tabs>
              <w:tab w:val="right" w:leader="dot" w:pos="9170"/>
            </w:tabs>
            <w:rPr>
              <w:rFonts w:eastAsiaTheme="minorEastAsia"/>
              <w:noProof/>
              <w:lang w:val="en-GB" w:eastAsia="en-GB"/>
            </w:rPr>
          </w:pPr>
          <w:r>
            <w:fldChar w:fldCharType="begin"/>
          </w:r>
          <w:r>
            <w:instrText xml:space="preserve"> TOC \o "1-3" \h \z \u </w:instrText>
          </w:r>
          <w:r>
            <w:fldChar w:fldCharType="separate"/>
          </w:r>
          <w:hyperlink w:anchor="_Toc28010434" w:history="1">
            <w:r w:rsidR="00406701" w:rsidRPr="00360417">
              <w:rPr>
                <w:rStyle w:val="Hyperlink"/>
                <w:rFonts w:cstheme="minorHAnsi"/>
                <w:b/>
                <w:noProof/>
              </w:rPr>
              <w:t>Problem Definition</w:t>
            </w:r>
            <w:r w:rsidR="00406701">
              <w:rPr>
                <w:noProof/>
                <w:webHidden/>
              </w:rPr>
              <w:tab/>
            </w:r>
            <w:r w:rsidR="00406701">
              <w:rPr>
                <w:noProof/>
                <w:webHidden/>
              </w:rPr>
              <w:fldChar w:fldCharType="begin"/>
            </w:r>
            <w:r w:rsidR="00406701">
              <w:rPr>
                <w:noProof/>
                <w:webHidden/>
              </w:rPr>
              <w:instrText xml:space="preserve"> PAGEREF _Toc28010434 \h </w:instrText>
            </w:r>
            <w:r w:rsidR="00406701">
              <w:rPr>
                <w:noProof/>
                <w:webHidden/>
              </w:rPr>
            </w:r>
            <w:r w:rsidR="00406701">
              <w:rPr>
                <w:noProof/>
                <w:webHidden/>
              </w:rPr>
              <w:fldChar w:fldCharType="separate"/>
            </w:r>
            <w:r w:rsidR="00406701">
              <w:rPr>
                <w:noProof/>
                <w:webHidden/>
              </w:rPr>
              <w:t>5</w:t>
            </w:r>
            <w:r w:rsidR="00406701">
              <w:rPr>
                <w:noProof/>
                <w:webHidden/>
              </w:rPr>
              <w:fldChar w:fldCharType="end"/>
            </w:r>
          </w:hyperlink>
        </w:p>
        <w:p w14:paraId="1511E4B0" w14:textId="14068E90" w:rsidR="00406701" w:rsidRDefault="00406701">
          <w:pPr>
            <w:pStyle w:val="TOC2"/>
            <w:tabs>
              <w:tab w:val="left" w:pos="660"/>
              <w:tab w:val="right" w:leader="dot" w:pos="9170"/>
            </w:tabs>
            <w:rPr>
              <w:rFonts w:eastAsiaTheme="minorEastAsia"/>
              <w:noProof/>
              <w:lang w:val="en-GB" w:eastAsia="en-GB"/>
            </w:rPr>
          </w:pPr>
          <w:hyperlink w:anchor="_Toc28010435" w:history="1">
            <w:r w:rsidRPr="00360417">
              <w:rPr>
                <w:rStyle w:val="Hyperlink"/>
                <w:rFonts w:cstheme="minorHAnsi"/>
                <w:b/>
                <w:noProof/>
              </w:rPr>
              <w:t>A.</w:t>
            </w:r>
            <w:r>
              <w:rPr>
                <w:rFonts w:eastAsiaTheme="minorEastAsia"/>
                <w:noProof/>
                <w:lang w:val="en-GB" w:eastAsia="en-GB"/>
              </w:rPr>
              <w:tab/>
            </w:r>
            <w:r w:rsidRPr="00360417">
              <w:rPr>
                <w:rStyle w:val="Hyperlink"/>
                <w:rFonts w:cstheme="minorHAnsi"/>
                <w:b/>
                <w:noProof/>
              </w:rPr>
              <w:t>Policy Context</w:t>
            </w:r>
            <w:r>
              <w:rPr>
                <w:noProof/>
                <w:webHidden/>
              </w:rPr>
              <w:tab/>
            </w:r>
            <w:r>
              <w:rPr>
                <w:noProof/>
                <w:webHidden/>
              </w:rPr>
              <w:fldChar w:fldCharType="begin"/>
            </w:r>
            <w:r>
              <w:rPr>
                <w:noProof/>
                <w:webHidden/>
              </w:rPr>
              <w:instrText xml:space="preserve"> PAGEREF _Toc28010435 \h </w:instrText>
            </w:r>
            <w:r>
              <w:rPr>
                <w:noProof/>
                <w:webHidden/>
              </w:rPr>
            </w:r>
            <w:r>
              <w:rPr>
                <w:noProof/>
                <w:webHidden/>
              </w:rPr>
              <w:fldChar w:fldCharType="separate"/>
            </w:r>
            <w:r>
              <w:rPr>
                <w:noProof/>
                <w:webHidden/>
              </w:rPr>
              <w:t>5</w:t>
            </w:r>
            <w:r>
              <w:rPr>
                <w:noProof/>
                <w:webHidden/>
              </w:rPr>
              <w:fldChar w:fldCharType="end"/>
            </w:r>
          </w:hyperlink>
        </w:p>
        <w:p w14:paraId="6A7EEDB4" w14:textId="13585DD3" w:rsidR="00406701" w:rsidRDefault="00406701">
          <w:pPr>
            <w:pStyle w:val="TOC2"/>
            <w:tabs>
              <w:tab w:val="right" w:leader="dot" w:pos="9170"/>
            </w:tabs>
            <w:rPr>
              <w:rFonts w:eastAsiaTheme="minorEastAsia"/>
              <w:noProof/>
              <w:lang w:val="en-GB" w:eastAsia="en-GB"/>
            </w:rPr>
          </w:pPr>
          <w:hyperlink w:anchor="_Toc28010436" w:history="1">
            <w:r w:rsidRPr="00360417">
              <w:rPr>
                <w:rStyle w:val="Hyperlink"/>
                <w:rFonts w:cstheme="minorHAnsi"/>
                <w:b/>
                <w:noProof/>
              </w:rPr>
              <w:t>Legal background</w:t>
            </w:r>
            <w:r>
              <w:rPr>
                <w:noProof/>
                <w:webHidden/>
              </w:rPr>
              <w:tab/>
            </w:r>
            <w:r>
              <w:rPr>
                <w:noProof/>
                <w:webHidden/>
              </w:rPr>
              <w:fldChar w:fldCharType="begin"/>
            </w:r>
            <w:r>
              <w:rPr>
                <w:noProof/>
                <w:webHidden/>
              </w:rPr>
              <w:instrText xml:space="preserve"> PAGEREF _Toc28010436 \h </w:instrText>
            </w:r>
            <w:r>
              <w:rPr>
                <w:noProof/>
                <w:webHidden/>
              </w:rPr>
            </w:r>
            <w:r>
              <w:rPr>
                <w:noProof/>
                <w:webHidden/>
              </w:rPr>
              <w:fldChar w:fldCharType="separate"/>
            </w:r>
            <w:r>
              <w:rPr>
                <w:noProof/>
                <w:webHidden/>
              </w:rPr>
              <w:t>5</w:t>
            </w:r>
            <w:r>
              <w:rPr>
                <w:noProof/>
                <w:webHidden/>
              </w:rPr>
              <w:fldChar w:fldCharType="end"/>
            </w:r>
          </w:hyperlink>
        </w:p>
        <w:p w14:paraId="22721452" w14:textId="0A697319" w:rsidR="00406701" w:rsidRDefault="00406701">
          <w:pPr>
            <w:pStyle w:val="TOC2"/>
            <w:tabs>
              <w:tab w:val="right" w:leader="dot" w:pos="9170"/>
            </w:tabs>
            <w:rPr>
              <w:rFonts w:eastAsiaTheme="minorEastAsia"/>
              <w:noProof/>
              <w:lang w:val="en-GB" w:eastAsia="en-GB"/>
            </w:rPr>
          </w:pPr>
          <w:hyperlink w:anchor="_Toc28010437" w:history="1">
            <w:r w:rsidRPr="00360417">
              <w:rPr>
                <w:rStyle w:val="Hyperlink"/>
                <w:rFonts w:cstheme="minorHAnsi"/>
                <w:b/>
                <w:noProof/>
              </w:rPr>
              <w:t>Institutional Setup of the Sector</w:t>
            </w:r>
            <w:r>
              <w:rPr>
                <w:noProof/>
                <w:webHidden/>
              </w:rPr>
              <w:tab/>
            </w:r>
            <w:r>
              <w:rPr>
                <w:noProof/>
                <w:webHidden/>
              </w:rPr>
              <w:fldChar w:fldCharType="begin"/>
            </w:r>
            <w:r>
              <w:rPr>
                <w:noProof/>
                <w:webHidden/>
              </w:rPr>
              <w:instrText xml:space="preserve"> PAGEREF _Toc28010437 \h </w:instrText>
            </w:r>
            <w:r>
              <w:rPr>
                <w:noProof/>
                <w:webHidden/>
              </w:rPr>
            </w:r>
            <w:r>
              <w:rPr>
                <w:noProof/>
                <w:webHidden/>
              </w:rPr>
              <w:fldChar w:fldCharType="separate"/>
            </w:r>
            <w:r>
              <w:rPr>
                <w:noProof/>
                <w:webHidden/>
              </w:rPr>
              <w:t>6</w:t>
            </w:r>
            <w:r>
              <w:rPr>
                <w:noProof/>
                <w:webHidden/>
              </w:rPr>
              <w:fldChar w:fldCharType="end"/>
            </w:r>
          </w:hyperlink>
        </w:p>
        <w:p w14:paraId="0D823FEB" w14:textId="32936087" w:rsidR="00406701" w:rsidRDefault="00406701">
          <w:pPr>
            <w:pStyle w:val="TOC3"/>
            <w:tabs>
              <w:tab w:val="right" w:leader="dot" w:pos="9170"/>
            </w:tabs>
            <w:rPr>
              <w:rFonts w:eastAsiaTheme="minorEastAsia"/>
              <w:noProof/>
              <w:lang w:val="en-GB" w:eastAsia="en-GB"/>
            </w:rPr>
          </w:pPr>
          <w:hyperlink w:anchor="_Toc28010438" w:history="1">
            <w:r w:rsidRPr="00360417">
              <w:rPr>
                <w:rStyle w:val="Hyperlink"/>
                <w:b/>
                <w:noProof/>
              </w:rPr>
              <w:t>Programs Implemented by the Government of Georgia</w:t>
            </w:r>
            <w:r>
              <w:rPr>
                <w:noProof/>
                <w:webHidden/>
              </w:rPr>
              <w:tab/>
            </w:r>
            <w:r>
              <w:rPr>
                <w:noProof/>
                <w:webHidden/>
              </w:rPr>
              <w:fldChar w:fldCharType="begin"/>
            </w:r>
            <w:r>
              <w:rPr>
                <w:noProof/>
                <w:webHidden/>
              </w:rPr>
              <w:instrText xml:space="preserve"> PAGEREF _Toc28010438 \h </w:instrText>
            </w:r>
            <w:r>
              <w:rPr>
                <w:noProof/>
                <w:webHidden/>
              </w:rPr>
            </w:r>
            <w:r>
              <w:rPr>
                <w:noProof/>
                <w:webHidden/>
              </w:rPr>
              <w:fldChar w:fldCharType="separate"/>
            </w:r>
            <w:r>
              <w:rPr>
                <w:noProof/>
                <w:webHidden/>
              </w:rPr>
              <w:t>9</w:t>
            </w:r>
            <w:r>
              <w:rPr>
                <w:noProof/>
                <w:webHidden/>
              </w:rPr>
              <w:fldChar w:fldCharType="end"/>
            </w:r>
          </w:hyperlink>
        </w:p>
        <w:p w14:paraId="58DAE1B4" w14:textId="0B99EEB2" w:rsidR="00406701" w:rsidRDefault="00406701">
          <w:pPr>
            <w:pStyle w:val="TOC2"/>
            <w:tabs>
              <w:tab w:val="left" w:pos="660"/>
              <w:tab w:val="right" w:leader="dot" w:pos="9170"/>
            </w:tabs>
            <w:rPr>
              <w:rFonts w:eastAsiaTheme="minorEastAsia"/>
              <w:noProof/>
              <w:lang w:val="en-GB" w:eastAsia="en-GB"/>
            </w:rPr>
          </w:pPr>
          <w:hyperlink w:anchor="_Toc28010439" w:history="1">
            <w:r w:rsidRPr="00360417">
              <w:rPr>
                <w:rStyle w:val="Hyperlink"/>
                <w:rFonts w:cstheme="minorHAnsi"/>
                <w:b/>
                <w:noProof/>
              </w:rPr>
              <w:t>B.</w:t>
            </w:r>
            <w:r>
              <w:rPr>
                <w:rFonts w:eastAsiaTheme="minorEastAsia"/>
                <w:noProof/>
                <w:lang w:val="en-GB" w:eastAsia="en-GB"/>
              </w:rPr>
              <w:tab/>
            </w:r>
            <w:r w:rsidRPr="00360417">
              <w:rPr>
                <w:rStyle w:val="Hyperlink"/>
                <w:rFonts w:cstheme="minorHAnsi"/>
                <w:b/>
                <w:noProof/>
              </w:rPr>
              <w:t>Problem Definition</w:t>
            </w:r>
            <w:r>
              <w:rPr>
                <w:noProof/>
                <w:webHidden/>
              </w:rPr>
              <w:tab/>
            </w:r>
            <w:r>
              <w:rPr>
                <w:noProof/>
                <w:webHidden/>
              </w:rPr>
              <w:fldChar w:fldCharType="begin"/>
            </w:r>
            <w:r>
              <w:rPr>
                <w:noProof/>
                <w:webHidden/>
              </w:rPr>
              <w:instrText xml:space="preserve"> PAGEREF _Toc28010439 \h </w:instrText>
            </w:r>
            <w:r>
              <w:rPr>
                <w:noProof/>
                <w:webHidden/>
              </w:rPr>
            </w:r>
            <w:r>
              <w:rPr>
                <w:noProof/>
                <w:webHidden/>
              </w:rPr>
              <w:fldChar w:fldCharType="separate"/>
            </w:r>
            <w:r>
              <w:rPr>
                <w:noProof/>
                <w:webHidden/>
              </w:rPr>
              <w:t>14</w:t>
            </w:r>
            <w:r>
              <w:rPr>
                <w:noProof/>
                <w:webHidden/>
              </w:rPr>
              <w:fldChar w:fldCharType="end"/>
            </w:r>
          </w:hyperlink>
        </w:p>
        <w:p w14:paraId="60118D3B" w14:textId="112D812E" w:rsidR="00406701" w:rsidRDefault="00406701">
          <w:pPr>
            <w:pStyle w:val="TOC3"/>
            <w:tabs>
              <w:tab w:val="right" w:leader="dot" w:pos="9170"/>
            </w:tabs>
            <w:rPr>
              <w:rFonts w:eastAsiaTheme="minorEastAsia"/>
              <w:noProof/>
              <w:lang w:val="en-GB" w:eastAsia="en-GB"/>
            </w:rPr>
          </w:pPr>
          <w:hyperlink w:anchor="_Toc28010440" w:history="1">
            <w:r w:rsidRPr="00360417">
              <w:rPr>
                <w:rStyle w:val="Hyperlink"/>
                <w:b/>
                <w:noProof/>
                <w:lang w:val="en-GB"/>
              </w:rPr>
              <w:t xml:space="preserve">Defining Unstable Housing: the </w:t>
            </w:r>
            <w:r w:rsidRPr="00360417">
              <w:rPr>
                <w:rStyle w:val="Hyperlink"/>
                <w:rFonts w:cstheme="minorHAnsi"/>
                <w:b/>
                <w:noProof/>
              </w:rPr>
              <w:t>European Typology on Homelessness and Housing Exclusion (ETHOS)</w:t>
            </w:r>
            <w:r>
              <w:rPr>
                <w:noProof/>
                <w:webHidden/>
              </w:rPr>
              <w:tab/>
            </w:r>
            <w:r>
              <w:rPr>
                <w:noProof/>
                <w:webHidden/>
              </w:rPr>
              <w:fldChar w:fldCharType="begin"/>
            </w:r>
            <w:r>
              <w:rPr>
                <w:noProof/>
                <w:webHidden/>
              </w:rPr>
              <w:instrText xml:space="preserve"> PAGEREF _Toc28010440 \h </w:instrText>
            </w:r>
            <w:r>
              <w:rPr>
                <w:noProof/>
                <w:webHidden/>
              </w:rPr>
            </w:r>
            <w:r>
              <w:rPr>
                <w:noProof/>
                <w:webHidden/>
              </w:rPr>
              <w:fldChar w:fldCharType="separate"/>
            </w:r>
            <w:r>
              <w:rPr>
                <w:noProof/>
                <w:webHidden/>
              </w:rPr>
              <w:t>14</w:t>
            </w:r>
            <w:r>
              <w:rPr>
                <w:noProof/>
                <w:webHidden/>
              </w:rPr>
              <w:fldChar w:fldCharType="end"/>
            </w:r>
          </w:hyperlink>
        </w:p>
        <w:p w14:paraId="1C63FE48" w14:textId="15DA37AF" w:rsidR="00406701" w:rsidRDefault="00406701">
          <w:pPr>
            <w:pStyle w:val="TOC3"/>
            <w:tabs>
              <w:tab w:val="right" w:leader="dot" w:pos="9170"/>
            </w:tabs>
            <w:rPr>
              <w:rFonts w:eastAsiaTheme="minorEastAsia"/>
              <w:noProof/>
              <w:lang w:val="en-GB" w:eastAsia="en-GB"/>
            </w:rPr>
          </w:pPr>
          <w:hyperlink w:anchor="_Toc28010441" w:history="1">
            <w:r w:rsidRPr="00360417">
              <w:rPr>
                <w:rStyle w:val="Hyperlink"/>
                <w:b/>
                <w:noProof/>
                <w:lang w:val="en-GB"/>
              </w:rPr>
              <w:t>Measuring Homelessness</w:t>
            </w:r>
            <w:r>
              <w:rPr>
                <w:noProof/>
                <w:webHidden/>
              </w:rPr>
              <w:tab/>
            </w:r>
            <w:r>
              <w:rPr>
                <w:noProof/>
                <w:webHidden/>
              </w:rPr>
              <w:fldChar w:fldCharType="begin"/>
            </w:r>
            <w:r>
              <w:rPr>
                <w:noProof/>
                <w:webHidden/>
              </w:rPr>
              <w:instrText xml:space="preserve"> PAGEREF _Toc28010441 \h </w:instrText>
            </w:r>
            <w:r>
              <w:rPr>
                <w:noProof/>
                <w:webHidden/>
              </w:rPr>
            </w:r>
            <w:r>
              <w:rPr>
                <w:noProof/>
                <w:webHidden/>
              </w:rPr>
              <w:fldChar w:fldCharType="separate"/>
            </w:r>
            <w:r>
              <w:rPr>
                <w:noProof/>
                <w:webHidden/>
              </w:rPr>
              <w:t>16</w:t>
            </w:r>
            <w:r>
              <w:rPr>
                <w:noProof/>
                <w:webHidden/>
              </w:rPr>
              <w:fldChar w:fldCharType="end"/>
            </w:r>
          </w:hyperlink>
        </w:p>
        <w:p w14:paraId="431ECE92" w14:textId="673D8F47" w:rsidR="00406701" w:rsidRDefault="00406701">
          <w:pPr>
            <w:pStyle w:val="TOC2"/>
            <w:tabs>
              <w:tab w:val="right" w:leader="dot" w:pos="9170"/>
            </w:tabs>
            <w:rPr>
              <w:rFonts w:eastAsiaTheme="minorEastAsia"/>
              <w:noProof/>
              <w:lang w:val="en-GB" w:eastAsia="en-GB"/>
            </w:rPr>
          </w:pPr>
          <w:hyperlink w:anchor="_Toc28010442" w:history="1">
            <w:r w:rsidRPr="00360417">
              <w:rPr>
                <w:rStyle w:val="Hyperlink"/>
                <w:b/>
                <w:noProof/>
              </w:rPr>
              <w:t>Why Unstable Housing is an Important Issue</w:t>
            </w:r>
            <w:r>
              <w:rPr>
                <w:noProof/>
                <w:webHidden/>
              </w:rPr>
              <w:tab/>
            </w:r>
            <w:r>
              <w:rPr>
                <w:noProof/>
                <w:webHidden/>
              </w:rPr>
              <w:fldChar w:fldCharType="begin"/>
            </w:r>
            <w:r>
              <w:rPr>
                <w:noProof/>
                <w:webHidden/>
              </w:rPr>
              <w:instrText xml:space="preserve"> PAGEREF _Toc28010442 \h </w:instrText>
            </w:r>
            <w:r>
              <w:rPr>
                <w:noProof/>
                <w:webHidden/>
              </w:rPr>
            </w:r>
            <w:r>
              <w:rPr>
                <w:noProof/>
                <w:webHidden/>
              </w:rPr>
              <w:fldChar w:fldCharType="separate"/>
            </w:r>
            <w:r>
              <w:rPr>
                <w:noProof/>
                <w:webHidden/>
              </w:rPr>
              <w:t>16</w:t>
            </w:r>
            <w:r>
              <w:rPr>
                <w:noProof/>
                <w:webHidden/>
              </w:rPr>
              <w:fldChar w:fldCharType="end"/>
            </w:r>
          </w:hyperlink>
        </w:p>
        <w:p w14:paraId="0FE79CA5" w14:textId="114A151D" w:rsidR="00406701" w:rsidRDefault="00406701">
          <w:pPr>
            <w:pStyle w:val="TOC3"/>
            <w:tabs>
              <w:tab w:val="right" w:leader="dot" w:pos="9170"/>
            </w:tabs>
            <w:rPr>
              <w:rFonts w:eastAsiaTheme="minorEastAsia"/>
              <w:noProof/>
              <w:lang w:val="en-GB" w:eastAsia="en-GB"/>
            </w:rPr>
          </w:pPr>
          <w:hyperlink w:anchor="_Toc28010443" w:history="1">
            <w:r w:rsidRPr="00360417">
              <w:rPr>
                <w:rStyle w:val="Hyperlink"/>
                <w:b/>
                <w:noProof/>
                <w:lang w:val="en-GB"/>
              </w:rPr>
              <w:t>Determinants of Unstable Housing</w:t>
            </w:r>
            <w:r>
              <w:rPr>
                <w:noProof/>
                <w:webHidden/>
              </w:rPr>
              <w:tab/>
            </w:r>
            <w:r>
              <w:rPr>
                <w:noProof/>
                <w:webHidden/>
              </w:rPr>
              <w:fldChar w:fldCharType="begin"/>
            </w:r>
            <w:r>
              <w:rPr>
                <w:noProof/>
                <w:webHidden/>
              </w:rPr>
              <w:instrText xml:space="preserve"> PAGEREF _Toc28010443 \h </w:instrText>
            </w:r>
            <w:r>
              <w:rPr>
                <w:noProof/>
                <w:webHidden/>
              </w:rPr>
            </w:r>
            <w:r>
              <w:rPr>
                <w:noProof/>
                <w:webHidden/>
              </w:rPr>
              <w:fldChar w:fldCharType="separate"/>
            </w:r>
            <w:r>
              <w:rPr>
                <w:noProof/>
                <w:webHidden/>
              </w:rPr>
              <w:t>18</w:t>
            </w:r>
            <w:r>
              <w:rPr>
                <w:noProof/>
                <w:webHidden/>
              </w:rPr>
              <w:fldChar w:fldCharType="end"/>
            </w:r>
          </w:hyperlink>
        </w:p>
        <w:p w14:paraId="4371251B" w14:textId="2F8AC365" w:rsidR="00406701" w:rsidRDefault="00406701">
          <w:pPr>
            <w:pStyle w:val="TOC2"/>
            <w:tabs>
              <w:tab w:val="right" w:leader="dot" w:pos="9170"/>
            </w:tabs>
            <w:rPr>
              <w:rFonts w:eastAsiaTheme="minorEastAsia"/>
              <w:noProof/>
              <w:lang w:val="en-GB" w:eastAsia="en-GB"/>
            </w:rPr>
          </w:pPr>
          <w:hyperlink w:anchor="_Toc28010444" w:history="1">
            <w:r w:rsidRPr="00360417">
              <w:rPr>
                <w:rStyle w:val="Hyperlink"/>
                <w:b/>
                <w:noProof/>
              </w:rPr>
              <w:t>Which role for the government?</w:t>
            </w:r>
            <w:r>
              <w:rPr>
                <w:noProof/>
                <w:webHidden/>
              </w:rPr>
              <w:tab/>
            </w:r>
            <w:r>
              <w:rPr>
                <w:noProof/>
                <w:webHidden/>
              </w:rPr>
              <w:fldChar w:fldCharType="begin"/>
            </w:r>
            <w:r>
              <w:rPr>
                <w:noProof/>
                <w:webHidden/>
              </w:rPr>
              <w:instrText xml:space="preserve"> PAGEREF _Toc28010444 \h </w:instrText>
            </w:r>
            <w:r>
              <w:rPr>
                <w:noProof/>
                <w:webHidden/>
              </w:rPr>
            </w:r>
            <w:r>
              <w:rPr>
                <w:noProof/>
                <w:webHidden/>
              </w:rPr>
              <w:fldChar w:fldCharType="separate"/>
            </w:r>
            <w:r>
              <w:rPr>
                <w:noProof/>
                <w:webHidden/>
              </w:rPr>
              <w:t>20</w:t>
            </w:r>
            <w:r>
              <w:rPr>
                <w:noProof/>
                <w:webHidden/>
              </w:rPr>
              <w:fldChar w:fldCharType="end"/>
            </w:r>
          </w:hyperlink>
        </w:p>
        <w:p w14:paraId="66A95B5E" w14:textId="6A5CE93D" w:rsidR="00406701" w:rsidRDefault="00406701">
          <w:pPr>
            <w:pStyle w:val="TOC2"/>
            <w:tabs>
              <w:tab w:val="left" w:pos="660"/>
              <w:tab w:val="right" w:leader="dot" w:pos="9170"/>
            </w:tabs>
            <w:rPr>
              <w:rFonts w:eastAsiaTheme="minorEastAsia"/>
              <w:noProof/>
              <w:lang w:val="en-GB" w:eastAsia="en-GB"/>
            </w:rPr>
          </w:pPr>
          <w:hyperlink w:anchor="_Toc28010445" w:history="1">
            <w:r w:rsidRPr="00360417">
              <w:rPr>
                <w:rStyle w:val="Hyperlink"/>
                <w:rFonts w:cstheme="minorHAnsi"/>
                <w:b/>
                <w:noProof/>
              </w:rPr>
              <w:t>C.</w:t>
            </w:r>
            <w:r>
              <w:rPr>
                <w:rFonts w:eastAsiaTheme="minorEastAsia"/>
                <w:noProof/>
                <w:lang w:val="en-GB" w:eastAsia="en-GB"/>
              </w:rPr>
              <w:tab/>
            </w:r>
            <w:r w:rsidRPr="00360417">
              <w:rPr>
                <w:rStyle w:val="Hyperlink"/>
                <w:rFonts w:cstheme="minorHAnsi"/>
                <w:b/>
                <w:noProof/>
              </w:rPr>
              <w:t>Background to the baseline scenario</w:t>
            </w:r>
            <w:r>
              <w:rPr>
                <w:noProof/>
                <w:webHidden/>
              </w:rPr>
              <w:tab/>
            </w:r>
            <w:r>
              <w:rPr>
                <w:noProof/>
                <w:webHidden/>
              </w:rPr>
              <w:fldChar w:fldCharType="begin"/>
            </w:r>
            <w:r>
              <w:rPr>
                <w:noProof/>
                <w:webHidden/>
              </w:rPr>
              <w:instrText xml:space="preserve"> PAGEREF _Toc28010445 \h </w:instrText>
            </w:r>
            <w:r>
              <w:rPr>
                <w:noProof/>
                <w:webHidden/>
              </w:rPr>
            </w:r>
            <w:r>
              <w:rPr>
                <w:noProof/>
                <w:webHidden/>
              </w:rPr>
              <w:fldChar w:fldCharType="separate"/>
            </w:r>
            <w:r>
              <w:rPr>
                <w:noProof/>
                <w:webHidden/>
              </w:rPr>
              <w:t>20</w:t>
            </w:r>
            <w:r>
              <w:rPr>
                <w:noProof/>
                <w:webHidden/>
              </w:rPr>
              <w:fldChar w:fldCharType="end"/>
            </w:r>
          </w:hyperlink>
        </w:p>
        <w:p w14:paraId="0A2307D5" w14:textId="5D6E42C5" w:rsidR="00406701" w:rsidRDefault="00406701">
          <w:pPr>
            <w:pStyle w:val="TOC3"/>
            <w:tabs>
              <w:tab w:val="right" w:leader="dot" w:pos="9170"/>
            </w:tabs>
            <w:rPr>
              <w:rFonts w:eastAsiaTheme="minorEastAsia"/>
              <w:noProof/>
              <w:lang w:val="en-GB" w:eastAsia="en-GB"/>
            </w:rPr>
          </w:pPr>
          <w:hyperlink w:anchor="_Toc28010446" w:history="1">
            <w:r w:rsidRPr="00360417">
              <w:rPr>
                <w:rStyle w:val="Hyperlink"/>
                <w:b/>
                <w:noProof/>
              </w:rPr>
              <w:t>A Brief Overview of the Existing Literature About Unstable Housing in Georgia</w:t>
            </w:r>
            <w:r>
              <w:rPr>
                <w:noProof/>
                <w:webHidden/>
              </w:rPr>
              <w:tab/>
            </w:r>
            <w:r>
              <w:rPr>
                <w:noProof/>
                <w:webHidden/>
              </w:rPr>
              <w:fldChar w:fldCharType="begin"/>
            </w:r>
            <w:r>
              <w:rPr>
                <w:noProof/>
                <w:webHidden/>
              </w:rPr>
              <w:instrText xml:space="preserve"> PAGEREF _Toc28010446 \h </w:instrText>
            </w:r>
            <w:r>
              <w:rPr>
                <w:noProof/>
                <w:webHidden/>
              </w:rPr>
            </w:r>
            <w:r>
              <w:rPr>
                <w:noProof/>
                <w:webHidden/>
              </w:rPr>
              <w:fldChar w:fldCharType="separate"/>
            </w:r>
            <w:r>
              <w:rPr>
                <w:noProof/>
                <w:webHidden/>
              </w:rPr>
              <w:t>21</w:t>
            </w:r>
            <w:r>
              <w:rPr>
                <w:noProof/>
                <w:webHidden/>
              </w:rPr>
              <w:fldChar w:fldCharType="end"/>
            </w:r>
          </w:hyperlink>
        </w:p>
        <w:p w14:paraId="7CF03251" w14:textId="2771731D" w:rsidR="00406701" w:rsidRDefault="00406701">
          <w:pPr>
            <w:pStyle w:val="TOC3"/>
            <w:tabs>
              <w:tab w:val="right" w:leader="dot" w:pos="9170"/>
            </w:tabs>
            <w:rPr>
              <w:rFonts w:eastAsiaTheme="minorEastAsia"/>
              <w:noProof/>
              <w:lang w:val="en-GB" w:eastAsia="en-GB"/>
            </w:rPr>
          </w:pPr>
          <w:hyperlink w:anchor="_Toc28010447" w:history="1">
            <w:r w:rsidRPr="00360417">
              <w:rPr>
                <w:rStyle w:val="Hyperlink"/>
                <w:b/>
                <w:noProof/>
              </w:rPr>
              <w:t>Data</w:t>
            </w:r>
            <w:r>
              <w:rPr>
                <w:noProof/>
                <w:webHidden/>
              </w:rPr>
              <w:tab/>
            </w:r>
            <w:r>
              <w:rPr>
                <w:noProof/>
                <w:webHidden/>
              </w:rPr>
              <w:fldChar w:fldCharType="begin"/>
            </w:r>
            <w:r>
              <w:rPr>
                <w:noProof/>
                <w:webHidden/>
              </w:rPr>
              <w:instrText xml:space="preserve"> PAGEREF _Toc28010447 \h </w:instrText>
            </w:r>
            <w:r>
              <w:rPr>
                <w:noProof/>
                <w:webHidden/>
              </w:rPr>
            </w:r>
            <w:r>
              <w:rPr>
                <w:noProof/>
                <w:webHidden/>
              </w:rPr>
              <w:fldChar w:fldCharType="separate"/>
            </w:r>
            <w:r>
              <w:rPr>
                <w:noProof/>
                <w:webHidden/>
              </w:rPr>
              <w:t>23</w:t>
            </w:r>
            <w:r>
              <w:rPr>
                <w:noProof/>
                <w:webHidden/>
              </w:rPr>
              <w:fldChar w:fldCharType="end"/>
            </w:r>
          </w:hyperlink>
        </w:p>
        <w:p w14:paraId="25C7599E" w14:textId="15D8F5CC" w:rsidR="00406701" w:rsidRDefault="00406701">
          <w:pPr>
            <w:pStyle w:val="TOC2"/>
            <w:tabs>
              <w:tab w:val="right" w:leader="dot" w:pos="9170"/>
            </w:tabs>
            <w:rPr>
              <w:rFonts w:eastAsiaTheme="minorEastAsia"/>
              <w:noProof/>
              <w:lang w:val="en-GB" w:eastAsia="en-GB"/>
            </w:rPr>
          </w:pPr>
          <w:hyperlink w:anchor="_Toc28010448" w:history="1">
            <w:r w:rsidRPr="00360417">
              <w:rPr>
                <w:rStyle w:val="Hyperlink"/>
                <w:b/>
                <w:noProof/>
              </w:rPr>
              <w:t>General Market Trends</w:t>
            </w:r>
            <w:r>
              <w:rPr>
                <w:noProof/>
                <w:webHidden/>
              </w:rPr>
              <w:tab/>
            </w:r>
            <w:r>
              <w:rPr>
                <w:noProof/>
                <w:webHidden/>
              </w:rPr>
              <w:fldChar w:fldCharType="begin"/>
            </w:r>
            <w:r>
              <w:rPr>
                <w:noProof/>
                <w:webHidden/>
              </w:rPr>
              <w:instrText xml:space="preserve"> PAGEREF _Toc28010448 \h </w:instrText>
            </w:r>
            <w:r>
              <w:rPr>
                <w:noProof/>
                <w:webHidden/>
              </w:rPr>
            </w:r>
            <w:r>
              <w:rPr>
                <w:noProof/>
                <w:webHidden/>
              </w:rPr>
              <w:fldChar w:fldCharType="separate"/>
            </w:r>
            <w:r>
              <w:rPr>
                <w:noProof/>
                <w:webHidden/>
              </w:rPr>
              <w:t>24</w:t>
            </w:r>
            <w:r>
              <w:rPr>
                <w:noProof/>
                <w:webHidden/>
              </w:rPr>
              <w:fldChar w:fldCharType="end"/>
            </w:r>
          </w:hyperlink>
        </w:p>
        <w:p w14:paraId="6BC5D68A" w14:textId="62C63FD3" w:rsidR="00406701" w:rsidRDefault="00406701">
          <w:pPr>
            <w:pStyle w:val="TOC2"/>
            <w:tabs>
              <w:tab w:val="right" w:leader="dot" w:pos="9170"/>
            </w:tabs>
            <w:rPr>
              <w:rFonts w:eastAsiaTheme="minorEastAsia"/>
              <w:noProof/>
              <w:lang w:val="en-GB" w:eastAsia="en-GB"/>
            </w:rPr>
          </w:pPr>
          <w:hyperlink w:anchor="_Toc28010449" w:history="1">
            <w:r w:rsidRPr="00360417">
              <w:rPr>
                <w:rStyle w:val="Hyperlink"/>
                <w:b/>
                <w:noProof/>
              </w:rPr>
              <w:t>Overview of Unstable Housing Incidence</w:t>
            </w:r>
            <w:r>
              <w:rPr>
                <w:noProof/>
                <w:webHidden/>
              </w:rPr>
              <w:tab/>
            </w:r>
            <w:r>
              <w:rPr>
                <w:noProof/>
                <w:webHidden/>
              </w:rPr>
              <w:fldChar w:fldCharType="begin"/>
            </w:r>
            <w:r>
              <w:rPr>
                <w:noProof/>
                <w:webHidden/>
              </w:rPr>
              <w:instrText xml:space="preserve"> PAGEREF _Toc28010449 \h </w:instrText>
            </w:r>
            <w:r>
              <w:rPr>
                <w:noProof/>
                <w:webHidden/>
              </w:rPr>
            </w:r>
            <w:r>
              <w:rPr>
                <w:noProof/>
                <w:webHidden/>
              </w:rPr>
              <w:fldChar w:fldCharType="separate"/>
            </w:r>
            <w:r>
              <w:rPr>
                <w:noProof/>
                <w:webHidden/>
              </w:rPr>
              <w:t>35</w:t>
            </w:r>
            <w:r>
              <w:rPr>
                <w:noProof/>
                <w:webHidden/>
              </w:rPr>
              <w:fldChar w:fldCharType="end"/>
            </w:r>
          </w:hyperlink>
        </w:p>
        <w:p w14:paraId="1FC46BAA" w14:textId="445F8145" w:rsidR="00406701" w:rsidRDefault="00406701">
          <w:pPr>
            <w:pStyle w:val="TOC3"/>
            <w:tabs>
              <w:tab w:val="right" w:leader="dot" w:pos="9170"/>
            </w:tabs>
            <w:rPr>
              <w:rFonts w:eastAsiaTheme="minorEastAsia"/>
              <w:noProof/>
              <w:lang w:val="en-GB" w:eastAsia="en-GB"/>
            </w:rPr>
          </w:pPr>
          <w:hyperlink w:anchor="_Toc28010450" w:history="1">
            <w:r w:rsidRPr="00360417">
              <w:rPr>
                <w:rStyle w:val="Hyperlink"/>
                <w:b/>
                <w:noProof/>
              </w:rPr>
              <w:t>Disaggregated Analysis</w:t>
            </w:r>
            <w:r>
              <w:rPr>
                <w:noProof/>
                <w:webHidden/>
              </w:rPr>
              <w:tab/>
            </w:r>
            <w:r>
              <w:rPr>
                <w:noProof/>
                <w:webHidden/>
              </w:rPr>
              <w:fldChar w:fldCharType="begin"/>
            </w:r>
            <w:r>
              <w:rPr>
                <w:noProof/>
                <w:webHidden/>
              </w:rPr>
              <w:instrText xml:space="preserve"> PAGEREF _Toc28010450 \h </w:instrText>
            </w:r>
            <w:r>
              <w:rPr>
                <w:noProof/>
                <w:webHidden/>
              </w:rPr>
            </w:r>
            <w:r>
              <w:rPr>
                <w:noProof/>
                <w:webHidden/>
              </w:rPr>
              <w:fldChar w:fldCharType="separate"/>
            </w:r>
            <w:r>
              <w:rPr>
                <w:noProof/>
                <w:webHidden/>
              </w:rPr>
              <w:t>54</w:t>
            </w:r>
            <w:r>
              <w:rPr>
                <w:noProof/>
                <w:webHidden/>
              </w:rPr>
              <w:fldChar w:fldCharType="end"/>
            </w:r>
          </w:hyperlink>
        </w:p>
        <w:p w14:paraId="4D63123A" w14:textId="217D942B" w:rsidR="00406701" w:rsidRDefault="00406701">
          <w:pPr>
            <w:pStyle w:val="TOC1"/>
            <w:tabs>
              <w:tab w:val="right" w:leader="dot" w:pos="9170"/>
            </w:tabs>
            <w:rPr>
              <w:rFonts w:eastAsiaTheme="minorEastAsia"/>
              <w:noProof/>
              <w:lang w:val="en-GB" w:eastAsia="en-GB"/>
            </w:rPr>
          </w:pPr>
          <w:hyperlink w:anchor="_Toc28010451" w:history="1">
            <w:r w:rsidRPr="00360417">
              <w:rPr>
                <w:rStyle w:val="Hyperlink"/>
                <w:b/>
                <w:noProof/>
              </w:rPr>
              <w:t>Summary and Conclusions</w:t>
            </w:r>
            <w:r>
              <w:rPr>
                <w:noProof/>
                <w:webHidden/>
              </w:rPr>
              <w:tab/>
            </w:r>
            <w:r>
              <w:rPr>
                <w:noProof/>
                <w:webHidden/>
              </w:rPr>
              <w:fldChar w:fldCharType="begin"/>
            </w:r>
            <w:r>
              <w:rPr>
                <w:noProof/>
                <w:webHidden/>
              </w:rPr>
              <w:instrText xml:space="preserve"> PAGEREF _Toc28010451 \h </w:instrText>
            </w:r>
            <w:r>
              <w:rPr>
                <w:noProof/>
                <w:webHidden/>
              </w:rPr>
            </w:r>
            <w:r>
              <w:rPr>
                <w:noProof/>
                <w:webHidden/>
              </w:rPr>
              <w:fldChar w:fldCharType="separate"/>
            </w:r>
            <w:r>
              <w:rPr>
                <w:noProof/>
                <w:webHidden/>
              </w:rPr>
              <w:t>71</w:t>
            </w:r>
            <w:r>
              <w:rPr>
                <w:noProof/>
                <w:webHidden/>
              </w:rPr>
              <w:fldChar w:fldCharType="end"/>
            </w:r>
          </w:hyperlink>
        </w:p>
        <w:p w14:paraId="6CBF211F" w14:textId="24120517" w:rsidR="00406701" w:rsidRDefault="00406701">
          <w:pPr>
            <w:pStyle w:val="TOC1"/>
            <w:tabs>
              <w:tab w:val="right" w:leader="dot" w:pos="9170"/>
            </w:tabs>
            <w:rPr>
              <w:rFonts w:eastAsiaTheme="minorEastAsia"/>
              <w:noProof/>
              <w:lang w:val="en-GB" w:eastAsia="en-GB"/>
            </w:rPr>
          </w:pPr>
          <w:hyperlink w:anchor="_Toc28010452" w:history="1">
            <w:r w:rsidRPr="00360417">
              <w:rPr>
                <w:rStyle w:val="Hyperlink"/>
                <w:b/>
                <w:bCs/>
                <w:noProof/>
              </w:rPr>
              <w:t>Possible Priorities for the Strategy to Tackle Unstable Housing in Georgia</w:t>
            </w:r>
            <w:r>
              <w:rPr>
                <w:noProof/>
                <w:webHidden/>
              </w:rPr>
              <w:tab/>
            </w:r>
            <w:r>
              <w:rPr>
                <w:noProof/>
                <w:webHidden/>
              </w:rPr>
              <w:fldChar w:fldCharType="begin"/>
            </w:r>
            <w:r>
              <w:rPr>
                <w:noProof/>
                <w:webHidden/>
              </w:rPr>
              <w:instrText xml:space="preserve"> PAGEREF _Toc28010452 \h </w:instrText>
            </w:r>
            <w:r>
              <w:rPr>
                <w:noProof/>
                <w:webHidden/>
              </w:rPr>
            </w:r>
            <w:r>
              <w:rPr>
                <w:noProof/>
                <w:webHidden/>
              </w:rPr>
              <w:fldChar w:fldCharType="separate"/>
            </w:r>
            <w:r>
              <w:rPr>
                <w:noProof/>
                <w:webHidden/>
              </w:rPr>
              <w:t>72</w:t>
            </w:r>
            <w:r>
              <w:rPr>
                <w:noProof/>
                <w:webHidden/>
              </w:rPr>
              <w:fldChar w:fldCharType="end"/>
            </w:r>
          </w:hyperlink>
        </w:p>
        <w:p w14:paraId="7B668B3C" w14:textId="6F3D00B7" w:rsidR="00406701" w:rsidRDefault="00406701">
          <w:pPr>
            <w:pStyle w:val="TOC1"/>
            <w:tabs>
              <w:tab w:val="right" w:leader="dot" w:pos="9170"/>
            </w:tabs>
            <w:rPr>
              <w:rFonts w:eastAsiaTheme="minorEastAsia"/>
              <w:noProof/>
              <w:lang w:val="en-GB" w:eastAsia="en-GB"/>
            </w:rPr>
          </w:pPr>
          <w:hyperlink w:anchor="_Toc28010453" w:history="1">
            <w:r w:rsidRPr="00360417">
              <w:rPr>
                <w:rStyle w:val="Hyperlink"/>
                <w:b/>
                <w:bCs/>
                <w:noProof/>
              </w:rPr>
              <w:t>Possible Options for the Strategy to Tackle Unstable Housing in Georgia</w:t>
            </w:r>
            <w:r>
              <w:rPr>
                <w:noProof/>
                <w:webHidden/>
              </w:rPr>
              <w:tab/>
            </w:r>
            <w:r>
              <w:rPr>
                <w:noProof/>
                <w:webHidden/>
              </w:rPr>
              <w:fldChar w:fldCharType="begin"/>
            </w:r>
            <w:r>
              <w:rPr>
                <w:noProof/>
                <w:webHidden/>
              </w:rPr>
              <w:instrText xml:space="preserve"> PAGEREF _Toc28010453 \h </w:instrText>
            </w:r>
            <w:r>
              <w:rPr>
                <w:noProof/>
                <w:webHidden/>
              </w:rPr>
            </w:r>
            <w:r>
              <w:rPr>
                <w:noProof/>
                <w:webHidden/>
              </w:rPr>
              <w:fldChar w:fldCharType="separate"/>
            </w:r>
            <w:r>
              <w:rPr>
                <w:noProof/>
                <w:webHidden/>
              </w:rPr>
              <w:t>74</w:t>
            </w:r>
            <w:r>
              <w:rPr>
                <w:noProof/>
                <w:webHidden/>
              </w:rPr>
              <w:fldChar w:fldCharType="end"/>
            </w:r>
          </w:hyperlink>
        </w:p>
        <w:p w14:paraId="27F86912" w14:textId="044FAE95" w:rsidR="00406701" w:rsidRDefault="00406701">
          <w:pPr>
            <w:pStyle w:val="TOC1"/>
            <w:tabs>
              <w:tab w:val="right" w:leader="dot" w:pos="9170"/>
            </w:tabs>
            <w:rPr>
              <w:rFonts w:eastAsiaTheme="minorEastAsia"/>
              <w:noProof/>
              <w:lang w:val="en-GB" w:eastAsia="en-GB"/>
            </w:rPr>
          </w:pPr>
          <w:hyperlink w:anchor="_Toc28010454" w:history="1">
            <w:r w:rsidRPr="00360417">
              <w:rPr>
                <w:rStyle w:val="Hyperlink"/>
                <w:rFonts w:cstheme="minorHAnsi"/>
                <w:b/>
                <w:noProof/>
              </w:rPr>
              <w:t>ANNEXES</w:t>
            </w:r>
            <w:r>
              <w:rPr>
                <w:noProof/>
                <w:webHidden/>
              </w:rPr>
              <w:tab/>
            </w:r>
            <w:r>
              <w:rPr>
                <w:noProof/>
                <w:webHidden/>
              </w:rPr>
              <w:fldChar w:fldCharType="begin"/>
            </w:r>
            <w:r>
              <w:rPr>
                <w:noProof/>
                <w:webHidden/>
              </w:rPr>
              <w:instrText xml:space="preserve"> PAGEREF _Toc28010454 \h </w:instrText>
            </w:r>
            <w:r>
              <w:rPr>
                <w:noProof/>
                <w:webHidden/>
              </w:rPr>
            </w:r>
            <w:r>
              <w:rPr>
                <w:noProof/>
                <w:webHidden/>
              </w:rPr>
              <w:fldChar w:fldCharType="separate"/>
            </w:r>
            <w:r>
              <w:rPr>
                <w:noProof/>
                <w:webHidden/>
              </w:rPr>
              <w:t>76</w:t>
            </w:r>
            <w:r>
              <w:rPr>
                <w:noProof/>
                <w:webHidden/>
              </w:rPr>
              <w:fldChar w:fldCharType="end"/>
            </w:r>
          </w:hyperlink>
        </w:p>
        <w:p w14:paraId="7FE39D25" w14:textId="0E9096EC" w:rsidR="00406701" w:rsidRDefault="00406701">
          <w:pPr>
            <w:pStyle w:val="TOC2"/>
            <w:tabs>
              <w:tab w:val="right" w:leader="dot" w:pos="9170"/>
            </w:tabs>
            <w:rPr>
              <w:rFonts w:eastAsiaTheme="minorEastAsia"/>
              <w:noProof/>
              <w:lang w:val="en-GB" w:eastAsia="en-GB"/>
            </w:rPr>
          </w:pPr>
          <w:hyperlink w:anchor="_Toc28010455" w:history="1">
            <w:r w:rsidRPr="00360417">
              <w:rPr>
                <w:rStyle w:val="Hyperlink"/>
                <w:rFonts w:cstheme="minorHAnsi"/>
                <w:b/>
                <w:noProof/>
              </w:rPr>
              <w:t>ANNEX A. Tables and Figures</w:t>
            </w:r>
            <w:r>
              <w:rPr>
                <w:noProof/>
                <w:webHidden/>
              </w:rPr>
              <w:tab/>
            </w:r>
            <w:r>
              <w:rPr>
                <w:noProof/>
                <w:webHidden/>
              </w:rPr>
              <w:fldChar w:fldCharType="begin"/>
            </w:r>
            <w:r>
              <w:rPr>
                <w:noProof/>
                <w:webHidden/>
              </w:rPr>
              <w:instrText xml:space="preserve"> PAGEREF _Toc28010455 \h </w:instrText>
            </w:r>
            <w:r>
              <w:rPr>
                <w:noProof/>
                <w:webHidden/>
              </w:rPr>
            </w:r>
            <w:r>
              <w:rPr>
                <w:noProof/>
                <w:webHidden/>
              </w:rPr>
              <w:fldChar w:fldCharType="separate"/>
            </w:r>
            <w:r>
              <w:rPr>
                <w:noProof/>
                <w:webHidden/>
              </w:rPr>
              <w:t>76</w:t>
            </w:r>
            <w:r>
              <w:rPr>
                <w:noProof/>
                <w:webHidden/>
              </w:rPr>
              <w:fldChar w:fldCharType="end"/>
            </w:r>
          </w:hyperlink>
        </w:p>
        <w:p w14:paraId="5A108AD4" w14:textId="5F399A0C" w:rsidR="00406701" w:rsidRDefault="00406701">
          <w:pPr>
            <w:pStyle w:val="TOC2"/>
            <w:tabs>
              <w:tab w:val="right" w:leader="dot" w:pos="9170"/>
            </w:tabs>
            <w:rPr>
              <w:rFonts w:eastAsiaTheme="minorEastAsia"/>
              <w:noProof/>
              <w:lang w:val="en-GB" w:eastAsia="en-GB"/>
            </w:rPr>
          </w:pPr>
          <w:hyperlink w:anchor="_Toc28010456" w:history="1">
            <w:r w:rsidRPr="00360417">
              <w:rPr>
                <w:rStyle w:val="Hyperlink"/>
                <w:rFonts w:cstheme="minorHAnsi"/>
                <w:b/>
                <w:noProof/>
              </w:rPr>
              <w:t>ANNEX B. Housing First</w:t>
            </w:r>
            <w:r>
              <w:rPr>
                <w:noProof/>
                <w:webHidden/>
              </w:rPr>
              <w:tab/>
            </w:r>
            <w:r>
              <w:rPr>
                <w:noProof/>
                <w:webHidden/>
              </w:rPr>
              <w:fldChar w:fldCharType="begin"/>
            </w:r>
            <w:r>
              <w:rPr>
                <w:noProof/>
                <w:webHidden/>
              </w:rPr>
              <w:instrText xml:space="preserve"> PAGEREF _Toc28010456 \h </w:instrText>
            </w:r>
            <w:r>
              <w:rPr>
                <w:noProof/>
                <w:webHidden/>
              </w:rPr>
            </w:r>
            <w:r>
              <w:rPr>
                <w:noProof/>
                <w:webHidden/>
              </w:rPr>
              <w:fldChar w:fldCharType="separate"/>
            </w:r>
            <w:r>
              <w:rPr>
                <w:noProof/>
                <w:webHidden/>
              </w:rPr>
              <w:t>91</w:t>
            </w:r>
            <w:r>
              <w:rPr>
                <w:noProof/>
                <w:webHidden/>
              </w:rPr>
              <w:fldChar w:fldCharType="end"/>
            </w:r>
          </w:hyperlink>
        </w:p>
        <w:p w14:paraId="47AAC08E" w14:textId="6679A128" w:rsidR="00406701" w:rsidRDefault="00406701">
          <w:pPr>
            <w:pStyle w:val="TOC1"/>
            <w:tabs>
              <w:tab w:val="right" w:leader="dot" w:pos="9170"/>
            </w:tabs>
            <w:rPr>
              <w:rFonts w:eastAsiaTheme="minorEastAsia"/>
              <w:noProof/>
              <w:lang w:val="en-GB" w:eastAsia="en-GB"/>
            </w:rPr>
          </w:pPr>
          <w:hyperlink w:anchor="_Toc28010457" w:history="1">
            <w:r w:rsidRPr="00360417">
              <w:rPr>
                <w:rStyle w:val="Hyperlink"/>
                <w:b/>
                <w:noProof/>
              </w:rPr>
              <w:t>Bibliography</w:t>
            </w:r>
            <w:r>
              <w:rPr>
                <w:noProof/>
                <w:webHidden/>
              </w:rPr>
              <w:tab/>
            </w:r>
            <w:r>
              <w:rPr>
                <w:noProof/>
                <w:webHidden/>
              </w:rPr>
              <w:fldChar w:fldCharType="begin"/>
            </w:r>
            <w:r>
              <w:rPr>
                <w:noProof/>
                <w:webHidden/>
              </w:rPr>
              <w:instrText xml:space="preserve"> PAGEREF _Toc28010457 \h </w:instrText>
            </w:r>
            <w:r>
              <w:rPr>
                <w:noProof/>
                <w:webHidden/>
              </w:rPr>
            </w:r>
            <w:r>
              <w:rPr>
                <w:noProof/>
                <w:webHidden/>
              </w:rPr>
              <w:fldChar w:fldCharType="separate"/>
            </w:r>
            <w:r>
              <w:rPr>
                <w:noProof/>
                <w:webHidden/>
              </w:rPr>
              <w:t>93</w:t>
            </w:r>
            <w:r>
              <w:rPr>
                <w:noProof/>
                <w:webHidden/>
              </w:rPr>
              <w:fldChar w:fldCharType="end"/>
            </w:r>
          </w:hyperlink>
        </w:p>
        <w:p w14:paraId="54121875" w14:textId="59214B4C" w:rsidR="00301123" w:rsidRDefault="00301123" w:rsidP="00301123">
          <w:r>
            <w:rPr>
              <w:b/>
              <w:bCs/>
              <w:noProof/>
            </w:rPr>
            <w:fldChar w:fldCharType="end"/>
          </w:r>
        </w:p>
      </w:sdtContent>
    </w:sdt>
    <w:p w14:paraId="55412DE6" w14:textId="77777777" w:rsidR="00301123" w:rsidRDefault="00301123" w:rsidP="00301123">
      <w:pPr>
        <w:pStyle w:val="Heading1"/>
        <w:jc w:val="both"/>
        <w:rPr>
          <w:rFonts w:asciiTheme="minorHAnsi" w:hAnsiTheme="minorHAnsi" w:cstheme="minorHAnsi"/>
        </w:rPr>
      </w:pPr>
    </w:p>
    <w:p w14:paraId="408AB1E3" w14:textId="77777777" w:rsidR="00301123" w:rsidRDefault="00301123" w:rsidP="00301123">
      <w:pPr>
        <w:rPr>
          <w:rFonts w:eastAsiaTheme="majorEastAsia" w:cstheme="minorHAnsi"/>
          <w:color w:val="2E74B5" w:themeColor="accent1" w:themeShade="BF"/>
          <w:sz w:val="32"/>
          <w:szCs w:val="32"/>
        </w:rPr>
      </w:pPr>
      <w:r>
        <w:rPr>
          <w:rFonts w:cstheme="minorHAnsi"/>
        </w:rPr>
        <w:br w:type="page"/>
      </w:r>
    </w:p>
    <w:p w14:paraId="23D7296F" w14:textId="77777777" w:rsidR="00301123" w:rsidRPr="004076AD" w:rsidRDefault="00301123" w:rsidP="00301123">
      <w:pPr>
        <w:pStyle w:val="Heading1"/>
        <w:jc w:val="both"/>
        <w:rPr>
          <w:rFonts w:asciiTheme="minorHAnsi" w:hAnsiTheme="minorHAnsi" w:cstheme="minorHAnsi"/>
          <w:b/>
          <w:color w:val="002060"/>
        </w:rPr>
      </w:pPr>
      <w:bookmarkStart w:id="2" w:name="_Toc28010434"/>
      <w:r w:rsidRPr="004076AD">
        <w:rPr>
          <w:rFonts w:asciiTheme="minorHAnsi" w:hAnsiTheme="minorHAnsi" w:cstheme="minorHAnsi"/>
          <w:b/>
          <w:color w:val="002060"/>
        </w:rPr>
        <w:lastRenderedPageBreak/>
        <w:t>Problem Definition</w:t>
      </w:r>
      <w:bookmarkEnd w:id="2"/>
    </w:p>
    <w:p w14:paraId="105D443F" w14:textId="77777777" w:rsidR="00301123" w:rsidRPr="004076AD" w:rsidRDefault="00301123" w:rsidP="00301123">
      <w:pPr>
        <w:pStyle w:val="Heading2"/>
        <w:numPr>
          <w:ilvl w:val="0"/>
          <w:numId w:val="1"/>
        </w:numPr>
        <w:jc w:val="both"/>
        <w:rPr>
          <w:rFonts w:asciiTheme="minorHAnsi" w:hAnsiTheme="minorHAnsi" w:cstheme="minorHAnsi"/>
          <w:b/>
          <w:color w:val="002060"/>
        </w:rPr>
      </w:pPr>
      <w:bookmarkStart w:id="3" w:name="_Toc28010435"/>
      <w:r w:rsidRPr="004076AD">
        <w:rPr>
          <w:rFonts w:asciiTheme="minorHAnsi" w:hAnsiTheme="minorHAnsi" w:cstheme="minorHAnsi"/>
          <w:b/>
          <w:color w:val="002060"/>
        </w:rPr>
        <w:t>Policy Context</w:t>
      </w:r>
      <w:bookmarkEnd w:id="3"/>
    </w:p>
    <w:p w14:paraId="650FCBD9" w14:textId="77777777" w:rsidR="00301123" w:rsidRPr="004076AD" w:rsidRDefault="00301123" w:rsidP="00301123">
      <w:pPr>
        <w:jc w:val="both"/>
        <w:rPr>
          <w:rFonts w:cstheme="minorHAnsi"/>
          <w:b/>
          <w:color w:val="002060"/>
        </w:rPr>
      </w:pPr>
    </w:p>
    <w:p w14:paraId="2A0C2F0E" w14:textId="77777777" w:rsidR="00301123" w:rsidRPr="004076AD" w:rsidRDefault="00301123" w:rsidP="00301123">
      <w:pPr>
        <w:pStyle w:val="Heading2"/>
        <w:jc w:val="both"/>
        <w:rPr>
          <w:rFonts w:asciiTheme="minorHAnsi" w:hAnsiTheme="minorHAnsi" w:cstheme="minorHAnsi"/>
          <w:b/>
          <w:color w:val="002060"/>
        </w:rPr>
      </w:pPr>
      <w:bookmarkStart w:id="4" w:name="_Toc28010436"/>
      <w:r w:rsidRPr="004076AD">
        <w:rPr>
          <w:rFonts w:asciiTheme="minorHAnsi" w:hAnsiTheme="minorHAnsi" w:cstheme="minorHAnsi"/>
          <w:b/>
          <w:color w:val="002060"/>
        </w:rPr>
        <w:t>Legal background</w:t>
      </w:r>
      <w:bookmarkEnd w:id="4"/>
    </w:p>
    <w:p w14:paraId="30760327" w14:textId="77777777" w:rsidR="00301123" w:rsidRPr="00813727" w:rsidRDefault="00301123" w:rsidP="00301123"/>
    <w:p w14:paraId="3A63CB8E" w14:textId="77777777" w:rsidR="00301123" w:rsidRDefault="00301123" w:rsidP="00301123">
      <w:pPr>
        <w:jc w:val="both"/>
        <w:rPr>
          <w:rFonts w:cstheme="minorHAnsi"/>
        </w:rPr>
      </w:pPr>
      <w:r w:rsidRPr="00D11BED">
        <w:rPr>
          <w:rFonts w:cstheme="minorHAnsi"/>
        </w:rPr>
        <w:t>The Constitution</w:t>
      </w:r>
      <w:r>
        <w:rPr>
          <w:rFonts w:cstheme="minorHAnsi"/>
        </w:rPr>
        <w:t xml:space="preserve"> of Georgia</w:t>
      </w:r>
      <w:r w:rsidRPr="00D11BED">
        <w:rPr>
          <w:rFonts w:cstheme="minorHAnsi"/>
        </w:rPr>
        <w:t xml:space="preserve"> </w:t>
      </w:r>
      <w:r>
        <w:rPr>
          <w:rFonts w:cstheme="minorHAnsi"/>
        </w:rPr>
        <w:t>defines that “the state i</w:t>
      </w:r>
      <w:r w:rsidRPr="00D11BED">
        <w:rPr>
          <w:rFonts w:cstheme="minorHAnsi"/>
        </w:rPr>
        <w:t>s obliged to guarantee the health and social protection of the citizens, as well as provide them with subsistence minimum and adequate housing</w:t>
      </w:r>
      <w:r>
        <w:rPr>
          <w:rFonts w:cstheme="minorHAnsi"/>
        </w:rPr>
        <w:t xml:space="preserve">” </w:t>
      </w:r>
      <w:r w:rsidRPr="00D11BED">
        <w:rPr>
          <w:rFonts w:cstheme="minorHAnsi"/>
        </w:rPr>
        <w:t>(Constitution of Georgia, article 5, 2017)</w:t>
      </w:r>
      <w:r>
        <w:rPr>
          <w:rFonts w:cstheme="minorHAnsi"/>
        </w:rPr>
        <w:t>.</w:t>
      </w:r>
      <w:r w:rsidRPr="00D11BED">
        <w:rPr>
          <w:rFonts w:cstheme="minorHAnsi"/>
        </w:rPr>
        <w:t xml:space="preserve"> However, this is the only amendment in the c</w:t>
      </w:r>
      <w:r>
        <w:rPr>
          <w:rFonts w:cstheme="minorHAnsi"/>
        </w:rPr>
        <w:t>onstitution referring to th</w:t>
      </w:r>
      <w:r w:rsidRPr="00D11BED">
        <w:rPr>
          <w:rFonts w:cstheme="minorHAnsi"/>
        </w:rPr>
        <w:t>e</w:t>
      </w:r>
      <w:r>
        <w:rPr>
          <w:rFonts w:cstheme="minorHAnsi"/>
        </w:rPr>
        <w:t xml:space="preserve"> gove</w:t>
      </w:r>
      <w:r w:rsidRPr="00D11BED">
        <w:rPr>
          <w:rFonts w:cstheme="minorHAnsi"/>
        </w:rPr>
        <w:t>rnment’s responsibility towar</w:t>
      </w:r>
      <w:r>
        <w:rPr>
          <w:rFonts w:cstheme="minorHAnsi"/>
        </w:rPr>
        <w:t xml:space="preserve">ds the provision of housing (was added to the constitution </w:t>
      </w:r>
      <w:r w:rsidRPr="00D11BED">
        <w:rPr>
          <w:rFonts w:cstheme="minorHAnsi"/>
        </w:rPr>
        <w:t>in 2017</w:t>
      </w:r>
      <w:r>
        <w:rPr>
          <w:rFonts w:cstheme="minorHAnsi"/>
        </w:rPr>
        <w:t>)</w:t>
      </w:r>
      <w:r w:rsidRPr="00D11BED">
        <w:rPr>
          <w:rFonts w:cstheme="minorHAnsi"/>
        </w:rPr>
        <w:t>.</w:t>
      </w:r>
    </w:p>
    <w:p w14:paraId="2184DF01" w14:textId="77777777" w:rsidR="00301123" w:rsidRPr="004E3900" w:rsidRDefault="00301123" w:rsidP="00301123">
      <w:pPr>
        <w:jc w:val="both"/>
        <w:rPr>
          <w:rFonts w:cstheme="minorHAnsi"/>
        </w:rPr>
      </w:pPr>
      <w:r>
        <w:rPr>
          <w:rFonts w:cstheme="minorHAnsi"/>
        </w:rPr>
        <w:t>T</w:t>
      </w:r>
      <w:r w:rsidRPr="00D11BED">
        <w:rPr>
          <w:rFonts w:cstheme="minorHAnsi"/>
        </w:rPr>
        <w:t>he Code of Local Self Government</w:t>
      </w:r>
      <w:r>
        <w:rPr>
          <w:rFonts w:cstheme="minorHAnsi"/>
        </w:rPr>
        <w:t xml:space="preserve"> (2014)</w:t>
      </w:r>
      <w:r w:rsidRPr="00D11BED">
        <w:rPr>
          <w:rFonts w:cstheme="minorHAnsi"/>
        </w:rPr>
        <w:t xml:space="preserve"> defines the rights and obligations of local self-governments</w:t>
      </w:r>
      <w:r w:rsidRPr="00D11BED">
        <w:rPr>
          <w:rFonts w:cstheme="minorHAnsi"/>
          <w:lang w:val="ka-GE"/>
        </w:rPr>
        <w:t xml:space="preserve"> </w:t>
      </w:r>
      <w:r w:rsidRPr="00D11BED">
        <w:rPr>
          <w:rFonts w:cstheme="minorHAnsi"/>
        </w:rPr>
        <w:t>through the delegated</w:t>
      </w:r>
      <w:r w:rsidRPr="00D11BED">
        <w:rPr>
          <w:rStyle w:val="FootnoteReference"/>
          <w:rFonts w:cstheme="minorHAnsi"/>
        </w:rPr>
        <w:footnoteReference w:id="1"/>
      </w:r>
      <w:r w:rsidRPr="00D11BED">
        <w:rPr>
          <w:rFonts w:cstheme="minorHAnsi"/>
        </w:rPr>
        <w:t xml:space="preserve"> and own</w:t>
      </w:r>
      <w:r w:rsidRPr="00D11BED">
        <w:rPr>
          <w:rStyle w:val="FootnoteReference"/>
          <w:rFonts w:cstheme="minorHAnsi"/>
        </w:rPr>
        <w:footnoteReference w:id="2"/>
      </w:r>
      <w:r w:rsidRPr="00D11BED">
        <w:rPr>
          <w:rFonts w:cstheme="minorHAnsi"/>
        </w:rPr>
        <w:t xml:space="preserve"> authorities of the municipalities.</w:t>
      </w:r>
      <w:r w:rsidRPr="00D11BED">
        <w:rPr>
          <w:rFonts w:cstheme="minorHAnsi"/>
          <w:lang w:val="ka-GE"/>
        </w:rPr>
        <w:t xml:space="preserve"> </w:t>
      </w:r>
      <w:r w:rsidRPr="00D11BED">
        <w:rPr>
          <w:rFonts w:cstheme="minorHAnsi"/>
        </w:rPr>
        <w:t xml:space="preserve">Among the own authorities the code </w:t>
      </w:r>
      <w:r>
        <w:rPr>
          <w:rFonts w:cstheme="minorHAnsi"/>
        </w:rPr>
        <w:t>lists</w:t>
      </w:r>
      <w:r w:rsidRPr="00D11BED">
        <w:rPr>
          <w:rFonts w:cstheme="minorHAnsi"/>
        </w:rPr>
        <w:t xml:space="preserve"> the obligation of the local governing bodies to register</w:t>
      </w:r>
      <w:r>
        <w:rPr>
          <w:rFonts w:cstheme="minorHAnsi"/>
        </w:rPr>
        <w:t>,</w:t>
      </w:r>
      <w:r w:rsidRPr="00D11BED">
        <w:rPr>
          <w:rFonts w:cstheme="minorHAnsi"/>
        </w:rPr>
        <w:t xml:space="preserve"> and provide shelters to</w:t>
      </w:r>
      <w:r>
        <w:rPr>
          <w:rFonts w:cstheme="minorHAnsi"/>
        </w:rPr>
        <w:t>,</w:t>
      </w:r>
      <w:r w:rsidRPr="00D11BED">
        <w:rPr>
          <w:rFonts w:cstheme="minorHAnsi"/>
        </w:rPr>
        <w:t xml:space="preserve"> the homeless people.</w:t>
      </w:r>
      <w:r>
        <w:rPr>
          <w:rFonts w:cstheme="minorHAnsi"/>
        </w:rPr>
        <w:t xml:space="preserve"> The definition of homeless person is provided by</w:t>
      </w:r>
      <w:r w:rsidRPr="007B2EE9">
        <w:rPr>
          <w:rFonts w:ascii="Sylfaen" w:hAnsi="Sylfaen" w:cstheme="minorHAnsi"/>
          <w:lang w:val="ka-GE"/>
        </w:rPr>
        <w:t xml:space="preserve"> </w:t>
      </w:r>
      <w:r w:rsidRPr="007B2EE9">
        <w:rPr>
          <w:rFonts w:ascii="Sylfaen" w:hAnsi="Sylfaen" w:cstheme="minorHAnsi"/>
        </w:rPr>
        <w:t>t</w:t>
      </w:r>
      <w:r w:rsidRPr="007B2EE9">
        <w:rPr>
          <w:rFonts w:cstheme="minorHAnsi"/>
        </w:rPr>
        <w:t>he law on Social Assistance of Georgia (2006)</w:t>
      </w:r>
      <w:r>
        <w:rPr>
          <w:rFonts w:cstheme="minorHAnsi"/>
        </w:rPr>
        <w:t>. A h</w:t>
      </w:r>
      <w:r w:rsidRPr="007B2EE9">
        <w:rPr>
          <w:rFonts w:cstheme="minorHAnsi"/>
        </w:rPr>
        <w:t xml:space="preserve">omeless is a person </w:t>
      </w:r>
      <w:r>
        <w:rPr>
          <w:rFonts w:cstheme="minorHAnsi"/>
        </w:rPr>
        <w:t>that does not have a p</w:t>
      </w:r>
      <w:r w:rsidRPr="007B2EE9">
        <w:rPr>
          <w:rFonts w:cstheme="minorHAnsi"/>
        </w:rPr>
        <w:t>ermanent, defined living space and is registered in the local municipality as a homeless person.</w:t>
      </w:r>
      <w:r>
        <w:rPr>
          <w:rStyle w:val="FootnoteReference"/>
          <w:rFonts w:cstheme="minorHAnsi"/>
        </w:rPr>
        <w:footnoteReference w:id="3"/>
      </w:r>
      <w:r w:rsidRPr="007B2EE9">
        <w:rPr>
          <w:rFonts w:cstheme="minorHAnsi"/>
        </w:rPr>
        <w:t xml:space="preserve"> </w:t>
      </w:r>
      <w:r>
        <w:rPr>
          <w:rFonts w:cstheme="minorHAnsi"/>
          <w:lang w:val="en-GB"/>
        </w:rPr>
        <w:t xml:space="preserve">In order to be considered as a homeless, one should apply to the corresponding municipality with the request to be registered as a homeless in a municipal data base. The decision whether to consider a person as a homeless is made by the municipality. </w:t>
      </w:r>
      <w:r w:rsidRPr="007B2EE9">
        <w:rPr>
          <w:rFonts w:cstheme="minorHAnsi"/>
        </w:rPr>
        <w:t>The law introduces the definition of roofless kids as well</w:t>
      </w:r>
      <w:r>
        <w:rPr>
          <w:rStyle w:val="FootnoteReference"/>
          <w:rFonts w:cstheme="minorHAnsi"/>
        </w:rPr>
        <w:footnoteReference w:id="4"/>
      </w:r>
      <w:r>
        <w:rPr>
          <w:rFonts w:cstheme="minorHAnsi"/>
        </w:rPr>
        <w:t>:</w:t>
      </w:r>
      <w:r w:rsidRPr="007B2EE9">
        <w:rPr>
          <w:rFonts w:cstheme="minorHAnsi"/>
        </w:rPr>
        <w:t xml:space="preserve"> a person under age 18, living or working in the street and identified as a roofless by the authorized social servant. </w:t>
      </w:r>
      <w:r w:rsidRPr="00D11BED">
        <w:rPr>
          <w:rFonts w:cstheme="minorHAnsi"/>
        </w:rPr>
        <w:t>The law</w:t>
      </w:r>
      <w:r>
        <w:rPr>
          <w:rFonts w:cstheme="minorHAnsi"/>
        </w:rPr>
        <w:t xml:space="preserve"> also</w:t>
      </w:r>
      <w:r w:rsidRPr="00D11BED">
        <w:rPr>
          <w:rFonts w:cstheme="minorHAnsi"/>
        </w:rPr>
        <w:t xml:space="preserve"> defines the main financial so</w:t>
      </w:r>
      <w:r>
        <w:rPr>
          <w:rFonts w:cstheme="minorHAnsi"/>
        </w:rPr>
        <w:t xml:space="preserve">urces of the social assistance: </w:t>
      </w:r>
      <w:r w:rsidRPr="00D11BED">
        <w:rPr>
          <w:rFonts w:cstheme="minorHAnsi"/>
        </w:rPr>
        <w:t>central budget, local b</w:t>
      </w:r>
      <w:r>
        <w:rPr>
          <w:rFonts w:cstheme="minorHAnsi"/>
        </w:rPr>
        <w:t>udget, charity and other funds.</w:t>
      </w:r>
    </w:p>
    <w:p w14:paraId="016BE9BB" w14:textId="77777777" w:rsidR="00301123" w:rsidRPr="00D74D8C" w:rsidRDefault="00301123" w:rsidP="00301123">
      <w:pPr>
        <w:jc w:val="both"/>
        <w:rPr>
          <w:rFonts w:ascii="Sylfaen" w:hAnsi="Sylfaen" w:cstheme="minorHAnsi"/>
          <w:lang w:val="ka-GE"/>
        </w:rPr>
      </w:pPr>
      <w:r>
        <w:rPr>
          <w:rFonts w:cstheme="minorHAnsi"/>
        </w:rPr>
        <w:t xml:space="preserve">The law on Social Assistance does not clearly define </w:t>
      </w:r>
      <w:r w:rsidRPr="007B2EE9">
        <w:rPr>
          <w:rFonts w:cstheme="minorHAnsi"/>
        </w:rPr>
        <w:t>the responsibilities of the institutions to address the social housing issues</w:t>
      </w:r>
      <w:r>
        <w:rPr>
          <w:rFonts w:cstheme="minorHAnsi"/>
        </w:rPr>
        <w:t>.</w:t>
      </w:r>
      <w:r w:rsidRPr="007B2EE9">
        <w:rPr>
          <w:rFonts w:cstheme="minorHAnsi"/>
        </w:rPr>
        <w:t xml:space="preserve"> According to this law</w:t>
      </w:r>
      <w:r>
        <w:rPr>
          <w:rFonts w:cstheme="minorHAnsi"/>
        </w:rPr>
        <w:t>, the</w:t>
      </w:r>
      <w:r w:rsidRPr="007B2EE9">
        <w:rPr>
          <w:rFonts w:cstheme="minorHAnsi"/>
        </w:rPr>
        <w:t xml:space="preserve"> Social Service Agency (SSA) is obliged to</w:t>
      </w:r>
      <w:r>
        <w:rPr>
          <w:rFonts w:cstheme="minorHAnsi"/>
        </w:rPr>
        <w:t xml:space="preserve"> establish</w:t>
      </w:r>
      <w:r w:rsidRPr="007B2EE9">
        <w:rPr>
          <w:rFonts w:cstheme="minorHAnsi"/>
        </w:rPr>
        <w:t xml:space="preserve"> a uni</w:t>
      </w:r>
      <w:r>
        <w:rPr>
          <w:rFonts w:cstheme="minorHAnsi"/>
        </w:rPr>
        <w:t>fi</w:t>
      </w:r>
      <w:r w:rsidRPr="007B2EE9">
        <w:rPr>
          <w:rFonts w:cstheme="minorHAnsi"/>
        </w:rPr>
        <w:t xml:space="preserve">ed register of the homeless people </w:t>
      </w:r>
      <w:r>
        <w:rPr>
          <w:rFonts w:cstheme="minorHAnsi"/>
        </w:rPr>
        <w:t xml:space="preserve">based on the information provided by the </w:t>
      </w:r>
      <w:r w:rsidRPr="007B2EE9">
        <w:rPr>
          <w:rFonts w:cstheme="minorHAnsi"/>
        </w:rPr>
        <w:t>local municipalities</w:t>
      </w:r>
      <w:r>
        <w:rPr>
          <w:rFonts w:cstheme="minorHAnsi"/>
          <w:lang w:val="ka-GE"/>
        </w:rPr>
        <w:t xml:space="preserve">. </w:t>
      </w:r>
      <w:r>
        <w:rPr>
          <w:rFonts w:cstheme="minorHAnsi"/>
        </w:rPr>
        <w:t xml:space="preserve">The procedures for registering the homeless are not standardized across the country. </w:t>
      </w:r>
      <w:r w:rsidRPr="007B2EE9">
        <w:rPr>
          <w:rFonts w:cstheme="minorHAnsi"/>
        </w:rPr>
        <w:t>Local self-government entities are obliged to provide homeless people with shelters, register homeless people living in the shelters and ensure the accessibility to the statistics about homeless people to the SSA.</w:t>
      </w:r>
      <w:r w:rsidRPr="00D11BED">
        <w:rPr>
          <w:rFonts w:cstheme="minorHAnsi"/>
        </w:rPr>
        <w:t xml:space="preserve"> </w:t>
      </w:r>
      <w:r>
        <w:rPr>
          <w:rFonts w:cstheme="minorHAnsi"/>
        </w:rPr>
        <w:t>Notably, there are some municipalities (more details below in the base line scenario) that do not register citizens as homeless and/or cannot provide them with any kind of support (shelter, temporary living space etc.).</w:t>
      </w:r>
    </w:p>
    <w:p w14:paraId="23F25F89" w14:textId="77777777" w:rsidR="00301123" w:rsidRPr="00D11BED" w:rsidRDefault="00301123" w:rsidP="00301123">
      <w:pPr>
        <w:jc w:val="both"/>
        <w:rPr>
          <w:rFonts w:cstheme="minorHAnsi"/>
        </w:rPr>
      </w:pPr>
      <w:r>
        <w:rPr>
          <w:rFonts w:cstheme="minorHAnsi"/>
        </w:rPr>
        <w:t>The law on Social assistance also defines the role of specialized institutions. A s</w:t>
      </w:r>
      <w:r w:rsidRPr="002E4D6C">
        <w:rPr>
          <w:rFonts w:cstheme="minorHAnsi"/>
        </w:rPr>
        <w:t xml:space="preserve">pecialized institution is a physical or legal entity which provides social support to the people who need a special care overnight or during </w:t>
      </w:r>
      <w:r>
        <w:rPr>
          <w:rFonts w:cstheme="minorHAnsi"/>
        </w:rPr>
        <w:t>a</w:t>
      </w:r>
      <w:r w:rsidRPr="002E4D6C">
        <w:rPr>
          <w:rFonts w:cstheme="minorHAnsi"/>
        </w:rPr>
        <w:t xml:space="preserve"> pre-determined period. </w:t>
      </w:r>
      <w:r>
        <w:rPr>
          <w:rFonts w:cstheme="minorHAnsi"/>
        </w:rPr>
        <w:t>A person who needs to be placed</w:t>
      </w:r>
      <w:r w:rsidRPr="002E4D6C">
        <w:rPr>
          <w:rFonts w:cstheme="minorHAnsi"/>
        </w:rPr>
        <w:t xml:space="preserve"> in </w:t>
      </w:r>
      <w:r>
        <w:rPr>
          <w:rFonts w:cstheme="minorHAnsi"/>
        </w:rPr>
        <w:t>such</w:t>
      </w:r>
      <w:r w:rsidRPr="002E4D6C">
        <w:rPr>
          <w:rFonts w:cstheme="minorHAnsi"/>
        </w:rPr>
        <w:t xml:space="preserve"> institution can be </w:t>
      </w:r>
      <w:r>
        <w:rPr>
          <w:rFonts w:cstheme="minorHAnsi"/>
        </w:rPr>
        <w:t xml:space="preserve">supported financially </w:t>
      </w:r>
      <w:r w:rsidRPr="002E4D6C">
        <w:rPr>
          <w:rFonts w:cstheme="minorHAnsi"/>
        </w:rPr>
        <w:t xml:space="preserve">by the government based on the decision of </w:t>
      </w:r>
      <w:r>
        <w:rPr>
          <w:rFonts w:cstheme="minorHAnsi"/>
        </w:rPr>
        <w:t>a</w:t>
      </w:r>
      <w:r w:rsidRPr="002E4D6C">
        <w:rPr>
          <w:rFonts w:cstheme="minorHAnsi"/>
        </w:rPr>
        <w:t xml:space="preserve"> special committee. An institution can be financed from the central or local budget, or any other financial sources defined by the Georgian legislation.</w:t>
      </w:r>
    </w:p>
    <w:p w14:paraId="2447D1E1" w14:textId="77777777" w:rsidR="00301123" w:rsidRPr="009578A3" w:rsidRDefault="00301123" w:rsidP="00301123">
      <w:pPr>
        <w:jc w:val="both"/>
        <w:rPr>
          <w:rFonts w:ascii="Sylfaen" w:hAnsi="Sylfaen" w:cstheme="minorHAnsi"/>
        </w:rPr>
      </w:pPr>
      <w:r>
        <w:rPr>
          <w:rFonts w:cstheme="minorHAnsi"/>
        </w:rPr>
        <w:lastRenderedPageBreak/>
        <w:t>T</w:t>
      </w:r>
      <w:r w:rsidRPr="00D11BED">
        <w:rPr>
          <w:rFonts w:cstheme="minorHAnsi"/>
        </w:rPr>
        <w:t>he concept of adequate housing</w:t>
      </w:r>
      <w:r>
        <w:rPr>
          <w:rStyle w:val="FootnoteReference"/>
          <w:rFonts w:cstheme="minorHAnsi"/>
        </w:rPr>
        <w:footnoteReference w:id="5"/>
      </w:r>
      <w:r>
        <w:rPr>
          <w:rFonts w:cstheme="minorHAnsi"/>
        </w:rPr>
        <w:t xml:space="preserve"> is defined by the Law on Internally Displaced Persons (IDPs) of Georgia </w:t>
      </w:r>
      <w:r>
        <w:rPr>
          <w:rFonts w:ascii="Sylfaen" w:hAnsi="Sylfaen" w:cstheme="minorHAnsi"/>
          <w:lang w:val="ka-GE"/>
        </w:rPr>
        <w:t>(</w:t>
      </w:r>
      <w:r w:rsidRPr="009578A3">
        <w:rPr>
          <w:rFonts w:cstheme="minorHAnsi"/>
          <w:lang w:val="ka-GE"/>
        </w:rPr>
        <w:t xml:space="preserve">2014) </w:t>
      </w:r>
      <w:r>
        <w:rPr>
          <w:rFonts w:cstheme="minorHAnsi"/>
        </w:rPr>
        <w:t xml:space="preserve">in the following way: the housing is adequate if the residential area can guarantee safety and access to the public infrastructure, and provide IDPs with satisfactory sanitary conditions. This is the only definition </w:t>
      </w:r>
      <w:r>
        <w:rPr>
          <w:rFonts w:cstheme="minorHAnsi"/>
          <w:lang w:val="en-GB"/>
        </w:rPr>
        <w:t>of</w:t>
      </w:r>
      <w:r>
        <w:rPr>
          <w:rFonts w:cstheme="minorHAnsi"/>
        </w:rPr>
        <w:t xml:space="preserve"> adequate housing in the Georgian legislation. </w:t>
      </w:r>
    </w:p>
    <w:p w14:paraId="724B722D" w14:textId="77777777" w:rsidR="00301123" w:rsidRDefault="00301123" w:rsidP="00301123">
      <w:pPr>
        <w:jc w:val="both"/>
        <w:rPr>
          <w:rFonts w:cstheme="minorHAnsi"/>
          <w:lang w:val="en-GB"/>
        </w:rPr>
      </w:pPr>
      <w:r>
        <w:rPr>
          <w:rFonts w:cstheme="minorHAnsi"/>
          <w:lang w:val="en-GB"/>
        </w:rPr>
        <w:t>Another important part of the Georgian legislation, which is not directly related to the housing sector but affects the affordability of housing is the banking sector regulations. In 2018 National Bank of Georgia (NBG) introduced new regulations which made more difficult to give/get loans. Two types of loans are considerable while speaking on housing issues in the country:</w:t>
      </w:r>
    </w:p>
    <w:p w14:paraId="53680AD7" w14:textId="77777777" w:rsidR="00301123" w:rsidRDefault="00301123" w:rsidP="00301123">
      <w:pPr>
        <w:pStyle w:val="ListParagraph"/>
        <w:numPr>
          <w:ilvl w:val="0"/>
          <w:numId w:val="8"/>
        </w:numPr>
        <w:jc w:val="both"/>
        <w:rPr>
          <w:rFonts w:cstheme="minorHAnsi"/>
          <w:lang w:val="en-GB"/>
        </w:rPr>
      </w:pPr>
      <w:r>
        <w:rPr>
          <w:rFonts w:cstheme="minorHAnsi"/>
          <w:lang w:val="en-GB"/>
        </w:rPr>
        <w:t xml:space="preserve">Loan backed by the real estate </w:t>
      </w:r>
      <w:r>
        <w:rPr>
          <w:rFonts w:cstheme="minorHAnsi"/>
          <w:lang w:val="en-GB"/>
        </w:rPr>
        <w:softHyphen/>
        <w:t>– according to the new rules a borrower is not allowed to back the loan with the mortgage property if this represents his/her only possible living space. These changes protect borrowers from becoming homeless in the long-term if he/she is not able to pay monthly loan payments.</w:t>
      </w:r>
    </w:p>
    <w:p w14:paraId="5974BE49" w14:textId="77777777" w:rsidR="00301123" w:rsidRDefault="00301123" w:rsidP="00301123">
      <w:pPr>
        <w:pStyle w:val="ListParagraph"/>
        <w:numPr>
          <w:ilvl w:val="0"/>
          <w:numId w:val="8"/>
        </w:numPr>
        <w:jc w:val="both"/>
        <w:rPr>
          <w:rFonts w:cstheme="minorHAnsi"/>
          <w:lang w:val="en-GB"/>
        </w:rPr>
      </w:pPr>
      <w:r>
        <w:rPr>
          <w:rFonts w:cstheme="minorHAnsi"/>
          <w:lang w:val="en-GB"/>
        </w:rPr>
        <w:t xml:space="preserve">Mortgage loan to buy a new immovable property </w:t>
      </w:r>
      <w:r>
        <w:rPr>
          <w:rFonts w:cstheme="minorHAnsi"/>
          <w:lang w:val="en-GB"/>
        </w:rPr>
        <w:softHyphen/>
        <w:t xml:space="preserve"> – in case of such loan monthly payments are strictly predefined by the regulation and it should not exceed certain percent of the borrower’s income (different threshold for different level of income). This regulation limits the affordability of purchasing new flats for the citizens, but also reduces the probability that the borrower loses the immovable property used as a collateral.</w:t>
      </w:r>
    </w:p>
    <w:p w14:paraId="6EB4CABD" w14:textId="77777777" w:rsidR="00301123" w:rsidRPr="00340607" w:rsidRDefault="00301123" w:rsidP="00301123">
      <w:pPr>
        <w:jc w:val="both"/>
        <w:rPr>
          <w:rFonts w:cstheme="minorHAnsi"/>
        </w:rPr>
      </w:pPr>
      <w:r>
        <w:rPr>
          <w:rFonts w:cstheme="minorHAnsi"/>
        </w:rPr>
        <w:t xml:space="preserve">In addition, </w:t>
      </w:r>
      <w:r w:rsidRPr="00D11BED">
        <w:rPr>
          <w:rFonts w:cstheme="minorHAnsi"/>
        </w:rPr>
        <w:t xml:space="preserve">regulations toward the eviction has also been mitigated, and the National Bureau of </w:t>
      </w:r>
      <w:r>
        <w:rPr>
          <w:rFonts w:cstheme="minorHAnsi"/>
        </w:rPr>
        <w:t>E</w:t>
      </w:r>
      <w:r w:rsidRPr="00D11BED">
        <w:rPr>
          <w:rFonts w:cstheme="minorHAnsi"/>
        </w:rPr>
        <w:t xml:space="preserve">nforcement is not allowed to evict person/household without the court decisions. </w:t>
      </w:r>
      <w:r>
        <w:rPr>
          <w:rFonts w:cstheme="minorHAnsi"/>
        </w:rPr>
        <w:t>According to the new rules the bureau is not allowed to evict households from house if the property represents the only potential living space for them.</w:t>
      </w:r>
    </w:p>
    <w:p w14:paraId="28D294CB" w14:textId="77777777" w:rsidR="00301123" w:rsidRDefault="00301123" w:rsidP="00301123">
      <w:pPr>
        <w:jc w:val="both"/>
        <w:rPr>
          <w:rFonts w:cstheme="minorHAnsi"/>
        </w:rPr>
      </w:pPr>
      <w:r w:rsidRPr="006172CB">
        <w:rPr>
          <w:rFonts w:cstheme="minorHAnsi"/>
        </w:rPr>
        <w:t>The present Regulatory Impact Assessment (RIA) will be focused on the unstable housing</w:t>
      </w:r>
      <w:r w:rsidRPr="00EC4953">
        <w:rPr>
          <w:rFonts w:cstheme="minorHAnsi"/>
        </w:rPr>
        <w:t xml:space="preserve"> issues in Georgia, as a threat to the right of adequate housing.</w:t>
      </w:r>
      <w:r>
        <w:rPr>
          <w:rFonts w:cstheme="minorHAnsi"/>
        </w:rPr>
        <w:t xml:space="preserve"> </w:t>
      </w:r>
    </w:p>
    <w:p w14:paraId="31A30B62" w14:textId="77777777" w:rsidR="00301123" w:rsidRDefault="00301123" w:rsidP="00301123">
      <w:pPr>
        <w:jc w:val="both"/>
        <w:rPr>
          <w:rFonts w:cstheme="minorHAnsi"/>
        </w:rPr>
      </w:pPr>
    </w:p>
    <w:p w14:paraId="56F88E0F" w14:textId="77777777" w:rsidR="00301123" w:rsidRPr="004076AD" w:rsidRDefault="00301123" w:rsidP="00301123">
      <w:pPr>
        <w:pStyle w:val="Heading2"/>
        <w:jc w:val="both"/>
        <w:rPr>
          <w:rFonts w:asciiTheme="minorHAnsi" w:hAnsiTheme="minorHAnsi" w:cstheme="minorHAnsi"/>
          <w:b/>
          <w:color w:val="002060"/>
        </w:rPr>
      </w:pPr>
      <w:bookmarkStart w:id="5" w:name="_Toc28010437"/>
      <w:r w:rsidRPr="004076AD">
        <w:rPr>
          <w:rFonts w:asciiTheme="minorHAnsi" w:hAnsiTheme="minorHAnsi" w:cstheme="minorHAnsi"/>
          <w:b/>
          <w:color w:val="002060"/>
        </w:rPr>
        <w:t>Institutional Setup of the Sector</w:t>
      </w:r>
      <w:bookmarkEnd w:id="5"/>
    </w:p>
    <w:p w14:paraId="186EBF07" w14:textId="77777777" w:rsidR="00301123" w:rsidRPr="00F33681" w:rsidRDefault="00301123" w:rsidP="00301123">
      <w:pPr>
        <w:jc w:val="both"/>
      </w:pPr>
    </w:p>
    <w:p w14:paraId="6BA32065" w14:textId="77777777" w:rsidR="00301123" w:rsidRPr="00D11BED" w:rsidRDefault="00301123" w:rsidP="00301123">
      <w:pPr>
        <w:jc w:val="both"/>
        <w:rPr>
          <w:rFonts w:cstheme="minorHAnsi"/>
          <w:lang w:val="ka-GE"/>
        </w:rPr>
      </w:pPr>
      <w:r w:rsidRPr="00D11BED">
        <w:rPr>
          <w:rFonts w:cstheme="minorHAnsi"/>
        </w:rPr>
        <w:t>In 20</w:t>
      </w:r>
      <w:r>
        <w:rPr>
          <w:rFonts w:cstheme="minorHAnsi"/>
        </w:rPr>
        <w:t>0</w:t>
      </w:r>
      <w:r w:rsidRPr="00D11BED">
        <w:rPr>
          <w:rFonts w:cstheme="minorHAnsi"/>
        </w:rPr>
        <w:t xml:space="preserve">4 the </w:t>
      </w:r>
      <w:r w:rsidRPr="006066AB">
        <w:rPr>
          <w:rFonts w:cstheme="minorHAnsi"/>
          <w:b/>
          <w:bCs/>
        </w:rPr>
        <w:t xml:space="preserve">ministry of </w:t>
      </w:r>
      <w:r>
        <w:rPr>
          <w:rFonts w:cstheme="minorHAnsi"/>
          <w:b/>
          <w:bCs/>
        </w:rPr>
        <w:t>Urban</w:t>
      </w:r>
      <w:r w:rsidRPr="006066AB">
        <w:rPr>
          <w:rFonts w:cstheme="minorHAnsi"/>
          <w:b/>
          <w:bCs/>
        </w:rPr>
        <w:t>ization and Construction of Georgia</w:t>
      </w:r>
      <w:r w:rsidRPr="00D11BED">
        <w:rPr>
          <w:rFonts w:cstheme="minorHAnsi"/>
        </w:rPr>
        <w:t xml:space="preserve"> was eliminated. The ministry was a</w:t>
      </w:r>
      <w:r>
        <w:rPr>
          <w:rFonts w:cstheme="minorHAnsi"/>
        </w:rPr>
        <w:t>n</w:t>
      </w:r>
      <w:r w:rsidRPr="00D11BED">
        <w:rPr>
          <w:rFonts w:cstheme="minorHAnsi"/>
        </w:rPr>
        <w:t xml:space="preserve"> institution responsible for </w:t>
      </w:r>
      <w:r>
        <w:rPr>
          <w:rFonts w:cstheme="minorHAnsi"/>
        </w:rPr>
        <w:t xml:space="preserve">the </w:t>
      </w:r>
      <w:r w:rsidRPr="00D11BED">
        <w:rPr>
          <w:rFonts w:cstheme="minorHAnsi"/>
        </w:rPr>
        <w:t xml:space="preserve">creation of fair living conditions for Georgian citizens, to ensure the sustainable and safe development of the settled areas and rational use of the territories available in the country. It was a direct responsibility of the ministry to ensure that the resettlement programs were </w:t>
      </w:r>
      <w:r>
        <w:rPr>
          <w:rFonts w:cstheme="minorHAnsi"/>
        </w:rPr>
        <w:t xml:space="preserve">properly </w:t>
      </w:r>
      <w:r w:rsidRPr="00D11BED">
        <w:rPr>
          <w:rFonts w:cstheme="minorHAnsi"/>
        </w:rPr>
        <w:t>implemented. After the elimination of the ministry the responsibilities regarding the resettlement policies w</w:t>
      </w:r>
      <w:r>
        <w:rPr>
          <w:rFonts w:cstheme="minorHAnsi"/>
        </w:rPr>
        <w:t>ere</w:t>
      </w:r>
      <w:r w:rsidRPr="00D11BED">
        <w:rPr>
          <w:rFonts w:cstheme="minorHAnsi"/>
        </w:rPr>
        <w:t xml:space="preserve"> not clearly delegated to any other institution. </w:t>
      </w:r>
    </w:p>
    <w:p w14:paraId="6C1EAD03" w14:textId="77777777" w:rsidR="00301123" w:rsidRDefault="00301123" w:rsidP="00301123">
      <w:pPr>
        <w:jc w:val="both"/>
        <w:rPr>
          <w:rFonts w:cstheme="minorHAnsi"/>
        </w:rPr>
      </w:pPr>
      <w:r>
        <w:rPr>
          <w:rFonts w:cstheme="minorHAnsi"/>
          <w:lang w:val="en-GB"/>
        </w:rPr>
        <w:t xml:space="preserve">Currently, </w:t>
      </w:r>
      <w:r w:rsidRPr="006066AB">
        <w:rPr>
          <w:rFonts w:cstheme="minorHAnsi"/>
          <w:b/>
          <w:bCs/>
          <w:lang w:val="en-GB"/>
        </w:rPr>
        <w:t xml:space="preserve">local municipalities </w:t>
      </w:r>
      <w:r>
        <w:rPr>
          <w:rFonts w:cstheme="minorHAnsi"/>
          <w:lang w:val="en-GB"/>
        </w:rPr>
        <w:t xml:space="preserve">are directly responsible to register, and provide housing services to, the homeless. Local municipalities are administrating the shelters located within their administrative borders (for example, Lilo shelter in Tbilisi is administrated by the Tbilisi municipality). Within the municipalities there is a Department of Health and Social Care. In addition to delivering general social services (such as monetary and/or non-monetary assistance such as food, basic medicines and etc.) the department is responsible to register homeless/roofless persons within the municipalities and provide </w:t>
      </w:r>
      <w:r>
        <w:rPr>
          <w:rFonts w:cstheme="minorHAnsi"/>
          <w:lang w:val="en-GB"/>
        </w:rPr>
        <w:lastRenderedPageBreak/>
        <w:t xml:space="preserve">them with adequate support. </w:t>
      </w:r>
      <w:proofErr w:type="gramStart"/>
      <w:r>
        <w:rPr>
          <w:rFonts w:cstheme="minorHAnsi"/>
          <w:lang w:val="en-GB"/>
        </w:rPr>
        <w:t>Also</w:t>
      </w:r>
      <w:proofErr w:type="gramEnd"/>
      <w:r>
        <w:rPr>
          <w:rFonts w:cstheme="minorHAnsi"/>
          <w:lang w:val="en-GB"/>
        </w:rPr>
        <w:t xml:space="preserve"> social workers from SSA are working with the municipalities in order to identify the needs of vulnerable groups and support them with appropriate services. However, it is not a direct responsibility of SSA social workers to support homeless people by providing shelters. </w:t>
      </w:r>
    </w:p>
    <w:p w14:paraId="6FE042B3" w14:textId="77777777" w:rsidR="00301123" w:rsidRDefault="00301123" w:rsidP="00301123">
      <w:pPr>
        <w:jc w:val="both"/>
        <w:rPr>
          <w:rFonts w:cstheme="minorHAnsi"/>
        </w:rPr>
      </w:pPr>
      <w:r>
        <w:rPr>
          <w:rFonts w:cstheme="minorHAnsi"/>
        </w:rPr>
        <w:t>A large group subject to potential hazards of homelessness is constituted by internally displaced persons and eco-migrants. Until</w:t>
      </w:r>
      <w:r w:rsidRPr="00D11BED">
        <w:rPr>
          <w:rFonts w:cstheme="minorHAnsi"/>
        </w:rPr>
        <w:t xml:space="preserve"> 2018</w:t>
      </w:r>
      <w:r>
        <w:rPr>
          <w:rFonts w:cstheme="minorHAnsi"/>
        </w:rPr>
        <w:t xml:space="preserve">, </w:t>
      </w:r>
      <w:r>
        <w:rPr>
          <w:rFonts w:cstheme="minorHAnsi"/>
          <w:lang w:val="en-GB"/>
        </w:rPr>
        <w:t>the issues</w:t>
      </w:r>
      <w:r w:rsidRPr="00D11BED">
        <w:rPr>
          <w:rFonts w:cstheme="minorHAnsi"/>
          <w:lang w:val="ka-GE"/>
        </w:rPr>
        <w:t xml:space="preserve"> </w:t>
      </w:r>
      <w:r w:rsidRPr="00D11BED">
        <w:rPr>
          <w:rFonts w:cstheme="minorHAnsi"/>
        </w:rPr>
        <w:t xml:space="preserve">related to </w:t>
      </w:r>
      <w:r>
        <w:rPr>
          <w:rFonts w:cstheme="minorHAnsi"/>
        </w:rPr>
        <w:t>IDPs</w:t>
      </w:r>
      <w:r w:rsidRPr="00D11BED">
        <w:rPr>
          <w:rFonts w:cstheme="minorHAnsi"/>
        </w:rPr>
        <w:t xml:space="preserve"> w</w:t>
      </w:r>
      <w:r>
        <w:rPr>
          <w:rFonts w:cstheme="minorHAnsi"/>
        </w:rPr>
        <w:t>ere</w:t>
      </w:r>
      <w:r w:rsidRPr="00D11BED">
        <w:rPr>
          <w:rFonts w:cstheme="minorHAnsi"/>
        </w:rPr>
        <w:t xml:space="preserve"> under the responsibility of the Ministry of Refugees and Resettlement of Georgia. The ministry was responsible to</w:t>
      </w:r>
      <w:r>
        <w:rPr>
          <w:rFonts w:cstheme="minorHAnsi"/>
        </w:rPr>
        <w:t>:</w:t>
      </w:r>
    </w:p>
    <w:p w14:paraId="096BBB8D" w14:textId="77777777" w:rsidR="00301123" w:rsidRDefault="00301123" w:rsidP="00301123">
      <w:pPr>
        <w:pStyle w:val="ListParagraph"/>
        <w:numPr>
          <w:ilvl w:val="0"/>
          <w:numId w:val="3"/>
        </w:numPr>
        <w:jc w:val="both"/>
        <w:rPr>
          <w:rFonts w:cstheme="minorHAnsi"/>
        </w:rPr>
      </w:pPr>
      <w:r w:rsidRPr="00AD0300">
        <w:rPr>
          <w:rFonts w:cstheme="minorHAnsi"/>
        </w:rPr>
        <w:t>regulate migration flows</w:t>
      </w:r>
      <w:r>
        <w:rPr>
          <w:rFonts w:cstheme="minorHAnsi"/>
        </w:rPr>
        <w:t>;</w:t>
      </w:r>
    </w:p>
    <w:p w14:paraId="0506C0B5" w14:textId="77777777" w:rsidR="00301123" w:rsidRDefault="00301123" w:rsidP="00301123">
      <w:pPr>
        <w:pStyle w:val="ListParagraph"/>
        <w:numPr>
          <w:ilvl w:val="0"/>
          <w:numId w:val="3"/>
        </w:numPr>
        <w:jc w:val="both"/>
        <w:rPr>
          <w:rFonts w:cstheme="minorHAnsi"/>
        </w:rPr>
      </w:pPr>
      <w:r w:rsidRPr="00AD0300">
        <w:rPr>
          <w:rFonts w:cstheme="minorHAnsi"/>
        </w:rPr>
        <w:t>organize permanent or temporary settlement of IDPs and create appropr</w:t>
      </w:r>
      <w:r w:rsidRPr="00395305">
        <w:rPr>
          <w:rFonts w:cstheme="minorHAnsi"/>
        </w:rPr>
        <w:t>iate conditions to ensure their integration to the new residential environment and social security</w:t>
      </w:r>
      <w:r>
        <w:rPr>
          <w:rFonts w:cstheme="minorHAnsi"/>
        </w:rPr>
        <w:t>;</w:t>
      </w:r>
    </w:p>
    <w:p w14:paraId="6F1B80DF" w14:textId="77777777" w:rsidR="00301123" w:rsidRDefault="00301123" w:rsidP="00301123">
      <w:pPr>
        <w:pStyle w:val="ListParagraph"/>
        <w:numPr>
          <w:ilvl w:val="0"/>
          <w:numId w:val="3"/>
        </w:numPr>
        <w:jc w:val="both"/>
        <w:rPr>
          <w:rFonts w:cstheme="minorHAnsi"/>
        </w:rPr>
      </w:pPr>
      <w:r w:rsidRPr="00AD0300">
        <w:rPr>
          <w:rFonts w:cstheme="minorHAnsi"/>
        </w:rPr>
        <w:t>implement the polic</w:t>
      </w:r>
      <w:r w:rsidRPr="00395305">
        <w:rPr>
          <w:rFonts w:cstheme="minorHAnsi"/>
        </w:rPr>
        <w:t>ies related to the proper registration of IDPs</w:t>
      </w:r>
      <w:r>
        <w:rPr>
          <w:rFonts w:cstheme="minorHAnsi"/>
        </w:rPr>
        <w:t>;</w:t>
      </w:r>
    </w:p>
    <w:p w14:paraId="0D2BCFCB" w14:textId="77777777" w:rsidR="00301123" w:rsidRDefault="00301123" w:rsidP="00301123">
      <w:pPr>
        <w:pStyle w:val="ListParagraph"/>
        <w:numPr>
          <w:ilvl w:val="0"/>
          <w:numId w:val="3"/>
        </w:numPr>
        <w:jc w:val="both"/>
        <w:rPr>
          <w:rFonts w:cstheme="minorHAnsi"/>
        </w:rPr>
      </w:pPr>
      <w:r w:rsidRPr="00395305">
        <w:rPr>
          <w:rFonts w:cstheme="minorHAnsi"/>
        </w:rPr>
        <w:t xml:space="preserve">cooperate with local self-government entities and international organizations to support the process of resettlement </w:t>
      </w:r>
      <w:r>
        <w:rPr>
          <w:rFonts w:cstheme="minorHAnsi"/>
        </w:rPr>
        <w:t xml:space="preserve">of </w:t>
      </w:r>
      <w:r w:rsidRPr="00395305">
        <w:rPr>
          <w:rFonts w:cstheme="minorHAnsi"/>
        </w:rPr>
        <w:t xml:space="preserve">IDPs back to their permanent residential environment. </w:t>
      </w:r>
    </w:p>
    <w:p w14:paraId="64CF5E0F" w14:textId="77777777" w:rsidR="00301123" w:rsidRPr="00395305" w:rsidRDefault="00301123" w:rsidP="00301123">
      <w:pPr>
        <w:jc w:val="both"/>
        <w:rPr>
          <w:rFonts w:cstheme="minorHAnsi"/>
        </w:rPr>
      </w:pPr>
      <w:r w:rsidRPr="00AD0300">
        <w:rPr>
          <w:rFonts w:cstheme="minorHAnsi"/>
        </w:rPr>
        <w:t>In 2018 the ministry was elimin</w:t>
      </w:r>
      <w:r w:rsidRPr="00395305">
        <w:rPr>
          <w:rFonts w:cstheme="minorHAnsi"/>
        </w:rPr>
        <w:t xml:space="preserve">ated. </w:t>
      </w:r>
    </w:p>
    <w:p w14:paraId="025851F3" w14:textId="77777777" w:rsidR="00301123" w:rsidRDefault="00301123" w:rsidP="00301123">
      <w:pPr>
        <w:jc w:val="both"/>
        <w:rPr>
          <w:rFonts w:cstheme="minorHAnsi"/>
          <w:lang w:val="en-GB"/>
        </w:rPr>
      </w:pPr>
      <w:r w:rsidRPr="00D11BED">
        <w:rPr>
          <w:rFonts w:cstheme="minorHAnsi"/>
        </w:rPr>
        <w:t>After the elimination of the ministry</w:t>
      </w:r>
      <w:r>
        <w:rPr>
          <w:rFonts w:cstheme="minorHAnsi"/>
        </w:rPr>
        <w:t>,</w:t>
      </w:r>
      <w:r w:rsidRPr="00D11BED">
        <w:rPr>
          <w:rFonts w:cstheme="minorHAnsi"/>
        </w:rPr>
        <w:t xml:space="preserve"> part of the responsibilities related to the settlement of IDPs </w:t>
      </w:r>
      <w:r>
        <w:rPr>
          <w:rFonts w:cstheme="minorHAnsi"/>
        </w:rPr>
        <w:t>was</w:t>
      </w:r>
      <w:r w:rsidRPr="00D11BED">
        <w:rPr>
          <w:rFonts w:cstheme="minorHAnsi"/>
        </w:rPr>
        <w:t xml:space="preserve"> delegated to the </w:t>
      </w:r>
      <w:r w:rsidRPr="006066AB">
        <w:rPr>
          <w:rFonts w:cstheme="minorHAnsi"/>
          <w:b/>
          <w:bCs/>
        </w:rPr>
        <w:t xml:space="preserve">Ministry of Internally Displaced Persons from the Occupied Territories, </w:t>
      </w:r>
      <w:proofErr w:type="spellStart"/>
      <w:r w:rsidRPr="006066AB">
        <w:rPr>
          <w:rFonts w:cstheme="minorHAnsi"/>
          <w:b/>
          <w:bCs/>
        </w:rPr>
        <w:t>Labour</w:t>
      </w:r>
      <w:proofErr w:type="spellEnd"/>
      <w:r w:rsidRPr="006066AB">
        <w:rPr>
          <w:rFonts w:cstheme="minorHAnsi"/>
          <w:b/>
          <w:bCs/>
        </w:rPr>
        <w:t>, Health and Social Affairs of Georgia (</w:t>
      </w:r>
      <w:proofErr w:type="spellStart"/>
      <w:r w:rsidRPr="006066AB">
        <w:rPr>
          <w:rFonts w:cstheme="minorHAnsi"/>
          <w:b/>
          <w:bCs/>
        </w:rPr>
        <w:t>MoLSHA</w:t>
      </w:r>
      <w:proofErr w:type="spellEnd"/>
      <w:r w:rsidRPr="006066AB">
        <w:rPr>
          <w:rFonts w:cstheme="minorHAnsi"/>
          <w:b/>
          <w:bCs/>
        </w:rPr>
        <w:t>).</w:t>
      </w:r>
      <w:r w:rsidRPr="00D11BED">
        <w:rPr>
          <w:rFonts w:cstheme="minorHAnsi"/>
        </w:rPr>
        <w:t xml:space="preserve"> The ministry decides whether t</w:t>
      </w:r>
      <w:r>
        <w:rPr>
          <w:rFonts w:cstheme="minorHAnsi"/>
        </w:rPr>
        <w:t>o give or not a status of IDP to</w:t>
      </w:r>
      <w:r w:rsidRPr="00D11BED">
        <w:rPr>
          <w:rFonts w:cstheme="minorHAnsi"/>
        </w:rPr>
        <w:t xml:space="preserve"> a person, and is obliged to ensure social and economic rights of the IDPs based on the rules that are defined under the L</w:t>
      </w:r>
      <w:r>
        <w:rPr>
          <w:rFonts w:cstheme="minorHAnsi"/>
        </w:rPr>
        <w:t>a</w:t>
      </w:r>
      <w:r w:rsidRPr="00D11BED">
        <w:rPr>
          <w:rFonts w:cstheme="minorHAnsi"/>
        </w:rPr>
        <w:t>w on Internally Displaced Pe</w:t>
      </w:r>
      <w:r>
        <w:rPr>
          <w:rFonts w:cstheme="minorHAnsi"/>
        </w:rPr>
        <w:t>rsons</w:t>
      </w:r>
      <w:r w:rsidRPr="00D11BED">
        <w:rPr>
          <w:rFonts w:cstheme="minorHAnsi"/>
        </w:rPr>
        <w:t xml:space="preserve"> of Georgia. It is also a responsibility of the ministry to provide IDPs and Eco</w:t>
      </w:r>
      <w:r>
        <w:rPr>
          <w:rFonts w:cstheme="minorHAnsi"/>
        </w:rPr>
        <w:t>-</w:t>
      </w:r>
      <w:r w:rsidRPr="00D11BED">
        <w:rPr>
          <w:rFonts w:cstheme="minorHAnsi"/>
        </w:rPr>
        <w:t xml:space="preserve">migrants with adequate shelters. </w:t>
      </w:r>
      <w:r>
        <w:rPr>
          <w:rFonts w:cstheme="minorHAnsi"/>
          <w:lang w:val="ka-GE"/>
        </w:rPr>
        <w:t xml:space="preserve"> </w:t>
      </w:r>
      <w:r>
        <w:rPr>
          <w:rFonts w:cstheme="minorHAnsi"/>
          <w:lang w:val="en-GB"/>
        </w:rPr>
        <w:t xml:space="preserve">Settlement of IDPs and Eco-migrants is the duty of the Department of IDP and Eco-Migrant Policies. </w:t>
      </w:r>
    </w:p>
    <w:p w14:paraId="114C8B5B" w14:textId="77777777" w:rsidR="00301123" w:rsidRDefault="00301123" w:rsidP="00301123">
      <w:pPr>
        <w:jc w:val="both"/>
        <w:rPr>
          <w:rFonts w:cstheme="minorHAnsi"/>
          <w:lang w:val="en-GB"/>
        </w:rPr>
      </w:pPr>
      <w:r>
        <w:rPr>
          <w:rFonts w:cstheme="minorHAnsi"/>
          <w:lang w:val="en-GB"/>
        </w:rPr>
        <w:t xml:space="preserve">The department of the Social Protection at </w:t>
      </w:r>
      <w:proofErr w:type="spellStart"/>
      <w:r>
        <w:rPr>
          <w:rFonts w:cstheme="minorHAnsi"/>
          <w:lang w:val="en-GB"/>
        </w:rPr>
        <w:t>MoLSHA</w:t>
      </w:r>
      <w:proofErr w:type="spellEnd"/>
      <w:r>
        <w:rPr>
          <w:rFonts w:cstheme="minorHAnsi"/>
          <w:lang w:val="en-GB"/>
        </w:rPr>
        <w:t xml:space="preserve"> is responsible for defining overall policies on social assistance programs to the vulnerable groups of society, including the monetary assistance (pensions, social package, government compensation). Implementation of these programs lies with the two legal entities operating under the </w:t>
      </w:r>
      <w:proofErr w:type="spellStart"/>
      <w:r>
        <w:rPr>
          <w:rFonts w:cstheme="minorHAnsi"/>
          <w:lang w:val="en-GB"/>
        </w:rPr>
        <w:t>MoLSHA</w:t>
      </w:r>
      <w:proofErr w:type="spellEnd"/>
      <w:r>
        <w:rPr>
          <w:rFonts w:cstheme="minorHAnsi"/>
          <w:lang w:val="en-GB"/>
        </w:rPr>
        <w:t>. These are: The State Fund for Protection and Assistance of (statutory) Victims of Human Trafficking (ATIP Fund)</w:t>
      </w:r>
      <w:r>
        <w:rPr>
          <w:rStyle w:val="FootnoteReference"/>
          <w:rFonts w:cstheme="minorHAnsi"/>
          <w:lang w:val="en-GB"/>
        </w:rPr>
        <w:footnoteReference w:id="6"/>
      </w:r>
      <w:r>
        <w:rPr>
          <w:rFonts w:cstheme="minorHAnsi"/>
          <w:lang w:val="en-GB"/>
        </w:rPr>
        <w:t xml:space="preserve"> and Social Service Agency</w:t>
      </w:r>
      <w:r>
        <w:rPr>
          <w:rStyle w:val="FootnoteReference"/>
          <w:rFonts w:cstheme="minorHAnsi"/>
          <w:lang w:val="en-GB"/>
        </w:rPr>
        <w:footnoteReference w:id="7"/>
      </w:r>
      <w:r>
        <w:rPr>
          <w:rFonts w:cstheme="minorHAnsi"/>
          <w:lang w:val="en-GB"/>
        </w:rPr>
        <w:t>. In some instances, this includes providing different types of shelters to these groups. However, the ministry is not directly responsible for the housing conditions of the general population (including homeless).</w:t>
      </w:r>
    </w:p>
    <w:p w14:paraId="408ADEC1" w14:textId="77777777" w:rsidR="00301123" w:rsidRDefault="00301123" w:rsidP="00301123">
      <w:pPr>
        <w:jc w:val="both"/>
        <w:rPr>
          <w:rFonts w:cstheme="minorHAnsi"/>
          <w:lang w:val="en-GB"/>
        </w:rPr>
      </w:pPr>
      <w:r>
        <w:rPr>
          <w:rFonts w:cstheme="minorHAnsi"/>
        </w:rPr>
        <w:t>The</w:t>
      </w:r>
      <w:r w:rsidRPr="003D38DD">
        <w:rPr>
          <w:rFonts w:cstheme="minorHAnsi"/>
        </w:rPr>
        <w:t xml:space="preserve"> supervision of the Temporary Accommodation Center for Shelter Seekers was </w:t>
      </w:r>
      <w:r>
        <w:rPr>
          <w:rFonts w:cstheme="minorHAnsi"/>
        </w:rPr>
        <w:t xml:space="preserve">also </w:t>
      </w:r>
      <w:r w:rsidRPr="003D38DD">
        <w:rPr>
          <w:rFonts w:cstheme="minorHAnsi"/>
        </w:rPr>
        <w:t xml:space="preserve">delegated to the </w:t>
      </w:r>
      <w:proofErr w:type="spellStart"/>
      <w:r w:rsidRPr="003D38DD">
        <w:rPr>
          <w:rFonts w:cstheme="minorHAnsi"/>
        </w:rPr>
        <w:t>MoLSHA</w:t>
      </w:r>
      <w:proofErr w:type="spellEnd"/>
      <w:r w:rsidRPr="003D38DD">
        <w:rPr>
          <w:rFonts w:cstheme="minorHAnsi"/>
        </w:rPr>
        <w:t xml:space="preserve"> after the elimination of the Ministry of Refugees and Resettlement of Georgia. The center is located in </w:t>
      </w:r>
      <w:proofErr w:type="spellStart"/>
      <w:r w:rsidRPr="003D38DD">
        <w:rPr>
          <w:rFonts w:cstheme="minorHAnsi"/>
        </w:rPr>
        <w:t>Martkhopi</w:t>
      </w:r>
      <w:proofErr w:type="spellEnd"/>
      <w:r w:rsidRPr="003D38DD">
        <w:rPr>
          <w:rFonts w:cstheme="minorHAnsi"/>
        </w:rPr>
        <w:t xml:space="preserve"> and is intended for </w:t>
      </w:r>
      <w:r w:rsidRPr="00D1156F">
        <w:rPr>
          <w:rFonts w:cstheme="minorHAnsi"/>
        </w:rPr>
        <w:t>foreign asylum seekers.</w:t>
      </w:r>
      <w:r w:rsidRPr="003D38DD">
        <w:rPr>
          <w:rFonts w:cstheme="minorHAnsi"/>
        </w:rPr>
        <w:t xml:space="preserve"> The center was established in 2010 and currently can host 132 asylum seekers. </w:t>
      </w:r>
      <w:r>
        <w:rPr>
          <w:rFonts w:cstheme="minorHAnsi"/>
          <w:lang w:val="en-GB"/>
        </w:rPr>
        <w:t xml:space="preserve">When asylum seeker applies with the request to the </w:t>
      </w:r>
      <w:proofErr w:type="spellStart"/>
      <w:r>
        <w:rPr>
          <w:rFonts w:cstheme="minorHAnsi"/>
          <w:lang w:val="en-GB"/>
        </w:rPr>
        <w:t>MoLSHA</w:t>
      </w:r>
      <w:proofErr w:type="spellEnd"/>
      <w:r>
        <w:rPr>
          <w:rFonts w:cstheme="minorHAnsi"/>
          <w:lang w:val="en-GB"/>
        </w:rPr>
        <w:t xml:space="preserve"> to get a status of asylum seeker, she/he can stay in </w:t>
      </w:r>
      <w:proofErr w:type="spellStart"/>
      <w:r>
        <w:rPr>
          <w:rFonts w:cstheme="minorHAnsi"/>
          <w:lang w:val="en-GB"/>
        </w:rPr>
        <w:t>Martkopi</w:t>
      </w:r>
      <w:proofErr w:type="spellEnd"/>
      <w:r>
        <w:rPr>
          <w:rFonts w:cstheme="minorHAnsi"/>
          <w:lang w:val="en-GB"/>
        </w:rPr>
        <w:t xml:space="preserve"> shelter before </w:t>
      </w:r>
      <w:r w:rsidRPr="003D38DD">
        <w:rPr>
          <w:rFonts w:cstheme="minorHAnsi"/>
        </w:rPr>
        <w:t>the decision whether the government of Georgia gives them a shelter or not will be made</w:t>
      </w:r>
      <w:r>
        <w:rPr>
          <w:rFonts w:cstheme="minorHAnsi"/>
        </w:rPr>
        <w:t xml:space="preserve"> (maximum for 6 months). If the decision is positive, </w:t>
      </w:r>
      <w:proofErr w:type="spellStart"/>
      <w:r>
        <w:rPr>
          <w:rFonts w:cstheme="minorHAnsi"/>
        </w:rPr>
        <w:t>GoG</w:t>
      </w:r>
      <w:proofErr w:type="spellEnd"/>
      <w:r>
        <w:rPr>
          <w:rFonts w:cstheme="minorHAnsi"/>
        </w:rPr>
        <w:t xml:space="preserve"> will provide adequate shelter to the asylum seeker.</w:t>
      </w:r>
    </w:p>
    <w:p w14:paraId="2A90618A" w14:textId="77777777" w:rsidR="00301123" w:rsidRDefault="00301123" w:rsidP="00301123">
      <w:pPr>
        <w:jc w:val="both"/>
        <w:rPr>
          <w:rFonts w:cstheme="minorHAnsi"/>
        </w:rPr>
      </w:pPr>
      <w:r>
        <w:rPr>
          <w:rFonts w:cstheme="minorHAnsi"/>
        </w:rPr>
        <w:t xml:space="preserve">The </w:t>
      </w:r>
      <w:r w:rsidRPr="006066AB">
        <w:rPr>
          <w:rFonts w:cstheme="minorHAnsi"/>
          <w:b/>
          <w:bCs/>
        </w:rPr>
        <w:t>Ministry of Regional Development and Infrastructure (MRDI)</w:t>
      </w:r>
      <w:r>
        <w:rPr>
          <w:rFonts w:cstheme="minorHAnsi"/>
        </w:rPr>
        <w:t xml:space="preserve"> </w:t>
      </w:r>
      <w:r w:rsidRPr="00B31141">
        <w:rPr>
          <w:rFonts w:cstheme="minorHAnsi"/>
        </w:rPr>
        <w:t xml:space="preserve">is </w:t>
      </w:r>
      <w:r>
        <w:rPr>
          <w:rFonts w:cstheme="minorHAnsi"/>
        </w:rPr>
        <w:t>the</w:t>
      </w:r>
      <w:r w:rsidRPr="00B31141">
        <w:rPr>
          <w:rFonts w:cstheme="minorHAnsi"/>
        </w:rPr>
        <w:t xml:space="preserve"> institution responsible for long-term infrastructur</w:t>
      </w:r>
      <w:r>
        <w:rPr>
          <w:rFonts w:cstheme="minorHAnsi"/>
        </w:rPr>
        <w:t>al</w:t>
      </w:r>
      <w:r w:rsidRPr="00B31141">
        <w:rPr>
          <w:rFonts w:cstheme="minorHAnsi"/>
        </w:rPr>
        <w:t xml:space="preserve"> projects in the count</w:t>
      </w:r>
      <w:r>
        <w:rPr>
          <w:rFonts w:cstheme="minorHAnsi"/>
        </w:rPr>
        <w:t>r</w:t>
      </w:r>
      <w:r w:rsidRPr="00B31141">
        <w:rPr>
          <w:rFonts w:cstheme="minorHAnsi"/>
        </w:rPr>
        <w:t xml:space="preserve">y. </w:t>
      </w:r>
      <w:r w:rsidRPr="00AD0300">
        <w:rPr>
          <w:rFonts w:cstheme="minorHAnsi"/>
        </w:rPr>
        <w:t>Even though</w:t>
      </w:r>
      <w:r>
        <w:rPr>
          <w:rFonts w:cstheme="minorHAnsi"/>
        </w:rPr>
        <w:t xml:space="preserve"> </w:t>
      </w:r>
      <w:r w:rsidRPr="00AD0300">
        <w:rPr>
          <w:rFonts w:cstheme="minorHAnsi"/>
        </w:rPr>
        <w:t>infrastructur</w:t>
      </w:r>
      <w:r>
        <w:rPr>
          <w:rFonts w:cstheme="minorHAnsi"/>
        </w:rPr>
        <w:t>al</w:t>
      </w:r>
      <w:r w:rsidRPr="00AD0300">
        <w:rPr>
          <w:rFonts w:cstheme="minorHAnsi"/>
        </w:rPr>
        <w:t xml:space="preserve"> projects implemented by the MRDI can significantly improve the residential environment, the ministry is n</w:t>
      </w:r>
      <w:r w:rsidRPr="00395305">
        <w:rPr>
          <w:rFonts w:cstheme="minorHAnsi"/>
        </w:rPr>
        <w:t xml:space="preserve">ot directly responsible for </w:t>
      </w:r>
      <w:r w:rsidRPr="00395305">
        <w:rPr>
          <w:rFonts w:cstheme="minorHAnsi"/>
        </w:rPr>
        <w:lastRenderedPageBreak/>
        <w:t xml:space="preserve">solving the unstable housing problems </w:t>
      </w:r>
      <w:r>
        <w:rPr>
          <w:rFonts w:cstheme="minorHAnsi"/>
        </w:rPr>
        <w:t>in</w:t>
      </w:r>
      <w:r w:rsidRPr="00AD0300">
        <w:rPr>
          <w:rFonts w:cstheme="minorHAnsi"/>
        </w:rPr>
        <w:t xml:space="preserve"> the </w:t>
      </w:r>
      <w:r>
        <w:rPr>
          <w:rFonts w:cstheme="minorHAnsi"/>
        </w:rPr>
        <w:t>country.</w:t>
      </w:r>
      <w:r w:rsidRPr="00AD0300">
        <w:rPr>
          <w:rFonts w:cstheme="minorHAnsi"/>
        </w:rPr>
        <w:t xml:space="preserve"> </w:t>
      </w:r>
      <w:r>
        <w:rPr>
          <w:rFonts w:cstheme="minorHAnsi"/>
        </w:rPr>
        <w:t>The MRDI operates the Municipal Development Fund (MDF) of Georgia (founded in 1997), whose main objective is to assist local self-governments by:</w:t>
      </w:r>
    </w:p>
    <w:p w14:paraId="7FFAB349" w14:textId="77777777" w:rsidR="00301123" w:rsidRPr="00395305" w:rsidRDefault="00301123" w:rsidP="00301123">
      <w:pPr>
        <w:pStyle w:val="ListParagraph"/>
        <w:numPr>
          <w:ilvl w:val="0"/>
          <w:numId w:val="6"/>
        </w:numPr>
        <w:jc w:val="both"/>
        <w:rPr>
          <w:rFonts w:cstheme="minorHAnsi"/>
        </w:rPr>
      </w:pPr>
      <w:r w:rsidRPr="00395305">
        <w:rPr>
          <w:rFonts w:cstheme="minorHAnsi"/>
        </w:rPr>
        <w:t xml:space="preserve">enhancing </w:t>
      </w:r>
      <w:r>
        <w:rPr>
          <w:rFonts w:cstheme="minorHAnsi"/>
        </w:rPr>
        <w:t xml:space="preserve">their </w:t>
      </w:r>
      <w:r w:rsidRPr="00395305">
        <w:rPr>
          <w:rFonts w:cstheme="minorHAnsi"/>
        </w:rPr>
        <w:t>institutional and financial capacities;</w:t>
      </w:r>
    </w:p>
    <w:p w14:paraId="4FBCF4A6" w14:textId="77777777" w:rsidR="00301123" w:rsidRPr="00395305" w:rsidRDefault="00301123" w:rsidP="00301123">
      <w:pPr>
        <w:pStyle w:val="ListParagraph"/>
        <w:numPr>
          <w:ilvl w:val="0"/>
          <w:numId w:val="6"/>
        </w:numPr>
        <w:jc w:val="both"/>
        <w:rPr>
          <w:rFonts w:cstheme="minorHAnsi"/>
        </w:rPr>
      </w:pPr>
      <w:r w:rsidRPr="00395305">
        <w:rPr>
          <w:rFonts w:cstheme="minorHAnsi"/>
        </w:rPr>
        <w:t>making investments in local infrastructure and services;</w:t>
      </w:r>
    </w:p>
    <w:p w14:paraId="1F026B55" w14:textId="77777777" w:rsidR="00301123" w:rsidRPr="00395305" w:rsidRDefault="00301123" w:rsidP="00301123">
      <w:pPr>
        <w:pStyle w:val="ListParagraph"/>
        <w:numPr>
          <w:ilvl w:val="0"/>
          <w:numId w:val="6"/>
        </w:numPr>
        <w:jc w:val="both"/>
        <w:rPr>
          <w:rFonts w:cstheme="minorHAnsi"/>
        </w:rPr>
      </w:pPr>
      <w:r w:rsidRPr="00395305">
        <w:rPr>
          <w:rFonts w:cstheme="minorHAnsi"/>
        </w:rPr>
        <w:t xml:space="preserve">improving the socio-economic conditions </w:t>
      </w:r>
      <w:r>
        <w:rPr>
          <w:rFonts w:cstheme="minorHAnsi"/>
        </w:rPr>
        <w:t>of</w:t>
      </w:r>
      <w:r w:rsidRPr="00395305">
        <w:rPr>
          <w:rFonts w:cstheme="minorHAnsi"/>
        </w:rPr>
        <w:t xml:space="preserve"> the local population. </w:t>
      </w:r>
    </w:p>
    <w:p w14:paraId="3ADC6C5A" w14:textId="77777777" w:rsidR="00301123" w:rsidRDefault="00301123" w:rsidP="00301123">
      <w:pPr>
        <w:jc w:val="both"/>
        <w:rPr>
          <w:rFonts w:cstheme="minorHAnsi"/>
        </w:rPr>
      </w:pPr>
      <w:proofErr w:type="gramStart"/>
      <w:r>
        <w:rPr>
          <w:rFonts w:cstheme="minorHAnsi"/>
        </w:rPr>
        <w:t>Also</w:t>
      </w:r>
      <w:proofErr w:type="gramEnd"/>
      <w:r>
        <w:rPr>
          <w:rFonts w:cstheme="minorHAnsi"/>
        </w:rPr>
        <w:t xml:space="preserve"> in this case, even though </w:t>
      </w:r>
      <w:r w:rsidRPr="006066AB">
        <w:rPr>
          <w:rFonts w:cstheme="minorHAnsi"/>
          <w:b/>
          <w:bCs/>
        </w:rPr>
        <w:t>local municipalities</w:t>
      </w:r>
      <w:r>
        <w:rPr>
          <w:rFonts w:cstheme="minorHAnsi"/>
        </w:rPr>
        <w:t xml:space="preserve"> have a delegated responsibility to provide shelters for homeless people, it is not clearly defined among the objectives of MDF to support local municipalities in devoting funds for building social houses, shelters for homeless people or help municipalities to provide temporary shelters to those in need. The responsibilities of MDF include implementing infrastructural projects related to the rehabilitation of cultural heritage, building or renovation of public schools and kindergartens, renovation of sports infrastructure, construction and/or rehabilitations of the roads. As of today, the existing list of the projects implemented/planned by MDF does not include any project related to the construction shelters and social houses for the vulnerable groups of the local population.</w:t>
      </w:r>
    </w:p>
    <w:p w14:paraId="353595AF" w14:textId="77777777" w:rsidR="00301123" w:rsidRPr="00D74D8C" w:rsidRDefault="00301123" w:rsidP="00301123">
      <w:pPr>
        <w:jc w:val="both"/>
        <w:rPr>
          <w:rFonts w:cstheme="minorHAnsi"/>
          <w:lang w:val="en-GB"/>
        </w:rPr>
      </w:pPr>
      <w:r w:rsidRPr="00D74D8C">
        <w:rPr>
          <w:rFonts w:cstheme="minorHAnsi"/>
          <w:lang w:val="en-GB"/>
        </w:rPr>
        <w:t xml:space="preserve">Other institutions that might not directly linked to the social housing provision but can significantly affect the stability of housing for citizens are the following: </w:t>
      </w:r>
      <w:r w:rsidRPr="00D74D8C">
        <w:rPr>
          <w:rFonts w:cstheme="minorHAnsi"/>
          <w:bCs/>
          <w:lang w:val="en-GB"/>
        </w:rPr>
        <w:t>The National Bureau of Enforcement</w:t>
      </w:r>
      <w:r w:rsidRPr="00C40F3F">
        <w:rPr>
          <w:rFonts w:cstheme="minorHAnsi"/>
          <w:lang w:val="en-GB"/>
        </w:rPr>
        <w:t xml:space="preserve">, </w:t>
      </w:r>
      <w:r w:rsidRPr="00D74D8C">
        <w:rPr>
          <w:rFonts w:cstheme="minorHAnsi"/>
          <w:bCs/>
        </w:rPr>
        <w:t xml:space="preserve">The National Agency of State Property (NASP). </w:t>
      </w:r>
      <w:r w:rsidRPr="00D74D8C">
        <w:rPr>
          <w:bCs/>
        </w:rPr>
        <w:t xml:space="preserve">The department of construction policy, under </w:t>
      </w:r>
      <w:r w:rsidRPr="00D74D8C">
        <w:rPr>
          <w:rFonts w:ascii="Sylfaen" w:hAnsi="Sylfaen"/>
          <w:bCs/>
        </w:rPr>
        <w:t>t</w:t>
      </w:r>
      <w:r w:rsidRPr="00D74D8C">
        <w:rPr>
          <w:bCs/>
        </w:rPr>
        <w:t>he Ministry of Economy and Sustainable Development</w:t>
      </w:r>
      <w:r w:rsidRPr="00C40F3F">
        <w:t xml:space="preserve">, </w:t>
      </w:r>
      <w:r w:rsidRPr="00D74D8C">
        <w:rPr>
          <w:rFonts w:cstheme="minorHAnsi"/>
          <w:bCs/>
        </w:rPr>
        <w:t>The National Bank of Georgia</w:t>
      </w:r>
    </w:p>
    <w:p w14:paraId="63BC1E02" w14:textId="77777777" w:rsidR="00301123" w:rsidRDefault="00301123" w:rsidP="00301123">
      <w:pPr>
        <w:jc w:val="both"/>
        <w:rPr>
          <w:rFonts w:cstheme="minorHAnsi"/>
          <w:lang w:val="en-GB"/>
        </w:rPr>
      </w:pPr>
      <w:r w:rsidRPr="006066AB">
        <w:rPr>
          <w:rFonts w:cstheme="minorHAnsi"/>
          <w:b/>
          <w:bCs/>
          <w:lang w:val="en-GB"/>
        </w:rPr>
        <w:t>The National Bureau of Enforcement</w:t>
      </w:r>
      <w:r>
        <w:rPr>
          <w:rFonts w:cstheme="minorHAnsi"/>
          <w:lang w:val="en-GB"/>
        </w:rPr>
        <w:t xml:space="preserve">, operating Under the Ministry of Justice has the responsibility to enforce the decisions made by the courts, by administrative entities and other decisions taken on the basis of the Georgian legislation. The activities organized by the bureau include the eviction from houses based on the request of the creditors, following which the immovable property is subject to be sold on an auction. Before the enforcement of the decision the bureau informs debtors about the court verdict and gives them time to pay their credits in order to avoid the risk of eviction. </w:t>
      </w:r>
    </w:p>
    <w:p w14:paraId="42D81ED9" w14:textId="77777777" w:rsidR="00301123" w:rsidRDefault="00301123" w:rsidP="00301123">
      <w:pPr>
        <w:jc w:val="both"/>
        <w:rPr>
          <w:rFonts w:cstheme="minorHAnsi"/>
        </w:rPr>
      </w:pPr>
      <w:r w:rsidRPr="006066AB">
        <w:rPr>
          <w:rFonts w:cstheme="minorHAnsi"/>
          <w:b/>
          <w:bCs/>
        </w:rPr>
        <w:t>The National</w:t>
      </w:r>
      <w:r>
        <w:rPr>
          <w:rFonts w:cstheme="minorHAnsi"/>
          <w:b/>
          <w:bCs/>
        </w:rPr>
        <w:t xml:space="preserve"> Agency of State Property </w:t>
      </w:r>
      <w:r>
        <w:rPr>
          <w:rFonts w:cstheme="minorHAnsi"/>
        </w:rPr>
        <w:t xml:space="preserve">falls under the Ministry of Economy and Sustainable Development of Georgia and is responsible to regulate the procedures related to the privatization of the state property, transfer of the legal rights to use the state property and manage the companies which are established with the government shareholdings to private representatives. The main responsibilities of the agency include registration of state-owned property, transfer of property into temporary possession, registration of immovable property in the Public Registry, implementation of necessary activities to transfer state property into the procession of local municipalities. </w:t>
      </w:r>
    </w:p>
    <w:p w14:paraId="782448CA" w14:textId="77777777" w:rsidR="00301123" w:rsidRPr="003D38DD" w:rsidRDefault="00301123" w:rsidP="00301123">
      <w:pPr>
        <w:jc w:val="both"/>
      </w:pPr>
      <w:r w:rsidRPr="006066AB">
        <w:rPr>
          <w:b/>
          <w:bCs/>
        </w:rPr>
        <w:t xml:space="preserve">The department of construction policy, under </w:t>
      </w:r>
      <w:r w:rsidRPr="006066AB">
        <w:rPr>
          <w:rFonts w:ascii="Sylfaen" w:hAnsi="Sylfaen"/>
          <w:b/>
          <w:bCs/>
        </w:rPr>
        <w:t>t</w:t>
      </w:r>
      <w:r w:rsidRPr="006066AB">
        <w:rPr>
          <w:b/>
          <w:bCs/>
        </w:rPr>
        <w:t>he Ministry of Economy and Sustainable Development</w:t>
      </w:r>
      <w:r w:rsidRPr="003D38DD">
        <w:t>, is responsible for:</w:t>
      </w:r>
    </w:p>
    <w:p w14:paraId="2309650C" w14:textId="77777777" w:rsidR="00301123" w:rsidRPr="003D38DD" w:rsidRDefault="00301123" w:rsidP="00301123">
      <w:pPr>
        <w:pStyle w:val="ListParagraph"/>
        <w:numPr>
          <w:ilvl w:val="0"/>
          <w:numId w:val="5"/>
        </w:numPr>
        <w:jc w:val="both"/>
        <w:rPr>
          <w:rFonts w:cstheme="minorHAnsi"/>
        </w:rPr>
      </w:pPr>
      <w:r w:rsidRPr="003D38DD">
        <w:rPr>
          <w:rFonts w:cstheme="minorHAnsi"/>
        </w:rPr>
        <w:t xml:space="preserve">elaborating, implementing and monitoring </w:t>
      </w:r>
      <w:r>
        <w:rPr>
          <w:rFonts w:cstheme="minorHAnsi"/>
        </w:rPr>
        <w:t xml:space="preserve">the implementation of the </w:t>
      </w:r>
      <w:r w:rsidRPr="003D38DD">
        <w:rPr>
          <w:rFonts w:cstheme="minorHAnsi"/>
        </w:rPr>
        <w:t xml:space="preserve">spatial planning policy in the country; </w:t>
      </w:r>
    </w:p>
    <w:p w14:paraId="3A7633FC" w14:textId="77777777" w:rsidR="00301123" w:rsidRPr="00F33681" w:rsidRDefault="00301123" w:rsidP="00301123">
      <w:pPr>
        <w:pStyle w:val="ListParagraph"/>
        <w:numPr>
          <w:ilvl w:val="0"/>
          <w:numId w:val="5"/>
        </w:numPr>
        <w:jc w:val="both"/>
        <w:rPr>
          <w:rFonts w:cstheme="minorHAnsi"/>
          <w:lang w:val="en-GB"/>
        </w:rPr>
      </w:pPr>
      <w:r w:rsidRPr="003D38DD">
        <w:rPr>
          <w:rFonts w:cstheme="minorHAnsi"/>
        </w:rPr>
        <w:t xml:space="preserve">providing recommendations and proposals in order to improve housing conditions based on relevant research outcomes. </w:t>
      </w:r>
    </w:p>
    <w:p w14:paraId="63B50DFB" w14:textId="77777777" w:rsidR="00301123" w:rsidRDefault="00301123" w:rsidP="00301123">
      <w:pPr>
        <w:jc w:val="both"/>
        <w:rPr>
          <w:rFonts w:cstheme="minorHAnsi"/>
        </w:rPr>
      </w:pPr>
      <w:r w:rsidRPr="006066AB">
        <w:rPr>
          <w:rFonts w:cstheme="minorHAnsi"/>
          <w:b/>
          <w:bCs/>
        </w:rPr>
        <w:t>The National Bank of Georgia</w:t>
      </w:r>
      <w:r>
        <w:rPr>
          <w:rFonts w:cstheme="minorHAnsi"/>
        </w:rPr>
        <w:t xml:space="preserve"> is the institution regulating activities in the banking sector. Even thought that they do not have direct responsibilities related to the social housing provision in Georgia, NBG </w:t>
      </w:r>
      <w:r>
        <w:rPr>
          <w:rFonts w:cstheme="minorHAnsi"/>
        </w:rPr>
        <w:lastRenderedPageBreak/>
        <w:t xml:space="preserve">regulates the process of getting/giving </w:t>
      </w:r>
      <w:r w:rsidRPr="00FC3BAF">
        <w:rPr>
          <w:rFonts w:cstheme="minorHAnsi"/>
        </w:rPr>
        <w:t xml:space="preserve">loans </w:t>
      </w:r>
      <w:r>
        <w:rPr>
          <w:rFonts w:cstheme="minorHAnsi"/>
        </w:rPr>
        <w:t>that can significantly affect the affordability of housing for the potential customers.</w:t>
      </w:r>
    </w:p>
    <w:p w14:paraId="33E6424E" w14:textId="77777777" w:rsidR="00301123" w:rsidRPr="00395305" w:rsidRDefault="00301123" w:rsidP="00301123">
      <w:pPr>
        <w:jc w:val="both"/>
        <w:rPr>
          <w:rFonts w:cstheme="minorHAnsi"/>
        </w:rPr>
      </w:pPr>
      <w:r w:rsidRPr="003D38DD">
        <w:rPr>
          <w:rFonts w:cstheme="minorHAnsi"/>
        </w:rPr>
        <w:t>According to the Strategy for Socio-Economic Development 2020</w:t>
      </w:r>
      <w:r w:rsidRPr="003D38DD">
        <w:rPr>
          <w:rFonts w:cstheme="minorHAnsi"/>
          <w:lang w:val="ka-GE"/>
        </w:rPr>
        <w:t xml:space="preserve"> </w:t>
      </w:r>
      <w:r w:rsidRPr="003D38DD">
        <w:rPr>
          <w:rFonts w:cstheme="minorHAnsi"/>
        </w:rPr>
        <w:t xml:space="preserve">the goal of the Government of Georgia is to create dignified life and working conditions for each citizen. However, the strategy does not specify any </w:t>
      </w:r>
      <w:r w:rsidRPr="00301ACF">
        <w:rPr>
          <w:rFonts w:cstheme="minorHAnsi"/>
        </w:rPr>
        <w:t>particular</w:t>
      </w:r>
      <w:r w:rsidRPr="003D38DD">
        <w:rPr>
          <w:rFonts w:cstheme="minorHAnsi"/>
        </w:rPr>
        <w:t xml:space="preserve"> goals regarding the achievement of better housing conditions for those who live in inadequate or unstable housing conditions, nor </w:t>
      </w:r>
      <w:r>
        <w:rPr>
          <w:rFonts w:cstheme="minorHAnsi"/>
        </w:rPr>
        <w:t>about the provision of</w:t>
      </w:r>
      <w:r w:rsidRPr="003D38DD">
        <w:rPr>
          <w:rFonts w:cstheme="minorHAnsi"/>
        </w:rPr>
        <w:t xml:space="preserve"> shelters for homeless people.</w:t>
      </w:r>
      <w:r w:rsidRPr="00395305">
        <w:rPr>
          <w:rFonts w:cstheme="minorHAnsi"/>
        </w:rPr>
        <w:t xml:space="preserve"> </w:t>
      </w:r>
    </w:p>
    <w:p w14:paraId="238A884C" w14:textId="77777777" w:rsidR="00301123" w:rsidRPr="00241071" w:rsidRDefault="00301123" w:rsidP="00301123">
      <w:pPr>
        <w:pStyle w:val="Heading3"/>
        <w:jc w:val="both"/>
        <w:rPr>
          <w:rFonts w:asciiTheme="minorHAnsi" w:hAnsiTheme="minorHAnsi"/>
          <w:b/>
          <w:color w:val="002060"/>
        </w:rPr>
      </w:pPr>
      <w:bookmarkStart w:id="6" w:name="_Toc28010438"/>
      <w:r>
        <w:rPr>
          <w:rFonts w:asciiTheme="minorHAnsi" w:hAnsiTheme="minorHAnsi"/>
          <w:b/>
          <w:color w:val="002060"/>
        </w:rPr>
        <w:t>Programs I</w:t>
      </w:r>
      <w:r w:rsidRPr="00241071">
        <w:rPr>
          <w:rFonts w:asciiTheme="minorHAnsi" w:hAnsiTheme="minorHAnsi"/>
          <w:b/>
          <w:color w:val="002060"/>
        </w:rPr>
        <w:t>mplemented by the Government of Georgia</w:t>
      </w:r>
      <w:bookmarkEnd w:id="6"/>
    </w:p>
    <w:p w14:paraId="149B9CE9" w14:textId="77777777" w:rsidR="00301123" w:rsidRDefault="00301123" w:rsidP="00301123">
      <w:pPr>
        <w:jc w:val="both"/>
        <w:rPr>
          <w:lang w:val="en-GB"/>
        </w:rPr>
      </w:pPr>
      <w:r>
        <w:rPr>
          <w:lang w:val="en-GB"/>
        </w:rPr>
        <w:t xml:space="preserve">The Government of Georgia in cooperation with state agencies is implementing several projects in order to mitigate the problem of homelessness in the country. The </w:t>
      </w:r>
      <w:proofErr w:type="spellStart"/>
      <w:r>
        <w:rPr>
          <w:lang w:val="en-GB"/>
        </w:rPr>
        <w:t>GoG</w:t>
      </w:r>
      <w:proofErr w:type="spellEnd"/>
      <w:r>
        <w:rPr>
          <w:lang w:val="en-GB"/>
        </w:rPr>
        <w:t xml:space="preserve"> implements the projects to support different groups of society: IDPs, Eco-Migrants, homeless/roofless people, children without parental care, elderly people and etc.</w:t>
      </w:r>
    </w:p>
    <w:p w14:paraId="30DF4D32" w14:textId="77777777" w:rsidR="00301123" w:rsidRDefault="00301123" w:rsidP="00301123">
      <w:pPr>
        <w:jc w:val="both"/>
        <w:rPr>
          <w:lang w:val="en-GB"/>
        </w:rPr>
      </w:pPr>
      <w:r>
        <w:rPr>
          <w:lang w:val="en-GB"/>
        </w:rPr>
        <w:t>Among the people who face the problem of unstable housing the most vulnerable group are homeless and roofless people. As it is already discussed above, it is a responsibility of local municipalities to register and provide homeless people with adequate shelters. The registration of the homeless people is done in most of the municipalities (but not in all of them)</w:t>
      </w:r>
      <w:r>
        <w:rPr>
          <w:rStyle w:val="FootnoteReference"/>
          <w:lang w:val="en-GB"/>
        </w:rPr>
        <w:footnoteReference w:id="8"/>
      </w:r>
      <w:r>
        <w:rPr>
          <w:lang w:val="en-GB"/>
        </w:rPr>
        <w:t xml:space="preserve">. However, there is no unified methodology, or approach to define a person and/or household homeless. In addition, not all the municipalities (even the ones which provide the registration of homelessness) can offer adequate support to the citizens. The programs implemented by the municipalities are different across the regions. </w:t>
      </w:r>
      <w:r w:rsidRPr="006066AB">
        <w:rPr>
          <w:b/>
          <w:bCs/>
          <w:lang w:val="en-GB"/>
        </w:rPr>
        <w:t>Some municipalities pay certain amount of money to the households on the monthly basis in order to rent a house</w:t>
      </w:r>
      <w:r>
        <w:rPr>
          <w:lang w:val="en-GB"/>
        </w:rPr>
        <w:t xml:space="preserve"> (in most of the cases monthly payment does not exceed GEL 100). </w:t>
      </w:r>
      <w:r w:rsidRPr="006066AB">
        <w:rPr>
          <w:b/>
          <w:bCs/>
          <w:lang w:val="en-GB"/>
        </w:rPr>
        <w:t>Others offer</w:t>
      </w:r>
      <w:r>
        <w:rPr>
          <w:lang w:val="en-GB"/>
        </w:rPr>
        <w:t xml:space="preserve"> </w:t>
      </w:r>
      <w:r w:rsidRPr="006066AB">
        <w:rPr>
          <w:b/>
          <w:bCs/>
          <w:lang w:val="en-GB"/>
        </w:rPr>
        <w:t>spaces</w:t>
      </w:r>
      <w:r>
        <w:rPr>
          <w:lang w:val="en-GB"/>
        </w:rPr>
        <w:t xml:space="preserve"> as temporary shelter. Lastly, </w:t>
      </w:r>
      <w:r w:rsidRPr="006066AB">
        <w:rPr>
          <w:b/>
          <w:bCs/>
          <w:lang w:val="en-GB"/>
        </w:rPr>
        <w:t>several municipalities implement the program which supports families to build or purchase the house</w:t>
      </w:r>
      <w:r>
        <w:rPr>
          <w:lang w:val="en-GB"/>
        </w:rPr>
        <w:t xml:space="preserve">, which will be under their disposal. </w:t>
      </w:r>
    </w:p>
    <w:p w14:paraId="01A133A3" w14:textId="77777777" w:rsidR="00301123" w:rsidRDefault="00301123" w:rsidP="00301123">
      <w:pPr>
        <w:jc w:val="both"/>
        <w:rPr>
          <w:rFonts w:cstheme="minorHAnsi"/>
        </w:rPr>
      </w:pPr>
      <w:r>
        <w:rPr>
          <w:lang w:val="en-GB"/>
        </w:rPr>
        <w:t xml:space="preserve">Tbilisi and Batumi offer the night shelters for homeless people (only to those registered homeless who are living under the administrative borders of that particular municipality). </w:t>
      </w:r>
      <w:r w:rsidRPr="005B0E22">
        <w:rPr>
          <w:rFonts w:cstheme="minorHAnsi"/>
        </w:rPr>
        <w:t>In the shelter beneficiaries are provided with the basic hygienic service and food.</w:t>
      </w:r>
      <w:r>
        <w:rPr>
          <w:rFonts w:cstheme="minorHAnsi"/>
        </w:rPr>
        <w:t xml:space="preserve"> However, shelters are never full at their maximum capacity </w:t>
      </w:r>
      <w:r w:rsidRPr="005B0E22">
        <w:rPr>
          <w:rFonts w:cstheme="minorHAnsi"/>
        </w:rPr>
        <w:t xml:space="preserve">due to the fact that as beneficiaries report, </w:t>
      </w:r>
      <w:r w:rsidRPr="006066AB">
        <w:rPr>
          <w:rFonts w:cstheme="minorHAnsi"/>
          <w:u w:val="single"/>
        </w:rPr>
        <w:t>they do not find such shelters comfortable and suitable for their needs</w:t>
      </w:r>
      <w:r>
        <w:rPr>
          <w:rFonts w:cstheme="minorHAnsi"/>
        </w:rPr>
        <w:t>.</w:t>
      </w:r>
      <w:r w:rsidRPr="005B0E22">
        <w:rPr>
          <w:rFonts w:cstheme="minorHAnsi"/>
        </w:rPr>
        <w:t xml:space="preserve"> </w:t>
      </w:r>
      <w:r>
        <w:rPr>
          <w:rFonts w:cstheme="minorHAnsi"/>
        </w:rPr>
        <w:t>E</w:t>
      </w:r>
      <w:r w:rsidRPr="005B0E22">
        <w:rPr>
          <w:rFonts w:cstheme="minorHAnsi"/>
        </w:rPr>
        <w:t xml:space="preserve">specially </w:t>
      </w:r>
      <w:r>
        <w:rPr>
          <w:rFonts w:cstheme="minorHAnsi"/>
        </w:rPr>
        <w:t>due to</w:t>
      </w:r>
      <w:r w:rsidRPr="005B0E22">
        <w:rPr>
          <w:rFonts w:cstheme="minorHAnsi"/>
        </w:rPr>
        <w:t xml:space="preserve"> the strict internal rules</w:t>
      </w:r>
      <w:r>
        <w:rPr>
          <w:rFonts w:cstheme="minorHAnsi"/>
        </w:rPr>
        <w:t xml:space="preserve"> </w:t>
      </w:r>
      <w:r w:rsidRPr="005B0E22">
        <w:rPr>
          <w:rFonts w:cstheme="minorHAnsi"/>
        </w:rPr>
        <w:t>they prefer to refuse assistance and leave the shelter.</w:t>
      </w:r>
      <w:sdt>
        <w:sdtPr>
          <w:rPr>
            <w:rFonts w:cstheme="minorHAnsi"/>
          </w:rPr>
          <w:id w:val="-2068635206"/>
          <w:citation/>
        </w:sdtPr>
        <w:sdtEndPr/>
        <w:sdtContent>
          <w:r>
            <w:rPr>
              <w:rFonts w:cstheme="minorHAnsi"/>
            </w:rPr>
            <w:fldChar w:fldCharType="begin"/>
          </w:r>
          <w:r>
            <w:rPr>
              <w:rFonts w:cstheme="minorHAnsi"/>
              <w:lang w:val="en-GB"/>
            </w:rPr>
            <w:instrText xml:space="preserve">CITATION Hum16 \l 2057 </w:instrText>
          </w:r>
          <w:r>
            <w:rPr>
              <w:rFonts w:cstheme="minorHAnsi"/>
            </w:rPr>
            <w:fldChar w:fldCharType="separate"/>
          </w:r>
          <w:r>
            <w:rPr>
              <w:rFonts w:cstheme="minorHAnsi"/>
              <w:noProof/>
              <w:lang w:val="en-GB"/>
            </w:rPr>
            <w:t xml:space="preserve"> </w:t>
          </w:r>
          <w:r w:rsidRPr="00D74D8C">
            <w:rPr>
              <w:rFonts w:cstheme="minorHAnsi"/>
              <w:noProof/>
              <w:lang w:val="en-GB"/>
            </w:rPr>
            <w:t>(Human Rights Education and Monitoring Center, 2016)</w:t>
          </w:r>
          <w:r>
            <w:rPr>
              <w:rFonts w:cstheme="minorHAnsi"/>
            </w:rPr>
            <w:fldChar w:fldCharType="end"/>
          </w:r>
        </w:sdtContent>
      </w:sdt>
      <w:r>
        <w:rPr>
          <w:rFonts w:cstheme="minorHAnsi"/>
        </w:rPr>
        <w:t xml:space="preserve">. </w:t>
      </w:r>
      <w:r w:rsidRPr="005B0E22">
        <w:rPr>
          <w:rFonts w:cstheme="minorHAnsi"/>
        </w:rPr>
        <w:t xml:space="preserve">Usually the timing of stay in the shelter for homeless people is not predefined. One of the most important </w:t>
      </w:r>
      <w:r>
        <w:rPr>
          <w:rFonts w:cstheme="minorHAnsi"/>
        </w:rPr>
        <w:t>conditions</w:t>
      </w:r>
      <w:r w:rsidRPr="005B0E22">
        <w:rPr>
          <w:rFonts w:cstheme="minorHAnsi"/>
        </w:rPr>
        <w:t xml:space="preserve"> to be accepted in the shelter is that a person should not ask for a shelter with family (oriented only on the individuals)</w:t>
      </w:r>
      <w:r>
        <w:rPr>
          <w:rFonts w:cstheme="minorHAnsi"/>
        </w:rPr>
        <w:t>. Furthermore,</w:t>
      </w:r>
      <w:r w:rsidRPr="005B0E22">
        <w:rPr>
          <w:rFonts w:cstheme="minorHAnsi"/>
        </w:rPr>
        <w:t xml:space="preserve"> </w:t>
      </w:r>
      <w:r>
        <w:rPr>
          <w:rFonts w:cstheme="minorHAnsi"/>
        </w:rPr>
        <w:t>people with</w:t>
      </w:r>
      <w:r w:rsidRPr="005B0E22">
        <w:rPr>
          <w:rFonts w:cstheme="minorHAnsi"/>
        </w:rPr>
        <w:t xml:space="preserve"> mental or physical disabilities (requir</w:t>
      </w:r>
      <w:r>
        <w:rPr>
          <w:rFonts w:cstheme="minorHAnsi"/>
        </w:rPr>
        <w:t>ing</w:t>
      </w:r>
      <w:r w:rsidRPr="005B0E22">
        <w:rPr>
          <w:rFonts w:cstheme="minorHAnsi"/>
        </w:rPr>
        <w:t xml:space="preserve"> special treatment) </w:t>
      </w:r>
      <w:r>
        <w:rPr>
          <w:rFonts w:cstheme="minorHAnsi"/>
        </w:rPr>
        <w:t>are</w:t>
      </w:r>
      <w:r w:rsidRPr="005B0E22">
        <w:rPr>
          <w:rFonts w:cstheme="minorHAnsi"/>
        </w:rPr>
        <w:t xml:space="preserve"> not allowed to become a beneficiary of the center</w:t>
      </w:r>
      <w:r>
        <w:rPr>
          <w:rStyle w:val="FootnoteReference"/>
          <w:rFonts w:cstheme="minorHAnsi"/>
        </w:rPr>
        <w:footnoteReference w:id="9"/>
      </w:r>
      <w:r>
        <w:rPr>
          <w:rFonts w:cstheme="minorHAnsi"/>
        </w:rPr>
        <w:t xml:space="preserve">. Lastly, </w:t>
      </w:r>
      <w:r w:rsidRPr="005B0E22">
        <w:rPr>
          <w:rFonts w:cstheme="minorHAnsi"/>
        </w:rPr>
        <w:t xml:space="preserve">the person should not own any real estate property under his/her legal disposal. </w:t>
      </w:r>
      <w:r>
        <w:rPr>
          <w:rFonts w:cstheme="minorHAnsi"/>
        </w:rPr>
        <w:t xml:space="preserve">Notably, even though it is a responsibility of municipalities to provide shelters to the homeless people, many of the shelters for houseless people are functioning under the support of Non-Government Organizations (NGOs) or international donor organization forms. </w:t>
      </w:r>
    </w:p>
    <w:p w14:paraId="204697BC" w14:textId="77777777" w:rsidR="00301123" w:rsidRDefault="00301123" w:rsidP="00301123">
      <w:pPr>
        <w:jc w:val="both"/>
        <w:rPr>
          <w:rFonts w:cstheme="minorHAnsi"/>
        </w:rPr>
      </w:pPr>
      <w:r>
        <w:rPr>
          <w:rFonts w:cstheme="minorHAnsi"/>
        </w:rPr>
        <w:t xml:space="preserve">Local municipalities also provide the service of Social Housing to the homeless families under the program of </w:t>
      </w:r>
      <w:r w:rsidRPr="00185E14">
        <w:rPr>
          <w:rFonts w:cstheme="minorHAnsi"/>
          <w:i/>
        </w:rPr>
        <w:t>Social Housing in a Positive Environment</w:t>
      </w:r>
      <w:r w:rsidRPr="00D11BED">
        <w:rPr>
          <w:rFonts w:cstheme="minorHAnsi"/>
          <w:i/>
        </w:rPr>
        <w:t>.</w:t>
      </w:r>
      <w:r w:rsidRPr="00D11BED">
        <w:rPr>
          <w:rFonts w:cstheme="minorHAnsi"/>
        </w:rPr>
        <w:t xml:space="preserve"> The initiator of the program was Swiss </w:t>
      </w:r>
      <w:r>
        <w:rPr>
          <w:rFonts w:cstheme="minorHAnsi"/>
        </w:rPr>
        <w:t xml:space="preserve">Agency for </w:t>
      </w:r>
      <w:r w:rsidRPr="00D11BED">
        <w:rPr>
          <w:rFonts w:cstheme="minorHAnsi"/>
        </w:rPr>
        <w:t>Development and Cooperation (SDC). The primary goal of the project was</w:t>
      </w:r>
      <w:r>
        <w:rPr>
          <w:rFonts w:cstheme="minorHAnsi"/>
        </w:rPr>
        <w:t xml:space="preserve"> to provide homeless people or vulnerable local or IDP population with </w:t>
      </w:r>
      <w:r w:rsidRPr="006066AB">
        <w:rPr>
          <w:rFonts w:cstheme="minorHAnsi"/>
          <w:u w:val="single"/>
        </w:rPr>
        <w:t>sustainable long-term dwellings</w:t>
      </w:r>
      <w:r>
        <w:rPr>
          <w:rFonts w:cstheme="minorHAnsi"/>
        </w:rPr>
        <w:t xml:space="preserve">. </w:t>
      </w:r>
      <w:r w:rsidRPr="00D11BED">
        <w:rPr>
          <w:rFonts w:cstheme="minorHAnsi"/>
        </w:rPr>
        <w:t xml:space="preserve">SDC started building social </w:t>
      </w:r>
      <w:r w:rsidRPr="00D11BED">
        <w:rPr>
          <w:rFonts w:cstheme="minorHAnsi"/>
        </w:rPr>
        <w:lastRenderedPageBreak/>
        <w:t>houses in several cities of Georgia: Tbilisi, Kutaisi, Gori, Zugdidi, Rustavi</w:t>
      </w:r>
      <w:r>
        <w:rPr>
          <w:rFonts w:cstheme="minorHAnsi"/>
        </w:rPr>
        <w:t>, Batumi and Bolnisi.</w:t>
      </w:r>
      <w:r w:rsidRPr="00D11BED">
        <w:rPr>
          <w:rFonts w:cstheme="minorHAnsi"/>
        </w:rPr>
        <w:t xml:space="preserve"> After finishing the construction all social dwellings were transferred in</w:t>
      </w:r>
      <w:r>
        <w:rPr>
          <w:rFonts w:cstheme="minorHAnsi"/>
        </w:rPr>
        <w:t>to</w:t>
      </w:r>
      <w:r w:rsidRPr="00D11BED">
        <w:rPr>
          <w:rFonts w:cstheme="minorHAnsi"/>
        </w:rPr>
        <w:t xml:space="preserve"> ownership of respective municipalit</w:t>
      </w:r>
      <w:r>
        <w:rPr>
          <w:rFonts w:cstheme="minorHAnsi"/>
        </w:rPr>
        <w:t>ies</w:t>
      </w:r>
      <w:r w:rsidRPr="00D11BED">
        <w:rPr>
          <w:rFonts w:cstheme="minorHAnsi"/>
        </w:rPr>
        <w:t>. The beneficiaries</w:t>
      </w:r>
      <w:r>
        <w:rPr>
          <w:rFonts w:cstheme="minorHAnsi"/>
        </w:rPr>
        <w:t xml:space="preserve"> of the social houses</w:t>
      </w:r>
      <w:r w:rsidRPr="00D11BED">
        <w:rPr>
          <w:rFonts w:cstheme="minorHAnsi"/>
        </w:rPr>
        <w:t xml:space="preserve"> were selected based on the application requesting for social dwelling submitted </w:t>
      </w:r>
      <w:r>
        <w:rPr>
          <w:rFonts w:cstheme="minorHAnsi"/>
        </w:rPr>
        <w:t xml:space="preserve">to the respective municipality. </w:t>
      </w:r>
      <w:r w:rsidRPr="00D11BED">
        <w:rPr>
          <w:rFonts w:cstheme="minorHAnsi"/>
        </w:rPr>
        <w:t xml:space="preserve">Once selected, beneficiary household signs a short-term contract with the local self-government. According to the contract, </w:t>
      </w:r>
      <w:r w:rsidRPr="006066AB">
        <w:rPr>
          <w:rFonts w:cstheme="minorHAnsi"/>
          <w:u w:val="single"/>
        </w:rPr>
        <w:t>the beneficiary is provided with a fully equipped individual apartment without rental fees. However, all service expenses (e.g. electricity, gas, water, etc.) are to be covered by the tenant</w:t>
      </w:r>
      <w:r w:rsidRPr="00D11BED">
        <w:rPr>
          <w:rFonts w:cstheme="minorHAnsi"/>
        </w:rPr>
        <w:t xml:space="preserve">. Duration of the contract varies by municipality; for example, in Tbilisi social housing contracts are for 10 years. However, the </w:t>
      </w:r>
      <w:r w:rsidRPr="006066AB">
        <w:rPr>
          <w:rFonts w:cstheme="minorHAnsi"/>
          <w:u w:val="single"/>
        </w:rPr>
        <w:t xml:space="preserve">economic situation of each household living in the social housing is evaluated </w:t>
      </w:r>
      <w:r w:rsidRPr="00D11BED">
        <w:rPr>
          <w:rFonts w:cstheme="minorHAnsi"/>
        </w:rPr>
        <w:t>for continued eligibility</w:t>
      </w:r>
      <w:r>
        <w:rPr>
          <w:rFonts w:cstheme="minorHAnsi"/>
        </w:rPr>
        <w:t xml:space="preserve"> (based on predetermined periodicity)</w:t>
      </w:r>
      <w:r w:rsidRPr="00D11BED">
        <w:rPr>
          <w:rFonts w:cstheme="minorHAnsi"/>
        </w:rPr>
        <w:t xml:space="preserve">; when the socio-economic status of the household improves so that </w:t>
      </w:r>
      <w:r>
        <w:rPr>
          <w:rFonts w:cstheme="minorHAnsi"/>
        </w:rPr>
        <w:t>they</w:t>
      </w:r>
      <w:r w:rsidRPr="00D11BED">
        <w:rPr>
          <w:rFonts w:cstheme="minorHAnsi"/>
        </w:rPr>
        <w:t xml:space="preserve"> might live in market-rate housing, beneficiaries are asked </w:t>
      </w:r>
      <w:r>
        <w:rPr>
          <w:rFonts w:cstheme="minorHAnsi"/>
        </w:rPr>
        <w:t xml:space="preserve">to </w:t>
      </w:r>
      <w:r w:rsidRPr="00D11BED">
        <w:rPr>
          <w:rFonts w:cstheme="minorHAnsi"/>
        </w:rPr>
        <w:t>leave the social housing</w:t>
      </w:r>
      <w:r>
        <w:rPr>
          <w:rFonts w:cstheme="minorHAnsi"/>
        </w:rPr>
        <w:t xml:space="preserve"> </w:t>
      </w:r>
      <w:sdt>
        <w:sdtPr>
          <w:rPr>
            <w:rFonts w:cstheme="minorHAnsi"/>
          </w:rPr>
          <w:id w:val="2111765251"/>
          <w:citation/>
        </w:sdtPr>
        <w:sdtEndPr/>
        <w:sdtContent>
          <w:r>
            <w:rPr>
              <w:rFonts w:cstheme="minorHAnsi"/>
            </w:rPr>
            <w:fldChar w:fldCharType="begin"/>
          </w:r>
          <w:r>
            <w:rPr>
              <w:rFonts w:cstheme="minorHAnsi"/>
              <w:lang w:val="en-GB"/>
            </w:rPr>
            <w:instrText xml:space="preserve"> CITATION Swi15 \l 2057 </w:instrText>
          </w:r>
          <w:r>
            <w:rPr>
              <w:rFonts w:cstheme="minorHAnsi"/>
            </w:rPr>
            <w:fldChar w:fldCharType="separate"/>
          </w:r>
          <w:r w:rsidRPr="0060317C">
            <w:rPr>
              <w:rFonts w:cstheme="minorHAnsi"/>
              <w:noProof/>
              <w:lang w:val="en-GB"/>
            </w:rPr>
            <w:t>(Swiss Agency for Developmen Cooperation (SDC), 2015)</w:t>
          </w:r>
          <w:r>
            <w:rPr>
              <w:rFonts w:cstheme="minorHAnsi"/>
            </w:rPr>
            <w:fldChar w:fldCharType="end"/>
          </w:r>
        </w:sdtContent>
      </w:sdt>
      <w:r>
        <w:rPr>
          <w:rFonts w:cstheme="minorHAnsi"/>
        </w:rPr>
        <w:t>.</w:t>
      </w:r>
    </w:p>
    <w:p w14:paraId="4F37BE85" w14:textId="77777777" w:rsidR="00301123" w:rsidRDefault="00301123" w:rsidP="00301123">
      <w:pPr>
        <w:jc w:val="both"/>
        <w:rPr>
          <w:rFonts w:cstheme="minorHAnsi"/>
        </w:rPr>
      </w:pPr>
      <w:r>
        <w:rPr>
          <w:rFonts w:cstheme="minorHAnsi"/>
        </w:rPr>
        <w:t xml:space="preserve">The agencies which fall under the </w:t>
      </w:r>
      <w:proofErr w:type="spellStart"/>
      <w:r>
        <w:rPr>
          <w:rFonts w:cstheme="minorHAnsi"/>
        </w:rPr>
        <w:t>MoLSHA</w:t>
      </w:r>
      <w:proofErr w:type="spellEnd"/>
      <w:r>
        <w:rPr>
          <w:rFonts w:cstheme="minorHAnsi"/>
        </w:rPr>
        <w:t xml:space="preserve"> are responsible for the institutional shelters that are intended for different groups of society. For example, several big institutional shelters are operated under the ATIP Fund. These include:</w:t>
      </w:r>
    </w:p>
    <w:p w14:paraId="2894D4A3" w14:textId="77777777" w:rsidR="00301123" w:rsidRPr="003D38DD" w:rsidRDefault="00301123" w:rsidP="00301123">
      <w:pPr>
        <w:pStyle w:val="ListParagraph"/>
        <w:numPr>
          <w:ilvl w:val="0"/>
          <w:numId w:val="9"/>
        </w:numPr>
        <w:jc w:val="both"/>
        <w:rPr>
          <w:rFonts w:cstheme="minorHAnsi"/>
          <w:lang w:val="ka-GE"/>
        </w:rPr>
      </w:pPr>
      <w:r w:rsidRPr="003D38DD">
        <w:rPr>
          <w:rFonts w:cstheme="minorHAnsi"/>
          <w:b/>
          <w:lang w:val="en-GB"/>
        </w:rPr>
        <w:t xml:space="preserve">Houses for children with disabilities and without care – </w:t>
      </w:r>
      <w:r w:rsidRPr="003D38DD">
        <w:rPr>
          <w:rFonts w:cstheme="minorHAnsi"/>
          <w:lang w:val="en-GB"/>
        </w:rPr>
        <w:t>Currently there are two institutions</w:t>
      </w:r>
      <w:r>
        <w:rPr>
          <w:rFonts w:cstheme="minorHAnsi"/>
          <w:lang w:val="en-GB"/>
        </w:rPr>
        <w:t xml:space="preserve"> –</w:t>
      </w:r>
      <w:r w:rsidRPr="003D38DD">
        <w:rPr>
          <w:rFonts w:cstheme="minorHAnsi"/>
          <w:lang w:val="en-GB"/>
        </w:rPr>
        <w:t xml:space="preserve"> Tbilisi Infant House and </w:t>
      </w:r>
      <w:proofErr w:type="spellStart"/>
      <w:r w:rsidRPr="003D38DD">
        <w:rPr>
          <w:rFonts w:cstheme="minorHAnsi"/>
          <w:lang w:val="en-GB"/>
        </w:rPr>
        <w:t>Kojori</w:t>
      </w:r>
      <w:proofErr w:type="spellEnd"/>
      <w:r w:rsidRPr="003D38DD">
        <w:rPr>
          <w:rFonts w:cstheme="minorHAnsi"/>
          <w:lang w:val="en-GB"/>
        </w:rPr>
        <w:t xml:space="preserve"> Disabled Children’s House – functioning under the supervision of ATIP </w:t>
      </w:r>
      <w:r>
        <w:rPr>
          <w:rFonts w:cstheme="minorHAnsi"/>
          <w:lang w:val="en-GB"/>
        </w:rPr>
        <w:t>F</w:t>
      </w:r>
      <w:r w:rsidRPr="003D38DD">
        <w:rPr>
          <w:rFonts w:cstheme="minorHAnsi"/>
          <w:lang w:val="en-GB"/>
        </w:rPr>
        <w:t>und.  A child without parental care under the age seven is subject of enrolment in Tbilisi infant house. The services</w:t>
      </w:r>
      <w:r w:rsidRPr="003D38DD">
        <w:rPr>
          <w:rStyle w:val="FootnoteReference"/>
          <w:rFonts w:cstheme="minorHAnsi"/>
          <w:lang w:val="en-GB"/>
        </w:rPr>
        <w:footnoteReference w:id="10"/>
      </w:r>
      <w:r w:rsidRPr="003D38DD">
        <w:rPr>
          <w:rFonts w:cstheme="minorHAnsi"/>
          <w:lang w:val="en-GB"/>
        </w:rPr>
        <w:t xml:space="preserve"> provided in the children’s house are fully funded by the state. Children with acute infectious disease, active form of tuberculous and syphilis, acute disease of central nervous system are not eligible to be enrolled in Tbilisi Children’s House. Children at the age of 7-18 without parental care are subject to be enrolled in </w:t>
      </w:r>
      <w:proofErr w:type="spellStart"/>
      <w:r w:rsidRPr="003D38DD">
        <w:rPr>
          <w:rFonts w:cstheme="minorHAnsi"/>
          <w:lang w:val="en-GB"/>
        </w:rPr>
        <w:t>Kojori</w:t>
      </w:r>
      <w:proofErr w:type="spellEnd"/>
      <w:r w:rsidRPr="003D38DD">
        <w:rPr>
          <w:rFonts w:cstheme="minorHAnsi"/>
          <w:lang w:val="en-GB"/>
        </w:rPr>
        <w:t xml:space="preserve"> Disabled Children’s House. The enrolment conditions are similar to the ones in Tbilisi children’s House. The most problematic issue regarding the children houses is the fact that after the age of 18 children have to leave the shelters, meaning that most of them are potentially homeless. </w:t>
      </w:r>
    </w:p>
    <w:p w14:paraId="70AE4AFA" w14:textId="77777777" w:rsidR="00301123" w:rsidRPr="003D38DD" w:rsidRDefault="00301123" w:rsidP="00301123">
      <w:pPr>
        <w:pStyle w:val="ListParagraph"/>
        <w:jc w:val="both"/>
        <w:rPr>
          <w:rFonts w:cstheme="minorHAnsi"/>
          <w:lang w:val="ka-GE"/>
        </w:rPr>
      </w:pPr>
    </w:p>
    <w:p w14:paraId="697F49E3" w14:textId="77777777" w:rsidR="00301123" w:rsidRPr="003D38DD" w:rsidRDefault="00301123" w:rsidP="00301123">
      <w:pPr>
        <w:pStyle w:val="ListParagraph"/>
        <w:numPr>
          <w:ilvl w:val="0"/>
          <w:numId w:val="9"/>
        </w:numPr>
        <w:jc w:val="both"/>
        <w:rPr>
          <w:rFonts w:cstheme="minorHAnsi"/>
          <w:b/>
          <w:lang w:val="en-GB"/>
        </w:rPr>
      </w:pPr>
      <w:r w:rsidRPr="003D38DD">
        <w:rPr>
          <w:rFonts w:cstheme="minorHAnsi"/>
          <w:b/>
          <w:lang w:val="en-GB"/>
        </w:rPr>
        <w:t xml:space="preserve">Boarding Houses for persons with disabilities – </w:t>
      </w:r>
      <w:r w:rsidRPr="005F0A46">
        <w:rPr>
          <w:rFonts w:cstheme="minorHAnsi"/>
          <w:lang w:val="en-GB"/>
        </w:rPr>
        <w:t>T</w:t>
      </w:r>
      <w:r w:rsidRPr="003D38DD">
        <w:rPr>
          <w:rFonts w:cstheme="minorHAnsi"/>
          <w:lang w:val="en-GB"/>
        </w:rPr>
        <w:t xml:space="preserve">here are three boarding houses functioning under the supervision of ATIP Fund: </w:t>
      </w:r>
      <w:proofErr w:type="spellStart"/>
      <w:r w:rsidRPr="003D38DD">
        <w:rPr>
          <w:rFonts w:cstheme="minorHAnsi"/>
          <w:lang w:val="en-GB"/>
        </w:rPr>
        <w:t>Ma</w:t>
      </w:r>
      <w:r>
        <w:rPr>
          <w:rFonts w:cstheme="minorHAnsi"/>
          <w:lang w:val="en-GB"/>
        </w:rPr>
        <w:t>r</w:t>
      </w:r>
      <w:r w:rsidRPr="003D38DD">
        <w:rPr>
          <w:rFonts w:cstheme="minorHAnsi"/>
          <w:lang w:val="en-GB"/>
        </w:rPr>
        <w:t>tkhopi</w:t>
      </w:r>
      <w:proofErr w:type="spellEnd"/>
      <w:r w:rsidRPr="003D38DD">
        <w:rPr>
          <w:rFonts w:cstheme="minorHAnsi"/>
          <w:lang w:val="en-GB"/>
        </w:rPr>
        <w:t xml:space="preserve">, </w:t>
      </w:r>
      <w:proofErr w:type="spellStart"/>
      <w:r w:rsidRPr="003D38DD">
        <w:rPr>
          <w:rFonts w:cstheme="minorHAnsi"/>
          <w:lang w:val="en-GB"/>
        </w:rPr>
        <w:t>Dusheti</w:t>
      </w:r>
      <w:proofErr w:type="spellEnd"/>
      <w:r w:rsidRPr="003D38DD">
        <w:rPr>
          <w:rFonts w:cstheme="minorHAnsi"/>
          <w:lang w:val="en-GB"/>
        </w:rPr>
        <w:t xml:space="preserve"> and </w:t>
      </w:r>
      <w:proofErr w:type="spellStart"/>
      <w:r w:rsidRPr="003D38DD">
        <w:rPr>
          <w:rFonts w:cstheme="minorHAnsi"/>
          <w:lang w:val="en-GB"/>
        </w:rPr>
        <w:t>Dzev</w:t>
      </w:r>
      <w:r>
        <w:rPr>
          <w:rFonts w:cstheme="minorHAnsi"/>
          <w:lang w:val="en-GB"/>
        </w:rPr>
        <w:t>r</w:t>
      </w:r>
      <w:r w:rsidRPr="003D38DD">
        <w:rPr>
          <w:rFonts w:cstheme="minorHAnsi"/>
          <w:lang w:val="en-GB"/>
        </w:rPr>
        <w:t>i</w:t>
      </w:r>
      <w:proofErr w:type="spellEnd"/>
      <w:r w:rsidRPr="003D38DD">
        <w:rPr>
          <w:rFonts w:cstheme="minorHAnsi"/>
          <w:lang w:val="en-GB"/>
        </w:rPr>
        <w:t xml:space="preserve"> boarding houses. In </w:t>
      </w:r>
      <w:proofErr w:type="spellStart"/>
      <w:r w:rsidRPr="003D38DD">
        <w:rPr>
          <w:rFonts w:cstheme="minorHAnsi"/>
          <w:lang w:val="en-GB"/>
        </w:rPr>
        <w:t>Martkhopi</w:t>
      </w:r>
      <w:proofErr w:type="spellEnd"/>
      <w:r w:rsidRPr="003D38DD">
        <w:rPr>
          <w:rFonts w:cstheme="minorHAnsi"/>
          <w:lang w:val="en-GB"/>
        </w:rPr>
        <w:t xml:space="preserve"> and </w:t>
      </w:r>
      <w:proofErr w:type="spellStart"/>
      <w:r w:rsidRPr="003D38DD">
        <w:rPr>
          <w:rFonts w:cstheme="minorHAnsi"/>
          <w:lang w:val="en-GB"/>
        </w:rPr>
        <w:t>Dzevri</w:t>
      </w:r>
      <w:proofErr w:type="spellEnd"/>
      <w:r w:rsidRPr="003D38DD">
        <w:rPr>
          <w:rFonts w:cstheme="minorHAnsi"/>
          <w:lang w:val="en-GB"/>
        </w:rPr>
        <w:t xml:space="preserve"> boarding houses adult persons with disabilities and with a status of having clearly and significantly restricted capacities due to other mental disorders are supposed to be enrolled. Persons with disabilities (mental disorders F70.1</w:t>
      </w:r>
      <w:r>
        <w:rPr>
          <w:rStyle w:val="FootnoteReference"/>
          <w:rFonts w:cstheme="minorHAnsi"/>
          <w:lang w:val="en-GB"/>
        </w:rPr>
        <w:footnoteReference w:id="11"/>
      </w:r>
      <w:r w:rsidRPr="003D38DD">
        <w:rPr>
          <w:rFonts w:cstheme="minorHAnsi"/>
          <w:lang w:val="en-GB"/>
        </w:rPr>
        <w:t xml:space="preserve"> and physical disabilities) are subject to be enrolled in </w:t>
      </w:r>
      <w:proofErr w:type="spellStart"/>
      <w:r w:rsidRPr="003D38DD">
        <w:rPr>
          <w:rFonts w:cstheme="minorHAnsi"/>
          <w:lang w:val="en-GB"/>
        </w:rPr>
        <w:t>Dusheti</w:t>
      </w:r>
      <w:proofErr w:type="spellEnd"/>
      <w:r w:rsidRPr="003D38DD">
        <w:rPr>
          <w:rFonts w:cstheme="minorHAnsi"/>
          <w:lang w:val="en-GB"/>
        </w:rPr>
        <w:t xml:space="preserve"> boarding house. </w:t>
      </w:r>
    </w:p>
    <w:p w14:paraId="5342670D" w14:textId="77777777" w:rsidR="00301123" w:rsidRPr="003D38DD" w:rsidRDefault="00301123" w:rsidP="00301123">
      <w:pPr>
        <w:pStyle w:val="ListParagraph"/>
        <w:jc w:val="both"/>
        <w:rPr>
          <w:rFonts w:cstheme="minorHAnsi"/>
          <w:b/>
          <w:lang w:val="en-GB"/>
        </w:rPr>
      </w:pPr>
    </w:p>
    <w:p w14:paraId="3578328B" w14:textId="77777777" w:rsidR="00301123" w:rsidRPr="003D38DD" w:rsidRDefault="00301123" w:rsidP="00301123">
      <w:pPr>
        <w:pStyle w:val="ListParagraph"/>
        <w:numPr>
          <w:ilvl w:val="0"/>
          <w:numId w:val="9"/>
        </w:numPr>
        <w:jc w:val="both"/>
        <w:rPr>
          <w:rFonts w:ascii="Calibri" w:eastAsia="Calibri" w:hAnsi="Calibri" w:cs="Calibri"/>
          <w:lang w:val="en-GB"/>
        </w:rPr>
      </w:pPr>
      <w:r w:rsidRPr="003D38DD">
        <w:rPr>
          <w:rFonts w:cstheme="minorHAnsi"/>
          <w:b/>
          <w:lang w:val="en-GB"/>
        </w:rPr>
        <w:t xml:space="preserve">Boarding Houses for Elderly </w:t>
      </w:r>
      <w:r w:rsidRPr="003D38DD">
        <w:rPr>
          <w:rFonts w:cstheme="minorHAnsi"/>
          <w:b/>
          <w:lang w:val="en-GB"/>
        </w:rPr>
        <w:softHyphen/>
        <w:t xml:space="preserve">– </w:t>
      </w:r>
      <w:r w:rsidRPr="003D38DD">
        <w:rPr>
          <w:rFonts w:cstheme="minorHAnsi"/>
          <w:lang w:val="en-GB"/>
        </w:rPr>
        <w:t xml:space="preserve">Two Elderly Houses (In Kutaisi and Tbilisi) are operating under ATIP </w:t>
      </w:r>
      <w:r>
        <w:rPr>
          <w:rFonts w:cstheme="minorHAnsi"/>
          <w:lang w:val="en-GB"/>
        </w:rPr>
        <w:t>F</w:t>
      </w:r>
      <w:r w:rsidRPr="003D38DD">
        <w:rPr>
          <w:rFonts w:cstheme="minorHAnsi"/>
          <w:lang w:val="en-GB"/>
        </w:rPr>
        <w:t xml:space="preserve">und. </w:t>
      </w:r>
      <w:r w:rsidRPr="003D38DD">
        <w:rPr>
          <w:rFonts w:ascii="Calibri" w:eastAsia="Calibri" w:hAnsi="Calibri" w:cs="Calibri"/>
          <w:lang w:val="en-GB"/>
        </w:rPr>
        <w:t>The conditions to be admitted in the elderly house as a beneficiary are the following:</w:t>
      </w:r>
    </w:p>
    <w:p w14:paraId="5F37C9A6" w14:textId="77777777" w:rsidR="00301123" w:rsidRPr="003D38DD" w:rsidRDefault="00301123" w:rsidP="00301123">
      <w:pPr>
        <w:numPr>
          <w:ilvl w:val="0"/>
          <w:numId w:val="10"/>
        </w:numPr>
        <w:ind w:left="1134" w:firstLine="0"/>
        <w:contextualSpacing/>
        <w:jc w:val="both"/>
        <w:rPr>
          <w:rFonts w:ascii="Calibri" w:eastAsia="Calibri" w:hAnsi="Calibri" w:cs="Calibri"/>
          <w:lang w:val="en-GB"/>
        </w:rPr>
      </w:pPr>
      <w:r w:rsidRPr="003D38DD">
        <w:rPr>
          <w:rFonts w:ascii="Calibri" w:eastAsia="Calibri" w:hAnsi="Calibri" w:cs="Calibri"/>
          <w:lang w:val="en-GB"/>
        </w:rPr>
        <w:t xml:space="preserve">Any person (men at the age of 65 or more and women at the age of 60 or more) can become a beneficiary of the boarding house, </w:t>
      </w:r>
      <w:r>
        <w:rPr>
          <w:rFonts w:ascii="Calibri" w:eastAsia="Calibri" w:hAnsi="Calibri" w:cs="Calibri"/>
          <w:lang w:val="en-GB"/>
        </w:rPr>
        <w:t>if</w:t>
      </w:r>
      <w:r w:rsidRPr="003D38DD">
        <w:rPr>
          <w:rFonts w:ascii="Calibri" w:eastAsia="Calibri" w:hAnsi="Calibri" w:cs="Calibri"/>
          <w:lang w:val="en-GB"/>
        </w:rPr>
        <w:t xml:space="preserve"> she/he does not have any mental health problems.</w:t>
      </w:r>
    </w:p>
    <w:p w14:paraId="7A3FC642" w14:textId="77777777" w:rsidR="00301123" w:rsidRDefault="00301123" w:rsidP="00301123">
      <w:pPr>
        <w:numPr>
          <w:ilvl w:val="0"/>
          <w:numId w:val="10"/>
        </w:numPr>
        <w:ind w:left="1134" w:firstLine="0"/>
        <w:contextualSpacing/>
        <w:jc w:val="both"/>
        <w:rPr>
          <w:rFonts w:ascii="Calibri" w:eastAsia="Calibri" w:hAnsi="Calibri" w:cs="Calibri"/>
          <w:lang w:val="en-GB"/>
        </w:rPr>
      </w:pPr>
      <w:r w:rsidRPr="003D38DD">
        <w:rPr>
          <w:rFonts w:ascii="Calibri" w:eastAsia="Calibri" w:hAnsi="Calibri" w:cs="Calibri"/>
          <w:lang w:val="en-GB"/>
        </w:rPr>
        <w:lastRenderedPageBreak/>
        <w:t>Persons with the communicable diseases such as tuberculosis, Syphilis</w:t>
      </w:r>
      <w:r w:rsidRPr="003D38DD">
        <w:rPr>
          <w:rFonts w:ascii="Calibri" w:eastAsia="Calibri" w:hAnsi="Calibri" w:cs="Calibri"/>
          <w:lang w:val="ka-GE"/>
        </w:rPr>
        <w:t xml:space="preserve">, Contagious skin disease </w:t>
      </w:r>
      <w:r w:rsidRPr="003D38DD">
        <w:rPr>
          <w:rFonts w:ascii="Calibri" w:eastAsia="Calibri" w:hAnsi="Calibri" w:cs="Calibri"/>
          <w:lang w:val="en-GB"/>
        </w:rPr>
        <w:t xml:space="preserve">and also persons with acute disease of the central nervous system cannot become a beneficiary of the boarding hose. </w:t>
      </w:r>
    </w:p>
    <w:p w14:paraId="7BA5D3D3" w14:textId="77777777" w:rsidR="00301123" w:rsidRPr="003D38DD" w:rsidRDefault="00301123" w:rsidP="00301123">
      <w:pPr>
        <w:ind w:left="1134"/>
        <w:contextualSpacing/>
        <w:jc w:val="both"/>
        <w:rPr>
          <w:rFonts w:ascii="Calibri" w:eastAsia="Calibri" w:hAnsi="Calibri" w:cs="Calibri"/>
          <w:lang w:val="en-GB"/>
        </w:rPr>
      </w:pPr>
    </w:p>
    <w:p w14:paraId="23BC3D9D" w14:textId="77777777" w:rsidR="00301123" w:rsidRDefault="00301123" w:rsidP="00301123">
      <w:pPr>
        <w:jc w:val="both"/>
        <w:rPr>
          <w:rFonts w:ascii="Calibri" w:eastAsia="Calibri" w:hAnsi="Calibri" w:cs="Calibri"/>
          <w:lang w:val="en-GB"/>
        </w:rPr>
      </w:pPr>
      <w:r w:rsidRPr="006066AB">
        <w:rPr>
          <w:rFonts w:ascii="Calibri" w:eastAsia="Calibri" w:hAnsi="Calibri" w:cs="Calibri"/>
          <w:u w:val="single"/>
          <w:lang w:val="en-GB"/>
        </w:rPr>
        <w:t>In order to get a shelter in the boarding house a person should apply to the Social Service Agency with the written request.</w:t>
      </w:r>
      <w:r w:rsidRPr="003D38DD">
        <w:rPr>
          <w:rFonts w:ascii="Calibri" w:eastAsia="Calibri" w:hAnsi="Calibri" w:cs="Calibri"/>
          <w:lang w:val="en-GB"/>
        </w:rPr>
        <w:t xml:space="preserve"> </w:t>
      </w:r>
      <w:r>
        <w:rPr>
          <w:rFonts w:ascii="Calibri" w:eastAsia="Calibri" w:hAnsi="Calibri" w:cs="Calibri"/>
          <w:lang w:val="en-GB"/>
        </w:rPr>
        <w:t xml:space="preserve">There is no pre-defined time limit to stay in the shelter. </w:t>
      </w:r>
      <w:r w:rsidRPr="003D38DD">
        <w:rPr>
          <w:rFonts w:ascii="Calibri" w:eastAsia="Calibri" w:hAnsi="Calibri" w:cs="Calibri"/>
          <w:lang w:val="en-GB"/>
        </w:rPr>
        <w:t>The decision about accepting a beneficiary or no</w:t>
      </w:r>
      <w:r>
        <w:rPr>
          <w:rFonts w:ascii="Calibri" w:eastAsia="Calibri" w:hAnsi="Calibri" w:cs="Calibri"/>
          <w:lang w:val="en-GB"/>
        </w:rPr>
        <w:t>t</w:t>
      </w:r>
      <w:r w:rsidRPr="003D38DD">
        <w:rPr>
          <w:rFonts w:ascii="Calibri" w:eastAsia="Calibri" w:hAnsi="Calibri" w:cs="Calibri"/>
          <w:lang w:val="en-GB"/>
        </w:rPr>
        <w:t xml:space="preserve"> is made by the regional council. The council is also responsible to decide whether a beneficiary receives a service free of charge or not. </w:t>
      </w:r>
    </w:p>
    <w:p w14:paraId="07948289" w14:textId="77777777" w:rsidR="00301123" w:rsidRPr="00B6275B" w:rsidRDefault="00301123" w:rsidP="00301123">
      <w:pPr>
        <w:jc w:val="both"/>
        <w:rPr>
          <w:rFonts w:cstheme="minorHAnsi"/>
        </w:rPr>
      </w:pPr>
      <w:r w:rsidRPr="00B6275B">
        <w:rPr>
          <w:rFonts w:cstheme="minorHAnsi"/>
        </w:rPr>
        <w:t>According to the decree of the Government of Georgia (#22, Jan 27,2010) the amount of the subsidy for the elderly person to receive a boarding house shelter service is determined in the following way:</w:t>
      </w:r>
    </w:p>
    <w:p w14:paraId="676074B8" w14:textId="77777777" w:rsidR="00301123" w:rsidRPr="00B6275B" w:rsidRDefault="00301123" w:rsidP="00301123">
      <w:pPr>
        <w:pStyle w:val="ListParagraph"/>
        <w:numPr>
          <w:ilvl w:val="0"/>
          <w:numId w:val="14"/>
        </w:numPr>
        <w:ind w:left="1276"/>
        <w:jc w:val="both"/>
        <w:rPr>
          <w:rFonts w:cstheme="minorHAnsi"/>
        </w:rPr>
      </w:pPr>
      <w:r w:rsidRPr="00B6275B">
        <w:rPr>
          <w:rFonts w:cstheme="minorHAnsi"/>
        </w:rPr>
        <w:t xml:space="preserve">If elderly person comes from the socially vulnerable family, which has a social ranking score no more than 57,000, she/he receives the service for free, the government is subsidizing the payments through 600 Gel, monthly.   </w:t>
      </w:r>
    </w:p>
    <w:p w14:paraId="7A6AA476" w14:textId="77777777" w:rsidR="00301123" w:rsidRPr="00B6275B" w:rsidRDefault="00301123" w:rsidP="00301123">
      <w:pPr>
        <w:pStyle w:val="ListParagraph"/>
        <w:numPr>
          <w:ilvl w:val="0"/>
          <w:numId w:val="14"/>
        </w:numPr>
        <w:ind w:left="1276"/>
        <w:jc w:val="both"/>
        <w:rPr>
          <w:rFonts w:cstheme="minorHAnsi"/>
        </w:rPr>
      </w:pPr>
      <w:r w:rsidRPr="00B6275B">
        <w:rPr>
          <w:rFonts w:cstheme="minorHAnsi"/>
        </w:rPr>
        <w:t xml:space="preserve">If the social ranking score of the beneficiary is in the range of 57,001-70,001 the government subsidizes 510 Gel of the monthly payment of the boarding house and the rest (90 Gel) has to be paid by the beneficiary. </w:t>
      </w:r>
    </w:p>
    <w:p w14:paraId="6834391A" w14:textId="77777777" w:rsidR="00301123" w:rsidRPr="00B6275B" w:rsidRDefault="00301123" w:rsidP="00301123">
      <w:pPr>
        <w:pStyle w:val="ListParagraph"/>
        <w:numPr>
          <w:ilvl w:val="0"/>
          <w:numId w:val="14"/>
        </w:numPr>
        <w:ind w:left="1276"/>
        <w:jc w:val="both"/>
        <w:rPr>
          <w:rFonts w:cstheme="minorHAnsi"/>
        </w:rPr>
      </w:pPr>
      <w:r w:rsidRPr="00B6275B">
        <w:rPr>
          <w:rFonts w:cstheme="minorHAnsi"/>
        </w:rPr>
        <w:t xml:space="preserve">If the social ranking score of the beneficiary is in the range of 70,001-100,001 the government subsidizes only 450 GEL of the fee and the beneficiary pays 150 Gel monthly. </w:t>
      </w:r>
    </w:p>
    <w:p w14:paraId="367F8C90" w14:textId="77777777" w:rsidR="00301123" w:rsidRPr="00B6275B" w:rsidRDefault="00301123" w:rsidP="00301123">
      <w:pPr>
        <w:pStyle w:val="ListParagraph"/>
        <w:numPr>
          <w:ilvl w:val="0"/>
          <w:numId w:val="14"/>
        </w:numPr>
        <w:ind w:left="1276"/>
        <w:jc w:val="both"/>
        <w:rPr>
          <w:rFonts w:cstheme="minorHAnsi"/>
        </w:rPr>
      </w:pPr>
      <w:r w:rsidRPr="00B6275B">
        <w:rPr>
          <w:rFonts w:cstheme="minorHAnsi"/>
        </w:rPr>
        <w:t xml:space="preserve">If beneficiaries are moved to the Tbilisi or Kutaisi Elderly Boarding House from other government subsidized institution their service fee will be financed by the government </w:t>
      </w:r>
    </w:p>
    <w:p w14:paraId="56403C4A" w14:textId="77777777" w:rsidR="00301123" w:rsidRDefault="00301123" w:rsidP="00301123">
      <w:pPr>
        <w:pStyle w:val="ListParagraph"/>
        <w:numPr>
          <w:ilvl w:val="0"/>
          <w:numId w:val="14"/>
        </w:numPr>
        <w:ind w:left="1276"/>
        <w:jc w:val="both"/>
        <w:rPr>
          <w:rFonts w:cstheme="minorHAnsi"/>
        </w:rPr>
      </w:pPr>
      <w:r w:rsidRPr="00B6275B">
        <w:rPr>
          <w:rFonts w:cstheme="minorHAnsi"/>
        </w:rPr>
        <w:t xml:space="preserve">The beneficiaries who are not included in any of the above-mentioned categories have to pay the total service fee on their own – 600 Gel, monthly. </w:t>
      </w:r>
    </w:p>
    <w:p w14:paraId="7955C3C3" w14:textId="77777777" w:rsidR="00301123" w:rsidRPr="003D38DD" w:rsidRDefault="00301123" w:rsidP="00301123">
      <w:pPr>
        <w:jc w:val="both"/>
        <w:rPr>
          <w:rFonts w:cstheme="minorHAnsi"/>
        </w:rPr>
      </w:pPr>
      <w:r w:rsidRPr="00A7332D">
        <w:rPr>
          <w:rFonts w:cstheme="minorHAnsi"/>
        </w:rPr>
        <w:t>Beside the pub</w:t>
      </w:r>
      <w:r w:rsidRPr="007B4C31">
        <w:rPr>
          <w:rFonts w:cstheme="minorHAnsi"/>
        </w:rPr>
        <w:t>licly financed boarding houses for elderly people there are several private boarding houses, or shelters for elderly people financed by the international donor organizations. The conditions to be accepted as a beneficiary of the shelter is different for ea</w:t>
      </w:r>
      <w:r w:rsidRPr="00940B0A">
        <w:rPr>
          <w:rFonts w:cstheme="minorHAnsi"/>
        </w:rPr>
        <w:t>ch organization. If the shelter is financed by the international organization, they might require a beneficiary not to have a property under her/his disposal or a person who will take care</w:t>
      </w:r>
      <w:r>
        <w:rPr>
          <w:rFonts w:cstheme="minorHAnsi"/>
        </w:rPr>
        <w:t xml:space="preserve"> of</w:t>
      </w:r>
      <w:r w:rsidRPr="00940B0A">
        <w:rPr>
          <w:rFonts w:cstheme="minorHAnsi"/>
        </w:rPr>
        <w:t xml:space="preserve"> him/her. In private shelters for elderly people minimum service fee is a 50% of the pension of the beneficiary. Service fee increases depending on the conditions and services the shelter can provide to the beneficiary. </w:t>
      </w:r>
    </w:p>
    <w:p w14:paraId="6A440AB8" w14:textId="77777777" w:rsidR="00301123" w:rsidRPr="003D38DD" w:rsidRDefault="00301123" w:rsidP="00301123">
      <w:pPr>
        <w:pStyle w:val="ListParagraph"/>
        <w:numPr>
          <w:ilvl w:val="0"/>
          <w:numId w:val="11"/>
        </w:numPr>
        <w:jc w:val="both"/>
        <w:rPr>
          <w:rFonts w:ascii="Calibri" w:eastAsia="Calibri" w:hAnsi="Calibri" w:cs="Calibri"/>
          <w:lang w:val="en-GB"/>
        </w:rPr>
      </w:pPr>
      <w:r w:rsidRPr="003D38DD">
        <w:rPr>
          <w:rFonts w:ascii="Calibri" w:eastAsia="Calibri" w:hAnsi="Calibri" w:cs="Calibri"/>
          <w:b/>
          <w:lang w:val="en-GB"/>
        </w:rPr>
        <w:t>Shelters for Victims of Domestic Violence</w:t>
      </w:r>
      <w:r w:rsidRPr="003D38DD">
        <w:rPr>
          <w:rFonts w:ascii="Calibri" w:eastAsia="Calibri" w:hAnsi="Calibri" w:cs="Calibri"/>
          <w:lang w:val="en-GB"/>
        </w:rPr>
        <w:t xml:space="preserve"> </w:t>
      </w:r>
      <w:r w:rsidRPr="003D38DD">
        <w:rPr>
          <w:rFonts w:ascii="Calibri" w:eastAsia="Calibri" w:hAnsi="Calibri" w:cs="Calibri"/>
          <w:lang w:val="en-GB"/>
        </w:rPr>
        <w:softHyphen/>
        <w:t xml:space="preserve">– Three shelters (in </w:t>
      </w:r>
      <w:proofErr w:type="spellStart"/>
      <w:r w:rsidRPr="003D38DD">
        <w:rPr>
          <w:rFonts w:ascii="Calibri" w:eastAsia="Calibri" w:hAnsi="Calibri" w:cs="Calibri"/>
          <w:lang w:val="en-GB"/>
        </w:rPr>
        <w:t>Sighnaghi</w:t>
      </w:r>
      <w:proofErr w:type="spellEnd"/>
      <w:r w:rsidRPr="003D38DD">
        <w:rPr>
          <w:rFonts w:ascii="Calibri" w:eastAsia="Calibri" w:hAnsi="Calibri" w:cs="Calibri"/>
          <w:lang w:val="en-GB"/>
        </w:rPr>
        <w:t xml:space="preserve">, Kutaisi and Gori) are supervised by the ATIP </w:t>
      </w:r>
      <w:r>
        <w:rPr>
          <w:rFonts w:ascii="Calibri" w:eastAsia="Calibri" w:hAnsi="Calibri" w:cs="Calibri"/>
          <w:lang w:val="en-GB"/>
        </w:rPr>
        <w:t>F</w:t>
      </w:r>
      <w:r w:rsidRPr="003D38DD">
        <w:rPr>
          <w:rFonts w:ascii="Calibri" w:eastAsia="Calibri" w:hAnsi="Calibri" w:cs="Calibri"/>
          <w:lang w:val="en-GB"/>
        </w:rPr>
        <w:t>und.  Victim (woman) of domestic violence or/and victim of sexual violence is supposed to be enrolled in the shelter (with the dependent person</w:t>
      </w:r>
      <w:r w:rsidRPr="003D38DD">
        <w:rPr>
          <w:rStyle w:val="FootnoteReference"/>
          <w:rFonts w:ascii="Calibri" w:eastAsia="Calibri" w:hAnsi="Calibri" w:cs="Calibri"/>
          <w:lang w:val="en-GB"/>
        </w:rPr>
        <w:footnoteReference w:id="12"/>
      </w:r>
      <w:r w:rsidRPr="003D38DD">
        <w:rPr>
          <w:rFonts w:ascii="Calibri" w:eastAsia="Calibri" w:hAnsi="Calibri" w:cs="Calibri"/>
          <w:lang w:val="en-GB"/>
        </w:rPr>
        <w:t xml:space="preserve">). </w:t>
      </w:r>
      <w:r w:rsidRPr="006066AB">
        <w:rPr>
          <w:rFonts w:ascii="Calibri" w:eastAsia="Calibri" w:hAnsi="Calibri" w:cs="Calibri"/>
          <w:u w:val="single"/>
          <w:lang w:val="en-GB"/>
        </w:rPr>
        <w:t>Victims are allowed to stay in the shelter up to three months</w:t>
      </w:r>
      <w:r w:rsidRPr="003D38DD">
        <w:rPr>
          <w:rFonts w:ascii="Calibri" w:eastAsia="Calibri" w:hAnsi="Calibri" w:cs="Calibri"/>
          <w:lang w:val="en-GB"/>
        </w:rPr>
        <w:t xml:space="preserve">. </w:t>
      </w:r>
      <w:r>
        <w:rPr>
          <w:rFonts w:ascii="Calibri" w:eastAsia="Calibri" w:hAnsi="Calibri" w:cs="Calibri"/>
          <w:lang w:val="en-GB"/>
        </w:rPr>
        <w:t xml:space="preserve">After this time period they have to leave the shelter and there is no responsible agency which provides shelters or any other support service to the victims after 3 months. </w:t>
      </w:r>
    </w:p>
    <w:p w14:paraId="4F5C30D9" w14:textId="77777777" w:rsidR="00301123" w:rsidRPr="003D38DD" w:rsidRDefault="00301123" w:rsidP="00301123">
      <w:pPr>
        <w:pStyle w:val="ListParagraph"/>
        <w:numPr>
          <w:ilvl w:val="0"/>
          <w:numId w:val="11"/>
        </w:numPr>
        <w:jc w:val="both"/>
        <w:rPr>
          <w:rFonts w:ascii="Calibri" w:eastAsia="Calibri" w:hAnsi="Calibri" w:cs="Calibri"/>
          <w:lang w:val="en-GB"/>
        </w:rPr>
      </w:pPr>
      <w:r w:rsidRPr="003D38DD">
        <w:rPr>
          <w:rFonts w:ascii="Calibri" w:eastAsia="Calibri" w:hAnsi="Calibri" w:cs="Calibri"/>
          <w:b/>
          <w:lang w:val="en-GB"/>
        </w:rPr>
        <w:t xml:space="preserve">Shelters of Trafficking Victims </w:t>
      </w:r>
      <w:r w:rsidRPr="003D38DD">
        <w:rPr>
          <w:rFonts w:ascii="Calibri" w:eastAsia="Calibri" w:hAnsi="Calibri" w:cs="Calibri"/>
          <w:lang w:val="en-GB"/>
        </w:rPr>
        <w:t xml:space="preserve">– shelters are located in Tbilisi and Batumi and victims of trafficking and/or domestic violence are subject to be enrolled in these shelters. Victims are allowed to </w:t>
      </w:r>
      <w:r w:rsidRPr="006066AB">
        <w:rPr>
          <w:rFonts w:ascii="Calibri" w:eastAsia="Calibri" w:hAnsi="Calibri" w:cs="Calibri"/>
          <w:u w:val="single"/>
          <w:lang w:val="en-GB"/>
        </w:rPr>
        <w:t>stay in the shelter up to three months</w:t>
      </w:r>
      <w:r w:rsidRPr="003D38DD">
        <w:rPr>
          <w:rFonts w:ascii="Calibri" w:eastAsia="Calibri" w:hAnsi="Calibri" w:cs="Calibri"/>
          <w:lang w:val="en-GB"/>
        </w:rPr>
        <w:t xml:space="preserve">. </w:t>
      </w:r>
      <w:r>
        <w:rPr>
          <w:rFonts w:ascii="Calibri" w:eastAsia="Calibri" w:hAnsi="Calibri" w:cs="Calibri"/>
          <w:lang w:val="en-GB"/>
        </w:rPr>
        <w:t xml:space="preserve">After they leave the shelter there is no additional support service provided to the victims. </w:t>
      </w:r>
    </w:p>
    <w:p w14:paraId="1ECAE647" w14:textId="77777777" w:rsidR="00301123" w:rsidRPr="003D38DD" w:rsidRDefault="00301123" w:rsidP="00301123">
      <w:pPr>
        <w:jc w:val="both"/>
        <w:rPr>
          <w:rFonts w:cstheme="minorHAnsi"/>
        </w:rPr>
      </w:pPr>
      <w:r w:rsidRPr="003D38DD">
        <w:rPr>
          <w:rFonts w:cstheme="minorHAnsi"/>
        </w:rPr>
        <w:lastRenderedPageBreak/>
        <w:t>Currently the process of deinstitutionalization of shelters is ongoing. Due to the changes big (institutional) shelters are still under the supervision of ATIP fund, while small, family type shelters are supervised by the SSA.</w:t>
      </w:r>
    </w:p>
    <w:p w14:paraId="68F0E56B" w14:textId="77777777" w:rsidR="00301123" w:rsidRPr="003D38DD" w:rsidRDefault="00301123" w:rsidP="00301123">
      <w:pPr>
        <w:pStyle w:val="ListParagraph"/>
        <w:numPr>
          <w:ilvl w:val="0"/>
          <w:numId w:val="12"/>
        </w:numPr>
        <w:jc w:val="both"/>
        <w:rPr>
          <w:rFonts w:cstheme="minorHAnsi"/>
        </w:rPr>
      </w:pPr>
      <w:r w:rsidRPr="003D38DD">
        <w:rPr>
          <w:rFonts w:cstheme="minorHAnsi"/>
          <w:b/>
        </w:rPr>
        <w:t>Children Care</w:t>
      </w:r>
      <w:r w:rsidRPr="003D38DD">
        <w:rPr>
          <w:rFonts w:cstheme="minorHAnsi"/>
        </w:rPr>
        <w:t xml:space="preserve"> – SSA implements three sub-programs of the children care. This includes:</w:t>
      </w:r>
    </w:p>
    <w:p w14:paraId="7C9E197A" w14:textId="77777777" w:rsidR="00301123" w:rsidRPr="003D38DD" w:rsidRDefault="00301123" w:rsidP="00301123">
      <w:pPr>
        <w:pStyle w:val="ListParagraph"/>
        <w:numPr>
          <w:ilvl w:val="0"/>
          <w:numId w:val="13"/>
        </w:numPr>
        <w:ind w:left="1276" w:hanging="283"/>
        <w:jc w:val="both"/>
      </w:pPr>
      <w:r w:rsidRPr="003D38DD">
        <w:rPr>
          <w:rFonts w:cstheme="minorHAnsi"/>
          <w:b/>
        </w:rPr>
        <w:t>Small family type houses</w:t>
      </w:r>
      <w:r w:rsidRPr="003D38DD">
        <w:rPr>
          <w:rFonts w:cstheme="minorHAnsi"/>
        </w:rPr>
        <w:t xml:space="preserve"> – </w:t>
      </w:r>
      <w:r>
        <w:rPr>
          <w:rFonts w:cstheme="minorHAnsi"/>
        </w:rPr>
        <w:t>children</w:t>
      </w:r>
      <w:r w:rsidRPr="003D38DD">
        <w:rPr>
          <w:rFonts w:cstheme="minorHAnsi"/>
        </w:rPr>
        <w:t xml:space="preserve"> without parental care at the age of 7-18 are living in the home-type houses</w:t>
      </w:r>
      <w:r>
        <w:rPr>
          <w:rFonts w:cstheme="minorHAnsi"/>
        </w:rPr>
        <w:t xml:space="preserve"> with</w:t>
      </w:r>
      <w:r w:rsidRPr="003D38DD">
        <w:rPr>
          <w:rFonts w:cstheme="minorHAnsi"/>
        </w:rPr>
        <w:t xml:space="preserve"> one or two permanent ‘</w:t>
      </w:r>
      <w:proofErr w:type="gramStart"/>
      <w:r w:rsidRPr="003D38DD">
        <w:rPr>
          <w:rFonts w:cstheme="minorHAnsi"/>
        </w:rPr>
        <w:t>parent</w:t>
      </w:r>
      <w:proofErr w:type="gramEnd"/>
      <w:r w:rsidRPr="003D38DD">
        <w:rPr>
          <w:rFonts w:cstheme="minorHAnsi"/>
        </w:rPr>
        <w:t xml:space="preserve">’. The houses are functioning in Tbilisi, Telavi, </w:t>
      </w:r>
      <w:proofErr w:type="spellStart"/>
      <w:r w:rsidRPr="003D38DD">
        <w:rPr>
          <w:rFonts w:cstheme="minorHAnsi"/>
        </w:rPr>
        <w:t>Dusheti</w:t>
      </w:r>
      <w:proofErr w:type="spellEnd"/>
      <w:r w:rsidRPr="003D38DD">
        <w:rPr>
          <w:rFonts w:cstheme="minorHAnsi"/>
        </w:rPr>
        <w:t xml:space="preserve"> a</w:t>
      </w:r>
      <w:r>
        <w:rPr>
          <w:rFonts w:cstheme="minorHAnsi"/>
        </w:rPr>
        <w:t>nd Kutaisi. There are maximum ten</w:t>
      </w:r>
      <w:r w:rsidRPr="003D38DD">
        <w:rPr>
          <w:rFonts w:cstheme="minorHAnsi"/>
        </w:rPr>
        <w:t xml:space="preserve"> beneficiaries in each house excluding houses in Kutaisi</w:t>
      </w:r>
      <w:r>
        <w:rPr>
          <w:rFonts w:cstheme="minorHAnsi"/>
        </w:rPr>
        <w:t xml:space="preserve">, as those </w:t>
      </w:r>
      <w:r w:rsidRPr="003D38DD">
        <w:rPr>
          <w:rFonts w:cstheme="minorHAnsi"/>
        </w:rPr>
        <w:t xml:space="preserve">are arranged for the </w:t>
      </w:r>
      <w:r>
        <w:rPr>
          <w:rFonts w:cstheme="minorHAnsi"/>
        </w:rPr>
        <w:t>children</w:t>
      </w:r>
      <w:r w:rsidRPr="003D38DD">
        <w:rPr>
          <w:rFonts w:cstheme="minorHAnsi"/>
        </w:rPr>
        <w:t xml:space="preserve"> with disabilities and maximum number of beneficiaries is </w:t>
      </w:r>
      <w:r>
        <w:rPr>
          <w:rFonts w:cstheme="minorHAnsi"/>
        </w:rPr>
        <w:t>seven</w:t>
      </w:r>
      <w:r w:rsidRPr="003D38DD">
        <w:rPr>
          <w:rFonts w:cstheme="minorHAnsi"/>
        </w:rPr>
        <w:t xml:space="preserve">.  The main difference between the family type houses and institutional shelters is that kids are </w:t>
      </w:r>
      <w:r>
        <w:rPr>
          <w:rFonts w:cstheme="minorHAnsi"/>
        </w:rPr>
        <w:t>growing up</w:t>
      </w:r>
      <w:r w:rsidRPr="003D38DD">
        <w:rPr>
          <w:rFonts w:cstheme="minorHAnsi"/>
        </w:rPr>
        <w:t xml:space="preserve"> in more family-type environment</w:t>
      </w:r>
      <w:r w:rsidRPr="003D38DD">
        <w:rPr>
          <w:rFonts w:cstheme="minorHAnsi"/>
          <w:lang w:val="ka-GE"/>
        </w:rPr>
        <w:t xml:space="preserve">. </w:t>
      </w:r>
      <w:r>
        <w:rPr>
          <w:rFonts w:cstheme="minorHAnsi"/>
          <w:lang w:val="en-GB"/>
        </w:rPr>
        <w:t>SSA is not responsible to provide the service of family type house to the beneficiaries after age 18.</w:t>
      </w:r>
    </w:p>
    <w:p w14:paraId="584454D4" w14:textId="77777777" w:rsidR="00301123" w:rsidRPr="003D38DD" w:rsidRDefault="00301123" w:rsidP="00301123">
      <w:pPr>
        <w:pStyle w:val="ListParagraph"/>
        <w:numPr>
          <w:ilvl w:val="0"/>
          <w:numId w:val="13"/>
        </w:numPr>
        <w:ind w:left="1276" w:hanging="283"/>
        <w:jc w:val="both"/>
      </w:pPr>
      <w:r w:rsidRPr="003D38DD">
        <w:rPr>
          <w:rFonts w:cstheme="minorHAnsi"/>
          <w:b/>
        </w:rPr>
        <w:t xml:space="preserve">Reintegration </w:t>
      </w:r>
      <w:r w:rsidRPr="003D38DD">
        <w:t xml:space="preserve">– The goal of the sub-program is to support bringing back </w:t>
      </w:r>
      <w:r>
        <w:t>children (from children-care shelters)</w:t>
      </w:r>
      <w:r w:rsidRPr="003D38DD">
        <w:t xml:space="preserve"> to the biological families. </w:t>
      </w:r>
      <w:r>
        <w:t>The</w:t>
      </w:r>
      <w:r w:rsidRPr="003D38DD">
        <w:t xml:space="preserve"> government supports the family with monthly allowance (100 Gel per </w:t>
      </w:r>
      <w:r>
        <w:t>child;</w:t>
      </w:r>
      <w:r w:rsidRPr="003D38DD">
        <w:t xml:space="preserve"> 160 Gel in case the </w:t>
      </w:r>
      <w:r>
        <w:t>child</w:t>
      </w:r>
      <w:r w:rsidRPr="003D38DD">
        <w:t xml:space="preserve"> is with disabilities). Beside</w:t>
      </w:r>
      <w:r>
        <w:t>s,</w:t>
      </w:r>
      <w:r w:rsidRPr="003D38DD">
        <w:t xml:space="preserve"> </w:t>
      </w:r>
      <w:r>
        <w:t>child</w:t>
      </w:r>
      <w:r w:rsidRPr="003D38DD">
        <w:t xml:space="preserve"> has a medical insurance and food voucher. </w:t>
      </w:r>
      <w:r>
        <w:t>Children</w:t>
      </w:r>
      <w:r w:rsidRPr="003D38DD">
        <w:t xml:space="preserve"> and their parents are supported to learn different professions which will help them for future employment.</w:t>
      </w:r>
      <w:r>
        <w:t xml:space="preserve"> Monthly allowances are not paid after the age 18. However, the program supports kids to live in family environment, rather than in shelter, which reduces the risk to become a homeless after age 18. </w:t>
      </w:r>
    </w:p>
    <w:p w14:paraId="50773E6D" w14:textId="77777777" w:rsidR="00301123" w:rsidRPr="003D38DD" w:rsidRDefault="00301123" w:rsidP="00301123">
      <w:pPr>
        <w:pStyle w:val="ListParagraph"/>
        <w:numPr>
          <w:ilvl w:val="0"/>
          <w:numId w:val="13"/>
        </w:numPr>
        <w:ind w:left="1276" w:hanging="283"/>
        <w:jc w:val="both"/>
      </w:pPr>
      <w:r w:rsidRPr="003D38DD">
        <w:rPr>
          <w:rFonts w:cstheme="minorHAnsi"/>
          <w:b/>
        </w:rPr>
        <w:t xml:space="preserve">Foster care </w:t>
      </w:r>
      <w:r w:rsidRPr="003D38DD">
        <w:t xml:space="preserve">– </w:t>
      </w:r>
      <w:r w:rsidRPr="003D38DD">
        <w:rPr>
          <w:lang w:val="en-GB"/>
        </w:rPr>
        <w:t xml:space="preserve">this policy includes the contract between the government and the family who adopts the </w:t>
      </w:r>
      <w:r>
        <w:rPr>
          <w:lang w:val="en-GB"/>
        </w:rPr>
        <w:t>child</w:t>
      </w:r>
      <w:r w:rsidRPr="003D38DD">
        <w:rPr>
          <w:lang w:val="en-GB"/>
        </w:rPr>
        <w:t xml:space="preserve"> for a certain period to bring him/her up in a family environment.</w:t>
      </w:r>
      <w:r w:rsidRPr="003D38DD">
        <w:t xml:space="preserve"> A </w:t>
      </w:r>
      <w:r>
        <w:t>child</w:t>
      </w:r>
      <w:r w:rsidRPr="003D38DD">
        <w:t xml:space="preserve"> can be adopted only if </w:t>
      </w:r>
      <w:r>
        <w:t>he/she is</w:t>
      </w:r>
      <w:r w:rsidRPr="003D38DD">
        <w:t xml:space="preserve"> orphan, his/her parents are acknowledged as missing persons by the court or the right of being a parent was limited by the law. The government pays monthly allowance to the </w:t>
      </w:r>
      <w:r>
        <w:t xml:space="preserve">foster </w:t>
      </w:r>
      <w:r w:rsidRPr="003D38DD">
        <w:t xml:space="preserve">family (200 Gel in case of relative and daily 16 Gel in case of non-relative). A </w:t>
      </w:r>
      <w:r>
        <w:t>child</w:t>
      </w:r>
      <w:r w:rsidRPr="003D38DD">
        <w:t xml:space="preserve"> can stay in the family maximum </w:t>
      </w:r>
      <w:r>
        <w:t>up to</w:t>
      </w:r>
      <w:r w:rsidRPr="003D38DD">
        <w:t xml:space="preserve"> the age</w:t>
      </w:r>
      <w:r>
        <w:t xml:space="preserve"> of</w:t>
      </w:r>
      <w:r w:rsidRPr="003D38DD">
        <w:t xml:space="preserve"> 21. After that age the government is not paying the allowance</w:t>
      </w:r>
      <w:r>
        <w:t xml:space="preserve"> and </w:t>
      </w:r>
      <w:r>
        <w:rPr>
          <w:rFonts w:cstheme="minorHAnsi"/>
          <w:lang w:val="en-GB"/>
        </w:rPr>
        <w:t>no additional support is provided</w:t>
      </w:r>
      <w:r w:rsidRPr="003D38DD">
        <w:t>.</w:t>
      </w:r>
      <w:r>
        <w:t xml:space="preserve"> The beneficiary can</w:t>
      </w:r>
      <w:r w:rsidRPr="003D38DD">
        <w:t xml:space="preserve"> </w:t>
      </w:r>
      <w:r>
        <w:t xml:space="preserve">stay in the foster family only based on the mutual willing and agreement. </w:t>
      </w:r>
    </w:p>
    <w:p w14:paraId="09A2CDA4" w14:textId="77777777" w:rsidR="00301123" w:rsidRPr="003D38DD" w:rsidRDefault="00301123" w:rsidP="00301123">
      <w:pPr>
        <w:pStyle w:val="ListParagraph"/>
        <w:ind w:left="1276"/>
        <w:jc w:val="both"/>
      </w:pPr>
    </w:p>
    <w:p w14:paraId="45B7D196" w14:textId="77777777" w:rsidR="00301123" w:rsidRPr="003D38DD" w:rsidRDefault="00301123" w:rsidP="00301123">
      <w:pPr>
        <w:pStyle w:val="ListParagraph"/>
        <w:numPr>
          <w:ilvl w:val="0"/>
          <w:numId w:val="12"/>
        </w:numPr>
        <w:jc w:val="both"/>
      </w:pPr>
      <w:r w:rsidRPr="003D38DD">
        <w:rPr>
          <w:b/>
          <w:lang w:val="en-GB"/>
        </w:rPr>
        <w:t xml:space="preserve">Community Organizations </w:t>
      </w:r>
      <w:r w:rsidRPr="005F0A46">
        <w:rPr>
          <w:lang w:val="en-GB"/>
        </w:rPr>
        <w:t xml:space="preserve">– </w:t>
      </w:r>
      <w:r w:rsidRPr="003D38DD">
        <w:rPr>
          <w:lang w:val="en-GB"/>
        </w:rPr>
        <w:t xml:space="preserve">adults with disabilities and elderly people (women over the age 60 and men over the age 65) are allowed to be enrolled </w:t>
      </w:r>
      <w:r>
        <w:rPr>
          <w:lang w:val="en-GB"/>
        </w:rPr>
        <w:t>in such programs</w:t>
      </w:r>
      <w:r w:rsidRPr="003D38DD">
        <w:rPr>
          <w:lang w:val="en-GB"/>
        </w:rPr>
        <w:t>. These organizations represent family type, deinstitutionalized shelters which are administrated by the Non-G</w:t>
      </w:r>
      <w:r>
        <w:rPr>
          <w:lang w:val="en-GB"/>
        </w:rPr>
        <w:t xml:space="preserve">overnmental Organizations </w:t>
      </w:r>
      <w:r w:rsidRPr="003D38DD">
        <w:rPr>
          <w:lang w:val="en-GB"/>
        </w:rPr>
        <w:t>but they are funded from the central budget and monitored by SSA. As for May 2019 there are 12 community organizations functioning in different regions of the country</w:t>
      </w:r>
      <w:r w:rsidRPr="003D38DD">
        <w:rPr>
          <w:rStyle w:val="FootnoteReference"/>
          <w:lang w:val="en-GB"/>
        </w:rPr>
        <w:footnoteReference w:id="13"/>
      </w:r>
      <w:r>
        <w:rPr>
          <w:lang w:val="en-GB"/>
        </w:rPr>
        <w:t xml:space="preserve">. There is no pre-defined duration limit to stay in the community organization. </w:t>
      </w:r>
    </w:p>
    <w:p w14:paraId="37F04C7F" w14:textId="77777777" w:rsidR="00301123" w:rsidRPr="003D38DD" w:rsidRDefault="00301123" w:rsidP="00301123">
      <w:pPr>
        <w:jc w:val="both"/>
        <w:rPr>
          <w:rFonts w:cstheme="minorHAnsi"/>
        </w:rPr>
      </w:pPr>
      <w:r w:rsidRPr="003D38DD">
        <w:rPr>
          <w:rFonts w:cstheme="minorHAnsi"/>
        </w:rPr>
        <w:t xml:space="preserve">Under the Social Service Agency, the Department of the Administration of the Issues of IDPs and Eco-Migrants is responsible for implementation </w:t>
      </w:r>
      <w:r>
        <w:rPr>
          <w:rFonts w:cstheme="minorHAnsi"/>
        </w:rPr>
        <w:t xml:space="preserve">of </w:t>
      </w:r>
      <w:r w:rsidRPr="003D38DD">
        <w:rPr>
          <w:rFonts w:cstheme="minorHAnsi"/>
        </w:rPr>
        <w:t>all necessary programs to provide IDPs and Eco migrants with adequate shelters, including:</w:t>
      </w:r>
    </w:p>
    <w:p w14:paraId="18B37849" w14:textId="77777777" w:rsidR="00301123" w:rsidRPr="003D38DD" w:rsidRDefault="00301123" w:rsidP="00301123">
      <w:pPr>
        <w:pStyle w:val="ListParagraph"/>
        <w:numPr>
          <w:ilvl w:val="0"/>
          <w:numId w:val="4"/>
        </w:numPr>
        <w:jc w:val="both"/>
        <w:rPr>
          <w:rFonts w:cstheme="minorHAnsi"/>
        </w:rPr>
      </w:pPr>
      <w:r>
        <w:rPr>
          <w:rFonts w:cstheme="minorHAnsi"/>
        </w:rPr>
        <w:lastRenderedPageBreak/>
        <w:t>P</w:t>
      </w:r>
      <w:r w:rsidRPr="003D38DD">
        <w:rPr>
          <w:rFonts w:cstheme="minorHAnsi"/>
        </w:rPr>
        <w:t>urchasing real estate based on the norms defined by the Georgian legislation to provide emergency support to IDPs and provide them with temporary shelters</w:t>
      </w:r>
      <w:r>
        <w:rPr>
          <w:rStyle w:val="FootnoteReference"/>
          <w:rFonts w:cstheme="minorHAnsi"/>
        </w:rPr>
        <w:footnoteReference w:id="14"/>
      </w:r>
      <w:r w:rsidRPr="003D38DD">
        <w:rPr>
          <w:rFonts w:cstheme="minorHAnsi"/>
        </w:rPr>
        <w:t xml:space="preserve">; </w:t>
      </w:r>
    </w:p>
    <w:p w14:paraId="381A3B52" w14:textId="77777777" w:rsidR="00301123" w:rsidRPr="003D38DD" w:rsidRDefault="00301123" w:rsidP="00301123">
      <w:pPr>
        <w:pStyle w:val="ListParagraph"/>
        <w:numPr>
          <w:ilvl w:val="0"/>
          <w:numId w:val="4"/>
        </w:numPr>
        <w:jc w:val="both"/>
        <w:rPr>
          <w:rFonts w:cstheme="minorHAnsi"/>
        </w:rPr>
      </w:pPr>
      <w:r>
        <w:rPr>
          <w:rFonts w:cstheme="minorHAnsi"/>
        </w:rPr>
        <w:t>R</w:t>
      </w:r>
      <w:r w:rsidRPr="003D38DD">
        <w:rPr>
          <w:rFonts w:cstheme="minorHAnsi"/>
        </w:rPr>
        <w:t>ehabilitating the temporary residential areas of IDPs under their competency;</w:t>
      </w:r>
    </w:p>
    <w:p w14:paraId="61629879" w14:textId="77777777" w:rsidR="00301123" w:rsidRPr="00F549ED" w:rsidRDefault="00301123" w:rsidP="00301123">
      <w:pPr>
        <w:pStyle w:val="ListParagraph"/>
        <w:numPr>
          <w:ilvl w:val="0"/>
          <w:numId w:val="4"/>
        </w:numPr>
        <w:jc w:val="both"/>
        <w:rPr>
          <w:lang w:val="en-GB"/>
        </w:rPr>
      </w:pPr>
      <w:r>
        <w:rPr>
          <w:rFonts w:cstheme="minorHAnsi"/>
        </w:rPr>
        <w:t>S</w:t>
      </w:r>
      <w:r w:rsidRPr="003D38DD">
        <w:rPr>
          <w:rFonts w:cstheme="minorHAnsi"/>
        </w:rPr>
        <w:t xml:space="preserve">upporting local municipalities to fulfill their responsibilities regarding to the provision of adequate services to IDPs and eco-migrants. </w:t>
      </w:r>
    </w:p>
    <w:p w14:paraId="1E803213" w14:textId="77777777" w:rsidR="00301123" w:rsidRPr="00D11BED" w:rsidRDefault="00301123" w:rsidP="00301123">
      <w:pPr>
        <w:jc w:val="both"/>
        <w:rPr>
          <w:rFonts w:cstheme="minorHAnsi"/>
        </w:rPr>
      </w:pPr>
      <w:r w:rsidRPr="00D11BED">
        <w:rPr>
          <w:rFonts w:cstheme="minorHAnsi"/>
        </w:rPr>
        <w:t>The Government of Georgia ha</w:t>
      </w:r>
      <w:r>
        <w:rPr>
          <w:rFonts w:cstheme="minorHAnsi"/>
        </w:rPr>
        <w:t>s</w:t>
      </w:r>
      <w:r w:rsidRPr="00D11BED">
        <w:rPr>
          <w:rFonts w:cstheme="minorHAnsi"/>
        </w:rPr>
        <w:t xml:space="preserve"> </w:t>
      </w:r>
      <w:r>
        <w:rPr>
          <w:rFonts w:cstheme="minorHAnsi"/>
        </w:rPr>
        <w:t xml:space="preserve">adopted </w:t>
      </w:r>
      <w:r w:rsidRPr="00D11BED">
        <w:rPr>
          <w:rFonts w:cstheme="minorHAnsi"/>
        </w:rPr>
        <w:t xml:space="preserve">several initiatives in order to overcome the problems of unstable housing for IDP families and to provide them with permanent and adequate houses. The related projects include the following: </w:t>
      </w:r>
    </w:p>
    <w:p w14:paraId="370DCDC2" w14:textId="77777777" w:rsidR="00301123" w:rsidRPr="00D11BED" w:rsidRDefault="00301123" w:rsidP="00301123">
      <w:pPr>
        <w:pStyle w:val="ListParagraph"/>
        <w:numPr>
          <w:ilvl w:val="0"/>
          <w:numId w:val="2"/>
        </w:numPr>
        <w:jc w:val="both"/>
        <w:rPr>
          <w:rFonts w:cstheme="minorHAnsi"/>
        </w:rPr>
      </w:pPr>
      <w:r w:rsidRPr="003D38DD">
        <w:rPr>
          <w:rFonts w:cstheme="minorHAnsi"/>
          <w:b/>
        </w:rPr>
        <w:t>Co-financing to purchase house</w:t>
      </w:r>
      <w:r w:rsidRPr="00D11BED">
        <w:rPr>
          <w:rFonts w:cstheme="minorHAnsi"/>
        </w:rPr>
        <w:t xml:space="preserve"> –</w:t>
      </w:r>
      <w:r>
        <w:rPr>
          <w:rFonts w:cstheme="minorHAnsi"/>
        </w:rPr>
        <w:t xml:space="preserve"> </w:t>
      </w:r>
      <w:r w:rsidRPr="00D11BED">
        <w:rPr>
          <w:rFonts w:cstheme="minorHAnsi"/>
        </w:rPr>
        <w:t xml:space="preserve">IDP </w:t>
      </w:r>
      <w:r>
        <w:rPr>
          <w:rFonts w:cstheme="minorHAnsi"/>
        </w:rPr>
        <w:t>households</w:t>
      </w:r>
      <w:r w:rsidRPr="00D11BED">
        <w:rPr>
          <w:rFonts w:cstheme="minorHAnsi"/>
        </w:rPr>
        <w:t xml:space="preserve"> which are registered in Tbilisi are able to buy living spaces with co-financ</w:t>
      </w:r>
      <w:r>
        <w:rPr>
          <w:rFonts w:cstheme="minorHAnsi"/>
        </w:rPr>
        <w:t xml:space="preserve">ing of </w:t>
      </w:r>
      <w:proofErr w:type="spellStart"/>
      <w:r>
        <w:rPr>
          <w:rFonts w:cstheme="minorHAnsi"/>
        </w:rPr>
        <w:t>MoLSHA</w:t>
      </w:r>
      <w:proofErr w:type="spellEnd"/>
      <w:r w:rsidRPr="00D11BED">
        <w:rPr>
          <w:rFonts w:cstheme="minorHAnsi"/>
        </w:rPr>
        <w:t xml:space="preserve">.  The Ministry </w:t>
      </w:r>
      <w:r>
        <w:rPr>
          <w:rFonts w:cstheme="minorHAnsi"/>
        </w:rPr>
        <w:t>will finance maximum $350 per m</w:t>
      </w:r>
      <w:r>
        <w:rPr>
          <w:rFonts w:cstheme="minorHAnsi"/>
          <w:vertAlign w:val="superscript"/>
        </w:rPr>
        <w:t>2</w:t>
      </w:r>
      <w:r w:rsidRPr="00D11BED">
        <w:rPr>
          <w:rFonts w:cstheme="minorHAnsi"/>
        </w:rPr>
        <w:t xml:space="preserve">, </w:t>
      </w:r>
      <w:r>
        <w:rPr>
          <w:rFonts w:cstheme="minorHAnsi"/>
        </w:rPr>
        <w:t xml:space="preserve">while </w:t>
      </w:r>
      <w:r w:rsidRPr="00D11BED">
        <w:rPr>
          <w:rFonts w:cstheme="minorHAnsi"/>
        </w:rPr>
        <w:t>househo</w:t>
      </w:r>
      <w:r>
        <w:rPr>
          <w:rFonts w:cstheme="minorHAnsi"/>
        </w:rPr>
        <w:t>ld should pay minimum $60 per m</w:t>
      </w:r>
      <w:r>
        <w:rPr>
          <w:rFonts w:cstheme="minorHAnsi"/>
          <w:vertAlign w:val="superscript"/>
        </w:rPr>
        <w:t>2</w:t>
      </w:r>
      <w:r w:rsidRPr="00D11BED">
        <w:rPr>
          <w:rFonts w:cstheme="minorHAnsi"/>
        </w:rPr>
        <w:t xml:space="preserve">. </w:t>
      </w:r>
    </w:p>
    <w:p w14:paraId="279B5090" w14:textId="77777777" w:rsidR="00301123" w:rsidRPr="00644E39" w:rsidRDefault="00301123" w:rsidP="00301123">
      <w:pPr>
        <w:pStyle w:val="ListParagraph"/>
        <w:numPr>
          <w:ilvl w:val="0"/>
          <w:numId w:val="2"/>
        </w:numPr>
        <w:jc w:val="both"/>
        <w:rPr>
          <w:rFonts w:cstheme="minorHAnsi"/>
        </w:rPr>
      </w:pPr>
      <w:r w:rsidRPr="003D38DD">
        <w:rPr>
          <w:rFonts w:cstheme="minorHAnsi"/>
          <w:b/>
        </w:rPr>
        <w:t>House in the Village</w:t>
      </w:r>
      <w:r w:rsidRPr="00D11BED">
        <w:rPr>
          <w:rFonts w:cstheme="minorHAnsi"/>
        </w:rPr>
        <w:t xml:space="preserve"> –</w:t>
      </w:r>
      <w:r>
        <w:rPr>
          <w:rFonts w:cstheme="minorHAnsi"/>
        </w:rPr>
        <w:t xml:space="preserve"> </w:t>
      </w:r>
      <w:r w:rsidRPr="00D11BED">
        <w:rPr>
          <w:rFonts w:cstheme="minorHAnsi"/>
        </w:rPr>
        <w:t xml:space="preserve">IDP </w:t>
      </w:r>
      <w:r>
        <w:rPr>
          <w:rFonts w:cstheme="minorHAnsi"/>
        </w:rPr>
        <w:t xml:space="preserve">households may choose to buy </w:t>
      </w:r>
      <w:r w:rsidRPr="00D11BED">
        <w:rPr>
          <w:rFonts w:cstheme="minorHAnsi"/>
        </w:rPr>
        <w:t>private house</w:t>
      </w:r>
      <w:r>
        <w:rPr>
          <w:rFonts w:cstheme="minorHAnsi"/>
        </w:rPr>
        <w:t>s</w:t>
      </w:r>
      <w:r w:rsidRPr="00D11BED">
        <w:rPr>
          <w:rFonts w:cstheme="minorHAnsi"/>
        </w:rPr>
        <w:t xml:space="preserve"> with agricultural land plot</w:t>
      </w:r>
      <w:r>
        <w:rPr>
          <w:rFonts w:cstheme="minorHAnsi"/>
        </w:rPr>
        <w:t>s</w:t>
      </w:r>
      <w:r w:rsidRPr="00D11BED">
        <w:rPr>
          <w:rFonts w:cstheme="minorHAnsi"/>
        </w:rPr>
        <w:t xml:space="preserve"> in </w:t>
      </w:r>
      <w:r>
        <w:rPr>
          <w:rFonts w:cstheme="minorHAnsi"/>
        </w:rPr>
        <w:t>any rural area</w:t>
      </w:r>
      <w:r w:rsidRPr="00D11BED">
        <w:rPr>
          <w:rFonts w:cstheme="minorHAnsi"/>
        </w:rPr>
        <w:t>. If the house</w:t>
      </w:r>
      <w:r>
        <w:rPr>
          <w:rFonts w:cstheme="minorHAnsi"/>
        </w:rPr>
        <w:t>s</w:t>
      </w:r>
      <w:r w:rsidRPr="00D11BED">
        <w:rPr>
          <w:rFonts w:cstheme="minorHAnsi"/>
        </w:rPr>
        <w:t xml:space="preserve"> satisf</w:t>
      </w:r>
      <w:r>
        <w:rPr>
          <w:rFonts w:cstheme="minorHAnsi"/>
        </w:rPr>
        <w:t>y</w:t>
      </w:r>
      <w:r w:rsidRPr="00D11BED">
        <w:rPr>
          <w:rFonts w:cstheme="minorHAnsi"/>
        </w:rPr>
        <w:t xml:space="preserve"> </w:t>
      </w:r>
      <w:r>
        <w:rPr>
          <w:rFonts w:cstheme="minorHAnsi"/>
        </w:rPr>
        <w:t>this</w:t>
      </w:r>
      <w:r w:rsidRPr="00D11BED">
        <w:rPr>
          <w:rFonts w:cstheme="minorHAnsi"/>
        </w:rPr>
        <w:t xml:space="preserve"> </w:t>
      </w:r>
      <w:r>
        <w:rPr>
          <w:rFonts w:cstheme="minorHAnsi"/>
        </w:rPr>
        <w:t>requirement</w:t>
      </w:r>
      <w:r w:rsidRPr="00D11BED">
        <w:rPr>
          <w:rFonts w:cstheme="minorHAnsi"/>
        </w:rPr>
        <w:t xml:space="preserve"> the </w:t>
      </w:r>
      <w:proofErr w:type="spellStart"/>
      <w:r>
        <w:rPr>
          <w:rFonts w:cstheme="minorHAnsi"/>
        </w:rPr>
        <w:t>MoLSHA</w:t>
      </w:r>
      <w:proofErr w:type="spellEnd"/>
      <w:r>
        <w:rPr>
          <w:rFonts w:cstheme="minorHAnsi"/>
        </w:rPr>
        <w:t xml:space="preserve"> will devote funds to </w:t>
      </w:r>
      <w:r w:rsidRPr="00D11BED">
        <w:rPr>
          <w:rFonts w:cstheme="minorHAnsi"/>
        </w:rPr>
        <w:t>purchase the house</w:t>
      </w:r>
      <w:r>
        <w:rPr>
          <w:rFonts w:cstheme="minorHAnsi"/>
        </w:rPr>
        <w:t>s</w:t>
      </w:r>
      <w:r w:rsidRPr="00D11BED">
        <w:rPr>
          <w:rFonts w:cstheme="minorHAnsi"/>
        </w:rPr>
        <w:t xml:space="preserve">. </w:t>
      </w:r>
      <w:r>
        <w:rPr>
          <w:rFonts w:cstheme="minorHAnsi"/>
        </w:rPr>
        <w:t>T</w:t>
      </w:r>
      <w:r w:rsidRPr="00644E39">
        <w:rPr>
          <w:rFonts w:cstheme="minorHAnsi"/>
        </w:rPr>
        <w:t xml:space="preserve">he maximum amount of money that will be paid </w:t>
      </w:r>
      <w:r>
        <w:rPr>
          <w:rFonts w:cstheme="minorHAnsi"/>
        </w:rPr>
        <w:t>per</w:t>
      </w:r>
      <w:r w:rsidRPr="00644E39">
        <w:rPr>
          <w:rFonts w:cstheme="minorHAnsi"/>
        </w:rPr>
        <w:t xml:space="preserve"> household depends on the number of family members. It </w:t>
      </w:r>
      <w:r>
        <w:rPr>
          <w:rFonts w:cstheme="minorHAnsi"/>
        </w:rPr>
        <w:t>would</w:t>
      </w:r>
      <w:r w:rsidRPr="00644E39">
        <w:rPr>
          <w:rFonts w:cstheme="minorHAnsi"/>
        </w:rPr>
        <w:t xml:space="preserve"> also</w:t>
      </w:r>
      <w:r>
        <w:rPr>
          <w:rFonts w:cstheme="minorHAnsi"/>
        </w:rPr>
        <w:t xml:space="preserve"> be</w:t>
      </w:r>
      <w:r w:rsidRPr="00644E39">
        <w:rPr>
          <w:rFonts w:cstheme="minorHAnsi"/>
        </w:rPr>
        <w:t xml:space="preserve"> possible to purchase the house with the co-financing of IDP family and the ministry. In order to get the house, the family should submit application form. If the form will be satisfied the family has 3 months to find the house. </w:t>
      </w:r>
      <w:r>
        <w:rPr>
          <w:rFonts w:cstheme="minorHAnsi"/>
        </w:rPr>
        <w:t>The special audit commission</w:t>
      </w:r>
      <w:r w:rsidRPr="00644E39">
        <w:rPr>
          <w:rFonts w:cstheme="minorHAnsi"/>
        </w:rPr>
        <w:t xml:space="preserve"> determine</w:t>
      </w:r>
      <w:r>
        <w:rPr>
          <w:rFonts w:cstheme="minorHAnsi"/>
        </w:rPr>
        <w:t>s</w:t>
      </w:r>
      <w:r w:rsidRPr="00644E39">
        <w:rPr>
          <w:rFonts w:cstheme="minorHAnsi"/>
        </w:rPr>
        <w:t xml:space="preserve"> market value of the house. </w:t>
      </w:r>
    </w:p>
    <w:p w14:paraId="0C6E69ED" w14:textId="77777777" w:rsidR="00301123" w:rsidRPr="00644E39" w:rsidRDefault="00301123" w:rsidP="00301123">
      <w:pPr>
        <w:pStyle w:val="ListParagraph"/>
        <w:numPr>
          <w:ilvl w:val="0"/>
          <w:numId w:val="2"/>
        </w:numPr>
        <w:jc w:val="both"/>
        <w:rPr>
          <w:rFonts w:cstheme="minorHAnsi"/>
          <w:b/>
          <w:lang w:val="ka-GE"/>
        </w:rPr>
      </w:pPr>
      <w:r w:rsidRPr="003D38DD">
        <w:rPr>
          <w:rFonts w:cstheme="minorHAnsi"/>
          <w:b/>
        </w:rPr>
        <w:t>Purchase flat from the construction companies</w:t>
      </w:r>
      <w:r w:rsidRPr="00D11BED">
        <w:rPr>
          <w:rFonts w:cstheme="minorHAnsi"/>
        </w:rPr>
        <w:t xml:space="preserve"> </w:t>
      </w:r>
      <w:r>
        <w:rPr>
          <w:rFonts w:cstheme="minorHAnsi"/>
        </w:rPr>
        <w:t xml:space="preserve">– </w:t>
      </w:r>
      <w:proofErr w:type="spellStart"/>
      <w:r>
        <w:rPr>
          <w:rFonts w:cstheme="minorHAnsi"/>
        </w:rPr>
        <w:t>MoLSHA</w:t>
      </w:r>
      <w:proofErr w:type="spellEnd"/>
      <w:r w:rsidRPr="00D11BED">
        <w:rPr>
          <w:rFonts w:cstheme="minorHAnsi"/>
        </w:rPr>
        <w:t xml:space="preserve"> buys flats fr</w:t>
      </w:r>
      <w:r>
        <w:rPr>
          <w:rFonts w:cstheme="minorHAnsi"/>
        </w:rPr>
        <w:t>o</w:t>
      </w:r>
      <w:r w:rsidRPr="00D11BED">
        <w:rPr>
          <w:rFonts w:cstheme="minorHAnsi"/>
        </w:rPr>
        <w:t xml:space="preserve">m the constructors to deliver </w:t>
      </w:r>
      <w:r>
        <w:rPr>
          <w:rFonts w:cstheme="minorHAnsi"/>
        </w:rPr>
        <w:t>the houses to the IDP families.</w:t>
      </w:r>
    </w:p>
    <w:p w14:paraId="02E252C3" w14:textId="77777777" w:rsidR="00301123" w:rsidRPr="00B6275B" w:rsidRDefault="00301123" w:rsidP="00301123">
      <w:pPr>
        <w:pStyle w:val="ListParagraph"/>
        <w:numPr>
          <w:ilvl w:val="0"/>
          <w:numId w:val="2"/>
        </w:numPr>
        <w:jc w:val="both"/>
        <w:rPr>
          <w:rFonts w:cstheme="minorHAnsi"/>
          <w:b/>
        </w:rPr>
      </w:pPr>
      <w:r w:rsidRPr="003D38DD">
        <w:rPr>
          <w:rFonts w:cstheme="minorHAnsi"/>
          <w:b/>
        </w:rPr>
        <w:t xml:space="preserve">Giving living spaces under the IDPs’ disposal </w:t>
      </w:r>
      <w:r w:rsidRPr="00644E39">
        <w:rPr>
          <w:rFonts w:cstheme="minorHAnsi"/>
        </w:rPr>
        <w:t>–</w:t>
      </w:r>
      <w:r>
        <w:rPr>
          <w:rFonts w:cstheme="minorHAnsi"/>
          <w:b/>
        </w:rPr>
        <w:t xml:space="preserve"> </w:t>
      </w:r>
      <w:r w:rsidRPr="00D11BED">
        <w:rPr>
          <w:rFonts w:cstheme="minorHAnsi"/>
        </w:rPr>
        <w:t>The houses that are under the legitimate possession of IDP households will be legally given to the families</w:t>
      </w:r>
      <w:r>
        <w:rPr>
          <w:rFonts w:cstheme="minorHAnsi"/>
        </w:rPr>
        <w:t>.</w:t>
      </w:r>
    </w:p>
    <w:p w14:paraId="3F8DB604" w14:textId="77777777" w:rsidR="00301123" w:rsidRDefault="00301123" w:rsidP="00301123">
      <w:pPr>
        <w:jc w:val="both"/>
        <w:rPr>
          <w:rFonts w:cstheme="minorHAnsi"/>
        </w:rPr>
      </w:pPr>
      <w:proofErr w:type="spellStart"/>
      <w:r>
        <w:rPr>
          <w:rFonts w:cstheme="minorHAnsi"/>
        </w:rPr>
        <w:t>MoLSHA</w:t>
      </w:r>
      <w:proofErr w:type="spellEnd"/>
      <w:r>
        <w:rPr>
          <w:rFonts w:cstheme="minorHAnsi"/>
        </w:rPr>
        <w:t xml:space="preserve"> also supports eco-migrants to get the new house. For this purpose, the ministry implements several projects:</w:t>
      </w:r>
    </w:p>
    <w:p w14:paraId="3A8C939E" w14:textId="77777777" w:rsidR="00301123" w:rsidRDefault="00301123" w:rsidP="00301123">
      <w:pPr>
        <w:pStyle w:val="ListParagraph"/>
        <w:numPr>
          <w:ilvl w:val="0"/>
          <w:numId w:val="12"/>
        </w:numPr>
        <w:ind w:left="851" w:hanging="284"/>
        <w:jc w:val="both"/>
        <w:rPr>
          <w:rFonts w:cstheme="minorHAnsi"/>
        </w:rPr>
      </w:pPr>
      <w:r w:rsidRPr="003D38DD">
        <w:rPr>
          <w:rFonts w:cstheme="minorHAnsi"/>
          <w:b/>
        </w:rPr>
        <w:t xml:space="preserve">Deliver </w:t>
      </w:r>
      <w:r>
        <w:rPr>
          <w:rFonts w:cstheme="minorHAnsi"/>
          <w:b/>
        </w:rPr>
        <w:t>State-owned Real Estate into the</w:t>
      </w:r>
      <w:r w:rsidRPr="003D38DD">
        <w:rPr>
          <w:rFonts w:cstheme="minorHAnsi"/>
          <w:b/>
        </w:rPr>
        <w:t xml:space="preserve"> Legal </w:t>
      </w:r>
      <w:r>
        <w:rPr>
          <w:rFonts w:cstheme="minorHAnsi"/>
          <w:b/>
        </w:rPr>
        <w:t>Possession</w:t>
      </w:r>
      <w:r w:rsidRPr="003D38DD">
        <w:rPr>
          <w:rFonts w:cstheme="minorHAnsi"/>
          <w:b/>
        </w:rPr>
        <w:t xml:space="preserve"> to The Eco-migrants</w:t>
      </w:r>
      <w:r>
        <w:rPr>
          <w:rFonts w:cstheme="minorHAnsi"/>
        </w:rPr>
        <w:t xml:space="preserve"> –</w:t>
      </w:r>
      <w:r w:rsidRPr="006172CB">
        <w:rPr>
          <w:rFonts w:cstheme="minorHAnsi"/>
        </w:rPr>
        <w:t xml:space="preserve"> Since 2012 </w:t>
      </w:r>
      <w:r w:rsidRPr="00317B64">
        <w:rPr>
          <w:rFonts w:cstheme="minorHAnsi"/>
        </w:rPr>
        <w:t xml:space="preserve">the process of delivering state property to the eco-migrants has started.  On the first stage identification of living spaces and monitoring of eco-migrant households has started. </w:t>
      </w:r>
      <w:r w:rsidRPr="004C692F">
        <w:rPr>
          <w:rFonts w:cstheme="minorHAnsi"/>
        </w:rPr>
        <w:t>In 2016 delivering the living spaces under the eco-</w:t>
      </w:r>
      <w:r w:rsidRPr="00080843">
        <w:rPr>
          <w:rFonts w:cstheme="minorHAnsi"/>
        </w:rPr>
        <w:t xml:space="preserve">migrant’s legal possession started. </w:t>
      </w:r>
    </w:p>
    <w:p w14:paraId="3E07EEEA" w14:textId="77777777" w:rsidR="00301123" w:rsidRPr="00080502" w:rsidRDefault="00301123" w:rsidP="00301123">
      <w:pPr>
        <w:pStyle w:val="ListParagraph"/>
        <w:numPr>
          <w:ilvl w:val="0"/>
          <w:numId w:val="12"/>
        </w:numPr>
        <w:ind w:hanging="180"/>
        <w:jc w:val="both"/>
        <w:rPr>
          <w:rFonts w:cstheme="minorHAnsi"/>
        </w:rPr>
      </w:pPr>
      <w:r w:rsidRPr="00430DBD">
        <w:rPr>
          <w:rFonts w:cstheme="minorHAnsi"/>
          <w:b/>
        </w:rPr>
        <w:t>Settlement of eco-migrants in safe environment</w:t>
      </w:r>
      <w:r w:rsidRPr="008E5724">
        <w:rPr>
          <w:rFonts w:cstheme="minorHAnsi"/>
        </w:rPr>
        <w:t xml:space="preserve"> – </w:t>
      </w:r>
      <w:proofErr w:type="spellStart"/>
      <w:r w:rsidRPr="008E5724">
        <w:rPr>
          <w:rFonts w:cstheme="minorHAnsi"/>
        </w:rPr>
        <w:t>MoLSHA</w:t>
      </w:r>
      <w:proofErr w:type="spellEnd"/>
      <w:r w:rsidRPr="008E5724">
        <w:rPr>
          <w:rFonts w:cstheme="minorHAnsi"/>
        </w:rPr>
        <w:t xml:space="preserve"> buys living spaces for eco-migrant</w:t>
      </w:r>
      <w:r w:rsidRPr="008E5724">
        <w:rPr>
          <w:rFonts w:cstheme="minorHAnsi"/>
          <w:lang w:val="ka-GE"/>
        </w:rPr>
        <w:t xml:space="preserve"> </w:t>
      </w:r>
      <w:r w:rsidRPr="00080502">
        <w:rPr>
          <w:rFonts w:cstheme="minorHAnsi"/>
        </w:rPr>
        <w:t>households under 25,000 GEL. Decision about purchasing or not the house is made by the special commission, the member of the commission are social service agency employees, representative of public defender and representatives of different international organizations and NGOs. The house is delivered to the permanent ownership to the eco-migrant family.</w:t>
      </w:r>
    </w:p>
    <w:p w14:paraId="51654AAB" w14:textId="77777777" w:rsidR="00301123" w:rsidRDefault="00301123" w:rsidP="00301123">
      <w:pPr>
        <w:pStyle w:val="ListParagraph"/>
        <w:ind w:left="851"/>
        <w:jc w:val="both"/>
        <w:rPr>
          <w:rFonts w:cstheme="minorHAnsi"/>
        </w:rPr>
      </w:pPr>
    </w:p>
    <w:p w14:paraId="35EE5CC9" w14:textId="77777777" w:rsidR="00301123" w:rsidRDefault="00301123" w:rsidP="00301123">
      <w:pPr>
        <w:pStyle w:val="ListParagraph"/>
        <w:ind w:left="851"/>
        <w:jc w:val="both"/>
        <w:rPr>
          <w:rFonts w:cstheme="minorHAnsi"/>
        </w:rPr>
      </w:pPr>
    </w:p>
    <w:p w14:paraId="146A5C9F" w14:textId="77777777" w:rsidR="00301123" w:rsidRDefault="00301123" w:rsidP="00301123">
      <w:pPr>
        <w:pStyle w:val="ListParagraph"/>
        <w:ind w:left="851"/>
        <w:jc w:val="both"/>
        <w:rPr>
          <w:rFonts w:cstheme="minorHAnsi"/>
        </w:rPr>
      </w:pPr>
    </w:p>
    <w:p w14:paraId="4F6FEBD2" w14:textId="77777777" w:rsidR="00301123" w:rsidRPr="00D11BED" w:rsidRDefault="00301123" w:rsidP="00301123">
      <w:pPr>
        <w:pStyle w:val="ListParagraph"/>
        <w:ind w:left="851"/>
        <w:jc w:val="both"/>
        <w:rPr>
          <w:rFonts w:cstheme="minorHAnsi"/>
        </w:rPr>
      </w:pPr>
    </w:p>
    <w:p w14:paraId="13B6A9A3" w14:textId="77777777" w:rsidR="00301123" w:rsidRPr="004076AD" w:rsidRDefault="00301123" w:rsidP="00301123">
      <w:pPr>
        <w:pStyle w:val="Heading2"/>
        <w:numPr>
          <w:ilvl w:val="0"/>
          <w:numId w:val="1"/>
        </w:numPr>
        <w:jc w:val="both"/>
        <w:rPr>
          <w:rFonts w:asciiTheme="minorHAnsi" w:hAnsiTheme="minorHAnsi" w:cstheme="minorHAnsi"/>
          <w:b/>
          <w:color w:val="002060"/>
        </w:rPr>
      </w:pPr>
      <w:bookmarkStart w:id="7" w:name="_Toc28010439"/>
      <w:r w:rsidRPr="004076AD">
        <w:rPr>
          <w:rFonts w:asciiTheme="minorHAnsi" w:hAnsiTheme="minorHAnsi" w:cstheme="minorHAnsi"/>
          <w:b/>
          <w:color w:val="002060"/>
        </w:rPr>
        <w:lastRenderedPageBreak/>
        <w:t>Problem Definition</w:t>
      </w:r>
      <w:bookmarkEnd w:id="7"/>
    </w:p>
    <w:p w14:paraId="61969D97" w14:textId="77777777" w:rsidR="00301123" w:rsidRDefault="00301123" w:rsidP="00301123">
      <w:pPr>
        <w:ind w:left="24"/>
        <w:jc w:val="both"/>
        <w:rPr>
          <w:lang w:val="en-GB"/>
        </w:rPr>
      </w:pPr>
    </w:p>
    <w:p w14:paraId="6A289FB7" w14:textId="77777777" w:rsidR="00301123" w:rsidRDefault="00301123" w:rsidP="00301123">
      <w:pPr>
        <w:ind w:left="24"/>
        <w:jc w:val="both"/>
        <w:rPr>
          <w:lang w:val="en-GB"/>
        </w:rPr>
      </w:pPr>
      <w:r>
        <w:rPr>
          <w:lang w:val="en-GB"/>
        </w:rPr>
        <w:t>The</w:t>
      </w:r>
      <w:r w:rsidRPr="00C23569">
        <w:rPr>
          <w:lang w:val="en-GB"/>
        </w:rPr>
        <w:t xml:space="preserve"> existing literature reveals that there is no unique definition of homelessness that is widely accepted among the different nations. The </w:t>
      </w:r>
      <w:r w:rsidRPr="00D11BED">
        <w:rPr>
          <w:rFonts w:cstheme="minorHAnsi"/>
        </w:rPr>
        <w:t>European Typology on Homelessness and Housing Exclusion (ETHOS)</w:t>
      </w:r>
      <w:r>
        <w:rPr>
          <w:rFonts w:cstheme="minorHAnsi"/>
        </w:rPr>
        <w:t xml:space="preserve"> </w:t>
      </w:r>
      <w:r w:rsidRPr="00C23569">
        <w:rPr>
          <w:lang w:val="en-GB"/>
        </w:rPr>
        <w:t xml:space="preserve">definition of homelessness covers all possible types of homelessness, and countries can treat this definition as a ‘menu’ from which they can chose their preferred and most suitable definitions. </w:t>
      </w:r>
    </w:p>
    <w:p w14:paraId="338424F8" w14:textId="77777777" w:rsidR="00301123" w:rsidRPr="007A622F" w:rsidRDefault="00301123" w:rsidP="00301123">
      <w:pPr>
        <w:pStyle w:val="Heading3"/>
        <w:jc w:val="both"/>
        <w:rPr>
          <w:rFonts w:asciiTheme="minorHAnsi" w:hAnsiTheme="minorHAnsi"/>
          <w:b/>
          <w:color w:val="002060"/>
          <w:lang w:val="en-GB"/>
        </w:rPr>
      </w:pPr>
      <w:bookmarkStart w:id="8" w:name="_Toc28010440"/>
      <w:r>
        <w:rPr>
          <w:rFonts w:asciiTheme="minorHAnsi" w:hAnsiTheme="minorHAnsi"/>
          <w:b/>
          <w:color w:val="002060"/>
          <w:lang w:val="en-GB"/>
        </w:rPr>
        <w:t>Defining U</w:t>
      </w:r>
      <w:r w:rsidRPr="007A622F">
        <w:rPr>
          <w:rFonts w:asciiTheme="minorHAnsi" w:hAnsiTheme="minorHAnsi"/>
          <w:b/>
          <w:color w:val="002060"/>
          <w:lang w:val="en-GB"/>
        </w:rPr>
        <w:t xml:space="preserve">nstable </w:t>
      </w:r>
      <w:r>
        <w:rPr>
          <w:rFonts w:asciiTheme="minorHAnsi" w:hAnsiTheme="minorHAnsi"/>
          <w:b/>
          <w:color w:val="002060"/>
          <w:lang w:val="en-GB"/>
        </w:rPr>
        <w:t>H</w:t>
      </w:r>
      <w:r w:rsidRPr="007A622F">
        <w:rPr>
          <w:rFonts w:asciiTheme="minorHAnsi" w:hAnsiTheme="minorHAnsi"/>
          <w:b/>
          <w:color w:val="002060"/>
          <w:lang w:val="en-GB"/>
        </w:rPr>
        <w:t xml:space="preserve">ousing: the </w:t>
      </w:r>
      <w:r w:rsidRPr="007A622F">
        <w:rPr>
          <w:rFonts w:asciiTheme="minorHAnsi" w:hAnsiTheme="minorHAnsi" w:cstheme="minorHAnsi"/>
          <w:b/>
          <w:color w:val="002060"/>
        </w:rPr>
        <w:t>European Typology on Homelessness and Housing Exclusion (ETHOS)</w:t>
      </w:r>
      <w:r w:rsidRPr="007A622F">
        <w:rPr>
          <w:rStyle w:val="FootnoteReference"/>
          <w:rFonts w:asciiTheme="minorHAnsi" w:hAnsiTheme="minorHAnsi" w:cstheme="minorHAnsi"/>
          <w:b/>
          <w:color w:val="002060"/>
        </w:rPr>
        <w:footnoteReference w:id="15"/>
      </w:r>
      <w:bookmarkEnd w:id="8"/>
    </w:p>
    <w:p w14:paraId="6F8B10BD" w14:textId="77777777" w:rsidR="00301123" w:rsidRPr="00E050E2" w:rsidRDefault="00301123" w:rsidP="00301123">
      <w:pPr>
        <w:jc w:val="both"/>
        <w:rPr>
          <w:lang w:val="en-GB"/>
        </w:rPr>
      </w:pPr>
    </w:p>
    <w:p w14:paraId="450E09E9" w14:textId="77777777" w:rsidR="00301123" w:rsidRPr="00D11BED" w:rsidRDefault="00301123" w:rsidP="00301123">
      <w:pPr>
        <w:jc w:val="both"/>
        <w:rPr>
          <w:rFonts w:cstheme="minorHAnsi"/>
        </w:rPr>
      </w:pPr>
      <w:r>
        <w:rPr>
          <w:rFonts w:cstheme="minorHAnsi"/>
        </w:rPr>
        <w:t xml:space="preserve">According to the ETHOS definition, </w:t>
      </w:r>
      <w:r w:rsidRPr="00D11BED">
        <w:rPr>
          <w:rFonts w:cstheme="minorHAnsi"/>
        </w:rPr>
        <w:t xml:space="preserve">having a home </w:t>
      </w:r>
      <w:r>
        <w:rPr>
          <w:rFonts w:cstheme="minorHAnsi"/>
        </w:rPr>
        <w:t>is defined as</w:t>
      </w:r>
      <w:r w:rsidRPr="00D11BED">
        <w:rPr>
          <w:rFonts w:cstheme="minorHAnsi"/>
        </w:rPr>
        <w:t xml:space="preserve"> hav</w:t>
      </w:r>
      <w:r>
        <w:rPr>
          <w:rFonts w:cstheme="minorHAnsi"/>
        </w:rPr>
        <w:t>ing</w:t>
      </w:r>
      <w:r w:rsidRPr="00D11BED">
        <w:rPr>
          <w:rFonts w:cstheme="minorHAnsi"/>
        </w:rPr>
        <w:t xml:space="preserve"> an adequate space over which a person and his/her family can exercise exclusive possession, being able to maintain privacy and enjoy relations</w:t>
      </w:r>
      <w:r>
        <w:rPr>
          <w:rFonts w:cstheme="minorHAnsi"/>
        </w:rPr>
        <w:t>,</w:t>
      </w:r>
      <w:r w:rsidRPr="00D11BED">
        <w:rPr>
          <w:rFonts w:cstheme="minorHAnsi"/>
        </w:rPr>
        <w:t xml:space="preserve"> and having a legal title to occupation. Based on this definition </w:t>
      </w:r>
      <w:r>
        <w:rPr>
          <w:rFonts w:cstheme="minorHAnsi"/>
        </w:rPr>
        <w:t xml:space="preserve">one can define </w:t>
      </w:r>
      <w:r w:rsidRPr="00D11BED">
        <w:rPr>
          <w:rFonts w:cstheme="minorHAnsi"/>
        </w:rPr>
        <w:t xml:space="preserve">four main </w:t>
      </w:r>
      <w:r>
        <w:rPr>
          <w:rFonts w:cstheme="minorHAnsi"/>
        </w:rPr>
        <w:t xml:space="preserve">categories of individuals/households facing the problem of </w:t>
      </w:r>
      <w:r w:rsidRPr="00B11034">
        <w:rPr>
          <w:rFonts w:cstheme="minorHAnsi"/>
          <w:b/>
        </w:rPr>
        <w:t>unstable housing</w:t>
      </w:r>
      <w:r>
        <w:rPr>
          <w:rFonts w:cstheme="minorHAnsi"/>
        </w:rPr>
        <w:t>: homeless, roofless, people living insecure and inadequate housing conditions (t</w:t>
      </w:r>
      <w:r w:rsidRPr="00D11BED">
        <w:rPr>
          <w:rFonts w:cstheme="minorHAnsi"/>
        </w:rPr>
        <w:t>able 1).</w:t>
      </w:r>
    </w:p>
    <w:p w14:paraId="469F152C" w14:textId="77777777" w:rsidR="00301123" w:rsidRPr="00454C26" w:rsidRDefault="00301123" w:rsidP="00301123">
      <w:pPr>
        <w:pStyle w:val="Caption"/>
        <w:keepNext/>
        <w:jc w:val="both"/>
        <w:rPr>
          <w:rFonts w:cstheme="minorHAnsi"/>
          <w:b/>
          <w:i w:val="0"/>
          <w:iCs w:val="0"/>
          <w:color w:val="1F4E79" w:themeColor="accent1" w:themeShade="80"/>
          <w:sz w:val="22"/>
          <w:szCs w:val="22"/>
        </w:rPr>
      </w:pPr>
      <w:r w:rsidRPr="005634E5">
        <w:t xml:space="preserve">Table </w:t>
      </w:r>
      <w:fldSimple w:instr=" SEQ Table \* ARABIC ">
        <w:r w:rsidRPr="005634E5">
          <w:t>1</w:t>
        </w:r>
      </w:fldSimple>
      <w:r w:rsidRPr="005634E5">
        <w:t>: European Typology on Homelessness and Housing Exclusion (ETHOS)</w:t>
      </w:r>
      <w:r w:rsidRPr="00454C26">
        <w:rPr>
          <w:i w:val="0"/>
          <w:iCs w:val="0"/>
          <w:sz w:val="22"/>
          <w:szCs w:val="22"/>
        </w:rPr>
        <w:t xml:space="preserve"> </w:t>
      </w:r>
      <w:r w:rsidRPr="00454C26">
        <w:rPr>
          <w:i w:val="0"/>
          <w:iCs w:val="0"/>
          <w:sz w:val="22"/>
          <w:szCs w:val="22"/>
          <w:vertAlign w:val="superscript"/>
        </w:rPr>
        <w:footnoteReference w:id="16"/>
      </w:r>
    </w:p>
    <w:tbl>
      <w:tblPr>
        <w:tblStyle w:val="GridTable1Light-Accent1"/>
        <w:tblW w:w="0" w:type="auto"/>
        <w:tblLook w:val="04A0" w:firstRow="1" w:lastRow="0" w:firstColumn="1" w:lastColumn="0" w:noHBand="0" w:noVBand="1"/>
      </w:tblPr>
      <w:tblGrid>
        <w:gridCol w:w="2199"/>
        <w:gridCol w:w="3251"/>
        <w:gridCol w:w="3720"/>
      </w:tblGrid>
      <w:tr w:rsidR="00301123" w:rsidRPr="00D11BED" w14:paraId="16279236" w14:textId="77777777" w:rsidTr="006C3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shd w:val="clear" w:color="auto" w:fill="002060"/>
          </w:tcPr>
          <w:p w14:paraId="5FFC178B" w14:textId="77777777" w:rsidR="00301123" w:rsidRPr="004076AD" w:rsidRDefault="00301123" w:rsidP="006C377F">
            <w:pPr>
              <w:jc w:val="center"/>
              <w:rPr>
                <w:rFonts w:cstheme="minorHAnsi"/>
                <w:color w:val="FFFFFF" w:themeColor="background1"/>
              </w:rPr>
            </w:pPr>
            <w:r w:rsidRPr="004076AD">
              <w:rPr>
                <w:rFonts w:cstheme="minorHAnsi"/>
                <w:color w:val="FFFFFF" w:themeColor="background1"/>
              </w:rPr>
              <w:t>Conceptual Category</w:t>
            </w:r>
          </w:p>
        </w:tc>
        <w:tc>
          <w:tcPr>
            <w:tcW w:w="3330" w:type="dxa"/>
            <w:shd w:val="clear" w:color="auto" w:fill="002060"/>
          </w:tcPr>
          <w:p w14:paraId="6520122D" w14:textId="77777777" w:rsidR="00301123" w:rsidRPr="004076AD" w:rsidRDefault="00301123" w:rsidP="006C377F">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4076AD">
              <w:rPr>
                <w:rFonts w:cstheme="minorHAnsi"/>
                <w:color w:val="FFFFFF" w:themeColor="background1"/>
              </w:rPr>
              <w:t>Operational Category</w:t>
            </w:r>
          </w:p>
        </w:tc>
        <w:tc>
          <w:tcPr>
            <w:tcW w:w="3775" w:type="dxa"/>
            <w:shd w:val="clear" w:color="auto" w:fill="002060"/>
          </w:tcPr>
          <w:p w14:paraId="1A662AA8" w14:textId="77777777" w:rsidR="00301123" w:rsidRPr="004076AD" w:rsidRDefault="00301123" w:rsidP="006C377F">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r w:rsidRPr="004076AD">
              <w:rPr>
                <w:rFonts w:cstheme="minorHAnsi"/>
                <w:color w:val="FFFFFF" w:themeColor="background1"/>
              </w:rPr>
              <w:t>Living Situation</w:t>
            </w:r>
          </w:p>
          <w:p w14:paraId="5C7F2E7E" w14:textId="77777777" w:rsidR="00301123" w:rsidRPr="004076AD" w:rsidRDefault="00301123" w:rsidP="006C377F">
            <w:pPr>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rPr>
            </w:pPr>
          </w:p>
        </w:tc>
      </w:tr>
      <w:tr w:rsidR="00301123" w:rsidRPr="00D11BED" w14:paraId="12AC3064"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val="restart"/>
          </w:tcPr>
          <w:p w14:paraId="0720CD74" w14:textId="77777777" w:rsidR="00301123" w:rsidRPr="00D11BED" w:rsidRDefault="00301123" w:rsidP="006C377F">
            <w:pPr>
              <w:jc w:val="both"/>
              <w:rPr>
                <w:rFonts w:cstheme="minorHAnsi"/>
              </w:rPr>
            </w:pPr>
            <w:r w:rsidRPr="00D11BED">
              <w:rPr>
                <w:rFonts w:cstheme="minorHAnsi"/>
              </w:rPr>
              <w:t>Roofless</w:t>
            </w:r>
          </w:p>
        </w:tc>
        <w:tc>
          <w:tcPr>
            <w:tcW w:w="3330" w:type="dxa"/>
          </w:tcPr>
          <w:p w14:paraId="10769896"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living rough</w:t>
            </w:r>
          </w:p>
        </w:tc>
        <w:tc>
          <w:tcPr>
            <w:tcW w:w="3775" w:type="dxa"/>
          </w:tcPr>
          <w:p w14:paraId="30C863DF"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Public or external space</w:t>
            </w:r>
          </w:p>
        </w:tc>
      </w:tr>
      <w:tr w:rsidR="00301123" w:rsidRPr="00D11BED" w14:paraId="0D252A39"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72C91FA7" w14:textId="77777777" w:rsidR="00301123" w:rsidRPr="00D11BED" w:rsidRDefault="00301123" w:rsidP="006C377F">
            <w:pPr>
              <w:jc w:val="both"/>
              <w:rPr>
                <w:rFonts w:cstheme="minorHAnsi"/>
              </w:rPr>
            </w:pPr>
          </w:p>
        </w:tc>
        <w:tc>
          <w:tcPr>
            <w:tcW w:w="3330" w:type="dxa"/>
          </w:tcPr>
          <w:p w14:paraId="28D033C5"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staying in a night shelter</w:t>
            </w:r>
          </w:p>
        </w:tc>
        <w:tc>
          <w:tcPr>
            <w:tcW w:w="3775" w:type="dxa"/>
          </w:tcPr>
          <w:p w14:paraId="565EC7D5"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Night shelter</w:t>
            </w:r>
          </w:p>
        </w:tc>
      </w:tr>
      <w:tr w:rsidR="00301123" w:rsidRPr="00D11BED" w14:paraId="24210176"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val="restart"/>
          </w:tcPr>
          <w:p w14:paraId="65D17923" w14:textId="77777777" w:rsidR="00301123" w:rsidRPr="00D11BED" w:rsidRDefault="00301123" w:rsidP="006C377F">
            <w:pPr>
              <w:jc w:val="both"/>
              <w:rPr>
                <w:rFonts w:cstheme="minorHAnsi"/>
              </w:rPr>
            </w:pPr>
            <w:r w:rsidRPr="00D11BED">
              <w:rPr>
                <w:rFonts w:cstheme="minorHAnsi"/>
              </w:rPr>
              <w:t>Homeless</w:t>
            </w:r>
          </w:p>
        </w:tc>
        <w:tc>
          <w:tcPr>
            <w:tcW w:w="3330" w:type="dxa"/>
          </w:tcPr>
          <w:p w14:paraId="302128E7"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in accommodation for the homeless</w:t>
            </w:r>
          </w:p>
        </w:tc>
        <w:tc>
          <w:tcPr>
            <w:tcW w:w="3775" w:type="dxa"/>
          </w:tcPr>
          <w:p w14:paraId="032B030F"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Homeless hostel</w:t>
            </w:r>
          </w:p>
        </w:tc>
      </w:tr>
      <w:tr w:rsidR="00301123" w:rsidRPr="00D11BED" w14:paraId="27DDB013"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2141C963" w14:textId="77777777" w:rsidR="00301123" w:rsidRPr="00D11BED" w:rsidRDefault="00301123" w:rsidP="006C377F">
            <w:pPr>
              <w:jc w:val="both"/>
              <w:rPr>
                <w:rFonts w:cstheme="minorHAnsi"/>
              </w:rPr>
            </w:pPr>
          </w:p>
        </w:tc>
        <w:tc>
          <w:tcPr>
            <w:tcW w:w="3330" w:type="dxa"/>
          </w:tcPr>
          <w:p w14:paraId="73D7AA50"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in women’s shelter</w:t>
            </w:r>
          </w:p>
        </w:tc>
        <w:tc>
          <w:tcPr>
            <w:tcW w:w="3775" w:type="dxa"/>
          </w:tcPr>
          <w:p w14:paraId="33ADA69D"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Women’s shelter accommodation</w:t>
            </w:r>
          </w:p>
        </w:tc>
      </w:tr>
      <w:tr w:rsidR="00301123" w:rsidRPr="00D11BED" w14:paraId="42EDF2C6"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7EB896F9" w14:textId="77777777" w:rsidR="00301123" w:rsidRPr="00D11BED" w:rsidRDefault="00301123" w:rsidP="006C377F">
            <w:pPr>
              <w:jc w:val="both"/>
              <w:rPr>
                <w:rFonts w:cstheme="minorHAnsi"/>
              </w:rPr>
            </w:pPr>
          </w:p>
        </w:tc>
        <w:tc>
          <w:tcPr>
            <w:tcW w:w="3330" w:type="dxa"/>
          </w:tcPr>
          <w:p w14:paraId="0A84D901"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in accommodation for immigrants</w:t>
            </w:r>
          </w:p>
        </w:tc>
        <w:tc>
          <w:tcPr>
            <w:tcW w:w="3775" w:type="dxa"/>
          </w:tcPr>
          <w:p w14:paraId="2585A94C"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Temporary accommodation/reception centers;</w:t>
            </w:r>
          </w:p>
          <w:p w14:paraId="13BC895A"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Migrant workers accommodations</w:t>
            </w:r>
          </w:p>
        </w:tc>
      </w:tr>
      <w:tr w:rsidR="00301123" w:rsidRPr="00D11BED" w14:paraId="1987B49A"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3D876ECC" w14:textId="77777777" w:rsidR="00301123" w:rsidRPr="00D11BED" w:rsidRDefault="00301123" w:rsidP="006C377F">
            <w:pPr>
              <w:jc w:val="both"/>
              <w:rPr>
                <w:rFonts w:cstheme="minorHAnsi"/>
              </w:rPr>
            </w:pPr>
          </w:p>
        </w:tc>
        <w:tc>
          <w:tcPr>
            <w:tcW w:w="3330" w:type="dxa"/>
          </w:tcPr>
          <w:p w14:paraId="0FB24BEC"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due to be released from institutions</w:t>
            </w:r>
          </w:p>
        </w:tc>
        <w:tc>
          <w:tcPr>
            <w:tcW w:w="3775" w:type="dxa"/>
          </w:tcPr>
          <w:p w14:paraId="46175EF9"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Penal institutions;</w:t>
            </w:r>
          </w:p>
          <w:p w14:paraId="09A33FD1"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Medical institutions;</w:t>
            </w:r>
          </w:p>
          <w:p w14:paraId="56D3E1BB"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Children’s institutions/homes</w:t>
            </w:r>
          </w:p>
        </w:tc>
      </w:tr>
      <w:tr w:rsidR="00301123" w:rsidRPr="00D11BED" w14:paraId="5AA49C8E"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0628407B" w14:textId="77777777" w:rsidR="00301123" w:rsidRPr="00D11BED" w:rsidRDefault="00301123" w:rsidP="006C377F">
            <w:pPr>
              <w:jc w:val="both"/>
              <w:rPr>
                <w:rFonts w:cstheme="minorHAnsi"/>
              </w:rPr>
            </w:pPr>
          </w:p>
        </w:tc>
        <w:tc>
          <w:tcPr>
            <w:tcW w:w="3330" w:type="dxa"/>
          </w:tcPr>
          <w:p w14:paraId="513E5B91"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receiving longer-term support (due to homelessness)</w:t>
            </w:r>
          </w:p>
        </w:tc>
        <w:tc>
          <w:tcPr>
            <w:tcW w:w="3775" w:type="dxa"/>
          </w:tcPr>
          <w:p w14:paraId="604B9BF2"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Residential care for older homeless people;</w:t>
            </w:r>
          </w:p>
          <w:p w14:paraId="4FAA7DB0"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Supported accommodati</w:t>
            </w:r>
            <w:r>
              <w:rPr>
                <w:rFonts w:cstheme="minorHAnsi"/>
              </w:rPr>
              <w:t>on for formerly homeless people</w:t>
            </w:r>
          </w:p>
        </w:tc>
      </w:tr>
      <w:tr w:rsidR="00301123" w:rsidRPr="00D11BED" w14:paraId="0E69F145"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val="restart"/>
          </w:tcPr>
          <w:p w14:paraId="7816E8B2" w14:textId="77777777" w:rsidR="00301123" w:rsidRPr="00D11BED" w:rsidRDefault="00301123" w:rsidP="006C377F">
            <w:pPr>
              <w:jc w:val="both"/>
              <w:rPr>
                <w:rFonts w:cstheme="minorHAnsi"/>
              </w:rPr>
            </w:pPr>
            <w:r w:rsidRPr="00D11BED">
              <w:rPr>
                <w:rFonts w:cstheme="minorHAnsi"/>
              </w:rPr>
              <w:t>Insecure</w:t>
            </w:r>
          </w:p>
        </w:tc>
        <w:tc>
          <w:tcPr>
            <w:tcW w:w="3330" w:type="dxa"/>
          </w:tcPr>
          <w:p w14:paraId="21E9F132"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living in insecure accommodation</w:t>
            </w:r>
          </w:p>
        </w:tc>
        <w:tc>
          <w:tcPr>
            <w:tcW w:w="3775" w:type="dxa"/>
          </w:tcPr>
          <w:p w14:paraId="26D6E0CF"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Temporarily with family/friends;</w:t>
            </w:r>
          </w:p>
          <w:p w14:paraId="1C7B3048"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No legal (sub)tenancy;</w:t>
            </w:r>
          </w:p>
          <w:p w14:paraId="3CF7EDC8"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Illegal occupation of land</w:t>
            </w:r>
          </w:p>
        </w:tc>
      </w:tr>
      <w:tr w:rsidR="00301123" w:rsidRPr="00D11BED" w14:paraId="14705D61"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11598EDB" w14:textId="77777777" w:rsidR="00301123" w:rsidRPr="00D11BED" w:rsidRDefault="00301123" w:rsidP="006C377F">
            <w:pPr>
              <w:jc w:val="both"/>
              <w:rPr>
                <w:rFonts w:cstheme="minorHAnsi"/>
              </w:rPr>
            </w:pPr>
          </w:p>
        </w:tc>
        <w:tc>
          <w:tcPr>
            <w:tcW w:w="3330" w:type="dxa"/>
          </w:tcPr>
          <w:p w14:paraId="33CA102C"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living under threat of eviction</w:t>
            </w:r>
          </w:p>
        </w:tc>
        <w:tc>
          <w:tcPr>
            <w:tcW w:w="3775" w:type="dxa"/>
          </w:tcPr>
          <w:p w14:paraId="69DB2CB1"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Legal orders enforced (rented);</w:t>
            </w:r>
          </w:p>
          <w:p w14:paraId="184E71CC"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Re-possession orders (owned)</w:t>
            </w:r>
          </w:p>
        </w:tc>
      </w:tr>
      <w:tr w:rsidR="00301123" w:rsidRPr="00D11BED" w14:paraId="697B3A4B"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35BB038B" w14:textId="77777777" w:rsidR="00301123" w:rsidRPr="00D11BED" w:rsidRDefault="00301123" w:rsidP="006C377F">
            <w:pPr>
              <w:jc w:val="both"/>
              <w:rPr>
                <w:rFonts w:cstheme="minorHAnsi"/>
              </w:rPr>
            </w:pPr>
          </w:p>
        </w:tc>
        <w:tc>
          <w:tcPr>
            <w:tcW w:w="3330" w:type="dxa"/>
          </w:tcPr>
          <w:p w14:paraId="6283B2E7"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living under threaten of violence</w:t>
            </w:r>
          </w:p>
        </w:tc>
        <w:tc>
          <w:tcPr>
            <w:tcW w:w="3775" w:type="dxa"/>
          </w:tcPr>
          <w:p w14:paraId="717325BA"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Police recorded indicators</w:t>
            </w:r>
          </w:p>
        </w:tc>
      </w:tr>
      <w:tr w:rsidR="00301123" w:rsidRPr="00D11BED" w14:paraId="7571E026"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val="restart"/>
          </w:tcPr>
          <w:p w14:paraId="3778347A" w14:textId="77777777" w:rsidR="00301123" w:rsidRPr="00D11BED" w:rsidRDefault="00301123" w:rsidP="006C377F">
            <w:pPr>
              <w:jc w:val="both"/>
              <w:rPr>
                <w:rFonts w:cstheme="minorHAnsi"/>
              </w:rPr>
            </w:pPr>
            <w:r w:rsidRPr="00D11BED">
              <w:rPr>
                <w:rFonts w:cstheme="minorHAnsi"/>
              </w:rPr>
              <w:lastRenderedPageBreak/>
              <w:t>Inadequate</w:t>
            </w:r>
          </w:p>
        </w:tc>
        <w:tc>
          <w:tcPr>
            <w:tcW w:w="3330" w:type="dxa"/>
          </w:tcPr>
          <w:p w14:paraId="1981EF02"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living in temporary/non-conventional structures</w:t>
            </w:r>
          </w:p>
        </w:tc>
        <w:tc>
          <w:tcPr>
            <w:tcW w:w="3775" w:type="dxa"/>
          </w:tcPr>
          <w:p w14:paraId="28BAEC88"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Mobile homes;</w:t>
            </w:r>
          </w:p>
          <w:p w14:paraId="2610D7DA"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Non-conventional building;</w:t>
            </w:r>
          </w:p>
          <w:p w14:paraId="6F3593BE"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Temporary structure</w:t>
            </w:r>
          </w:p>
        </w:tc>
      </w:tr>
      <w:tr w:rsidR="00301123" w:rsidRPr="00D11BED" w14:paraId="5601E6FA" w14:textId="77777777" w:rsidTr="006C377F">
        <w:tc>
          <w:tcPr>
            <w:cnfStyle w:val="001000000000" w:firstRow="0" w:lastRow="0" w:firstColumn="1" w:lastColumn="0" w:oddVBand="0" w:evenVBand="0" w:oddHBand="0" w:evenHBand="0" w:firstRowFirstColumn="0" w:firstRowLastColumn="0" w:lastRowFirstColumn="0" w:lastRowLastColumn="0"/>
            <w:tcW w:w="2245" w:type="dxa"/>
            <w:vMerge/>
          </w:tcPr>
          <w:p w14:paraId="2CB10306" w14:textId="77777777" w:rsidR="00301123" w:rsidRPr="00D11BED" w:rsidRDefault="00301123" w:rsidP="006C377F">
            <w:pPr>
              <w:jc w:val="both"/>
              <w:rPr>
                <w:rFonts w:cstheme="minorHAnsi"/>
              </w:rPr>
            </w:pPr>
          </w:p>
        </w:tc>
        <w:tc>
          <w:tcPr>
            <w:tcW w:w="3330" w:type="dxa"/>
          </w:tcPr>
          <w:p w14:paraId="1DCDC257"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living in unfit housing</w:t>
            </w:r>
          </w:p>
        </w:tc>
        <w:tc>
          <w:tcPr>
            <w:tcW w:w="3775" w:type="dxa"/>
          </w:tcPr>
          <w:p w14:paraId="79A5502E" w14:textId="77777777" w:rsidR="00301123" w:rsidRPr="00D11BED" w:rsidRDefault="00301123" w:rsidP="006C377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Occupied dwellings unfit for habitation</w:t>
            </w:r>
          </w:p>
        </w:tc>
      </w:tr>
      <w:tr w:rsidR="00301123" w:rsidRPr="00D11BED" w14:paraId="56273D61" w14:textId="77777777" w:rsidTr="006C377F">
        <w:trPr>
          <w:trHeight w:val="56"/>
        </w:trPr>
        <w:tc>
          <w:tcPr>
            <w:cnfStyle w:val="001000000000" w:firstRow="0" w:lastRow="0" w:firstColumn="1" w:lastColumn="0" w:oddVBand="0" w:evenVBand="0" w:oddHBand="0" w:evenHBand="0" w:firstRowFirstColumn="0" w:firstRowLastColumn="0" w:lastRowFirstColumn="0" w:lastRowLastColumn="0"/>
            <w:tcW w:w="2245" w:type="dxa"/>
            <w:vMerge/>
          </w:tcPr>
          <w:p w14:paraId="2206DED0" w14:textId="77777777" w:rsidR="00301123" w:rsidRPr="00D11BED" w:rsidRDefault="00301123" w:rsidP="006C377F">
            <w:pPr>
              <w:jc w:val="both"/>
              <w:rPr>
                <w:rFonts w:cstheme="minorHAnsi"/>
              </w:rPr>
            </w:pPr>
          </w:p>
        </w:tc>
        <w:tc>
          <w:tcPr>
            <w:tcW w:w="3330" w:type="dxa"/>
          </w:tcPr>
          <w:p w14:paraId="7C9E8ACE"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People living in extreme overcrowding</w:t>
            </w:r>
          </w:p>
        </w:tc>
        <w:tc>
          <w:tcPr>
            <w:tcW w:w="3775" w:type="dxa"/>
          </w:tcPr>
          <w:p w14:paraId="693FF858" w14:textId="77777777" w:rsidR="00301123" w:rsidRPr="00D11BED" w:rsidRDefault="00301123" w:rsidP="006C377F">
            <w:pPr>
              <w:cnfStyle w:val="000000000000" w:firstRow="0" w:lastRow="0" w:firstColumn="0" w:lastColumn="0" w:oddVBand="0" w:evenVBand="0" w:oddHBand="0" w:evenHBand="0" w:firstRowFirstColumn="0" w:firstRowLastColumn="0" w:lastRowFirstColumn="0" w:lastRowLastColumn="0"/>
              <w:rPr>
                <w:rFonts w:cstheme="minorHAnsi"/>
              </w:rPr>
            </w:pPr>
            <w:r w:rsidRPr="00D11BED">
              <w:rPr>
                <w:rFonts w:cstheme="minorHAnsi"/>
              </w:rPr>
              <w:t>Highest</w:t>
            </w:r>
            <w:r>
              <w:rPr>
                <w:rFonts w:cstheme="minorHAnsi"/>
              </w:rPr>
              <w:t xml:space="preserve"> national norm of overcrowding</w:t>
            </w:r>
          </w:p>
        </w:tc>
      </w:tr>
    </w:tbl>
    <w:p w14:paraId="3A6AA448" w14:textId="77777777" w:rsidR="00301123" w:rsidRPr="005634E5" w:rsidRDefault="00301123" w:rsidP="00301123">
      <w:pPr>
        <w:jc w:val="both"/>
        <w:rPr>
          <w:i/>
          <w:iCs/>
          <w:color w:val="44546A" w:themeColor="text2"/>
          <w:sz w:val="18"/>
          <w:szCs w:val="18"/>
        </w:rPr>
      </w:pPr>
      <w:r w:rsidRPr="005634E5">
        <w:rPr>
          <w:i/>
          <w:iCs/>
          <w:color w:val="44546A" w:themeColor="text2"/>
          <w:sz w:val="18"/>
          <w:szCs w:val="18"/>
        </w:rPr>
        <w:t>Source: FEANTSA</w:t>
      </w:r>
    </w:p>
    <w:p w14:paraId="282D232B" w14:textId="77777777" w:rsidR="00301123" w:rsidRPr="001F78AB" w:rsidRDefault="00301123" w:rsidP="00301123">
      <w:pPr>
        <w:jc w:val="both"/>
        <w:rPr>
          <w:rFonts w:cstheme="minorHAnsi"/>
        </w:rPr>
      </w:pPr>
      <w:r>
        <w:rPr>
          <w:lang w:val="en-GB"/>
        </w:rPr>
        <w:t>A</w:t>
      </w:r>
      <w:r w:rsidRPr="00B11034">
        <w:rPr>
          <w:lang w:val="en-GB"/>
        </w:rPr>
        <w:t>mong</w:t>
      </w:r>
      <w:r w:rsidRPr="00B11034">
        <w:rPr>
          <w:rFonts w:cstheme="minorHAnsi"/>
        </w:rPr>
        <w:t xml:space="preserve"> the group</w:t>
      </w:r>
      <w:r>
        <w:rPr>
          <w:rFonts w:cstheme="minorHAnsi"/>
        </w:rPr>
        <w:t>s</w:t>
      </w:r>
      <w:r w:rsidRPr="00B11034">
        <w:rPr>
          <w:rFonts w:cstheme="minorHAnsi"/>
        </w:rPr>
        <w:t xml:space="preserve"> of people who face a problem of unstable housing</w:t>
      </w:r>
      <w:r>
        <w:rPr>
          <w:rFonts w:cstheme="minorHAnsi"/>
        </w:rPr>
        <w:t>,</w:t>
      </w:r>
      <w:r w:rsidRPr="00B11034">
        <w:rPr>
          <w:rFonts w:cstheme="minorHAnsi"/>
        </w:rPr>
        <w:t xml:space="preserve"> the </w:t>
      </w:r>
      <w:r w:rsidRPr="00FF2D86">
        <w:rPr>
          <w:rFonts w:cstheme="minorHAnsi"/>
          <w:b/>
          <w:bCs/>
        </w:rPr>
        <w:t>most vulnerable group</w:t>
      </w:r>
      <w:r>
        <w:rPr>
          <w:rFonts w:cstheme="minorHAnsi"/>
          <w:b/>
          <w:bCs/>
        </w:rPr>
        <w:t>s</w:t>
      </w:r>
      <w:r w:rsidRPr="00FF2D86">
        <w:rPr>
          <w:rFonts w:cstheme="minorHAnsi"/>
          <w:b/>
          <w:bCs/>
        </w:rPr>
        <w:t xml:space="preserve"> are roofless and homeless people</w:t>
      </w:r>
      <w:r w:rsidRPr="00B11034">
        <w:rPr>
          <w:rFonts w:cstheme="minorHAnsi"/>
        </w:rPr>
        <w:t xml:space="preserve">. The main difference between homeless and roofless is that roofless people might spend the night in the </w:t>
      </w:r>
      <w:r w:rsidRPr="00E050E2">
        <w:rPr>
          <w:rFonts w:cstheme="minorHAnsi"/>
        </w:rPr>
        <w:t>open-air</w:t>
      </w:r>
      <w:r w:rsidRPr="00B11034">
        <w:rPr>
          <w:rFonts w:cstheme="minorHAnsi"/>
        </w:rPr>
        <w:t xml:space="preserve"> public spaces</w:t>
      </w:r>
      <w:r>
        <w:rPr>
          <w:rFonts w:cstheme="minorHAnsi"/>
        </w:rPr>
        <w:t xml:space="preserve"> or in night shelters</w:t>
      </w:r>
      <w:r w:rsidRPr="00B11034">
        <w:rPr>
          <w:rFonts w:cstheme="minorHAnsi"/>
        </w:rPr>
        <w:t xml:space="preserve">, while homeless </w:t>
      </w:r>
      <w:r>
        <w:rPr>
          <w:rFonts w:cstheme="minorHAnsi"/>
        </w:rPr>
        <w:t>has</w:t>
      </w:r>
      <w:r w:rsidRPr="00B11034">
        <w:rPr>
          <w:rFonts w:cstheme="minorHAnsi"/>
        </w:rPr>
        <w:t xml:space="preserve"> relatively longer-term shelters. </w:t>
      </w:r>
      <w:r>
        <w:rPr>
          <w:rFonts w:cstheme="minorHAnsi"/>
        </w:rPr>
        <w:t xml:space="preserve">The main difference between night shelters and other shelter types is that in night shelters roofless people can get a service only at night, while in other shelters beneficiary can get a service at any time of a day. The category of homeless people includes people who live in </w:t>
      </w:r>
      <w:r w:rsidRPr="00B11034">
        <w:t>women shelter accommodation, temporary accommodations/reception centers, migrant worker accommodations, penal, medical and children’s institutions. In addition, this category includes: homeless elder</w:t>
      </w:r>
      <w:r>
        <w:t>ly</w:t>
      </w:r>
      <w:r w:rsidRPr="00B11034">
        <w:t xml:space="preserve"> people, or elders who were formerly homeless and are receiving supported accommodation</w:t>
      </w:r>
      <w:r>
        <w:t>.</w:t>
      </w:r>
    </w:p>
    <w:p w14:paraId="66AAE742" w14:textId="77777777" w:rsidR="00301123" w:rsidRPr="006172CB" w:rsidRDefault="00301123" w:rsidP="00301123">
      <w:pPr>
        <w:jc w:val="both"/>
      </w:pPr>
      <w:r>
        <w:rPr>
          <w:lang w:val="en-GB"/>
        </w:rPr>
        <w:t xml:space="preserve">A third group of the society which falls under the risk of unstable housing includes the </w:t>
      </w:r>
      <w:r w:rsidRPr="00FF2D86">
        <w:rPr>
          <w:b/>
          <w:bCs/>
          <w:lang w:val="en-GB"/>
        </w:rPr>
        <w:t xml:space="preserve">people living </w:t>
      </w:r>
      <w:r w:rsidRPr="00FF2D86">
        <w:rPr>
          <w:b/>
          <w:bCs/>
        </w:rPr>
        <w:t>in insecure accommodations</w:t>
      </w:r>
      <w:r>
        <w:t xml:space="preserve">. These are, for example, people who temporary live with families and friends, have no legal (sub)tenancy and illegally occupy the land. In the literature, the term </w:t>
      </w:r>
      <w:r w:rsidRPr="00B11034">
        <w:rPr>
          <w:i/>
        </w:rPr>
        <w:t>double-up families</w:t>
      </w:r>
      <w:r>
        <w:t xml:space="preserve"> </w:t>
      </w:r>
      <w:proofErr w:type="gramStart"/>
      <w:r>
        <w:t>is</w:t>
      </w:r>
      <w:proofErr w:type="gramEnd"/>
      <w:r>
        <w:t xml:space="preserve"> widely used to distinguish people living with relatives and friends temporary. </w:t>
      </w:r>
      <w:r w:rsidRPr="009D46A4">
        <w:t xml:space="preserve">However, </w:t>
      </w:r>
      <w:r w:rsidRPr="009D46A4">
        <w:rPr>
          <w:lang w:val="en-GB"/>
        </w:rPr>
        <w:t>several studies</w:t>
      </w:r>
      <w:r w:rsidRPr="009D46A4">
        <w:t xml:space="preserve"> do not pay attention the duration of staying just simply consider that doubled up families should go into unstable housing category independent from what time they spend in this household</w:t>
      </w:r>
      <w:r>
        <w:t>.</w:t>
      </w:r>
      <w:r w:rsidRPr="009D46A4">
        <w:t xml:space="preserve"> </w:t>
      </w:r>
      <w:r>
        <w:t>F</w:t>
      </w:r>
      <w:r w:rsidRPr="009D46A4">
        <w:t>or example</w:t>
      </w:r>
      <w:r>
        <w:t>,</w:t>
      </w:r>
      <w:r w:rsidRPr="009D46A4">
        <w:t xml:space="preserve"> </w:t>
      </w:r>
      <w:proofErr w:type="spellStart"/>
      <w:r w:rsidRPr="009D46A4">
        <w:t>Burgard</w:t>
      </w:r>
      <w:proofErr w:type="spellEnd"/>
      <w:r w:rsidRPr="009D46A4">
        <w:t xml:space="preserve"> et al. (2012) </w:t>
      </w:r>
      <w:r>
        <w:t xml:space="preserve">describes </w:t>
      </w:r>
      <w:r w:rsidRPr="009D46A4">
        <w:t>doubling up</w:t>
      </w:r>
      <w:r>
        <w:t xml:space="preserve"> as</w:t>
      </w:r>
      <w:r w:rsidRPr="009D46A4">
        <w:t xml:space="preserve"> the situation when a person lives with their families or friends without paying for it, while Kathryn T. Bailey et al. (2015) names the household doubled up if a person lives with a household for a while because of economic difficulty.</w:t>
      </w:r>
      <w:r>
        <w:t xml:space="preserve"> </w:t>
      </w:r>
    </w:p>
    <w:p w14:paraId="4576C97C" w14:textId="77777777" w:rsidR="00301123" w:rsidRDefault="00301123" w:rsidP="00301123">
      <w:pPr>
        <w:jc w:val="both"/>
        <w:rPr>
          <w:rFonts w:cstheme="minorHAnsi"/>
          <w:lang w:val="en-GB"/>
        </w:rPr>
      </w:pPr>
      <w:r>
        <w:rPr>
          <w:rFonts w:cstheme="minorHAnsi"/>
        </w:rPr>
        <w:t xml:space="preserve">The last group listed in table 1 is that of </w:t>
      </w:r>
      <w:r w:rsidRPr="00FF2D86">
        <w:rPr>
          <w:rFonts w:cstheme="minorHAnsi"/>
          <w:b/>
          <w:bCs/>
        </w:rPr>
        <w:t>people living in inadequate housing conditions</w:t>
      </w:r>
      <w:r>
        <w:rPr>
          <w:rFonts w:cstheme="minorHAnsi"/>
        </w:rPr>
        <w:t xml:space="preserve">. These individuals are those living </w:t>
      </w:r>
      <w:r w:rsidRPr="00D11BED">
        <w:rPr>
          <w:rFonts w:cstheme="minorHAnsi"/>
        </w:rPr>
        <w:t>in temporary/non-conventional structures</w:t>
      </w:r>
      <w:r>
        <w:rPr>
          <w:rFonts w:cstheme="minorHAnsi"/>
        </w:rPr>
        <w:t>, including people living in m</w:t>
      </w:r>
      <w:r w:rsidRPr="00D11BED">
        <w:rPr>
          <w:rFonts w:cstheme="minorHAnsi"/>
        </w:rPr>
        <w:t>obile homes</w:t>
      </w:r>
      <w:r>
        <w:rPr>
          <w:rFonts w:cstheme="minorHAnsi"/>
        </w:rPr>
        <w:t>, non-conventional building and t</w:t>
      </w:r>
      <w:r w:rsidRPr="00D11BED">
        <w:rPr>
          <w:rFonts w:cstheme="minorHAnsi"/>
        </w:rPr>
        <w:t>emporary structure</w:t>
      </w:r>
      <w:r>
        <w:rPr>
          <w:rFonts w:cstheme="minorHAnsi"/>
        </w:rPr>
        <w:t xml:space="preserve">s, people in unfit housing and extreme overcrowding. As in Georgia there is no official definition, nor any objective methodology to measure unfit housing, in this analysis the </w:t>
      </w:r>
      <w:r w:rsidRPr="003D38DD">
        <w:rPr>
          <w:rFonts w:cstheme="minorHAnsi"/>
        </w:rPr>
        <w:t>definitions provided by sustainable development targets (</w:t>
      </w:r>
      <w:r>
        <w:rPr>
          <w:rFonts w:cstheme="minorHAnsi"/>
        </w:rPr>
        <w:t xml:space="preserve">in particular, target </w:t>
      </w:r>
      <w:r w:rsidRPr="003D38DD">
        <w:rPr>
          <w:rFonts w:cstheme="minorHAnsi"/>
        </w:rPr>
        <w:t>11.1)</w:t>
      </w:r>
      <w:r w:rsidRPr="00921EA7">
        <w:rPr>
          <w:rFonts w:cstheme="minorHAnsi"/>
        </w:rPr>
        <w:t xml:space="preserve"> along with subjective assessments of the households will be used</w:t>
      </w:r>
      <w:r>
        <w:rPr>
          <w:rFonts w:cstheme="minorHAnsi"/>
        </w:rPr>
        <w:t xml:space="preserve">. According to the definition in target 11.1, a </w:t>
      </w:r>
      <w:r w:rsidRPr="003D38DD">
        <w:rPr>
          <w:rFonts w:cstheme="minorHAnsi"/>
        </w:rPr>
        <w:t xml:space="preserve">fit house should be built with </w:t>
      </w:r>
      <w:r>
        <w:rPr>
          <w:rFonts w:cstheme="minorHAnsi"/>
        </w:rPr>
        <w:t xml:space="preserve">a </w:t>
      </w:r>
      <w:r w:rsidRPr="003D38DD">
        <w:rPr>
          <w:rFonts w:cstheme="minorHAnsi"/>
        </w:rPr>
        <w:t xml:space="preserve">permanent building structure, </w:t>
      </w:r>
      <w:r>
        <w:rPr>
          <w:rFonts w:cstheme="minorHAnsi"/>
        </w:rPr>
        <w:t>and follow</w:t>
      </w:r>
      <w:r w:rsidRPr="003D38DD">
        <w:rPr>
          <w:rFonts w:cstheme="minorHAnsi"/>
        </w:rPr>
        <w:t xml:space="preserve"> </w:t>
      </w:r>
      <w:r>
        <w:rPr>
          <w:rFonts w:cstheme="minorHAnsi"/>
        </w:rPr>
        <w:t>prescribed</w:t>
      </w:r>
      <w:r w:rsidRPr="003D38DD">
        <w:rPr>
          <w:rFonts w:cstheme="minorHAnsi"/>
        </w:rPr>
        <w:t xml:space="preserve"> specifications for toilets and water supply.</w:t>
      </w:r>
      <w:r>
        <w:rPr>
          <w:rFonts w:cstheme="minorHAnsi"/>
        </w:rPr>
        <w:t xml:space="preserve"> Overcrowding is considered as an issue because, it promotes </w:t>
      </w:r>
      <w:r>
        <w:rPr>
          <w:rFonts w:cstheme="minorHAnsi"/>
          <w:lang w:val="en-GB"/>
        </w:rPr>
        <w:t xml:space="preserve">prevalence of infection diseases, also can deteriorate physical health of the family members and put children in the disadvantageous conditions in terms of getting education. </w:t>
      </w:r>
    </w:p>
    <w:p w14:paraId="791C7335" w14:textId="77777777" w:rsidR="00301123" w:rsidRPr="00127771" w:rsidRDefault="00301123" w:rsidP="00301123">
      <w:pPr>
        <w:shd w:val="clear" w:color="auto" w:fill="FFFFFF"/>
        <w:spacing w:before="100" w:beforeAutospacing="1" w:after="100" w:afterAutospacing="1" w:line="240" w:lineRule="auto"/>
        <w:ind w:left="24"/>
        <w:jc w:val="both"/>
        <w:rPr>
          <w:rFonts w:cstheme="minorHAnsi"/>
          <w:lang w:val="en-GB"/>
        </w:rPr>
      </w:pPr>
      <w:r w:rsidRPr="00E01415">
        <w:rPr>
          <w:rFonts w:cstheme="minorHAnsi"/>
          <w:lang w:val="en-GB"/>
        </w:rPr>
        <w:t xml:space="preserve">The following </w:t>
      </w:r>
      <w:r>
        <w:rPr>
          <w:rFonts w:cstheme="minorHAnsi"/>
          <w:lang w:val="en-GB"/>
        </w:rPr>
        <w:t xml:space="preserve">work will be based on the definitions provided by UN Habitat and Sustainable Development Goals (SDG). According to UN Habitat, </w:t>
      </w:r>
      <w:r>
        <w:t>overcrowding occurs if there are more than three people per habitable room, while based on SDG goal 11.1 overcrowding happens if there is less than 9 m</w:t>
      </w:r>
      <w:r>
        <w:rPr>
          <w:vertAlign w:val="superscript"/>
        </w:rPr>
        <w:t>2</w:t>
      </w:r>
      <w:r>
        <w:t xml:space="preserve"> living area per person. </w:t>
      </w:r>
    </w:p>
    <w:p w14:paraId="537CBE4D" w14:textId="77777777" w:rsidR="00301123" w:rsidRPr="0089690C" w:rsidRDefault="00301123" w:rsidP="00301123">
      <w:pPr>
        <w:ind w:left="24"/>
        <w:jc w:val="both"/>
        <w:rPr>
          <w:lang w:val="en-GB"/>
        </w:rPr>
      </w:pPr>
      <w:r>
        <w:rPr>
          <w:lang w:val="en-GB"/>
        </w:rPr>
        <w:t xml:space="preserve">Typically, countries choose to focus on the issue of homelessness instead of the more general “unstable housing”. Even in this case, however, definitions differ. As an example of the “menu approach” followed </w:t>
      </w:r>
      <w:r>
        <w:rPr>
          <w:lang w:val="en-GB"/>
        </w:rPr>
        <w:lastRenderedPageBreak/>
        <w:t>by countries when dealing with unstable housing issues, t</w:t>
      </w:r>
      <w:r w:rsidRPr="0089690C">
        <w:rPr>
          <w:lang w:val="en-GB"/>
        </w:rPr>
        <w:t xml:space="preserve">he </w:t>
      </w:r>
      <w:r w:rsidRPr="009D13A4">
        <w:rPr>
          <w:lang w:val="en-GB"/>
        </w:rPr>
        <w:t>Uni</w:t>
      </w:r>
      <w:r w:rsidRPr="004C3BCA">
        <w:rPr>
          <w:lang w:val="en-GB"/>
        </w:rPr>
        <w:t>ted States</w:t>
      </w:r>
      <w:r>
        <w:rPr>
          <w:lang w:val="en-GB"/>
        </w:rPr>
        <w:t xml:space="preserve"> typically</w:t>
      </w:r>
      <w:r w:rsidRPr="0089690C">
        <w:rPr>
          <w:lang w:val="en-GB"/>
        </w:rPr>
        <w:t xml:space="preserve"> </w:t>
      </w:r>
      <w:r>
        <w:rPr>
          <w:lang w:val="en-GB"/>
        </w:rPr>
        <w:t>focus</w:t>
      </w:r>
      <w:r w:rsidRPr="0089690C">
        <w:rPr>
          <w:lang w:val="en-GB"/>
        </w:rPr>
        <w:t xml:space="preserve"> only </w:t>
      </w:r>
      <w:r>
        <w:rPr>
          <w:lang w:val="en-GB"/>
        </w:rPr>
        <w:t xml:space="preserve">on </w:t>
      </w:r>
      <w:r w:rsidRPr="0089690C">
        <w:rPr>
          <w:lang w:val="en-GB"/>
        </w:rPr>
        <w:t>three categories (‘People living rough’, ‘People staying in a night shelter’ and ‘people in accommodation for homeless’</w:t>
      </w:r>
      <w:r w:rsidRPr="009D13A4">
        <w:rPr>
          <w:lang w:val="en-GB"/>
        </w:rPr>
        <w:t>)</w:t>
      </w:r>
      <w:r>
        <w:rPr>
          <w:lang w:val="en-GB"/>
        </w:rPr>
        <w:t>,</w:t>
      </w:r>
      <w:r w:rsidRPr="0089690C">
        <w:rPr>
          <w:lang w:val="en-GB"/>
        </w:rPr>
        <w:t xml:space="preserve"> while in Australia and in most of the European countries two more categories (‘People living in insecure accommodation’ and ‘People living in temporary/non-conventional structures’) are added</w:t>
      </w:r>
      <w:r>
        <w:rPr>
          <w:lang w:val="en-GB"/>
        </w:rPr>
        <w:t xml:space="preserve"> </w:t>
      </w:r>
      <w:sdt>
        <w:sdtPr>
          <w:rPr>
            <w:lang w:val="en-GB"/>
          </w:rPr>
          <w:id w:val="1809968412"/>
          <w:citation/>
        </w:sdtPr>
        <w:sdtEndPr/>
        <w:sdtContent>
          <w:r w:rsidRPr="00CF01FB">
            <w:rPr>
              <w:lang w:val="en-GB"/>
            </w:rPr>
            <w:fldChar w:fldCharType="begin"/>
          </w:r>
          <w:r w:rsidRPr="006442A4">
            <w:rPr>
              <w:lang w:val="en-GB"/>
            </w:rPr>
            <w:instrText xml:space="preserve"> CITATION BOF19 \l 2057 </w:instrText>
          </w:r>
          <w:r w:rsidRPr="00CF01FB">
            <w:rPr>
              <w:lang w:val="en-GB"/>
            </w:rPr>
            <w:fldChar w:fldCharType="separate"/>
          </w:r>
          <w:r>
            <w:rPr>
              <w:noProof/>
              <w:lang w:val="en-GB"/>
            </w:rPr>
            <w:t>(O'Flaherty, 2019)</w:t>
          </w:r>
          <w:r w:rsidRPr="00CF01FB">
            <w:rPr>
              <w:lang w:val="en-GB"/>
            </w:rPr>
            <w:fldChar w:fldCharType="end"/>
          </w:r>
        </w:sdtContent>
      </w:sdt>
      <w:r w:rsidRPr="0089690C">
        <w:rPr>
          <w:lang w:val="en-GB"/>
        </w:rPr>
        <w:t xml:space="preserve">. </w:t>
      </w:r>
    </w:p>
    <w:p w14:paraId="739D6829" w14:textId="77777777" w:rsidR="00301123" w:rsidRPr="0089690C" w:rsidRDefault="00301123" w:rsidP="00301123">
      <w:pPr>
        <w:shd w:val="clear" w:color="auto" w:fill="FFFFFF"/>
        <w:spacing w:before="100" w:beforeAutospacing="1" w:after="100" w:afterAutospacing="1" w:line="240" w:lineRule="auto"/>
        <w:jc w:val="both"/>
        <w:rPr>
          <w:rFonts w:cstheme="minorHAnsi"/>
          <w:lang w:val="en-GB"/>
        </w:rPr>
      </w:pPr>
      <w:r w:rsidRPr="007F2791">
        <w:rPr>
          <w:rFonts w:cstheme="minorHAnsi"/>
          <w:lang w:val="en-GB"/>
        </w:rPr>
        <w:t xml:space="preserve">This </w:t>
      </w:r>
      <w:r>
        <w:rPr>
          <w:rFonts w:cstheme="minorHAnsi"/>
          <w:lang w:val="en-GB"/>
        </w:rPr>
        <w:t>work will attempt to conduct a preliminary and comprehensive assessment of the unstable housing challenges characterizing Georgia, to provide the broadest possible framework for future discussions.</w:t>
      </w:r>
    </w:p>
    <w:p w14:paraId="78B1E514" w14:textId="77777777" w:rsidR="00301123" w:rsidRPr="004076AD" w:rsidRDefault="00301123" w:rsidP="00301123">
      <w:pPr>
        <w:pStyle w:val="Heading3"/>
        <w:jc w:val="both"/>
        <w:rPr>
          <w:b/>
          <w:color w:val="002060"/>
          <w:lang w:val="en-GB"/>
        </w:rPr>
      </w:pPr>
      <w:bookmarkStart w:id="9" w:name="_Toc28010441"/>
      <w:r>
        <w:rPr>
          <w:b/>
          <w:color w:val="002060"/>
          <w:lang w:val="en-GB"/>
        </w:rPr>
        <w:t>Measuring H</w:t>
      </w:r>
      <w:r w:rsidRPr="004076AD">
        <w:rPr>
          <w:b/>
          <w:color w:val="002060"/>
          <w:lang w:val="en-GB"/>
        </w:rPr>
        <w:t>omelessness</w:t>
      </w:r>
      <w:bookmarkEnd w:id="9"/>
    </w:p>
    <w:p w14:paraId="5BAE1797" w14:textId="77777777" w:rsidR="00301123" w:rsidRDefault="00301123" w:rsidP="00301123">
      <w:pPr>
        <w:ind w:left="24"/>
        <w:jc w:val="both"/>
        <w:rPr>
          <w:lang w:val="en-GB"/>
        </w:rPr>
      </w:pPr>
    </w:p>
    <w:p w14:paraId="40CBE847" w14:textId="77777777" w:rsidR="00301123" w:rsidRPr="0089690C" w:rsidRDefault="00301123" w:rsidP="00301123">
      <w:pPr>
        <w:ind w:left="24"/>
        <w:jc w:val="both"/>
        <w:rPr>
          <w:lang w:val="en-GB"/>
        </w:rPr>
      </w:pPr>
      <w:r>
        <w:rPr>
          <w:lang w:val="en-GB"/>
        </w:rPr>
        <w:t>Countries are typically interested in measuring homelessness. As with the definition of homelessness, also</w:t>
      </w:r>
      <w:r w:rsidRPr="0089690C">
        <w:rPr>
          <w:lang w:val="en-GB"/>
        </w:rPr>
        <w:t xml:space="preserve"> methodology to register and account homeless people differs among the countries, as well as among the regions and states within the countries. Due to the difficulties associated with accounting homeless the</w:t>
      </w:r>
      <w:r w:rsidRPr="009D13A4">
        <w:rPr>
          <w:lang w:val="en-GB"/>
        </w:rPr>
        <w:t xml:space="preserve"> existing data is not always high quality. Methods counting homeless people incl</w:t>
      </w:r>
      <w:r w:rsidRPr="004C3BCA">
        <w:rPr>
          <w:lang w:val="en-GB"/>
        </w:rPr>
        <w:t>ude: point-in-time count of sheltered and unsheltered homeless people</w:t>
      </w:r>
      <w:r w:rsidRPr="00610BE1">
        <w:rPr>
          <w:lang w:val="en-GB"/>
        </w:rPr>
        <w:t xml:space="preserve"> on a night of late January, information about the characteristics of sheltered people during the year, num</w:t>
      </w:r>
      <w:r w:rsidRPr="006442A4">
        <w:rPr>
          <w:lang w:val="en-GB"/>
        </w:rPr>
        <w:t xml:space="preserve">ber of beds available in the homeless shelters </w:t>
      </w:r>
      <w:sdt>
        <w:sdtPr>
          <w:rPr>
            <w:lang w:val="en-GB"/>
          </w:rPr>
          <w:id w:val="-1284880683"/>
          <w:citation/>
        </w:sdtPr>
        <w:sdtEndPr/>
        <w:sdtContent>
          <w:r w:rsidRPr="00CF01FB">
            <w:rPr>
              <w:lang w:val="en-GB"/>
            </w:rPr>
            <w:fldChar w:fldCharType="begin"/>
          </w:r>
          <w:r w:rsidRPr="006442A4">
            <w:rPr>
              <w:lang w:val="en-GB"/>
            </w:rPr>
            <w:instrText xml:space="preserve"> CITATION BOF19 \l 2057 </w:instrText>
          </w:r>
          <w:r w:rsidRPr="00CF01FB">
            <w:rPr>
              <w:lang w:val="en-GB"/>
            </w:rPr>
            <w:fldChar w:fldCharType="separate"/>
          </w:r>
          <w:r>
            <w:rPr>
              <w:noProof/>
              <w:lang w:val="en-GB"/>
            </w:rPr>
            <w:t>(O'Flaherty, 2019)</w:t>
          </w:r>
          <w:r w:rsidRPr="00CF01FB">
            <w:rPr>
              <w:lang w:val="en-GB"/>
            </w:rPr>
            <w:fldChar w:fldCharType="end"/>
          </w:r>
        </w:sdtContent>
      </w:sdt>
      <w:r w:rsidRPr="0089690C">
        <w:rPr>
          <w:lang w:val="en-GB"/>
        </w:rPr>
        <w:t>.</w:t>
      </w:r>
    </w:p>
    <w:p w14:paraId="699ABF43" w14:textId="77777777" w:rsidR="00301123" w:rsidRPr="0089690C" w:rsidRDefault="00301123" w:rsidP="00301123">
      <w:pPr>
        <w:ind w:left="24"/>
        <w:jc w:val="both"/>
        <w:rPr>
          <w:lang w:val="en-GB"/>
        </w:rPr>
      </w:pPr>
      <w:r w:rsidRPr="009D13A4">
        <w:rPr>
          <w:lang w:val="en-GB"/>
        </w:rPr>
        <w:t>The UK use</w:t>
      </w:r>
      <w:r w:rsidRPr="004C3BCA">
        <w:rPr>
          <w:lang w:val="en-GB"/>
        </w:rPr>
        <w:t>s</w:t>
      </w:r>
      <w:r w:rsidRPr="00610BE1">
        <w:rPr>
          <w:lang w:val="en-GB"/>
        </w:rPr>
        <w:t xml:space="preserve"> a different approach of registering/coun</w:t>
      </w:r>
      <w:r w:rsidRPr="006442A4">
        <w:rPr>
          <w:lang w:val="en-GB"/>
        </w:rPr>
        <w:t xml:space="preserve">ting homelessness. They consider a person as a homeless if that person cannot be reasonably expected to live </w:t>
      </w:r>
      <w:r>
        <w:rPr>
          <w:lang w:val="en-GB"/>
        </w:rPr>
        <w:t>anyw</w:t>
      </w:r>
      <w:r w:rsidRPr="006442A4">
        <w:rPr>
          <w:lang w:val="en-GB"/>
        </w:rPr>
        <w:t>here. The statistics of homelessness is based only on the number of people/households who applied for the registry and were considered as eligible to get governmental assistance. So, they automatically exclude people who chose not to present to a service and those who have not seen eligible to get the assistance</w:t>
      </w:r>
      <w:sdt>
        <w:sdtPr>
          <w:rPr>
            <w:lang w:val="en-GB"/>
          </w:rPr>
          <w:id w:val="-1672025869"/>
          <w:citation/>
        </w:sdtPr>
        <w:sdtEndPr/>
        <w:sdtContent>
          <w:r w:rsidRPr="00CF01FB">
            <w:rPr>
              <w:lang w:val="en-GB"/>
            </w:rPr>
            <w:fldChar w:fldCharType="begin"/>
          </w:r>
          <w:r w:rsidRPr="006442A4">
            <w:rPr>
              <w:lang w:val="en-GB"/>
            </w:rPr>
            <w:instrText xml:space="preserve"> CITATION JMu07 \l 2057 </w:instrText>
          </w:r>
          <w:r w:rsidRPr="00CF01FB">
            <w:rPr>
              <w:lang w:val="en-GB"/>
            </w:rPr>
            <w:fldChar w:fldCharType="separate"/>
          </w:r>
          <w:r>
            <w:rPr>
              <w:noProof/>
              <w:lang w:val="en-GB"/>
            </w:rPr>
            <w:t xml:space="preserve"> (Munnery, 2007)</w:t>
          </w:r>
          <w:r w:rsidRPr="00CF01FB">
            <w:rPr>
              <w:lang w:val="en-GB"/>
            </w:rPr>
            <w:fldChar w:fldCharType="end"/>
          </w:r>
        </w:sdtContent>
      </w:sdt>
      <w:r w:rsidRPr="0089690C">
        <w:rPr>
          <w:lang w:val="en-GB"/>
        </w:rPr>
        <w:t xml:space="preserve">. </w:t>
      </w:r>
    </w:p>
    <w:p w14:paraId="70A85483" w14:textId="77777777" w:rsidR="00301123" w:rsidRPr="00E80CE5" w:rsidRDefault="00301123" w:rsidP="00301123">
      <w:pPr>
        <w:shd w:val="clear" w:color="auto" w:fill="FFFFFF"/>
        <w:spacing w:before="100" w:beforeAutospacing="1" w:after="100" w:afterAutospacing="1" w:line="240" w:lineRule="auto"/>
        <w:ind w:left="24"/>
        <w:jc w:val="both"/>
        <w:rPr>
          <w:rFonts w:cstheme="minorHAnsi"/>
          <w:lang w:val="en-GB"/>
        </w:rPr>
      </w:pPr>
      <w:r w:rsidRPr="0089690C">
        <w:rPr>
          <w:lang w:val="en-GB"/>
        </w:rPr>
        <w:t>One of the most problematic issue</w:t>
      </w:r>
      <w:r>
        <w:rPr>
          <w:lang w:val="en-GB"/>
        </w:rPr>
        <w:t>s</w:t>
      </w:r>
      <w:r w:rsidRPr="0089690C">
        <w:rPr>
          <w:lang w:val="en-GB"/>
        </w:rPr>
        <w:t xml:space="preserve"> regarding the homeless people is the provision of shelters for them. The num</w:t>
      </w:r>
      <w:r w:rsidRPr="009D13A4">
        <w:rPr>
          <w:rFonts w:cstheme="minorHAnsi"/>
          <w:lang w:val="en-GB"/>
        </w:rPr>
        <w:t>ber of sheltered homeless is hig</w:t>
      </w:r>
      <w:r w:rsidRPr="004C3BCA">
        <w:rPr>
          <w:rFonts w:cstheme="minorHAnsi"/>
          <w:lang w:val="en-GB"/>
        </w:rPr>
        <w:t>hly constrained with the availability of the shelter space. In case of the sheltere</w:t>
      </w:r>
      <w:r w:rsidRPr="00610BE1">
        <w:rPr>
          <w:rFonts w:cstheme="minorHAnsi"/>
          <w:lang w:val="en-GB"/>
        </w:rPr>
        <w:t>d people supply and demand of shelters are not the only determinan</w:t>
      </w:r>
      <w:r w:rsidRPr="00CF01FB">
        <w:rPr>
          <w:rFonts w:cstheme="minorHAnsi"/>
          <w:lang w:val="en-GB"/>
        </w:rPr>
        <w:t>ts of the number of sheltered people, the quality of shelters also matters.  The number of homeless people who</w:t>
      </w:r>
      <w:r w:rsidRPr="006066AB">
        <w:rPr>
          <w:rFonts w:cstheme="minorHAnsi"/>
          <w:lang w:val="en-GB"/>
        </w:rPr>
        <w:t xml:space="preserve"> are willing to get the shelter service significantly depends on the quality of shelters: the better quality, the more people want to stay. The high-quality shelter implies high cost per person for the shelter, consequently it is available for less people, but more people are willing to stay. The relationship between the quality of the shelter and the number of people willing to get the service is called ‘generosity curve’ </w:t>
      </w:r>
      <w:sdt>
        <w:sdtPr>
          <w:rPr>
            <w:lang w:val="en-GB"/>
          </w:rPr>
          <w:id w:val="648325627"/>
          <w:citation/>
        </w:sdtPr>
        <w:sdtEndPr/>
        <w:sdtContent>
          <w:r w:rsidRPr="0089690C">
            <w:rPr>
              <w:rFonts w:cstheme="minorHAnsi"/>
              <w:lang w:val="en-GB"/>
            </w:rPr>
            <w:fldChar w:fldCharType="begin"/>
          </w:r>
          <w:r w:rsidRPr="006066AB">
            <w:rPr>
              <w:rFonts w:cstheme="minorHAnsi"/>
              <w:lang w:val="en-GB"/>
            </w:rPr>
            <w:instrText xml:space="preserve"> CITATION BOF19 \l 2057 </w:instrText>
          </w:r>
          <w:r w:rsidRPr="0089690C">
            <w:rPr>
              <w:rFonts w:cstheme="minorHAnsi"/>
              <w:lang w:val="en-GB"/>
            </w:rPr>
            <w:fldChar w:fldCharType="separate"/>
          </w:r>
          <w:r w:rsidRPr="0060317C">
            <w:rPr>
              <w:rFonts w:cstheme="minorHAnsi"/>
              <w:noProof/>
              <w:lang w:val="en-GB"/>
            </w:rPr>
            <w:t>(O'Flaherty, 2019)</w:t>
          </w:r>
          <w:r w:rsidRPr="0089690C">
            <w:rPr>
              <w:rFonts w:cstheme="minorHAnsi"/>
              <w:lang w:val="en-GB"/>
            </w:rPr>
            <w:fldChar w:fldCharType="end"/>
          </w:r>
        </w:sdtContent>
      </w:sdt>
      <w:r w:rsidRPr="0089690C">
        <w:rPr>
          <w:rFonts w:cstheme="minorHAnsi"/>
          <w:lang w:val="en-GB"/>
        </w:rPr>
        <w:t>.</w:t>
      </w:r>
    </w:p>
    <w:p w14:paraId="04BF2A5E" w14:textId="77777777" w:rsidR="00301123" w:rsidRPr="004076AD" w:rsidRDefault="00301123" w:rsidP="00301123">
      <w:pPr>
        <w:pStyle w:val="Heading2"/>
        <w:jc w:val="both"/>
        <w:rPr>
          <w:b/>
          <w:color w:val="002060"/>
        </w:rPr>
      </w:pPr>
      <w:bookmarkStart w:id="10" w:name="_Toc28010442"/>
      <w:r w:rsidRPr="004076AD">
        <w:rPr>
          <w:b/>
          <w:color w:val="002060"/>
        </w:rPr>
        <w:t>Why Unstable Housing is an Important Issue</w:t>
      </w:r>
      <w:bookmarkEnd w:id="10"/>
    </w:p>
    <w:p w14:paraId="34C90688" w14:textId="77777777" w:rsidR="00301123" w:rsidRPr="00317B64" w:rsidRDefault="00301123" w:rsidP="00301123">
      <w:pPr>
        <w:jc w:val="both"/>
      </w:pPr>
    </w:p>
    <w:p w14:paraId="1F0C5398" w14:textId="77777777" w:rsidR="00301123" w:rsidRDefault="00301123" w:rsidP="00301123">
      <w:pPr>
        <w:jc w:val="both"/>
        <w:rPr>
          <w:rFonts w:cstheme="minorHAnsi"/>
        </w:rPr>
      </w:pPr>
      <w:r w:rsidRPr="00D11BED">
        <w:rPr>
          <w:rFonts w:cstheme="minorHAnsi"/>
        </w:rPr>
        <w:t>The lack of the control on the residential environment leads to the socio-economic problems for the households</w:t>
      </w:r>
      <w:r>
        <w:rPr>
          <w:rFonts w:cstheme="minorHAnsi"/>
        </w:rPr>
        <w:t xml:space="preserve"> and the individuals exposed to it</w:t>
      </w:r>
      <w:r w:rsidRPr="00D11BED">
        <w:rPr>
          <w:rFonts w:cstheme="minorHAnsi"/>
        </w:rPr>
        <w:t xml:space="preserve">. </w:t>
      </w:r>
    </w:p>
    <w:p w14:paraId="36EFACEF" w14:textId="77777777" w:rsidR="00301123" w:rsidRDefault="00301123" w:rsidP="00301123">
      <w:pPr>
        <w:jc w:val="both"/>
        <w:rPr>
          <w:rFonts w:cstheme="minorHAnsi"/>
          <w:lang w:val="en-GB"/>
        </w:rPr>
      </w:pPr>
      <w:r>
        <w:rPr>
          <w:rFonts w:cstheme="minorHAnsi"/>
        </w:rPr>
        <w:t>Living in an unstable housing environment can cause significant physical and mental health problems (</w:t>
      </w:r>
      <w:r>
        <w:rPr>
          <w:rFonts w:cstheme="minorHAnsi"/>
          <w:lang w:val="en-GB"/>
        </w:rPr>
        <w:t xml:space="preserve">O’Flaherty, 2019). Other accompanying factors such as loss of job, physical health shocks, destroying of social relationships can also have an influence on the psychological problems of the homeless person. </w:t>
      </w:r>
    </w:p>
    <w:p w14:paraId="23CA27F0" w14:textId="77777777" w:rsidR="00301123" w:rsidRDefault="00301123" w:rsidP="00301123">
      <w:pPr>
        <w:jc w:val="both"/>
        <w:rPr>
          <w:rFonts w:cstheme="minorHAnsi"/>
        </w:rPr>
      </w:pPr>
      <w:r>
        <w:rPr>
          <w:rFonts w:cstheme="minorHAnsi"/>
        </w:rPr>
        <w:t xml:space="preserve">Individuals experiencing living in inadequate or unfit conditions often suffer from deteriorated health, because they might live in the houses without proper heating, or with inappropriate walls and floor. </w:t>
      </w:r>
      <w:r>
        <w:rPr>
          <w:rFonts w:cstheme="minorHAnsi"/>
        </w:rPr>
        <w:lastRenderedPageBreak/>
        <w:t>Health problems for those spending nights in outside public spaces can become even worth. On one hand, this group of people do not have proper living conditions, on the other hand, they do not have funds to take care on health problems. Furthermore, living in open air and do not have permanent address restricts them from getting social assistance, use public health insurance and etc.  Stress associated with the frequent movements and/or living in inadequate conditions also can significantly deteriorate the mental health of the homeless person. Moreover, living in physically insecure environment can also be a reason of increased crime rates, because living in open space increases the risk of being attacked, robbed and etc.</w:t>
      </w:r>
      <w:r>
        <w:rPr>
          <w:rFonts w:ascii="Sylfaen" w:hAnsi="Sylfaen" w:cstheme="minorHAnsi"/>
          <w:lang w:val="ka-GE"/>
        </w:rPr>
        <w:t xml:space="preserve"> </w:t>
      </w:r>
      <w:sdt>
        <w:sdtPr>
          <w:rPr>
            <w:rFonts w:cstheme="minorHAnsi"/>
            <w:lang w:val="ka-GE"/>
          </w:rPr>
          <w:id w:val="-626015290"/>
          <w:citation/>
        </w:sdtPr>
        <w:sdtEndPr/>
        <w:sdtContent>
          <w:r w:rsidRPr="00D74D8C">
            <w:rPr>
              <w:rFonts w:cstheme="minorHAnsi"/>
              <w:lang w:val="ka-GE"/>
            </w:rPr>
            <w:fldChar w:fldCharType="begin"/>
          </w:r>
          <w:r w:rsidRPr="00D74D8C">
            <w:rPr>
              <w:rFonts w:cstheme="minorHAnsi"/>
              <w:lang w:val="en-GB"/>
            </w:rPr>
            <w:instrText xml:space="preserve"> CITATION NSw18 \l 2057 </w:instrText>
          </w:r>
          <w:r w:rsidRPr="00D74D8C">
            <w:rPr>
              <w:rFonts w:cstheme="minorHAnsi"/>
              <w:lang w:val="ka-GE"/>
            </w:rPr>
            <w:fldChar w:fldCharType="separate"/>
          </w:r>
          <w:r w:rsidRPr="0060317C">
            <w:rPr>
              <w:rFonts w:cstheme="minorHAnsi"/>
              <w:noProof/>
              <w:lang w:val="en-GB"/>
            </w:rPr>
            <w:t>(Swami, 2018)</w:t>
          </w:r>
          <w:r w:rsidRPr="00D74D8C">
            <w:rPr>
              <w:rFonts w:cstheme="minorHAnsi"/>
              <w:lang w:val="ka-GE"/>
            </w:rPr>
            <w:fldChar w:fldCharType="end"/>
          </w:r>
        </w:sdtContent>
      </w:sdt>
      <w:r w:rsidRPr="00D74D8C">
        <w:rPr>
          <w:rFonts w:cstheme="minorHAnsi"/>
          <w:lang w:val="en-GB"/>
        </w:rPr>
        <w:t>.</w:t>
      </w:r>
    </w:p>
    <w:p w14:paraId="1D6AF73C" w14:textId="77777777" w:rsidR="00301123" w:rsidRDefault="00301123" w:rsidP="00301123">
      <w:pPr>
        <w:jc w:val="both"/>
        <w:rPr>
          <w:rFonts w:cstheme="minorHAnsi"/>
        </w:rPr>
      </w:pPr>
      <w:r>
        <w:rPr>
          <w:rFonts w:cstheme="minorHAnsi"/>
        </w:rPr>
        <w:t xml:space="preserve">In addition, frequent movements and living in inadequate conditions (including living in overcrowded and unfit housing conditions) significantly deteriorates education outcomes of the kids. Firstly, kids do not have proper learning environment at home (including access to the basic study materials), in addition, if they experience frequent movements it can be associated with rapid changes of the schools, and adaptation with new teachers, classmates and environment can also hinder the children learning outcomes </w:t>
      </w:r>
      <w:sdt>
        <w:sdtPr>
          <w:rPr>
            <w:rFonts w:cstheme="minorHAnsi"/>
          </w:rPr>
          <w:id w:val="-132952013"/>
          <w:citation/>
        </w:sdtPr>
        <w:sdtEndPr/>
        <w:sdtContent>
          <w:r>
            <w:rPr>
              <w:rFonts w:cstheme="minorHAnsi"/>
            </w:rPr>
            <w:fldChar w:fldCharType="begin"/>
          </w:r>
          <w:r>
            <w:rPr>
              <w:rFonts w:cstheme="minorHAnsi"/>
              <w:lang w:val="en-GB"/>
            </w:rPr>
            <w:instrText xml:space="preserve"> CITATION She03 \l 2057 </w:instrText>
          </w:r>
          <w:r>
            <w:rPr>
              <w:rFonts w:cstheme="minorHAnsi"/>
            </w:rPr>
            <w:fldChar w:fldCharType="separate"/>
          </w:r>
          <w:r w:rsidRPr="0060317C">
            <w:rPr>
              <w:rFonts w:cstheme="minorHAnsi"/>
              <w:noProof/>
              <w:lang w:val="en-GB"/>
            </w:rPr>
            <w:t>(Crowley, The Affordable Housing Crisis: Residential Mobility of Poor Families and School Mobility of Poor Children , 2003)</w:t>
          </w:r>
          <w:r>
            <w:rPr>
              <w:rFonts w:cstheme="minorHAnsi"/>
            </w:rPr>
            <w:fldChar w:fldCharType="end"/>
          </w:r>
        </w:sdtContent>
      </w:sdt>
      <w:r>
        <w:rPr>
          <w:rFonts w:cstheme="minorHAnsi"/>
        </w:rPr>
        <w:t>.</w:t>
      </w:r>
    </w:p>
    <w:p w14:paraId="2B9B727E" w14:textId="77777777" w:rsidR="00301123" w:rsidRDefault="00301123" w:rsidP="00301123">
      <w:pPr>
        <w:jc w:val="both"/>
        <w:rPr>
          <w:rFonts w:cstheme="minorHAnsi"/>
        </w:rPr>
      </w:pPr>
      <w:r>
        <w:rPr>
          <w:rFonts w:cstheme="minorHAnsi"/>
        </w:rPr>
        <w:t>Due to the fact that homelessness often causes deterioration of health and education outcomes it ca</w:t>
      </w:r>
      <w:r w:rsidRPr="00D11BED">
        <w:rPr>
          <w:rFonts w:cstheme="minorHAnsi"/>
        </w:rPr>
        <w:t>n become a reason of labor</w:t>
      </w:r>
      <w:r>
        <w:rPr>
          <w:rFonts w:cstheme="minorHAnsi"/>
        </w:rPr>
        <w:t xml:space="preserve"> market</w:t>
      </w:r>
      <w:r w:rsidRPr="00D11BED">
        <w:rPr>
          <w:rFonts w:cstheme="minorHAnsi"/>
        </w:rPr>
        <w:t xml:space="preserve"> discrimination – homeless people are sometimes rejected to get a job or even might be fired in case they lose a shelter. Such attitude worsens the socio-economic situation of vulnerable groups</w:t>
      </w:r>
      <w:r>
        <w:rPr>
          <w:rFonts w:cstheme="minorHAnsi"/>
        </w:rPr>
        <w:t xml:space="preserve"> </w:t>
      </w:r>
      <w:sdt>
        <w:sdtPr>
          <w:rPr>
            <w:rFonts w:cstheme="minorHAnsi"/>
          </w:rPr>
          <w:id w:val="1690409215"/>
          <w:citation/>
        </w:sdtPr>
        <w:sdtEndPr/>
        <w:sdtContent>
          <w:r>
            <w:rPr>
              <w:rFonts w:cstheme="minorHAnsi"/>
            </w:rPr>
            <w:fldChar w:fldCharType="begin"/>
          </w:r>
          <w:r>
            <w:rPr>
              <w:rFonts w:cstheme="minorHAnsi"/>
              <w:lang w:val="en-GB"/>
            </w:rPr>
            <w:instrText xml:space="preserve">CITATION Hum16 \l 2057 </w:instrText>
          </w:r>
          <w:r>
            <w:rPr>
              <w:rFonts w:cstheme="minorHAnsi"/>
            </w:rPr>
            <w:fldChar w:fldCharType="separate"/>
          </w:r>
          <w:r w:rsidRPr="00D74D8C">
            <w:rPr>
              <w:rFonts w:cstheme="minorHAnsi"/>
              <w:noProof/>
              <w:lang w:val="en-GB"/>
            </w:rPr>
            <w:t>(Human Rights Education and Monitoring Center, 2016)</w:t>
          </w:r>
          <w:r>
            <w:rPr>
              <w:rFonts w:cstheme="minorHAnsi"/>
            </w:rPr>
            <w:fldChar w:fldCharType="end"/>
          </w:r>
        </w:sdtContent>
      </w:sdt>
      <w:r>
        <w:rPr>
          <w:rFonts w:cstheme="minorHAnsi"/>
        </w:rPr>
        <w:t>.</w:t>
      </w:r>
      <w:r w:rsidRPr="00D11BED">
        <w:rPr>
          <w:rFonts w:cstheme="minorHAnsi"/>
        </w:rPr>
        <w:t xml:space="preserve"> </w:t>
      </w:r>
    </w:p>
    <w:p w14:paraId="0584205F" w14:textId="77777777" w:rsidR="00301123" w:rsidRPr="003D38DD" w:rsidRDefault="00301123" w:rsidP="00301123">
      <w:pPr>
        <w:jc w:val="both"/>
      </w:pPr>
      <w:r>
        <w:rPr>
          <w:rFonts w:cstheme="minorHAnsi"/>
          <w:lang w:val="en-GB"/>
        </w:rPr>
        <w:t xml:space="preserve">Being a homeless (or live in an inadequate housing conditions) can have a significant effect on the job market outcomes in several dimensions. Firstly, lack of social connections and inconvenient living location can make finding a job difficult for homeless people. If a person is grown up in unstable housing conditions (including being roofless, or live in unfit housing conditions) this can lead to low education and health outcomes. These can have two negative impacts: increased cost of job search and lower offered wage. Factors associated with homelessness, such as high level on mental and physical stress, frequent moves, living in unfit housing in inconvenient locations can harm the productivity of worker and negatively effect on the retaining of job </w:t>
      </w:r>
      <w:sdt>
        <w:sdtPr>
          <w:rPr>
            <w:rFonts w:cstheme="minorHAnsi"/>
            <w:lang w:val="en-GB"/>
          </w:rPr>
          <w:id w:val="1658493204"/>
          <w:citation/>
        </w:sdtPr>
        <w:sdtEndPr/>
        <w:sdtContent>
          <w:r>
            <w:rPr>
              <w:rFonts w:cstheme="minorHAnsi"/>
              <w:lang w:val="en-GB"/>
            </w:rPr>
            <w:fldChar w:fldCharType="begin"/>
          </w:r>
          <w:r>
            <w:rPr>
              <w:rFonts w:cstheme="minorHAnsi"/>
              <w:lang w:val="en-GB"/>
            </w:rPr>
            <w:instrText xml:space="preserve"> CITATION NSw18 \l 2057 </w:instrText>
          </w:r>
          <w:r>
            <w:rPr>
              <w:rFonts w:cstheme="minorHAnsi"/>
              <w:lang w:val="en-GB"/>
            </w:rPr>
            <w:fldChar w:fldCharType="separate"/>
          </w:r>
          <w:r w:rsidRPr="0060317C">
            <w:rPr>
              <w:rFonts w:cstheme="minorHAnsi"/>
              <w:noProof/>
              <w:lang w:val="en-GB"/>
            </w:rPr>
            <w:t>(Swami, 2018)</w:t>
          </w:r>
          <w:r>
            <w:rPr>
              <w:rFonts w:cstheme="minorHAnsi"/>
              <w:lang w:val="en-GB"/>
            </w:rPr>
            <w:fldChar w:fldCharType="end"/>
          </w:r>
        </w:sdtContent>
      </w:sdt>
      <w:r>
        <w:rPr>
          <w:rFonts w:cstheme="minorHAnsi"/>
          <w:lang w:val="en-GB"/>
        </w:rPr>
        <w:t xml:space="preserve">. </w:t>
      </w:r>
    </w:p>
    <w:p w14:paraId="38DA92C3" w14:textId="77777777" w:rsidR="00301123" w:rsidRDefault="00301123" w:rsidP="00301123">
      <w:pPr>
        <w:jc w:val="both"/>
        <w:rPr>
          <w:rFonts w:cstheme="minorHAnsi"/>
        </w:rPr>
      </w:pPr>
      <w:r>
        <w:rPr>
          <w:rFonts w:cstheme="minorHAnsi"/>
        </w:rPr>
        <w:t>Homeless people living in disadvantageous conditions promotes higher income inequality in the society. Having lower access to the labor market and lower productivity (caused by poor living conditions) gives unequal opportunities to the ones living in stable and unstable housing environments. Furthermore, being a homeless (not officially registered in any municipality) hinders homeless people to get benefits from public services, such as municipal shelter services, monthly social assistance from the government, etc.</w:t>
      </w:r>
    </w:p>
    <w:p w14:paraId="343D09CC" w14:textId="77777777" w:rsidR="00301123" w:rsidRDefault="00301123" w:rsidP="00301123">
      <w:pPr>
        <w:jc w:val="both"/>
        <w:rPr>
          <w:rFonts w:cstheme="minorHAnsi"/>
        </w:rPr>
      </w:pPr>
      <w:r>
        <w:rPr>
          <w:rFonts w:cstheme="minorHAnsi"/>
        </w:rPr>
        <w:t>This is strictly related to another problem that homeless people face, social exclusion</w:t>
      </w:r>
      <w:r>
        <w:rPr>
          <w:rStyle w:val="FootnoteReference"/>
          <w:rFonts w:cstheme="minorHAnsi"/>
        </w:rPr>
        <w:footnoteReference w:id="17"/>
      </w:r>
      <w:r>
        <w:rPr>
          <w:rFonts w:cstheme="minorHAnsi"/>
        </w:rPr>
        <w:t>. According to the studies on homelessness problems in Georgia</w:t>
      </w:r>
      <w:sdt>
        <w:sdtPr>
          <w:rPr>
            <w:rFonts w:cstheme="minorHAnsi"/>
          </w:rPr>
          <w:id w:val="-1103185639"/>
          <w:citation/>
        </w:sdtPr>
        <w:sdtEndPr/>
        <w:sdtContent>
          <w:r>
            <w:rPr>
              <w:rFonts w:cstheme="minorHAnsi"/>
            </w:rPr>
            <w:fldChar w:fldCharType="begin"/>
          </w:r>
          <w:r>
            <w:rPr>
              <w:rFonts w:cstheme="minorHAnsi"/>
              <w:lang w:val="en-GB"/>
            </w:rPr>
            <w:instrText xml:space="preserve">CITATION Wor15 \m Hum16 \l 2057 </w:instrText>
          </w:r>
          <w:r>
            <w:rPr>
              <w:rFonts w:cstheme="minorHAnsi"/>
            </w:rPr>
            <w:fldChar w:fldCharType="separate"/>
          </w:r>
          <w:r>
            <w:rPr>
              <w:rFonts w:cstheme="minorHAnsi"/>
              <w:noProof/>
              <w:lang w:val="en-GB"/>
            </w:rPr>
            <w:t xml:space="preserve"> </w:t>
          </w:r>
          <w:r w:rsidRPr="00D74D8C">
            <w:rPr>
              <w:rFonts w:cstheme="minorHAnsi"/>
              <w:noProof/>
              <w:lang w:val="en-GB"/>
            </w:rPr>
            <w:t xml:space="preserve">(World Bank, 2015; Human Rights Education and </w:t>
          </w:r>
          <w:r w:rsidRPr="00D74D8C">
            <w:rPr>
              <w:rFonts w:cstheme="minorHAnsi"/>
              <w:noProof/>
              <w:lang w:val="en-GB"/>
            </w:rPr>
            <w:lastRenderedPageBreak/>
            <w:t>Monitoring Center, 2016)</w:t>
          </w:r>
          <w:r>
            <w:rPr>
              <w:rFonts w:cstheme="minorHAnsi"/>
            </w:rPr>
            <w:fldChar w:fldCharType="end"/>
          </w:r>
        </w:sdtContent>
      </w:sdt>
      <w:r>
        <w:rPr>
          <w:rFonts w:cstheme="minorHAnsi"/>
        </w:rPr>
        <w:t xml:space="preserve"> vulnerable groups of people are often stigmatized by the rest of the society, which leads to the lack of the social connections (which itself limits the probability of being employed). </w:t>
      </w:r>
    </w:p>
    <w:p w14:paraId="24ADB17A" w14:textId="77777777" w:rsidR="00301123" w:rsidRDefault="00301123" w:rsidP="00301123">
      <w:pPr>
        <w:jc w:val="both"/>
        <w:rPr>
          <w:rFonts w:cstheme="minorHAnsi"/>
          <w:lang w:val="en-GB"/>
        </w:rPr>
      </w:pPr>
      <w:r>
        <w:rPr>
          <w:rFonts w:cstheme="minorHAnsi"/>
          <w:lang w:val="en-GB"/>
        </w:rPr>
        <w:t xml:space="preserve">Unstable housing conditions, particularly associated with housing unaffordability, can also cause high concentration of low-income households in poor areas, which can undermine social cohesion and community bonds and increase levels of crime and anti-social behaviour </w:t>
      </w:r>
      <w:sdt>
        <w:sdtPr>
          <w:rPr>
            <w:rFonts w:cstheme="minorHAnsi"/>
            <w:lang w:val="en-GB"/>
          </w:rPr>
          <w:id w:val="1435624988"/>
          <w:citation/>
        </w:sdtPr>
        <w:sdtEndPr/>
        <w:sdtContent>
          <w:r>
            <w:rPr>
              <w:rFonts w:cstheme="minorHAnsi"/>
              <w:lang w:val="en-GB"/>
            </w:rPr>
            <w:fldChar w:fldCharType="begin"/>
          </w:r>
          <w:r>
            <w:rPr>
              <w:rFonts w:cstheme="minorHAnsi"/>
              <w:lang w:val="en-GB"/>
            </w:rPr>
            <w:instrText xml:space="preserve"> CITATION She03 \l 2057 </w:instrText>
          </w:r>
          <w:r>
            <w:rPr>
              <w:rFonts w:cstheme="minorHAnsi"/>
              <w:lang w:val="en-GB"/>
            </w:rPr>
            <w:fldChar w:fldCharType="separate"/>
          </w:r>
          <w:r w:rsidRPr="0060317C">
            <w:rPr>
              <w:rFonts w:cstheme="minorHAnsi"/>
              <w:noProof/>
              <w:lang w:val="en-GB"/>
            </w:rPr>
            <w:t>(Crowley, The Affordable Housing Crisis: Residential Mobility of Poor Families and School Mobility of Poor Children , 2003)</w:t>
          </w:r>
          <w:r>
            <w:rPr>
              <w:rFonts w:cstheme="minorHAnsi"/>
              <w:lang w:val="en-GB"/>
            </w:rPr>
            <w:fldChar w:fldCharType="end"/>
          </w:r>
        </w:sdtContent>
      </w:sdt>
      <w:r>
        <w:rPr>
          <w:rFonts w:cstheme="minorHAnsi"/>
          <w:lang w:val="en-GB"/>
        </w:rPr>
        <w:t xml:space="preserve">. </w:t>
      </w:r>
    </w:p>
    <w:p w14:paraId="367E4B0B" w14:textId="77777777" w:rsidR="00301123" w:rsidRDefault="00301123" w:rsidP="00301123">
      <w:pPr>
        <w:jc w:val="both"/>
      </w:pPr>
      <w:r>
        <w:t xml:space="preserve">In addition, </w:t>
      </w:r>
      <w:r>
        <w:rPr>
          <w:lang w:val="en-GB"/>
        </w:rPr>
        <w:t xml:space="preserve">housing unaffordability and the associated unstable housing (particularly the need to live in unfit housing) can </w:t>
      </w:r>
      <w:r>
        <w:t xml:space="preserve">also lead to an increase in </w:t>
      </w:r>
      <w:r w:rsidRPr="00D11BED">
        <w:t>energy expenditures</w:t>
      </w:r>
      <w:r w:rsidRPr="000846E0">
        <w:rPr>
          <w:lang w:val="en-GB"/>
        </w:rPr>
        <w:t xml:space="preserve"> </w:t>
      </w:r>
      <w:r>
        <w:rPr>
          <w:lang w:val="en-GB"/>
        </w:rPr>
        <w:t xml:space="preserve">and inhibit the progress towards more environmentally sustainable and healthier dwellings. When families cannot afford investments in environmentally friendly technologies, such as </w:t>
      </w:r>
      <w:r>
        <w:t xml:space="preserve">re-use </w:t>
      </w:r>
      <w:r w:rsidRPr="004E13DB">
        <w:t>of grey water, greater use of energy rated buildin</w:t>
      </w:r>
      <w:r>
        <w:t xml:space="preserve">g material and appliances, more </w:t>
      </w:r>
      <w:r w:rsidRPr="004E13DB">
        <w:t>efficient use of insulation</w:t>
      </w:r>
      <w:r>
        <w:t xml:space="preserve"> and etc.</w:t>
      </w:r>
      <w:sdt>
        <w:sdtPr>
          <w:id w:val="-1575890348"/>
          <w:citation/>
        </w:sdtPr>
        <w:sdtEndPr/>
        <w:sdtContent>
          <w:r>
            <w:fldChar w:fldCharType="begin"/>
          </w:r>
          <w:r>
            <w:rPr>
              <w:lang w:val="en-GB"/>
            </w:rPr>
            <w:instrText xml:space="preserve"> CITATION Eli07 \l 2057 </w:instrText>
          </w:r>
          <w:r>
            <w:fldChar w:fldCharType="separate"/>
          </w:r>
          <w:r>
            <w:rPr>
              <w:noProof/>
              <w:lang w:val="en-GB"/>
            </w:rPr>
            <w:t xml:space="preserve"> (Elizabeth J. Muller, 2007)</w:t>
          </w:r>
          <w:r>
            <w:fldChar w:fldCharType="end"/>
          </w:r>
        </w:sdtContent>
      </w:sdt>
      <w:r>
        <w:t xml:space="preserve"> they might be forced to use cheaper heating materials, such as</w:t>
      </w:r>
      <w:r w:rsidRPr="00D11BED">
        <w:t xml:space="preserve"> wood or plastic materials, which negatively effects on their health as well as on the environment. </w:t>
      </w:r>
      <w:bookmarkStart w:id="11" w:name="_Hlk20230256"/>
    </w:p>
    <w:p w14:paraId="2611C7E7" w14:textId="77777777" w:rsidR="00301123" w:rsidRDefault="00301123" w:rsidP="00301123">
      <w:pPr>
        <w:jc w:val="both"/>
      </w:pPr>
    </w:p>
    <w:p w14:paraId="132EB9C5" w14:textId="77777777" w:rsidR="00301123" w:rsidRPr="004076AD" w:rsidRDefault="00301123" w:rsidP="00301123">
      <w:pPr>
        <w:pStyle w:val="Heading3"/>
        <w:rPr>
          <w:b/>
          <w:color w:val="002060"/>
          <w:lang w:val="en-GB"/>
        </w:rPr>
      </w:pPr>
      <w:bookmarkStart w:id="12" w:name="_Toc28010443"/>
      <w:r w:rsidRPr="004076AD">
        <w:rPr>
          <w:b/>
          <w:color w:val="002060"/>
          <w:lang w:val="en-GB"/>
        </w:rPr>
        <w:t>Determinants of Unstable Housing</w:t>
      </w:r>
      <w:bookmarkEnd w:id="12"/>
    </w:p>
    <w:p w14:paraId="02996DAC" w14:textId="77777777" w:rsidR="00301123" w:rsidRPr="003C195A" w:rsidRDefault="00301123" w:rsidP="00301123">
      <w:pPr>
        <w:rPr>
          <w:lang w:val="en-GB"/>
        </w:rPr>
      </w:pPr>
    </w:p>
    <w:p w14:paraId="53110E50" w14:textId="77777777" w:rsidR="00301123" w:rsidRDefault="00301123" w:rsidP="00301123">
      <w:pPr>
        <w:jc w:val="both"/>
        <w:rPr>
          <w:rFonts w:cstheme="minorHAnsi"/>
          <w:lang w:val="en-GB"/>
        </w:rPr>
      </w:pPr>
      <w:r>
        <w:rPr>
          <w:rFonts w:cstheme="minorHAnsi"/>
          <w:lang w:val="en-GB"/>
        </w:rPr>
        <w:t xml:space="preserve">According to the existing literature, several factors can be assigned as a determinant of unstable housing. </w:t>
      </w:r>
    </w:p>
    <w:p w14:paraId="505F010F" w14:textId="77777777" w:rsidR="00301123" w:rsidRPr="006066AB" w:rsidRDefault="00301123" w:rsidP="00301123">
      <w:pPr>
        <w:jc w:val="both"/>
        <w:rPr>
          <w:rFonts w:cstheme="minorHAnsi"/>
          <w:b/>
          <w:bCs/>
          <w:lang w:val="en-GB"/>
        </w:rPr>
      </w:pPr>
      <w:r w:rsidRPr="006066AB">
        <w:rPr>
          <w:rFonts w:cstheme="minorHAnsi"/>
          <w:b/>
          <w:bCs/>
          <w:lang w:val="en-GB"/>
        </w:rPr>
        <w:t xml:space="preserve">Housing </w:t>
      </w:r>
      <w:r>
        <w:rPr>
          <w:rFonts w:cstheme="minorHAnsi"/>
          <w:b/>
          <w:bCs/>
          <w:lang w:val="en-GB"/>
        </w:rPr>
        <w:t>un</w:t>
      </w:r>
      <w:r w:rsidRPr="006066AB">
        <w:rPr>
          <w:rFonts w:cstheme="minorHAnsi"/>
          <w:b/>
          <w:bCs/>
          <w:lang w:val="en-GB"/>
        </w:rPr>
        <w:t>affordability</w:t>
      </w:r>
      <w:r>
        <w:rPr>
          <w:rFonts w:cstheme="minorHAnsi"/>
          <w:b/>
          <w:bCs/>
          <w:lang w:val="en-GB"/>
        </w:rPr>
        <w:t xml:space="preserve"> and unavailability</w:t>
      </w:r>
    </w:p>
    <w:p w14:paraId="67B87FCD" w14:textId="77777777" w:rsidR="00301123" w:rsidRDefault="00301123" w:rsidP="00301123">
      <w:pPr>
        <w:jc w:val="both"/>
        <w:rPr>
          <w:rFonts w:cstheme="minorHAnsi"/>
          <w:lang w:val="en-GB"/>
        </w:rPr>
      </w:pPr>
      <w:r>
        <w:rPr>
          <w:rFonts w:cstheme="minorHAnsi"/>
          <w:lang w:val="en-GB"/>
        </w:rPr>
        <w:t xml:space="preserve">Two of the main determinants of unstable housing are the affordability and the availability of housing. These two dimensions are so strictly interrelated that are better considered jointly. As a matter of fact, the lack of available houses pushes up housing prices, making them less affordable for the poorer segments of the population. For this reason, in this discussion </w:t>
      </w:r>
      <w:r w:rsidRPr="00BF4E38">
        <w:rPr>
          <w:rFonts w:cstheme="minorHAnsi"/>
          <w:lang w:val="en-GB"/>
        </w:rPr>
        <w:t xml:space="preserve">the special </w:t>
      </w:r>
      <w:r>
        <w:rPr>
          <w:rFonts w:cstheme="minorHAnsi"/>
          <w:lang w:val="en-GB"/>
        </w:rPr>
        <w:t>focus will be on unaffordability.</w:t>
      </w:r>
    </w:p>
    <w:p w14:paraId="2C0BD622" w14:textId="77777777" w:rsidR="00301123" w:rsidRDefault="00301123" w:rsidP="00301123">
      <w:pPr>
        <w:jc w:val="both"/>
        <w:rPr>
          <w:rFonts w:cstheme="minorHAnsi"/>
          <w:lang w:val="en-GB"/>
        </w:rPr>
      </w:pPr>
      <w:r>
        <w:rPr>
          <w:rFonts w:cstheme="minorHAnsi"/>
          <w:lang w:val="en-GB"/>
        </w:rPr>
        <w:t>The literature defines housing affordability as the ratio of income to house prices or the proportion of income to mortgage payment or rent</w:t>
      </w:r>
      <w:sdt>
        <w:sdtPr>
          <w:rPr>
            <w:rFonts w:cstheme="minorHAnsi"/>
            <w:lang w:val="en-GB"/>
          </w:rPr>
          <w:id w:val="-1569566333"/>
          <w:citation/>
        </w:sdtPr>
        <w:sdtEndPr/>
        <w:sdtContent>
          <w:r>
            <w:rPr>
              <w:rFonts w:cstheme="minorHAnsi"/>
              <w:lang w:val="en-GB"/>
            </w:rPr>
            <w:fldChar w:fldCharType="begin"/>
          </w:r>
          <w:r>
            <w:rPr>
              <w:rFonts w:cstheme="minorHAnsi"/>
              <w:lang w:val="en-GB"/>
            </w:rPr>
            <w:instrText xml:space="preserve">CITATION JAn \l 2057 </w:instrText>
          </w:r>
          <w:r>
            <w:rPr>
              <w:rFonts w:cstheme="minorHAnsi"/>
              <w:lang w:val="en-GB"/>
            </w:rPr>
            <w:fldChar w:fldCharType="separate"/>
          </w:r>
          <w:r>
            <w:rPr>
              <w:rFonts w:cstheme="minorHAnsi"/>
              <w:noProof/>
              <w:lang w:val="en-GB"/>
            </w:rPr>
            <w:t xml:space="preserve"> </w:t>
          </w:r>
          <w:r w:rsidRPr="0060317C">
            <w:rPr>
              <w:rFonts w:cstheme="minorHAnsi"/>
              <w:noProof/>
              <w:lang w:val="en-GB"/>
            </w:rPr>
            <w:t>(Anthony, 2018)</w:t>
          </w:r>
          <w:r>
            <w:rPr>
              <w:rFonts w:cstheme="minorHAnsi"/>
              <w:lang w:val="en-GB"/>
            </w:rPr>
            <w:fldChar w:fldCharType="end"/>
          </w:r>
        </w:sdtContent>
      </w:sdt>
      <w:r>
        <w:rPr>
          <w:rFonts w:cstheme="minorHAnsi"/>
          <w:lang w:val="en-GB"/>
        </w:rPr>
        <w:t xml:space="preserve">. Accordingly, if a household spends more than 30% of their income on housing for mortgage service or rent payment, it is considered to be facing the problem of housing unaffordability. </w:t>
      </w:r>
      <w:r>
        <w:rPr>
          <w:rFonts w:cstheme="minorHAnsi"/>
        </w:rPr>
        <w:t>Unaffordability can be a result of the low income of the household or high prices of the existing housing stock. According to the statistics provided by Eurostat</w:t>
      </w:r>
      <w:r>
        <w:rPr>
          <w:rStyle w:val="FootnoteReference"/>
          <w:rFonts w:cstheme="minorHAnsi"/>
        </w:rPr>
        <w:footnoteReference w:id="18"/>
      </w:r>
      <w:r>
        <w:rPr>
          <w:rFonts w:cstheme="minorHAnsi"/>
        </w:rPr>
        <w:t>, 10% of the EU population spend approximately 30% of their disposal income on housing</w:t>
      </w:r>
      <w:r>
        <w:rPr>
          <w:rFonts w:cstheme="minorHAnsi"/>
          <w:lang w:val="ka-GE"/>
        </w:rPr>
        <w:t>,</w:t>
      </w:r>
      <w:r>
        <w:rPr>
          <w:rFonts w:cstheme="minorHAnsi"/>
          <w:lang w:val="en-GB"/>
        </w:rPr>
        <w:t xml:space="preserve"> and considered as unaffordable housing</w:t>
      </w:r>
      <w:r>
        <w:rPr>
          <w:rFonts w:cstheme="minorHAnsi"/>
        </w:rPr>
        <w:t xml:space="preserve">. Notably, households, which are renting houses at market price are tend to pay </w:t>
      </w:r>
      <w:r>
        <w:rPr>
          <w:rFonts w:cstheme="minorHAnsi"/>
        </w:rPr>
        <w:lastRenderedPageBreak/>
        <w:t xml:space="preserve">higher share of their income on housing than those who pay monthly mortgage loan payments. </w:t>
      </w:r>
      <w:r>
        <w:rPr>
          <w:rFonts w:cstheme="minorHAnsi"/>
          <w:lang w:val="en-GB"/>
        </w:rPr>
        <w:t xml:space="preserve">The lack of housing affordability can cause broader problems, such as housing insecurity. If the housing cost burden is high for a household, it will tend to move frequently and to be more likely delinquent on its mortgage payments, and to be a subject of eviction. </w:t>
      </w:r>
    </w:p>
    <w:p w14:paraId="5D229717" w14:textId="77777777" w:rsidR="00301123" w:rsidRDefault="00301123" w:rsidP="00301123">
      <w:pPr>
        <w:jc w:val="both"/>
        <w:rPr>
          <w:rFonts w:cstheme="minorHAnsi"/>
        </w:rPr>
      </w:pPr>
      <w:r>
        <w:rPr>
          <w:rFonts w:cstheme="minorHAnsi"/>
        </w:rPr>
        <w:t>Beyond the high cost of acquiring the ownership of an adequate housing space, housing affordability (in a broader sense) refers to all</w:t>
      </w:r>
      <w:r w:rsidRPr="00D11BED">
        <w:rPr>
          <w:rFonts w:cstheme="minorHAnsi"/>
        </w:rPr>
        <w:t xml:space="preserve"> situation</w:t>
      </w:r>
      <w:r>
        <w:rPr>
          <w:rFonts w:cstheme="minorHAnsi"/>
        </w:rPr>
        <w:t>s in which</w:t>
      </w:r>
      <w:r w:rsidRPr="00D11BED">
        <w:rPr>
          <w:rFonts w:cstheme="minorHAnsi"/>
        </w:rPr>
        <w:t xml:space="preserve"> expenditures</w:t>
      </w:r>
      <w:r>
        <w:rPr>
          <w:rFonts w:cstheme="minorHAnsi"/>
        </w:rPr>
        <w:t xml:space="preserve"> to ensure</w:t>
      </w:r>
      <w:r w:rsidRPr="00D11BED">
        <w:rPr>
          <w:rFonts w:cstheme="minorHAnsi"/>
        </w:rPr>
        <w:t xml:space="preserve"> adequate housing</w:t>
      </w:r>
      <w:r>
        <w:rPr>
          <w:rStyle w:val="FootnoteReference"/>
          <w:rFonts w:cstheme="minorHAnsi"/>
        </w:rPr>
        <w:footnoteReference w:id="19"/>
      </w:r>
      <w:r>
        <w:rPr>
          <w:rFonts w:cstheme="minorHAnsi"/>
        </w:rPr>
        <w:t xml:space="preserve"> </w:t>
      </w:r>
      <w:r w:rsidRPr="00D11BED">
        <w:rPr>
          <w:rFonts w:cstheme="minorHAnsi"/>
        </w:rPr>
        <w:t xml:space="preserve">leaves </w:t>
      </w:r>
      <w:r>
        <w:rPr>
          <w:rFonts w:cstheme="minorHAnsi"/>
        </w:rPr>
        <w:t xml:space="preserve">a </w:t>
      </w:r>
      <w:r w:rsidRPr="00D11BED">
        <w:rPr>
          <w:rFonts w:cstheme="minorHAnsi"/>
        </w:rPr>
        <w:t xml:space="preserve">household with enough income </w:t>
      </w:r>
      <w:r>
        <w:rPr>
          <w:rFonts w:cstheme="minorHAnsi"/>
        </w:rPr>
        <w:t xml:space="preserve">left </w:t>
      </w:r>
      <w:r w:rsidRPr="00D11BED">
        <w:rPr>
          <w:rFonts w:cstheme="minorHAnsi"/>
        </w:rPr>
        <w:t>to pay for other expenses</w:t>
      </w:r>
      <w:sdt>
        <w:sdtPr>
          <w:rPr>
            <w:rFonts w:cstheme="minorHAnsi"/>
          </w:rPr>
          <w:id w:val="-94943153"/>
          <w:citation/>
        </w:sdtPr>
        <w:sdtEndPr/>
        <w:sdtContent>
          <w:r w:rsidRPr="00D11BED">
            <w:rPr>
              <w:rFonts w:cstheme="minorHAnsi"/>
            </w:rPr>
            <w:fldChar w:fldCharType="begin"/>
          </w:r>
          <w:r w:rsidRPr="00D11BED">
            <w:rPr>
              <w:rFonts w:cstheme="minorHAnsi"/>
            </w:rPr>
            <w:instrText xml:space="preserve"> CITATION Eco07 \l 1033 </w:instrText>
          </w:r>
          <w:r w:rsidRPr="00D11BED">
            <w:rPr>
              <w:rFonts w:cstheme="minorHAnsi"/>
            </w:rPr>
            <w:fldChar w:fldCharType="separate"/>
          </w:r>
          <w:r>
            <w:rPr>
              <w:rFonts w:cstheme="minorHAnsi"/>
              <w:noProof/>
            </w:rPr>
            <w:t xml:space="preserve"> </w:t>
          </w:r>
          <w:r w:rsidRPr="0060317C">
            <w:rPr>
              <w:rFonts w:cstheme="minorHAnsi"/>
              <w:noProof/>
            </w:rPr>
            <w:t>(Economic Commission for Europe, 2007)</w:t>
          </w:r>
          <w:r w:rsidRPr="00D11BED">
            <w:rPr>
              <w:rFonts w:cstheme="minorHAnsi"/>
            </w:rPr>
            <w:fldChar w:fldCharType="end"/>
          </w:r>
        </w:sdtContent>
      </w:sdt>
      <w:r w:rsidRPr="00D11BED">
        <w:rPr>
          <w:rFonts w:cstheme="minorHAnsi"/>
        </w:rPr>
        <w:t>.</w:t>
      </w:r>
      <w:r>
        <w:rPr>
          <w:rFonts w:cstheme="minorHAnsi"/>
        </w:rPr>
        <w:t xml:space="preserve">  </w:t>
      </w:r>
    </w:p>
    <w:p w14:paraId="130B24CD" w14:textId="77777777" w:rsidR="00301123" w:rsidRDefault="00301123" w:rsidP="00301123">
      <w:pPr>
        <w:jc w:val="both"/>
        <w:rPr>
          <w:rFonts w:cstheme="minorHAnsi"/>
          <w:lang w:val="en-GB"/>
        </w:rPr>
      </w:pPr>
      <w:r>
        <w:rPr>
          <w:rFonts w:cstheme="minorHAnsi"/>
          <w:lang w:val="en-GB"/>
        </w:rPr>
        <w:t>Unaffordability in the more restrictive sense can depend from a plurality of causes, among which:</w:t>
      </w:r>
    </w:p>
    <w:p w14:paraId="2D8F7EFA" w14:textId="77777777" w:rsidR="00301123" w:rsidRDefault="00301123" w:rsidP="00301123">
      <w:pPr>
        <w:pStyle w:val="ListParagraph"/>
        <w:numPr>
          <w:ilvl w:val="0"/>
          <w:numId w:val="15"/>
        </w:numPr>
        <w:jc w:val="both"/>
        <w:rPr>
          <w:rFonts w:cstheme="minorHAnsi"/>
          <w:lang w:val="en-GB"/>
        </w:rPr>
      </w:pPr>
      <w:r>
        <w:rPr>
          <w:rFonts w:cstheme="minorHAnsi"/>
          <w:lang w:val="en-GB"/>
        </w:rPr>
        <w:t>increased costs of construction inputs (for example due to a deterioration of the exchange rate, when inputs must be imported);</w:t>
      </w:r>
    </w:p>
    <w:p w14:paraId="750700A1" w14:textId="77777777" w:rsidR="00301123" w:rsidRDefault="00301123" w:rsidP="00301123">
      <w:pPr>
        <w:pStyle w:val="ListParagraph"/>
        <w:numPr>
          <w:ilvl w:val="0"/>
          <w:numId w:val="15"/>
        </w:numPr>
        <w:jc w:val="both"/>
        <w:rPr>
          <w:rFonts w:cstheme="minorHAnsi"/>
          <w:lang w:val="en-GB"/>
        </w:rPr>
      </w:pPr>
      <w:r>
        <w:rPr>
          <w:rFonts w:cstheme="minorHAnsi"/>
          <w:lang w:val="en-GB"/>
        </w:rPr>
        <w:t>limited competition in the supply side of the market (with sellers able to limit the growth of the housing stock to maintain high prices);</w:t>
      </w:r>
    </w:p>
    <w:p w14:paraId="28B00917" w14:textId="77777777" w:rsidR="00301123" w:rsidRDefault="00301123" w:rsidP="00301123">
      <w:pPr>
        <w:pStyle w:val="ListParagraph"/>
        <w:numPr>
          <w:ilvl w:val="0"/>
          <w:numId w:val="15"/>
        </w:numPr>
        <w:jc w:val="both"/>
        <w:rPr>
          <w:rFonts w:cstheme="minorHAnsi"/>
          <w:lang w:val="en-GB"/>
        </w:rPr>
      </w:pPr>
      <w:r>
        <w:rPr>
          <w:rFonts w:cstheme="minorHAnsi"/>
          <w:lang w:val="en-GB"/>
        </w:rPr>
        <w:t xml:space="preserve">sudden increase in </w:t>
      </w:r>
      <w:r w:rsidRPr="0089690C">
        <w:rPr>
          <w:rFonts w:cstheme="minorHAnsi"/>
          <w:lang w:val="en-GB"/>
        </w:rPr>
        <w:t>demand</w:t>
      </w:r>
      <w:r>
        <w:rPr>
          <w:rFonts w:cstheme="minorHAnsi"/>
          <w:lang w:val="en-GB"/>
        </w:rPr>
        <w:t xml:space="preserve"> (for example due to rapid population</w:t>
      </w:r>
      <w:r>
        <w:rPr>
          <w:rFonts w:ascii="Sylfaen" w:hAnsi="Sylfaen" w:cstheme="minorHAnsi"/>
          <w:lang w:val="ka-GE"/>
        </w:rPr>
        <w:t>/</w:t>
      </w:r>
      <w:r w:rsidRPr="00F66F2E">
        <w:rPr>
          <w:rFonts w:cstheme="minorHAnsi"/>
          <w:lang w:val="en-GB"/>
        </w:rPr>
        <w:t>household</w:t>
      </w:r>
      <w:r>
        <w:rPr>
          <w:rFonts w:cstheme="minorHAnsi"/>
          <w:lang w:val="en-GB"/>
        </w:rPr>
        <w:t xml:space="preserve"> growth and/or to the arousal of alternative - non-traditional - opportunities to use the existing housing stock) exceeding the capacity of the </w:t>
      </w:r>
      <w:r w:rsidRPr="0089690C">
        <w:rPr>
          <w:rFonts w:cstheme="minorHAnsi"/>
          <w:lang w:val="en-GB"/>
        </w:rPr>
        <w:t xml:space="preserve">supply </w:t>
      </w:r>
      <w:r>
        <w:rPr>
          <w:rFonts w:cstheme="minorHAnsi"/>
          <w:lang w:val="en-GB"/>
        </w:rPr>
        <w:t>side of</w:t>
      </w:r>
      <w:r w:rsidRPr="0089690C">
        <w:rPr>
          <w:rFonts w:cstheme="minorHAnsi"/>
          <w:lang w:val="en-GB"/>
        </w:rPr>
        <w:t xml:space="preserve"> the market</w:t>
      </w:r>
      <w:r>
        <w:rPr>
          <w:rFonts w:cstheme="minorHAnsi"/>
          <w:lang w:val="en-GB"/>
        </w:rPr>
        <w:t xml:space="preserve"> to increase the housing stock</w:t>
      </w:r>
      <w:r w:rsidRPr="0089690C">
        <w:rPr>
          <w:rFonts w:cstheme="minorHAnsi"/>
          <w:lang w:val="en-GB"/>
        </w:rPr>
        <w:t xml:space="preserve">, leading to </w:t>
      </w:r>
      <w:r w:rsidRPr="003623D5">
        <w:rPr>
          <w:rFonts w:cstheme="minorHAnsi"/>
          <w:lang w:val="en-GB"/>
        </w:rPr>
        <w:t>an increase in prices</w:t>
      </w:r>
      <w:r>
        <w:rPr>
          <w:rFonts w:cstheme="minorHAnsi"/>
          <w:lang w:val="en-GB"/>
        </w:rPr>
        <w:t>;</w:t>
      </w:r>
    </w:p>
    <w:p w14:paraId="045980B7" w14:textId="77777777" w:rsidR="00301123" w:rsidRDefault="00301123" w:rsidP="00301123">
      <w:pPr>
        <w:pStyle w:val="ListParagraph"/>
        <w:numPr>
          <w:ilvl w:val="0"/>
          <w:numId w:val="15"/>
        </w:numPr>
        <w:jc w:val="both"/>
        <w:rPr>
          <w:rFonts w:cstheme="minorHAnsi"/>
          <w:lang w:val="en-GB"/>
        </w:rPr>
      </w:pPr>
      <w:r>
        <w:rPr>
          <w:rFonts w:cstheme="minorHAnsi"/>
          <w:lang w:val="en-GB"/>
        </w:rPr>
        <w:t>high incidence of poverty;</w:t>
      </w:r>
    </w:p>
    <w:p w14:paraId="78AB9949" w14:textId="77777777" w:rsidR="00301123" w:rsidRDefault="00301123" w:rsidP="00301123">
      <w:pPr>
        <w:pStyle w:val="ListParagraph"/>
        <w:numPr>
          <w:ilvl w:val="0"/>
          <w:numId w:val="15"/>
        </w:numPr>
        <w:jc w:val="both"/>
        <w:rPr>
          <w:rFonts w:cstheme="minorHAnsi"/>
          <w:lang w:val="en-GB"/>
        </w:rPr>
      </w:pPr>
      <w:r w:rsidRPr="009D13A4">
        <w:rPr>
          <w:rFonts w:cstheme="minorHAnsi"/>
          <w:lang w:val="en-GB"/>
        </w:rPr>
        <w:t>low wages and incomes;</w:t>
      </w:r>
    </w:p>
    <w:p w14:paraId="6A24772F" w14:textId="77777777" w:rsidR="00301123" w:rsidRDefault="00301123" w:rsidP="00301123">
      <w:pPr>
        <w:pStyle w:val="ListParagraph"/>
        <w:numPr>
          <w:ilvl w:val="0"/>
          <w:numId w:val="15"/>
        </w:numPr>
        <w:jc w:val="both"/>
        <w:rPr>
          <w:rFonts w:cstheme="minorHAnsi"/>
          <w:lang w:val="en-GB"/>
        </w:rPr>
      </w:pPr>
      <w:r w:rsidRPr="009D13A4">
        <w:rPr>
          <w:rFonts w:cstheme="minorHAnsi"/>
          <w:lang w:val="en-GB"/>
        </w:rPr>
        <w:t>high</w:t>
      </w:r>
      <w:r w:rsidRPr="004C3BCA">
        <w:rPr>
          <w:rFonts w:cstheme="minorHAnsi"/>
          <w:lang w:val="en-GB"/>
        </w:rPr>
        <w:t xml:space="preserve"> l</w:t>
      </w:r>
      <w:r w:rsidRPr="00610BE1">
        <w:rPr>
          <w:rFonts w:cstheme="minorHAnsi"/>
          <w:lang w:val="en-GB"/>
        </w:rPr>
        <w:t>evels of</w:t>
      </w:r>
      <w:r w:rsidRPr="00B71A2E">
        <w:rPr>
          <w:rFonts w:cstheme="minorHAnsi"/>
          <w:lang w:val="en-GB"/>
        </w:rPr>
        <w:t xml:space="preserve"> inequality (encouraging “hoarding” of houses by wealthier individual in the society – e.g. as a form of investment – preventing the prices from falling)</w:t>
      </w:r>
      <w:r>
        <w:rPr>
          <w:rFonts w:cstheme="minorHAnsi"/>
          <w:lang w:val="en-GB"/>
        </w:rPr>
        <w:t>.</w:t>
      </w:r>
    </w:p>
    <w:p w14:paraId="13FD350C" w14:textId="77777777" w:rsidR="00301123" w:rsidRDefault="00301123" w:rsidP="00301123">
      <w:pPr>
        <w:jc w:val="both"/>
        <w:rPr>
          <w:rFonts w:cstheme="minorHAnsi"/>
          <w:noProof/>
        </w:rPr>
      </w:pPr>
      <w:r>
        <w:rPr>
          <w:rFonts w:cstheme="minorHAnsi"/>
          <w:lang w:val="en-GB"/>
        </w:rPr>
        <w:t xml:space="preserve">Extending the definition of unaffordability in line with that of the </w:t>
      </w:r>
      <w:r w:rsidRPr="00D11BED">
        <w:rPr>
          <w:rFonts w:cstheme="minorHAnsi"/>
          <w:noProof/>
        </w:rPr>
        <w:t>Economic Commission for Europe</w:t>
      </w:r>
      <w:r>
        <w:rPr>
          <w:rFonts w:cstheme="minorHAnsi"/>
          <w:noProof/>
        </w:rPr>
        <w:t>, would add to the list of potential determinants for unaffordability factors like:</w:t>
      </w:r>
    </w:p>
    <w:p w14:paraId="73E8C135" w14:textId="77777777" w:rsidR="00301123" w:rsidRDefault="00301123" w:rsidP="00301123">
      <w:pPr>
        <w:pStyle w:val="ListParagraph"/>
        <w:numPr>
          <w:ilvl w:val="0"/>
          <w:numId w:val="16"/>
        </w:numPr>
        <w:jc w:val="both"/>
        <w:rPr>
          <w:rFonts w:cstheme="minorHAnsi"/>
          <w:lang w:val="en-GB"/>
        </w:rPr>
      </w:pPr>
      <w:r>
        <w:rPr>
          <w:rFonts w:cstheme="minorHAnsi"/>
          <w:lang w:val="en-GB"/>
        </w:rPr>
        <w:t>High utility tariffs;</w:t>
      </w:r>
    </w:p>
    <w:p w14:paraId="434902C4" w14:textId="77777777" w:rsidR="00301123" w:rsidRDefault="00301123" w:rsidP="00301123">
      <w:pPr>
        <w:pStyle w:val="ListParagraph"/>
        <w:numPr>
          <w:ilvl w:val="0"/>
          <w:numId w:val="16"/>
        </w:numPr>
        <w:jc w:val="both"/>
        <w:rPr>
          <w:rFonts w:cstheme="minorHAnsi"/>
          <w:lang w:val="en-GB"/>
        </w:rPr>
      </w:pPr>
      <w:r>
        <w:rPr>
          <w:rFonts w:cstheme="minorHAnsi"/>
          <w:lang w:val="en-GB"/>
        </w:rPr>
        <w:t>High maintenance costs;</w:t>
      </w:r>
    </w:p>
    <w:p w14:paraId="62FC046C" w14:textId="77777777" w:rsidR="00301123" w:rsidRPr="009D13A4" w:rsidRDefault="00301123" w:rsidP="00301123">
      <w:pPr>
        <w:pStyle w:val="ListParagraph"/>
        <w:numPr>
          <w:ilvl w:val="0"/>
          <w:numId w:val="16"/>
        </w:numPr>
        <w:jc w:val="both"/>
        <w:rPr>
          <w:rFonts w:cstheme="minorHAnsi"/>
          <w:lang w:val="en-GB"/>
        </w:rPr>
      </w:pPr>
      <w:r>
        <w:rPr>
          <w:rFonts w:cstheme="minorHAnsi"/>
          <w:lang w:val="en-GB"/>
        </w:rPr>
        <w:t>High taxes on property.</w:t>
      </w:r>
    </w:p>
    <w:p w14:paraId="7942A0A9" w14:textId="77777777" w:rsidR="00301123" w:rsidRPr="004C3BCA" w:rsidRDefault="00301123" w:rsidP="00301123">
      <w:pPr>
        <w:pStyle w:val="ListParagraph"/>
        <w:jc w:val="both"/>
        <w:rPr>
          <w:rFonts w:cstheme="minorHAnsi"/>
          <w:lang w:val="en-GB"/>
        </w:rPr>
      </w:pPr>
    </w:p>
    <w:p w14:paraId="0C1A7626" w14:textId="77777777" w:rsidR="00301123" w:rsidRDefault="00301123" w:rsidP="00301123">
      <w:pPr>
        <w:pStyle w:val="ListParagraph"/>
        <w:ind w:left="0"/>
        <w:jc w:val="both"/>
        <w:rPr>
          <w:lang w:val="en-GB"/>
        </w:rPr>
      </w:pPr>
      <w:r>
        <w:rPr>
          <w:lang w:val="en-GB"/>
        </w:rPr>
        <w:t>The literature</w:t>
      </w:r>
      <w:sdt>
        <w:sdtPr>
          <w:rPr>
            <w:lang w:val="en-GB"/>
          </w:rPr>
          <w:id w:val="-1907595342"/>
          <w:citation/>
        </w:sdtPr>
        <w:sdtEndPr/>
        <w:sdtContent>
          <w:r>
            <w:rPr>
              <w:lang w:val="en-GB"/>
            </w:rPr>
            <w:fldChar w:fldCharType="begin"/>
          </w:r>
          <w:r>
            <w:rPr>
              <w:lang w:val="en-GB"/>
            </w:rPr>
            <w:instrText xml:space="preserve"> CITATION Car04 \l 2057 </w:instrText>
          </w:r>
          <w:r>
            <w:rPr>
              <w:lang w:val="en-GB"/>
            </w:rPr>
            <w:fldChar w:fldCharType="separate"/>
          </w:r>
          <w:r>
            <w:rPr>
              <w:noProof/>
              <w:lang w:val="en-GB"/>
            </w:rPr>
            <w:t xml:space="preserve"> (Carol S. Cohen, 2004)</w:t>
          </w:r>
          <w:r>
            <w:rPr>
              <w:lang w:val="en-GB"/>
            </w:rPr>
            <w:fldChar w:fldCharType="end"/>
          </w:r>
        </w:sdtContent>
      </w:sdt>
      <w:r>
        <w:rPr>
          <w:lang w:val="en-GB"/>
        </w:rPr>
        <w:t xml:space="preserve"> also shows that housing unaffordability can be associated with gender specific factors, with female headed households experience unstable housing problems more frequently than male headed households because of their low economic status and patterns of discrimination. Female headed households with children are vulnerable groups which face difficulties with acquiring and maintaining safe, permanent and affordable housing. </w:t>
      </w:r>
    </w:p>
    <w:p w14:paraId="6E3341EE" w14:textId="77777777" w:rsidR="00301123" w:rsidRPr="009D13A4" w:rsidRDefault="00301123" w:rsidP="00301123">
      <w:pPr>
        <w:pStyle w:val="ListParagraph"/>
        <w:ind w:left="0"/>
        <w:rPr>
          <w:lang w:val="en-GB"/>
        </w:rPr>
      </w:pPr>
    </w:p>
    <w:p w14:paraId="3F753528" w14:textId="77777777" w:rsidR="00301123" w:rsidRPr="006066AB" w:rsidRDefault="00301123" w:rsidP="00301123">
      <w:pPr>
        <w:jc w:val="both"/>
        <w:rPr>
          <w:rFonts w:cstheme="minorHAnsi"/>
          <w:b/>
          <w:bCs/>
          <w:lang w:val="en-GB"/>
        </w:rPr>
      </w:pPr>
      <w:r w:rsidRPr="006066AB">
        <w:rPr>
          <w:rFonts w:cstheme="minorHAnsi"/>
          <w:b/>
          <w:bCs/>
          <w:lang w:val="en-GB"/>
        </w:rPr>
        <w:t>Other causes of unstable housing</w:t>
      </w:r>
    </w:p>
    <w:p w14:paraId="0E851660" w14:textId="77777777" w:rsidR="00301123" w:rsidRDefault="00301123" w:rsidP="00301123">
      <w:pPr>
        <w:jc w:val="both"/>
        <w:rPr>
          <w:rFonts w:cstheme="minorHAnsi"/>
          <w:lang w:val="en-GB"/>
        </w:rPr>
      </w:pPr>
      <w:r>
        <w:rPr>
          <w:rFonts w:cstheme="minorHAnsi"/>
          <w:lang w:val="en-GB"/>
        </w:rPr>
        <w:t>The study of McVicar et al. (2015) shows that there is a statistically significant positive relationship between substance and alcohol use in one period and having a problem of unstable housing in the consecutive period.</w:t>
      </w:r>
    </w:p>
    <w:p w14:paraId="22B8285C" w14:textId="77777777" w:rsidR="00301123" w:rsidRDefault="00301123" w:rsidP="00301123">
      <w:pPr>
        <w:jc w:val="both"/>
        <w:rPr>
          <w:rFonts w:cstheme="minorHAnsi"/>
          <w:lang w:val="en-GB"/>
        </w:rPr>
      </w:pPr>
      <w:r>
        <w:rPr>
          <w:rFonts w:cstheme="minorHAnsi"/>
          <w:lang w:val="en-GB"/>
        </w:rPr>
        <w:t xml:space="preserve">Domestic violence is another contributing factor in housing instability. According to the literature, women who are victims of domestic violence prefer to have the problems of insecure housing rather than living in unsafe environment. Women with children represent the fastest growing population of </w:t>
      </w:r>
      <w:r>
        <w:rPr>
          <w:rFonts w:cstheme="minorHAnsi"/>
          <w:lang w:val="en-GB"/>
        </w:rPr>
        <w:lastRenderedPageBreak/>
        <w:t xml:space="preserve">the homeless people and battered women’s shelters are often the only opportunity for the victims to be sheltered. A parent’s ability to cope with pending homelessness is exacerbated by low income, limited opportunity for getting job (because they have to take care on the kid), unreliable child support payment </w:t>
      </w:r>
      <w:sdt>
        <w:sdtPr>
          <w:rPr>
            <w:rFonts w:cstheme="minorHAnsi"/>
            <w:lang w:val="en-GB"/>
          </w:rPr>
          <w:id w:val="-1949846948"/>
          <w:citation/>
        </w:sdtPr>
        <w:sdtEndPr/>
        <w:sdtContent>
          <w:r>
            <w:rPr>
              <w:rFonts w:cstheme="minorHAnsi"/>
              <w:lang w:val="en-GB"/>
            </w:rPr>
            <w:fldChar w:fldCharType="begin"/>
          </w:r>
          <w:r>
            <w:rPr>
              <w:rFonts w:cstheme="minorHAnsi"/>
              <w:lang w:val="en-GB"/>
            </w:rPr>
            <w:instrText xml:space="preserve"> CITATION Car04 \l 2057 </w:instrText>
          </w:r>
          <w:r>
            <w:rPr>
              <w:rFonts w:cstheme="minorHAnsi"/>
              <w:lang w:val="en-GB"/>
            </w:rPr>
            <w:fldChar w:fldCharType="separate"/>
          </w:r>
          <w:r w:rsidRPr="0060317C">
            <w:rPr>
              <w:rFonts w:cstheme="minorHAnsi"/>
              <w:noProof/>
              <w:lang w:val="en-GB"/>
            </w:rPr>
            <w:t>(Carol S. Cohen, 2004)</w:t>
          </w:r>
          <w:r>
            <w:rPr>
              <w:rFonts w:cstheme="minorHAnsi"/>
              <w:lang w:val="en-GB"/>
            </w:rPr>
            <w:fldChar w:fldCharType="end"/>
          </w:r>
        </w:sdtContent>
      </w:sdt>
      <w:r>
        <w:rPr>
          <w:rFonts w:cstheme="minorHAnsi"/>
          <w:lang w:val="en-GB"/>
        </w:rPr>
        <w:t>.</w:t>
      </w:r>
    </w:p>
    <w:p w14:paraId="0DF10FD7" w14:textId="77777777" w:rsidR="00301123" w:rsidRDefault="00301123" w:rsidP="00301123">
      <w:pPr>
        <w:jc w:val="both"/>
        <w:rPr>
          <w:rFonts w:cstheme="minorHAnsi"/>
          <w:lang w:val="ka-GE"/>
        </w:rPr>
      </w:pPr>
      <w:r>
        <w:rPr>
          <w:rFonts w:cstheme="minorHAnsi"/>
          <w:lang w:val="en-GB"/>
        </w:rPr>
        <w:t>Additional causes of unstable housing are forced internal displacement due to conflicts or to natural disasters.</w:t>
      </w:r>
      <w:bookmarkEnd w:id="11"/>
    </w:p>
    <w:p w14:paraId="73F96A58" w14:textId="77777777" w:rsidR="00301123" w:rsidRPr="004076AD" w:rsidRDefault="00301123" w:rsidP="00301123">
      <w:pPr>
        <w:pStyle w:val="Heading2"/>
        <w:jc w:val="both"/>
        <w:rPr>
          <w:b/>
          <w:color w:val="002060"/>
        </w:rPr>
      </w:pPr>
      <w:bookmarkStart w:id="13" w:name="_Toc28010444"/>
      <w:r w:rsidRPr="004076AD">
        <w:rPr>
          <w:b/>
          <w:color w:val="002060"/>
        </w:rPr>
        <w:t>Which role for the government?</w:t>
      </w:r>
      <w:bookmarkEnd w:id="13"/>
    </w:p>
    <w:p w14:paraId="4271977F" w14:textId="77777777" w:rsidR="00301123" w:rsidRPr="00FB1B33" w:rsidRDefault="00301123" w:rsidP="00301123"/>
    <w:p w14:paraId="1ACDC1C6" w14:textId="77777777" w:rsidR="00301123" w:rsidRDefault="00301123" w:rsidP="00301123">
      <w:pPr>
        <w:jc w:val="both"/>
      </w:pPr>
      <w:r>
        <w:t>When analyzing a problem and the potential role for the government in its solution, it is not sufficient to look at its characteristics and consequences. It is also necessary to assess whether the government intervention is justifiable. This is the case when the problem is caused (or made worse) by some sort of market or regulatory failure and the government intervention is deemed able to correct the above-mentioned failure in a way that leads to an overall improvement (keeping into account not only the benefits but also the costs of the intervention).</w:t>
      </w:r>
    </w:p>
    <w:p w14:paraId="628F8C37" w14:textId="77777777" w:rsidR="00301123" w:rsidRDefault="00301123" w:rsidP="00301123">
      <w:pPr>
        <w:jc w:val="both"/>
      </w:pPr>
      <w:r>
        <w:t>Examples of market failures justifying government intervention in this context could be:</w:t>
      </w:r>
    </w:p>
    <w:p w14:paraId="3802F82B" w14:textId="77777777" w:rsidR="00301123" w:rsidRPr="006066AB" w:rsidRDefault="00301123" w:rsidP="00301123">
      <w:pPr>
        <w:pStyle w:val="ListParagraph"/>
        <w:numPr>
          <w:ilvl w:val="0"/>
          <w:numId w:val="18"/>
        </w:numPr>
        <w:jc w:val="both"/>
        <w:rPr>
          <w:rFonts w:cstheme="minorHAnsi"/>
          <w:lang w:val="ka-GE"/>
        </w:rPr>
      </w:pPr>
      <w:r w:rsidRPr="006066AB">
        <w:rPr>
          <w:rFonts w:cstheme="minorHAnsi"/>
        </w:rPr>
        <w:t>Lack of competition in t</w:t>
      </w:r>
      <w:r>
        <w:rPr>
          <w:rFonts w:cstheme="minorHAnsi"/>
        </w:rPr>
        <w:t>he housing sector, leading to slower than optimal growth of the housing stock and higher prices on the housing market;</w:t>
      </w:r>
    </w:p>
    <w:p w14:paraId="64F74975" w14:textId="77777777" w:rsidR="00301123" w:rsidRPr="006066AB" w:rsidRDefault="00301123" w:rsidP="00301123">
      <w:pPr>
        <w:pStyle w:val="ListParagraph"/>
        <w:numPr>
          <w:ilvl w:val="0"/>
          <w:numId w:val="18"/>
        </w:numPr>
        <w:jc w:val="both"/>
        <w:rPr>
          <w:rFonts w:cstheme="minorHAnsi"/>
          <w:lang w:val="ka-GE"/>
        </w:rPr>
      </w:pPr>
      <w:r>
        <w:rPr>
          <w:rFonts w:cstheme="minorHAnsi"/>
        </w:rPr>
        <w:t>Distortive regulation, creating bottlenecks and inefficiencies and leading to greater housing instability;</w:t>
      </w:r>
    </w:p>
    <w:p w14:paraId="7DCA0469" w14:textId="77777777" w:rsidR="00301123" w:rsidRPr="006066AB" w:rsidRDefault="00301123" w:rsidP="00301123">
      <w:pPr>
        <w:pStyle w:val="ListParagraph"/>
        <w:numPr>
          <w:ilvl w:val="0"/>
          <w:numId w:val="18"/>
        </w:numPr>
        <w:jc w:val="both"/>
        <w:rPr>
          <w:rFonts w:cstheme="minorHAnsi"/>
          <w:lang w:val="ka-GE"/>
        </w:rPr>
      </w:pPr>
      <w:r>
        <w:rPr>
          <w:rFonts w:cstheme="minorHAnsi"/>
        </w:rPr>
        <w:t>Existence of externalities (positive and/or negative) correlated with the phenomenon of unstable housing.</w:t>
      </w:r>
    </w:p>
    <w:p w14:paraId="4A183A76" w14:textId="77777777" w:rsidR="00301123" w:rsidRPr="006066AB" w:rsidRDefault="00301123" w:rsidP="00301123">
      <w:pPr>
        <w:jc w:val="both"/>
        <w:rPr>
          <w:rFonts w:cstheme="minorHAnsi"/>
        </w:rPr>
      </w:pPr>
      <w:r>
        <w:rPr>
          <w:rFonts w:cstheme="minorHAnsi"/>
        </w:rPr>
        <w:t xml:space="preserve">The analysis of the international literature has already highlighted some potential rationale for government intervention, highlighting the potentially negative long-term impacts associated with unstable housing (especially on children, but also on adults), which are clearly not incorporated in the decision-making processes of private economic agents and, therefore, market forces cannot be expected to solve autonomously. </w:t>
      </w:r>
    </w:p>
    <w:p w14:paraId="1E87A6B2" w14:textId="77777777" w:rsidR="00301123" w:rsidRPr="006066AB" w:rsidRDefault="00301123" w:rsidP="00301123">
      <w:pPr>
        <w:jc w:val="both"/>
        <w:rPr>
          <w:rFonts w:cstheme="minorHAnsi"/>
        </w:rPr>
      </w:pPr>
      <w:r>
        <w:rPr>
          <w:rFonts w:cstheme="minorHAnsi"/>
        </w:rPr>
        <w:t>In the following section the extent and depth of unstable housing will be delineated in Georgia, as well the existence of other potential sources of market failures will be explored providing additional rationale for government intervention.</w:t>
      </w:r>
    </w:p>
    <w:p w14:paraId="1CBE0AC7" w14:textId="2E3814C3" w:rsidR="004A5C57" w:rsidRDefault="004A5C57" w:rsidP="00813727">
      <w:pPr>
        <w:jc w:val="both"/>
        <w:rPr>
          <w:rFonts w:cstheme="minorHAnsi"/>
        </w:rPr>
      </w:pPr>
    </w:p>
    <w:p w14:paraId="38813EDA" w14:textId="59D8177E" w:rsidR="004076AD" w:rsidRDefault="004076AD" w:rsidP="00813727">
      <w:pPr>
        <w:jc w:val="both"/>
        <w:rPr>
          <w:rFonts w:cstheme="minorHAnsi"/>
        </w:rPr>
      </w:pPr>
    </w:p>
    <w:p w14:paraId="520A1D81" w14:textId="63286374" w:rsidR="004076AD" w:rsidRDefault="004076AD" w:rsidP="00813727">
      <w:pPr>
        <w:jc w:val="both"/>
        <w:rPr>
          <w:rFonts w:cstheme="minorHAnsi"/>
        </w:rPr>
      </w:pPr>
    </w:p>
    <w:p w14:paraId="1F7C56DF" w14:textId="77777777" w:rsidR="00406701" w:rsidRDefault="00406701" w:rsidP="00813727">
      <w:pPr>
        <w:jc w:val="both"/>
        <w:rPr>
          <w:rFonts w:cstheme="minorHAnsi"/>
        </w:rPr>
      </w:pPr>
    </w:p>
    <w:p w14:paraId="7834E740" w14:textId="77777777" w:rsidR="004076AD" w:rsidRDefault="004076AD" w:rsidP="00813727">
      <w:pPr>
        <w:jc w:val="both"/>
        <w:rPr>
          <w:rFonts w:cstheme="minorHAnsi"/>
        </w:rPr>
      </w:pPr>
    </w:p>
    <w:p w14:paraId="5D0D0D75" w14:textId="2DD81D4A" w:rsidR="004A5C57" w:rsidRDefault="004A5C57" w:rsidP="00813727">
      <w:pPr>
        <w:jc w:val="both"/>
        <w:rPr>
          <w:rFonts w:cstheme="minorHAnsi"/>
        </w:rPr>
      </w:pPr>
    </w:p>
    <w:p w14:paraId="56E86A23" w14:textId="77777777" w:rsidR="004A5C57" w:rsidRDefault="004A5C57" w:rsidP="00813727">
      <w:pPr>
        <w:jc w:val="both"/>
        <w:rPr>
          <w:rFonts w:cstheme="minorHAnsi"/>
        </w:rPr>
      </w:pPr>
    </w:p>
    <w:p w14:paraId="62FA4CB7" w14:textId="77777777" w:rsidR="00813727" w:rsidRPr="004076AD" w:rsidRDefault="00813727" w:rsidP="00813727">
      <w:pPr>
        <w:pStyle w:val="Heading2"/>
        <w:numPr>
          <w:ilvl w:val="0"/>
          <w:numId w:val="1"/>
        </w:numPr>
        <w:jc w:val="both"/>
        <w:rPr>
          <w:rFonts w:asciiTheme="minorHAnsi" w:hAnsiTheme="minorHAnsi" w:cstheme="minorHAnsi"/>
          <w:b/>
          <w:color w:val="002060"/>
        </w:rPr>
      </w:pPr>
      <w:bookmarkStart w:id="14" w:name="_Toc28008589"/>
      <w:bookmarkStart w:id="15" w:name="_Toc28010445"/>
      <w:r w:rsidRPr="004076AD">
        <w:rPr>
          <w:rFonts w:asciiTheme="minorHAnsi" w:hAnsiTheme="minorHAnsi" w:cstheme="minorHAnsi"/>
          <w:b/>
          <w:color w:val="002060"/>
        </w:rPr>
        <w:lastRenderedPageBreak/>
        <w:t>Background to the baseline scenario</w:t>
      </w:r>
      <w:bookmarkEnd w:id="14"/>
      <w:bookmarkEnd w:id="15"/>
    </w:p>
    <w:p w14:paraId="375E01CA" w14:textId="77777777" w:rsidR="00813727" w:rsidRPr="0053270C" w:rsidRDefault="00813727" w:rsidP="00813727">
      <w:pPr>
        <w:jc w:val="both"/>
      </w:pPr>
    </w:p>
    <w:p w14:paraId="2C777F25" w14:textId="798D02E6" w:rsidR="00813727" w:rsidRDefault="00813727" w:rsidP="00813727">
      <w:pPr>
        <w:jc w:val="both"/>
        <w:rPr>
          <w:rFonts w:cstheme="minorHAnsi"/>
        </w:rPr>
      </w:pPr>
      <w:r>
        <w:rPr>
          <w:rFonts w:cstheme="minorHAnsi"/>
        </w:rPr>
        <w:t>The causes and consequences of unstable housing need to be examined with help of different information sources. The data analysis presented below is based on several data sources, including previous publications on the topic, as the definition of unstable housing is quite broad and it includes lots of categories of unstable housing differing with the level of severity of the problem</w:t>
      </w:r>
      <w:r>
        <w:rPr>
          <w:rStyle w:val="FootnoteReference"/>
          <w:rFonts w:cstheme="minorHAnsi"/>
        </w:rPr>
        <w:footnoteReference w:id="20"/>
      </w:r>
      <w:r>
        <w:rPr>
          <w:rFonts w:cstheme="minorHAnsi"/>
        </w:rPr>
        <w:t>. After providing a brief overview of the existing literature about unstable housing in Georgia, we will discuss the evidence emerged from our own analysis of the available data.</w:t>
      </w:r>
    </w:p>
    <w:p w14:paraId="7F558355" w14:textId="42CAE676" w:rsidR="00813727" w:rsidRPr="004076AD" w:rsidRDefault="004076AD" w:rsidP="00813727">
      <w:pPr>
        <w:pStyle w:val="Heading3"/>
        <w:jc w:val="both"/>
        <w:rPr>
          <w:rFonts w:asciiTheme="minorHAnsi" w:hAnsiTheme="minorHAnsi"/>
          <w:b/>
          <w:color w:val="002060"/>
        </w:rPr>
      </w:pPr>
      <w:bookmarkStart w:id="16" w:name="_Toc28008590"/>
      <w:bookmarkStart w:id="17" w:name="_Toc28010446"/>
      <w:r>
        <w:rPr>
          <w:rFonts w:asciiTheme="minorHAnsi" w:hAnsiTheme="minorHAnsi"/>
          <w:b/>
          <w:color w:val="002060"/>
        </w:rPr>
        <w:t>A B</w:t>
      </w:r>
      <w:r w:rsidR="00813727" w:rsidRPr="004076AD">
        <w:rPr>
          <w:rFonts w:asciiTheme="minorHAnsi" w:hAnsiTheme="minorHAnsi"/>
          <w:b/>
          <w:color w:val="002060"/>
        </w:rPr>
        <w:t xml:space="preserve">rief </w:t>
      </w:r>
      <w:r>
        <w:rPr>
          <w:rFonts w:asciiTheme="minorHAnsi" w:hAnsiTheme="minorHAnsi"/>
          <w:b/>
          <w:color w:val="002060"/>
        </w:rPr>
        <w:t>O</w:t>
      </w:r>
      <w:r w:rsidR="00813727" w:rsidRPr="004076AD">
        <w:rPr>
          <w:rFonts w:asciiTheme="minorHAnsi" w:hAnsiTheme="minorHAnsi"/>
          <w:b/>
          <w:color w:val="002060"/>
        </w:rPr>
        <w:t xml:space="preserve">verview of </w:t>
      </w:r>
      <w:r>
        <w:rPr>
          <w:rFonts w:asciiTheme="minorHAnsi" w:hAnsiTheme="minorHAnsi"/>
          <w:b/>
          <w:color w:val="002060"/>
        </w:rPr>
        <w:t>t</w:t>
      </w:r>
      <w:r w:rsidR="00813727" w:rsidRPr="004076AD">
        <w:rPr>
          <w:rFonts w:asciiTheme="minorHAnsi" w:hAnsiTheme="minorHAnsi"/>
          <w:b/>
          <w:color w:val="002060"/>
        </w:rPr>
        <w:t xml:space="preserve">he </w:t>
      </w:r>
      <w:r>
        <w:rPr>
          <w:rFonts w:asciiTheme="minorHAnsi" w:hAnsiTheme="minorHAnsi"/>
          <w:b/>
          <w:color w:val="002060"/>
        </w:rPr>
        <w:t>E</w:t>
      </w:r>
      <w:r w:rsidR="00813727" w:rsidRPr="004076AD">
        <w:rPr>
          <w:rFonts w:asciiTheme="minorHAnsi" w:hAnsiTheme="minorHAnsi"/>
          <w:b/>
          <w:color w:val="002060"/>
        </w:rPr>
        <w:t xml:space="preserve">xisting </w:t>
      </w:r>
      <w:r>
        <w:rPr>
          <w:rFonts w:asciiTheme="minorHAnsi" w:hAnsiTheme="minorHAnsi"/>
          <w:b/>
          <w:color w:val="002060"/>
        </w:rPr>
        <w:t>L</w:t>
      </w:r>
      <w:r w:rsidR="00813727" w:rsidRPr="004076AD">
        <w:rPr>
          <w:rFonts w:asciiTheme="minorHAnsi" w:hAnsiTheme="minorHAnsi"/>
          <w:b/>
          <w:color w:val="002060"/>
        </w:rPr>
        <w:t xml:space="preserve">iterature </w:t>
      </w:r>
      <w:r>
        <w:rPr>
          <w:rFonts w:asciiTheme="minorHAnsi" w:hAnsiTheme="minorHAnsi"/>
          <w:b/>
          <w:color w:val="002060"/>
        </w:rPr>
        <w:t>A</w:t>
      </w:r>
      <w:r w:rsidR="00813727" w:rsidRPr="004076AD">
        <w:rPr>
          <w:rFonts w:asciiTheme="minorHAnsi" w:hAnsiTheme="minorHAnsi"/>
          <w:b/>
          <w:color w:val="002060"/>
        </w:rPr>
        <w:t xml:space="preserve">bout </w:t>
      </w:r>
      <w:r>
        <w:rPr>
          <w:rFonts w:asciiTheme="minorHAnsi" w:hAnsiTheme="minorHAnsi"/>
          <w:b/>
          <w:color w:val="002060"/>
        </w:rPr>
        <w:t>U</w:t>
      </w:r>
      <w:r w:rsidR="00813727" w:rsidRPr="004076AD">
        <w:rPr>
          <w:rFonts w:asciiTheme="minorHAnsi" w:hAnsiTheme="minorHAnsi"/>
          <w:b/>
          <w:color w:val="002060"/>
        </w:rPr>
        <w:t xml:space="preserve">nstable </w:t>
      </w:r>
      <w:r>
        <w:rPr>
          <w:rFonts w:asciiTheme="minorHAnsi" w:hAnsiTheme="minorHAnsi"/>
          <w:b/>
          <w:color w:val="002060"/>
        </w:rPr>
        <w:t>H</w:t>
      </w:r>
      <w:r w:rsidR="00813727" w:rsidRPr="004076AD">
        <w:rPr>
          <w:rFonts w:asciiTheme="minorHAnsi" w:hAnsiTheme="minorHAnsi"/>
          <w:b/>
          <w:color w:val="002060"/>
        </w:rPr>
        <w:t>ousing in Georgia</w:t>
      </w:r>
      <w:bookmarkEnd w:id="16"/>
      <w:bookmarkEnd w:id="17"/>
    </w:p>
    <w:p w14:paraId="0E9C4C5E" w14:textId="77777777" w:rsidR="00813727" w:rsidRDefault="00813727" w:rsidP="00813727">
      <w:pPr>
        <w:jc w:val="both"/>
        <w:rPr>
          <w:rFonts w:cstheme="minorHAnsi"/>
        </w:rPr>
      </w:pPr>
    </w:p>
    <w:p w14:paraId="1D2A68A0" w14:textId="77777777" w:rsidR="00813727" w:rsidRDefault="00813727" w:rsidP="00813727">
      <w:pPr>
        <w:jc w:val="both"/>
        <w:rPr>
          <w:rFonts w:cstheme="minorHAnsi"/>
        </w:rPr>
      </w:pPr>
      <w:r>
        <w:rPr>
          <w:rFonts w:cstheme="minorHAnsi"/>
        </w:rPr>
        <w:t xml:space="preserve">According to the available literature, one of the main determinants of unstable housing in Georgia is unaffordability of the housing and, therefore, addressing the issue of affordability is one of the crucial in order to achieve the constitutional goal of providing access to stable and adequate housing to Georgian citizens </w:t>
      </w:r>
      <w:sdt>
        <w:sdtPr>
          <w:rPr>
            <w:rFonts w:cstheme="minorHAnsi"/>
          </w:rPr>
          <w:id w:val="-1560001977"/>
          <w:citation/>
        </w:sdtPr>
        <w:sdtEndPr/>
        <w:sdtContent>
          <w:r>
            <w:rPr>
              <w:rFonts w:cstheme="minorHAnsi"/>
            </w:rPr>
            <w:fldChar w:fldCharType="begin"/>
          </w:r>
          <w:r>
            <w:rPr>
              <w:rFonts w:cstheme="minorHAnsi"/>
              <w:lang w:val="en-GB"/>
            </w:rPr>
            <w:instrText xml:space="preserve">CITATION Hum16 \m Wor15 \l 2057 </w:instrText>
          </w:r>
          <w:r>
            <w:rPr>
              <w:rFonts w:cstheme="minorHAnsi"/>
            </w:rPr>
            <w:fldChar w:fldCharType="separate"/>
          </w:r>
          <w:r w:rsidRPr="00D74D8C">
            <w:rPr>
              <w:rFonts w:cstheme="minorHAnsi"/>
              <w:noProof/>
              <w:lang w:val="en-GB"/>
            </w:rPr>
            <w:t>(Human Rights Education and Monitoring Center, 2016; World Bank, 2015)</w:t>
          </w:r>
          <w:r>
            <w:rPr>
              <w:rFonts w:cstheme="minorHAnsi"/>
            </w:rPr>
            <w:fldChar w:fldCharType="end"/>
          </w:r>
        </w:sdtContent>
      </w:sdt>
      <w:r>
        <w:rPr>
          <w:rFonts w:cstheme="minorHAnsi"/>
        </w:rPr>
        <w:t xml:space="preserve">. </w:t>
      </w:r>
    </w:p>
    <w:p w14:paraId="7EFC779F" w14:textId="4A3C806C" w:rsidR="00813727" w:rsidRPr="003D38DD" w:rsidRDefault="00813727" w:rsidP="001C6993">
      <w:pPr>
        <w:jc w:val="both"/>
      </w:pPr>
      <w:r>
        <w:rPr>
          <w:rFonts w:cstheme="minorHAnsi"/>
          <w:lang w:val="en-GB"/>
        </w:rPr>
        <w:t xml:space="preserve">A major cause of unaffordability seems to be the relatively </w:t>
      </w:r>
      <w:r w:rsidRPr="006066AB">
        <w:rPr>
          <w:rFonts w:cstheme="minorHAnsi"/>
          <w:b/>
          <w:bCs/>
          <w:lang w:val="en-GB"/>
        </w:rPr>
        <w:t>high unemployment, coupled with low salaries</w:t>
      </w:r>
      <w:r>
        <w:rPr>
          <w:rFonts w:cstheme="minorHAnsi"/>
          <w:lang w:val="en-GB"/>
        </w:rPr>
        <w:t xml:space="preserve"> a significant part of the population receives. A study by the Human Rights Education and Monitoring </w:t>
      </w:r>
      <w:proofErr w:type="spellStart"/>
      <w:r>
        <w:rPr>
          <w:rFonts w:cstheme="minorHAnsi"/>
          <w:lang w:val="en-GB"/>
        </w:rPr>
        <w:t>Center</w:t>
      </w:r>
      <w:proofErr w:type="spellEnd"/>
      <w:r w:rsidR="00473F78">
        <w:rPr>
          <w:rFonts w:cstheme="minorHAnsi"/>
          <w:lang w:val="en-GB"/>
        </w:rPr>
        <w:t xml:space="preserve"> </w:t>
      </w:r>
      <w:r>
        <w:rPr>
          <w:rFonts w:cstheme="minorHAnsi"/>
          <w:lang w:val="en-GB"/>
        </w:rPr>
        <w:t xml:space="preserve">(EMC) </w:t>
      </w:r>
      <w:sdt>
        <w:sdtPr>
          <w:rPr>
            <w:rFonts w:cstheme="minorHAnsi"/>
            <w:lang w:val="en-GB"/>
          </w:rPr>
          <w:id w:val="-386490261"/>
          <w:citation/>
        </w:sdtPr>
        <w:sdtEndPr/>
        <w:sdtContent>
          <w:r>
            <w:rPr>
              <w:rFonts w:cstheme="minorHAnsi"/>
              <w:lang w:val="en-GB"/>
            </w:rPr>
            <w:fldChar w:fldCharType="begin"/>
          </w:r>
          <w:r>
            <w:rPr>
              <w:rFonts w:cstheme="minorHAnsi"/>
              <w:lang w:val="en-GB"/>
            </w:rPr>
            <w:instrText xml:space="preserve">CITATION Hum16 \l 2057 </w:instrText>
          </w:r>
          <w:r>
            <w:rPr>
              <w:rFonts w:cstheme="minorHAnsi"/>
              <w:lang w:val="en-GB"/>
            </w:rPr>
            <w:fldChar w:fldCharType="separate"/>
          </w:r>
          <w:r w:rsidRPr="00D74D8C">
            <w:rPr>
              <w:rFonts w:cstheme="minorHAnsi"/>
              <w:noProof/>
              <w:lang w:val="en-GB"/>
            </w:rPr>
            <w:t>(Human Rights Education and Monitoring Center, 2016)</w:t>
          </w:r>
          <w:r>
            <w:rPr>
              <w:rFonts w:cstheme="minorHAnsi"/>
              <w:lang w:val="en-GB"/>
            </w:rPr>
            <w:fldChar w:fldCharType="end"/>
          </w:r>
        </w:sdtContent>
      </w:sdt>
      <w:r>
        <w:rPr>
          <w:rFonts w:cstheme="minorHAnsi"/>
          <w:lang w:val="en-GB"/>
        </w:rPr>
        <w:t xml:space="preserve"> reveals that unemployment and low salaries have significant negative impact on the housing affordability. According to the study, households with low salaries cannot afford to pay a rent, which leaves them without a shelter. </w:t>
      </w:r>
      <w:r w:rsidRPr="006066AB">
        <w:rPr>
          <w:rFonts w:cstheme="minorHAnsi"/>
          <w:b/>
          <w:bCs/>
          <w:lang w:val="en-GB"/>
        </w:rPr>
        <w:t>Healthcare costs</w:t>
      </w:r>
      <w:r>
        <w:rPr>
          <w:rFonts w:cstheme="minorHAnsi"/>
          <w:lang w:val="en-GB"/>
        </w:rPr>
        <w:t xml:space="preserve">, reducing disposable income of the households, constitute another factor. In addition, many surveyed individuals report that the main reason why they lost the house and could not afford a new one was high healthcare expenses. Households had to sell the houses in order to pay surgery or medical treatment costs and after that due to the low income they could not purchase new flat. </w:t>
      </w:r>
      <w:r w:rsidR="001C6993">
        <w:rPr>
          <w:rFonts w:cstheme="minorHAnsi"/>
          <w:lang w:val="en-GB"/>
        </w:rPr>
        <w:t>According to the same report, many households also report that they could not afford paying a rent after losing a job.</w:t>
      </w:r>
    </w:p>
    <w:p w14:paraId="36860320" w14:textId="77777777" w:rsidR="00813727" w:rsidRDefault="00813727" w:rsidP="00813727">
      <w:pPr>
        <w:jc w:val="both"/>
        <w:rPr>
          <w:rFonts w:cstheme="minorHAnsi"/>
          <w:lang w:val="en-GB"/>
        </w:rPr>
      </w:pPr>
      <w:r>
        <w:rPr>
          <w:rFonts w:cstheme="minorHAnsi"/>
          <w:lang w:val="en-GB"/>
        </w:rPr>
        <w:t xml:space="preserve">The </w:t>
      </w:r>
      <w:r w:rsidRPr="006066AB">
        <w:rPr>
          <w:rFonts w:cstheme="minorHAnsi"/>
          <w:b/>
          <w:bCs/>
          <w:lang w:val="en-GB"/>
        </w:rPr>
        <w:t>market prices of the existing housing stock</w:t>
      </w:r>
      <w:r>
        <w:rPr>
          <w:rFonts w:cstheme="minorHAnsi"/>
          <w:lang w:val="en-GB"/>
        </w:rPr>
        <w:t xml:space="preserve"> also effect the affordability of housing. An insufficient housing stock (with respect to an increase in demand) would result in unavailability of housing and put pressure on prices, reducing affordability. However, according to </w:t>
      </w:r>
      <w:r>
        <w:rPr>
          <w:rFonts w:cstheme="minorHAnsi"/>
        </w:rPr>
        <w:t xml:space="preserve">most experts and housing availability is currently not an issue, even though some express doubts about the quality of the existing building stock. </w:t>
      </w:r>
      <w:r>
        <w:rPr>
          <w:rFonts w:cstheme="minorHAnsi"/>
          <w:lang w:val="en-GB"/>
        </w:rPr>
        <w:t xml:space="preserve">During the 1990s, due to the hard socio-economic conditions in the country the process of creating a new housing stock was suspended. At the same time, the quality of the existing housing stock deteriorated. Most families could neither afford to purchase/build new houses, nor to maintain the ones they owned properly. However, along with the increase of family sizes more spaces were needed. For this reason, people started expansion of their existing living spaces through accessory buildings, using – for example – modified balconies and part of common spaces as living spaces. Such works were typically done by low skilled labour, which negatively affected on the appearance of the buildings, but also the structural stability of the expansions is also questionable </w:t>
      </w:r>
      <w:sdt>
        <w:sdtPr>
          <w:rPr>
            <w:rFonts w:cstheme="minorHAnsi"/>
            <w:lang w:val="en-GB"/>
          </w:rPr>
          <w:id w:val="-56401787"/>
          <w:citation/>
        </w:sdtPr>
        <w:sdtEndPr/>
        <w:sdtContent>
          <w:r>
            <w:rPr>
              <w:rFonts w:cstheme="minorHAnsi"/>
              <w:lang w:val="en-GB"/>
            </w:rPr>
            <w:fldChar w:fldCharType="begin"/>
          </w:r>
          <w:r>
            <w:rPr>
              <w:rFonts w:cstheme="minorHAnsi"/>
              <w:lang w:val="en-GB"/>
            </w:rPr>
            <w:instrText xml:space="preserve"> CITATION Wor15 \l 2057 </w:instrText>
          </w:r>
          <w:r>
            <w:rPr>
              <w:rFonts w:cstheme="minorHAnsi"/>
              <w:lang w:val="en-GB"/>
            </w:rPr>
            <w:fldChar w:fldCharType="separate"/>
          </w:r>
          <w:r w:rsidRPr="0060317C">
            <w:rPr>
              <w:rFonts w:cstheme="minorHAnsi"/>
              <w:noProof/>
              <w:lang w:val="en-GB"/>
            </w:rPr>
            <w:t>(World Bank, 2015)</w:t>
          </w:r>
          <w:r>
            <w:rPr>
              <w:rFonts w:cstheme="minorHAnsi"/>
              <w:lang w:val="en-GB"/>
            </w:rPr>
            <w:fldChar w:fldCharType="end"/>
          </w:r>
        </w:sdtContent>
      </w:sdt>
      <w:r>
        <w:rPr>
          <w:rFonts w:cstheme="minorHAnsi"/>
          <w:lang w:val="en-GB"/>
        </w:rPr>
        <w:t>.</w:t>
      </w:r>
    </w:p>
    <w:p w14:paraId="4E32BFE9" w14:textId="0D30B2FA" w:rsidR="00813727" w:rsidRDefault="00813727" w:rsidP="00813727">
      <w:pPr>
        <w:jc w:val="both"/>
      </w:pPr>
      <w:r>
        <w:rPr>
          <w:rFonts w:cstheme="minorHAnsi"/>
          <w:lang w:val="en-GB"/>
        </w:rPr>
        <w:lastRenderedPageBreak/>
        <w:t xml:space="preserve">The expansion of the dwellings is not the only reason of the </w:t>
      </w:r>
      <w:r w:rsidRPr="006066AB">
        <w:rPr>
          <w:rFonts w:cstheme="minorHAnsi"/>
          <w:b/>
          <w:bCs/>
          <w:lang w:val="en-GB"/>
        </w:rPr>
        <w:t>poor-quality housing</w:t>
      </w:r>
      <w:r>
        <w:rPr>
          <w:rFonts w:cstheme="minorHAnsi"/>
          <w:lang w:val="en-GB"/>
        </w:rPr>
        <w:t xml:space="preserve"> in Georgia. Significant share of the existing housing stock in Georgia still comes to the houses that were built during the Soviet Union period. The houses during that period were built with cheap materials and quickly in order to accommodate increased </w:t>
      </w:r>
      <w:r w:rsidR="0021680A">
        <w:rPr>
          <w:rFonts w:cstheme="minorHAnsi"/>
          <w:lang w:val="en-GB"/>
        </w:rPr>
        <w:t>urban</w:t>
      </w:r>
      <w:r>
        <w:rPr>
          <w:rFonts w:cstheme="minorHAnsi"/>
          <w:lang w:val="en-GB"/>
        </w:rPr>
        <w:t xml:space="preserve"> population (especially in Tbilisi). In addition, poor maintenance of the buildings accelerated the deterioration process even more. Even though that the share of Soviet Union housing stock is decreasing along with the expansion of the construction sectors, the quality of newly build houses is not always good or satisfactory. This is mainly driven by the fact that</w:t>
      </w:r>
      <w:r w:rsidRPr="00FF1EB7">
        <w:t xml:space="preserve"> imported and locally produced </w:t>
      </w:r>
      <w:r>
        <w:t xml:space="preserve">construction </w:t>
      </w:r>
      <w:r w:rsidRPr="00FF1EB7">
        <w:t>materials are neither standard nor certified</w:t>
      </w:r>
      <w:r>
        <w:t>. In addition, i</w:t>
      </w:r>
      <w:r w:rsidRPr="00FF1EB7">
        <w:t>t</w:t>
      </w:r>
      <w:r>
        <w:t xml:space="preserve"> is not very difficult to get a building permit in Georgia </w:t>
      </w:r>
      <w:r>
        <w:softHyphen/>
        <w:t xml:space="preserve">– </w:t>
      </w:r>
      <w:r w:rsidRPr="00035060">
        <w:t xml:space="preserve">the documentation requirements for </w:t>
      </w:r>
      <w:r>
        <w:t>getting a building permit</w:t>
      </w:r>
      <w:r w:rsidRPr="00035060">
        <w:t xml:space="preserve"> are much </w:t>
      </w:r>
      <w:r>
        <w:t xml:space="preserve">lower than in other European countries </w:t>
      </w:r>
      <w:sdt>
        <w:sdtPr>
          <w:id w:val="582261709"/>
          <w:citation/>
        </w:sdtPr>
        <w:sdtEndPr/>
        <w:sdtContent>
          <w:r>
            <w:fldChar w:fldCharType="begin"/>
          </w:r>
          <w:r>
            <w:rPr>
              <w:lang w:val="en-GB"/>
            </w:rPr>
            <w:instrText xml:space="preserve"> CITATION Wor15 \l 2057 </w:instrText>
          </w:r>
          <w:r>
            <w:fldChar w:fldCharType="separate"/>
          </w:r>
          <w:r>
            <w:rPr>
              <w:noProof/>
              <w:lang w:val="en-GB"/>
            </w:rPr>
            <w:t>(World Bank, 2015)</w:t>
          </w:r>
          <w:r>
            <w:fldChar w:fldCharType="end"/>
          </w:r>
        </w:sdtContent>
      </w:sdt>
      <w:r>
        <w:t>.</w:t>
      </w:r>
    </w:p>
    <w:p w14:paraId="0BF92CF5" w14:textId="77777777" w:rsidR="00813727" w:rsidRPr="00D11BED" w:rsidRDefault="00813727" w:rsidP="00813727">
      <w:pPr>
        <w:jc w:val="both"/>
      </w:pPr>
      <w:r>
        <w:t xml:space="preserve">According to the studies conducted by World Bank </w:t>
      </w:r>
      <w:sdt>
        <w:sdtPr>
          <w:id w:val="710000619"/>
          <w:citation/>
        </w:sdtPr>
        <w:sdtEndPr/>
        <w:sdtContent>
          <w:r>
            <w:fldChar w:fldCharType="begin"/>
          </w:r>
          <w:r>
            <w:rPr>
              <w:lang w:val="en-GB"/>
            </w:rPr>
            <w:instrText xml:space="preserve"> CITATION Wor15 \l 2057 </w:instrText>
          </w:r>
          <w:r>
            <w:fldChar w:fldCharType="separate"/>
          </w:r>
          <w:r>
            <w:rPr>
              <w:noProof/>
              <w:lang w:val="en-GB"/>
            </w:rPr>
            <w:t>(World Bank, 2015)</w:t>
          </w:r>
          <w:r>
            <w:fldChar w:fldCharType="end"/>
          </w:r>
        </w:sdtContent>
      </w:sdt>
      <w:r>
        <w:t xml:space="preserve">; SDC </w:t>
      </w:r>
      <w:sdt>
        <w:sdtPr>
          <w:id w:val="-953548089"/>
          <w:citation/>
        </w:sdtPr>
        <w:sdtEndPr/>
        <w:sdtContent>
          <w:r>
            <w:fldChar w:fldCharType="begin"/>
          </w:r>
          <w:r>
            <w:rPr>
              <w:lang w:val="en-GB"/>
            </w:rPr>
            <w:instrText xml:space="preserve"> CITATION Swi15 \l 2057 </w:instrText>
          </w:r>
          <w:r>
            <w:fldChar w:fldCharType="separate"/>
          </w:r>
          <w:r>
            <w:rPr>
              <w:noProof/>
              <w:lang w:val="en-GB"/>
            </w:rPr>
            <w:t>(Swiss Agency for Developmen Cooperation (SDC), 2015)</w:t>
          </w:r>
          <w:r>
            <w:fldChar w:fldCharType="end"/>
          </w:r>
        </w:sdtContent>
      </w:sdt>
      <w:r>
        <w:t xml:space="preserve">  and Georgian Young Lawyers Association </w:t>
      </w:r>
      <w:sdt>
        <w:sdtPr>
          <w:id w:val="-1105804869"/>
          <w:citation/>
        </w:sdtPr>
        <w:sdtEndPr/>
        <w:sdtContent>
          <w:r>
            <w:fldChar w:fldCharType="begin"/>
          </w:r>
          <w:r>
            <w:rPr>
              <w:lang w:val="en-GB"/>
            </w:rPr>
            <w:instrText xml:space="preserve"> CITATION Geo14 \l 2057 </w:instrText>
          </w:r>
          <w:r>
            <w:fldChar w:fldCharType="separate"/>
          </w:r>
          <w:r>
            <w:rPr>
              <w:noProof/>
              <w:lang w:val="en-GB"/>
            </w:rPr>
            <w:t>(Georgian Young Lawyers Association, 2014)</w:t>
          </w:r>
          <w:r>
            <w:fldChar w:fldCharType="end"/>
          </w:r>
        </w:sdtContent>
      </w:sdt>
      <w:r>
        <w:t xml:space="preserve">in Georgia, the problem of unstable housing is also associated with the </w:t>
      </w:r>
      <w:r w:rsidRPr="006066AB">
        <w:rPr>
          <w:b/>
          <w:bCs/>
        </w:rPr>
        <w:t>loss of territory and the internal displacement</w:t>
      </w:r>
      <w:r>
        <w:t xml:space="preserve"> of individuals and households due to armed conflicts that have characterized the country’s recent past. </w:t>
      </w:r>
      <w:r w:rsidRPr="00D11BED">
        <w:t>Internally Displaced Pe</w:t>
      </w:r>
      <w:r>
        <w:t>rsons</w:t>
      </w:r>
      <w:r w:rsidRPr="00D11BED">
        <w:t xml:space="preserve"> </w:t>
      </w:r>
      <w:r>
        <w:t>historically</w:t>
      </w:r>
      <w:r w:rsidRPr="00D11BED">
        <w:t xml:space="preserve"> represent</w:t>
      </w:r>
      <w:r>
        <w:t>ed</w:t>
      </w:r>
      <w:r w:rsidRPr="00D11BED">
        <w:t xml:space="preserve"> one of the largest group</w:t>
      </w:r>
      <w:r>
        <w:t>s</w:t>
      </w:r>
      <w:r w:rsidRPr="00D11BED">
        <w:t xml:space="preserve"> of population with problems of unstable housing. </w:t>
      </w:r>
      <w:r>
        <w:t>Initially,</w:t>
      </w:r>
      <w:r w:rsidRPr="00D11BED">
        <w:t xml:space="preserve"> IDPs </w:t>
      </w:r>
      <w:r>
        <w:t>were</w:t>
      </w:r>
      <w:r w:rsidRPr="00D11BED">
        <w:t xml:space="preserve"> </w:t>
      </w:r>
      <w:r>
        <w:t>relocated</w:t>
      </w:r>
      <w:r w:rsidRPr="00D11BED">
        <w:t xml:space="preserve"> to building</w:t>
      </w:r>
      <w:r>
        <w:t>s</w:t>
      </w:r>
      <w:r w:rsidRPr="00D11BED">
        <w:t xml:space="preserve"> which were not primarily intended for living purposes, including vacant of ab</w:t>
      </w:r>
      <w:r>
        <w:t xml:space="preserve">andoned </w:t>
      </w:r>
      <w:r w:rsidRPr="00D11BED">
        <w:t xml:space="preserve">research institutes, kindergartens, hospitals, hotels and etc.  Most of the places </w:t>
      </w:r>
      <w:r>
        <w:t xml:space="preserve">were of </w:t>
      </w:r>
      <w:r w:rsidRPr="00D11BED">
        <w:t>communal type, which means that several households share</w:t>
      </w:r>
      <w:r>
        <w:t>d</w:t>
      </w:r>
      <w:r w:rsidRPr="00D11BED">
        <w:t xml:space="preserve"> the same bathroom and kitchen</w:t>
      </w:r>
      <w:r>
        <w:t xml:space="preserve">. </w:t>
      </w:r>
      <w:r w:rsidRPr="00D11BED">
        <w:t xml:space="preserve">Usually, only one room was delivered to each family without considering the number of household members. </w:t>
      </w:r>
      <w:r>
        <w:t xml:space="preserve">In such cases IDPs </w:t>
      </w:r>
      <w:r w:rsidRPr="00D11BED">
        <w:t>face</w:t>
      </w:r>
      <w:r>
        <w:t>d</w:t>
      </w:r>
      <w:r w:rsidRPr="00D11BED">
        <w:t xml:space="preserve"> two types of problems related to unstable housing: </w:t>
      </w:r>
      <w:r w:rsidRPr="006066AB">
        <w:rPr>
          <w:u w:val="single"/>
        </w:rPr>
        <w:t>unfit housing</w:t>
      </w:r>
      <w:r w:rsidRPr="00D11BED">
        <w:t xml:space="preserve"> (because the proposed building does not always satisfy the minim requirements for s</w:t>
      </w:r>
      <w:r>
        <w:t>anitary-hygienic norms, such as common bathroom and etc.</w:t>
      </w:r>
      <w:r w:rsidRPr="00D11BED">
        <w:t xml:space="preserve">) </w:t>
      </w:r>
      <w:r w:rsidRPr="006066AB">
        <w:rPr>
          <w:u w:val="single"/>
        </w:rPr>
        <w:t>and overcrowding</w:t>
      </w:r>
      <w:r>
        <w:t xml:space="preserve"> (according to the Sustainable </w:t>
      </w:r>
      <w:r>
        <w:rPr>
          <w:lang w:val="en-GB"/>
        </w:rPr>
        <w:t>Development</w:t>
      </w:r>
      <w:r>
        <w:t xml:space="preserve"> Goal 11.1 the overcrowding issue arise when three people live in a room with less than 9m</w:t>
      </w:r>
      <w:r>
        <w:rPr>
          <w:vertAlign w:val="superscript"/>
        </w:rPr>
        <w:t>2</w:t>
      </w:r>
      <w:r>
        <w:t xml:space="preserve"> of area)</w:t>
      </w:r>
      <w:r w:rsidRPr="00D11BED">
        <w:t xml:space="preserve">. In addition, in most of the cases the houses are under the temporary disposal of IDP families, which is translated into the insecure housing. </w:t>
      </w:r>
    </w:p>
    <w:p w14:paraId="713E6846" w14:textId="7E4EE863" w:rsidR="00813727" w:rsidRDefault="00813727" w:rsidP="00813727">
      <w:pPr>
        <w:jc w:val="both"/>
        <w:rPr>
          <w:rFonts w:cstheme="minorHAnsi"/>
        </w:rPr>
      </w:pPr>
      <w:r>
        <w:rPr>
          <w:rFonts w:cstheme="minorHAnsi"/>
          <w:bCs/>
        </w:rPr>
        <w:t xml:space="preserve"> According to </w:t>
      </w:r>
      <w:proofErr w:type="spellStart"/>
      <w:r>
        <w:rPr>
          <w:rFonts w:cstheme="minorHAnsi"/>
          <w:bCs/>
        </w:rPr>
        <w:t>MoLSHA</w:t>
      </w:r>
      <w:proofErr w:type="spellEnd"/>
      <w:r>
        <w:rPr>
          <w:rFonts w:cstheme="minorHAnsi"/>
          <w:bCs/>
        </w:rPr>
        <w:t xml:space="preserve">, </w:t>
      </w:r>
      <w:r w:rsidR="001E4F01">
        <w:rPr>
          <w:rFonts w:cstheme="minorHAnsi"/>
          <w:b/>
          <w:bCs/>
          <w:lang w:val="en-GB"/>
        </w:rPr>
        <w:t>n</w:t>
      </w:r>
      <w:proofErr w:type="spellStart"/>
      <w:r w:rsidRPr="006066AB">
        <w:rPr>
          <w:rFonts w:cstheme="minorHAnsi"/>
          <w:b/>
          <w:bCs/>
        </w:rPr>
        <w:t>atural</w:t>
      </w:r>
      <w:proofErr w:type="spellEnd"/>
      <w:r w:rsidRPr="006066AB">
        <w:rPr>
          <w:rFonts w:cstheme="minorHAnsi"/>
          <w:b/>
          <w:bCs/>
        </w:rPr>
        <w:t xml:space="preserve"> disasters</w:t>
      </w:r>
      <w:r>
        <w:rPr>
          <w:rFonts w:cstheme="minorHAnsi"/>
        </w:rPr>
        <w:t xml:space="preserve"> can also become a reason of losing house. </w:t>
      </w:r>
      <w:r w:rsidRPr="00D11BED">
        <w:rPr>
          <w:rFonts w:cstheme="minorHAnsi"/>
        </w:rPr>
        <w:t xml:space="preserve">This usually is a problem for the people living in mountainous areas and/or are under the </w:t>
      </w:r>
      <w:r>
        <w:rPr>
          <w:rFonts w:cstheme="minorHAnsi"/>
        </w:rPr>
        <w:t>threat of</w:t>
      </w:r>
      <w:r w:rsidRPr="00D11BED">
        <w:rPr>
          <w:rFonts w:cstheme="minorHAnsi"/>
        </w:rPr>
        <w:t xml:space="preserve"> los</w:t>
      </w:r>
      <w:r>
        <w:rPr>
          <w:rFonts w:cstheme="minorHAnsi"/>
        </w:rPr>
        <w:t>ing</w:t>
      </w:r>
      <w:r w:rsidRPr="00D11BED">
        <w:rPr>
          <w:rFonts w:cstheme="minorHAnsi"/>
        </w:rPr>
        <w:t xml:space="preserve"> their houses due to the natural disasters such as earthquakes and landslides. </w:t>
      </w:r>
      <w:r>
        <w:rPr>
          <w:rFonts w:cstheme="minorHAnsi"/>
        </w:rPr>
        <w:t>Historically, eco-migrants</w:t>
      </w:r>
      <w:r w:rsidRPr="00D11BED">
        <w:rPr>
          <w:rFonts w:cstheme="minorHAnsi"/>
        </w:rPr>
        <w:t xml:space="preserve"> </w:t>
      </w:r>
      <w:r>
        <w:rPr>
          <w:rFonts w:cstheme="minorHAnsi"/>
        </w:rPr>
        <w:t>were</w:t>
      </w:r>
      <w:r w:rsidRPr="00D11BED">
        <w:rPr>
          <w:rFonts w:cstheme="minorHAnsi"/>
        </w:rPr>
        <w:t xml:space="preserve"> </w:t>
      </w:r>
      <w:r>
        <w:rPr>
          <w:rFonts w:cstheme="minorHAnsi"/>
        </w:rPr>
        <w:t xml:space="preserve">moved </w:t>
      </w:r>
      <w:r w:rsidRPr="00D11BED">
        <w:rPr>
          <w:rFonts w:cstheme="minorHAnsi"/>
        </w:rPr>
        <w:t xml:space="preserve">to temporary living places, and </w:t>
      </w:r>
      <w:r>
        <w:rPr>
          <w:rFonts w:cstheme="minorHAnsi"/>
        </w:rPr>
        <w:t xml:space="preserve">– like IDPs – </w:t>
      </w:r>
      <w:r w:rsidRPr="00D11BED">
        <w:rPr>
          <w:rFonts w:cstheme="minorHAnsi"/>
        </w:rPr>
        <w:t xml:space="preserve">not always </w:t>
      </w:r>
      <w:r>
        <w:rPr>
          <w:rFonts w:cstheme="minorHAnsi"/>
        </w:rPr>
        <w:t>to</w:t>
      </w:r>
      <w:r w:rsidRPr="00D11BED">
        <w:rPr>
          <w:rFonts w:cstheme="minorHAnsi"/>
        </w:rPr>
        <w:t xml:space="preserve"> buildings</w:t>
      </w:r>
      <w:r>
        <w:rPr>
          <w:rFonts w:cstheme="minorHAnsi"/>
        </w:rPr>
        <w:t xml:space="preserve"> </w:t>
      </w:r>
      <w:r w:rsidRPr="00D11BED">
        <w:rPr>
          <w:rFonts w:cstheme="minorHAnsi"/>
        </w:rPr>
        <w:t xml:space="preserve">initially intended </w:t>
      </w:r>
      <w:r>
        <w:rPr>
          <w:rFonts w:cstheme="minorHAnsi"/>
        </w:rPr>
        <w:t xml:space="preserve">to serve </w:t>
      </w:r>
      <w:r w:rsidRPr="00D11BED">
        <w:rPr>
          <w:rFonts w:cstheme="minorHAnsi"/>
        </w:rPr>
        <w:t xml:space="preserve">as a living space. </w:t>
      </w:r>
    </w:p>
    <w:p w14:paraId="02334B41" w14:textId="77777777" w:rsidR="00813727" w:rsidRDefault="00813727" w:rsidP="00813727">
      <w:pPr>
        <w:jc w:val="both"/>
        <w:rPr>
          <w:rFonts w:cstheme="minorHAnsi"/>
        </w:rPr>
      </w:pPr>
      <w:r>
        <w:rPr>
          <w:rFonts w:cstheme="minorHAnsi"/>
        </w:rPr>
        <w:t xml:space="preserve">IDPs and eco-migrants are not the only group of citizens who are living in the buildings which was not initially planned for housing purposes. People, who cannot afford to purchase/rent flats often use different spaces as their house. It is common among the vulnerable groups of the society to use nonconventional facilities for their permanent habitation. Some people use office or garage spaces as their living spaces, other construct the living space by their own resources and usually materials used for the construction is not safe and appropriate for permanent habitation. In many cases such spaces do not have proper water supply, electricity and gas system, sewerage systems and etc. In addition, people living in such places are not often protected from environmental hazards, such as rain, wind and etc. </w:t>
      </w:r>
      <w:sdt>
        <w:sdtPr>
          <w:rPr>
            <w:rFonts w:cstheme="minorHAnsi"/>
          </w:rPr>
          <w:id w:val="1522354946"/>
          <w:citation/>
        </w:sdtPr>
        <w:sdtEndPr/>
        <w:sdtContent>
          <w:r>
            <w:rPr>
              <w:rFonts w:cstheme="minorHAnsi"/>
            </w:rPr>
            <w:fldChar w:fldCharType="begin"/>
          </w:r>
          <w:r>
            <w:rPr>
              <w:rFonts w:cstheme="minorHAnsi"/>
              <w:lang w:val="en-GB"/>
            </w:rPr>
            <w:instrText xml:space="preserve">CITATION Segnaposto1 \l 2057 </w:instrText>
          </w:r>
          <w:r>
            <w:rPr>
              <w:rFonts w:cstheme="minorHAnsi"/>
            </w:rPr>
            <w:fldChar w:fldCharType="separate"/>
          </w:r>
          <w:r w:rsidRPr="00D20247">
            <w:rPr>
              <w:rFonts w:cstheme="minorHAnsi"/>
              <w:noProof/>
              <w:lang w:val="en-GB"/>
            </w:rPr>
            <w:t>(Human Rights Education and Monitoring Center, 2016)</w:t>
          </w:r>
          <w:r>
            <w:rPr>
              <w:rFonts w:cstheme="minorHAnsi"/>
            </w:rPr>
            <w:fldChar w:fldCharType="end"/>
          </w:r>
        </w:sdtContent>
      </w:sdt>
      <w:r>
        <w:rPr>
          <w:rFonts w:cstheme="minorHAnsi"/>
        </w:rPr>
        <w:t xml:space="preserve">. </w:t>
      </w:r>
    </w:p>
    <w:p w14:paraId="04DABFFA" w14:textId="77777777" w:rsidR="00813727" w:rsidRDefault="00813727" w:rsidP="00813727">
      <w:pPr>
        <w:shd w:val="clear" w:color="auto" w:fill="FFFFFF"/>
        <w:spacing w:after="105" w:line="240" w:lineRule="auto"/>
        <w:jc w:val="both"/>
        <w:rPr>
          <w:rFonts w:cstheme="minorHAnsi"/>
          <w:lang w:val="en-GB"/>
        </w:rPr>
      </w:pPr>
      <w:r w:rsidRPr="006066AB">
        <w:rPr>
          <w:rFonts w:cstheme="minorHAnsi"/>
          <w:b/>
          <w:bCs/>
          <w:lang w:val="en-GB"/>
        </w:rPr>
        <w:t>Cultural traits</w:t>
      </w:r>
      <w:r>
        <w:rPr>
          <w:rFonts w:cstheme="minorHAnsi"/>
          <w:lang w:val="en-GB"/>
        </w:rPr>
        <w:t xml:space="preserve"> can also have an influence on unstable housing patterns. For example, in the Georgian reality the ‘multi-generation’ families, when two-three or more generation of the families live together, </w:t>
      </w:r>
      <w:r>
        <w:rPr>
          <w:rFonts w:cstheme="minorHAnsi"/>
          <w:lang w:val="en-GB"/>
        </w:rPr>
        <w:lastRenderedPageBreak/>
        <w:t xml:space="preserve">are common. This can lead to the problem of overcrowded dwellings. </w:t>
      </w:r>
      <w:r>
        <w:rPr>
          <w:rFonts w:cstheme="minorHAnsi"/>
        </w:rPr>
        <w:t>Overcrowded dwellings are considered to be another common issue in the Georgian housing sector.</w:t>
      </w:r>
      <w:r>
        <w:rPr>
          <w:rFonts w:cstheme="minorHAnsi"/>
          <w:lang w:val="en-GB"/>
        </w:rPr>
        <w:t xml:space="preserve"> </w:t>
      </w:r>
    </w:p>
    <w:p w14:paraId="62822ECA" w14:textId="04347D68" w:rsidR="00813727" w:rsidRPr="00813727" w:rsidRDefault="00813727" w:rsidP="00813727">
      <w:pPr>
        <w:jc w:val="both"/>
        <w:rPr>
          <w:rFonts w:cstheme="minorHAnsi"/>
          <w:lang w:val="en-GB"/>
        </w:rPr>
      </w:pPr>
      <w:r>
        <w:rPr>
          <w:rFonts w:cstheme="minorHAnsi"/>
          <w:lang w:val="en-GB"/>
        </w:rPr>
        <w:t xml:space="preserve">Other aspects affecting on unstable housing and homelessness are </w:t>
      </w:r>
      <w:r w:rsidRPr="006066AB">
        <w:rPr>
          <w:rFonts w:cstheme="minorHAnsi"/>
          <w:b/>
          <w:bCs/>
          <w:lang w:val="en-GB"/>
        </w:rPr>
        <w:t>gender related issues</w:t>
      </w:r>
      <w:r>
        <w:rPr>
          <w:rFonts w:cstheme="minorHAnsi"/>
          <w:lang w:val="en-GB"/>
        </w:rPr>
        <w:t xml:space="preserve"> which also can have roots among cultural characteristics. According to the study by EMC </w:t>
      </w:r>
      <w:sdt>
        <w:sdtPr>
          <w:rPr>
            <w:rFonts w:cstheme="minorHAnsi"/>
            <w:lang w:val="en-GB"/>
          </w:rPr>
          <w:id w:val="-583762691"/>
          <w:citation/>
        </w:sdtPr>
        <w:sdtEndPr/>
        <w:sdtContent>
          <w:r>
            <w:rPr>
              <w:rFonts w:cstheme="minorHAnsi"/>
              <w:lang w:val="en-GB"/>
            </w:rPr>
            <w:fldChar w:fldCharType="begin"/>
          </w:r>
          <w:r>
            <w:rPr>
              <w:rFonts w:cstheme="minorHAnsi"/>
              <w:lang w:val="en-GB"/>
            </w:rPr>
            <w:instrText xml:space="preserve">CITATION Hum16 \l 2057 </w:instrText>
          </w:r>
          <w:r>
            <w:rPr>
              <w:rFonts w:cstheme="minorHAnsi"/>
              <w:lang w:val="en-GB"/>
            </w:rPr>
            <w:fldChar w:fldCharType="separate"/>
          </w:r>
          <w:r w:rsidRPr="00D74D8C">
            <w:rPr>
              <w:rFonts w:cstheme="minorHAnsi"/>
              <w:noProof/>
              <w:lang w:val="en-GB"/>
            </w:rPr>
            <w:t>(Human Rights Education and Monitoring Center, 2016)</w:t>
          </w:r>
          <w:r>
            <w:rPr>
              <w:rFonts w:cstheme="minorHAnsi"/>
              <w:lang w:val="en-GB"/>
            </w:rPr>
            <w:fldChar w:fldCharType="end"/>
          </w:r>
        </w:sdtContent>
      </w:sdt>
      <w:r>
        <w:rPr>
          <w:rFonts w:cstheme="minorHAnsi"/>
          <w:lang w:val="en-GB"/>
        </w:rPr>
        <w:t xml:space="preserve"> female citizens often face the problem of unstable housing due to the several reasons: cultural characteristics sometimes effect on the family decision to inherit all the property to the son, not the daughter, such decisions often leave females (with their dependents) in unstable housing conditions. In addition, in Georgia females are more frequently victim of the domestic violence. For such victims several women shelters are functioning in the country (discusses above), however, the space in the shelters is provided usually for a short-term and after that period women either have to go back to the rapist, or to live to the friends and relatives for undefined time periods, or become homeless. </w:t>
      </w:r>
    </w:p>
    <w:p w14:paraId="5F01B18F" w14:textId="6CBBAD3C" w:rsidR="006C20D5" w:rsidRPr="004076AD" w:rsidRDefault="006C20D5" w:rsidP="00454C26">
      <w:pPr>
        <w:pStyle w:val="Heading3"/>
        <w:jc w:val="both"/>
        <w:rPr>
          <w:b/>
          <w:color w:val="002060"/>
        </w:rPr>
      </w:pPr>
      <w:bookmarkStart w:id="18" w:name="_Toc28008591"/>
      <w:bookmarkStart w:id="19" w:name="_Toc28010447"/>
      <w:r w:rsidRPr="004076AD">
        <w:rPr>
          <w:rFonts w:asciiTheme="minorHAnsi" w:hAnsiTheme="minorHAnsi"/>
          <w:b/>
          <w:color w:val="002060"/>
        </w:rPr>
        <w:t>Data</w:t>
      </w:r>
      <w:bookmarkEnd w:id="18"/>
      <w:bookmarkEnd w:id="19"/>
      <w:r w:rsidRPr="004076AD">
        <w:rPr>
          <w:rFonts w:asciiTheme="minorHAnsi" w:hAnsiTheme="minorHAnsi"/>
          <w:b/>
          <w:color w:val="002060"/>
        </w:rPr>
        <w:t xml:space="preserve"> </w:t>
      </w:r>
    </w:p>
    <w:p w14:paraId="3C1BE44C" w14:textId="77777777" w:rsidR="00B16C99" w:rsidRDefault="00B16C99" w:rsidP="00976D0B">
      <w:pPr>
        <w:jc w:val="both"/>
        <w:rPr>
          <w:rFonts w:cstheme="minorHAnsi"/>
        </w:rPr>
      </w:pPr>
    </w:p>
    <w:p w14:paraId="2AFD5602" w14:textId="7A76D6D0" w:rsidR="006C20D5" w:rsidRDefault="00082663" w:rsidP="00976D0B">
      <w:pPr>
        <w:jc w:val="both"/>
        <w:rPr>
          <w:rFonts w:cstheme="minorHAnsi"/>
        </w:rPr>
      </w:pPr>
      <w:r>
        <w:rPr>
          <w:rFonts w:cstheme="minorHAnsi"/>
        </w:rPr>
        <w:t>The main source</w:t>
      </w:r>
      <w:r w:rsidR="004925E6">
        <w:rPr>
          <w:rFonts w:cstheme="minorHAnsi"/>
        </w:rPr>
        <w:t>s</w:t>
      </w:r>
      <w:r>
        <w:rPr>
          <w:rFonts w:cstheme="minorHAnsi"/>
        </w:rPr>
        <w:t xml:space="preserve"> of </w:t>
      </w:r>
      <w:r w:rsidR="006C20D5">
        <w:rPr>
          <w:rFonts w:cstheme="minorHAnsi"/>
        </w:rPr>
        <w:t xml:space="preserve">data and </w:t>
      </w:r>
      <w:r>
        <w:rPr>
          <w:rFonts w:cstheme="minorHAnsi"/>
        </w:rPr>
        <w:t xml:space="preserve">information </w:t>
      </w:r>
      <w:r w:rsidR="006C20D5">
        <w:rPr>
          <w:rFonts w:cstheme="minorHAnsi"/>
        </w:rPr>
        <w:t xml:space="preserve">discussed in this section </w:t>
      </w:r>
      <w:r>
        <w:rPr>
          <w:rFonts w:cstheme="minorHAnsi"/>
        </w:rPr>
        <w:t>are</w:t>
      </w:r>
      <w:r w:rsidR="006C20D5">
        <w:rPr>
          <w:rFonts w:cstheme="minorHAnsi"/>
        </w:rPr>
        <w:t>:</w:t>
      </w:r>
      <w:r w:rsidR="00F523B3">
        <w:rPr>
          <w:rFonts w:cstheme="minorHAnsi"/>
        </w:rPr>
        <w:t xml:space="preserve"> </w:t>
      </w:r>
    </w:p>
    <w:p w14:paraId="371D5124" w14:textId="68090664" w:rsidR="006C20D5" w:rsidRPr="006066AB" w:rsidRDefault="00F523B3" w:rsidP="00454C26">
      <w:pPr>
        <w:pStyle w:val="ListParagraph"/>
        <w:numPr>
          <w:ilvl w:val="0"/>
          <w:numId w:val="17"/>
        </w:numPr>
        <w:jc w:val="both"/>
        <w:rPr>
          <w:i/>
          <w:iCs/>
          <w:color w:val="44546A" w:themeColor="text2"/>
          <w:sz w:val="18"/>
          <w:szCs w:val="18"/>
        </w:rPr>
      </w:pPr>
      <w:r w:rsidRPr="009D13A4">
        <w:rPr>
          <w:rFonts w:cstheme="minorHAnsi"/>
        </w:rPr>
        <w:t>National Statistics Office of Georgia</w:t>
      </w:r>
      <w:r w:rsidR="004925E6" w:rsidRPr="004C3BCA">
        <w:rPr>
          <w:rFonts w:cstheme="minorHAnsi"/>
        </w:rPr>
        <w:t xml:space="preserve"> </w:t>
      </w:r>
      <w:r w:rsidR="004925E6" w:rsidRPr="00610BE1">
        <w:rPr>
          <w:rFonts w:cstheme="minorHAnsi"/>
        </w:rPr>
        <w:t>(</w:t>
      </w:r>
      <w:proofErr w:type="spellStart"/>
      <w:r w:rsidR="004925E6" w:rsidRPr="00610BE1">
        <w:rPr>
          <w:rFonts w:cstheme="minorHAnsi"/>
        </w:rPr>
        <w:t>Geostat</w:t>
      </w:r>
      <w:proofErr w:type="spellEnd"/>
      <w:r w:rsidR="006C20D5" w:rsidRPr="006066AB">
        <w:rPr>
          <w:rFonts w:cstheme="minorHAnsi"/>
        </w:rPr>
        <w:t>)</w:t>
      </w:r>
      <w:r w:rsidR="00501E13">
        <w:rPr>
          <w:rStyle w:val="FootnoteReference"/>
          <w:rFonts w:cstheme="minorHAnsi"/>
        </w:rPr>
        <w:footnoteReference w:id="21"/>
      </w:r>
      <w:r w:rsidR="006C20D5">
        <w:rPr>
          <w:rFonts w:cstheme="minorHAnsi"/>
        </w:rPr>
        <w:t>;</w:t>
      </w:r>
    </w:p>
    <w:p w14:paraId="57A648F3" w14:textId="3D62F8B6" w:rsidR="006C20D5" w:rsidRPr="006066AB" w:rsidRDefault="00840F80" w:rsidP="00454C26">
      <w:pPr>
        <w:pStyle w:val="ListParagraph"/>
        <w:numPr>
          <w:ilvl w:val="0"/>
          <w:numId w:val="17"/>
        </w:numPr>
        <w:jc w:val="both"/>
        <w:rPr>
          <w:i/>
          <w:iCs/>
          <w:color w:val="44546A" w:themeColor="text2"/>
          <w:sz w:val="18"/>
          <w:szCs w:val="18"/>
        </w:rPr>
      </w:pPr>
      <w:r w:rsidRPr="009D13A4">
        <w:rPr>
          <w:rFonts w:cstheme="minorHAnsi"/>
        </w:rPr>
        <w:t xml:space="preserve">Ministry of Internally Displaced Persons from the Occupied Territories, </w:t>
      </w:r>
      <w:proofErr w:type="spellStart"/>
      <w:r w:rsidRPr="009D13A4">
        <w:rPr>
          <w:rFonts w:cstheme="minorHAnsi"/>
        </w:rPr>
        <w:t>Labour</w:t>
      </w:r>
      <w:proofErr w:type="spellEnd"/>
      <w:r w:rsidRPr="009D13A4">
        <w:rPr>
          <w:rFonts w:cstheme="minorHAnsi"/>
        </w:rPr>
        <w:t>, Health</w:t>
      </w:r>
      <w:r w:rsidRPr="004C3BCA">
        <w:rPr>
          <w:rFonts w:cstheme="minorHAnsi"/>
        </w:rPr>
        <w:t xml:space="preserve"> and Social Affai</w:t>
      </w:r>
      <w:r w:rsidRPr="00610BE1">
        <w:rPr>
          <w:rFonts w:cstheme="minorHAnsi"/>
        </w:rPr>
        <w:t>rs of G</w:t>
      </w:r>
      <w:r w:rsidRPr="00CF01FB">
        <w:rPr>
          <w:rFonts w:cstheme="minorHAnsi"/>
        </w:rPr>
        <w:t>eorgia</w:t>
      </w:r>
      <w:r w:rsidR="0063201F">
        <w:rPr>
          <w:rFonts w:cstheme="minorHAnsi"/>
          <w:lang w:val="ka-GE"/>
        </w:rPr>
        <w:t xml:space="preserve"> </w:t>
      </w:r>
      <w:r w:rsidR="0063201F">
        <w:rPr>
          <w:rFonts w:cstheme="minorHAnsi"/>
        </w:rPr>
        <w:t>and its legal entity under public law Social Service Agency</w:t>
      </w:r>
      <w:r w:rsidR="006C20D5">
        <w:rPr>
          <w:rFonts w:cstheme="minorHAnsi"/>
        </w:rPr>
        <w:t>;</w:t>
      </w:r>
    </w:p>
    <w:p w14:paraId="3EDE868C" w14:textId="610BC268" w:rsidR="006C20D5" w:rsidRPr="006066AB" w:rsidRDefault="000448C8" w:rsidP="00454C26">
      <w:pPr>
        <w:pStyle w:val="ListParagraph"/>
        <w:numPr>
          <w:ilvl w:val="0"/>
          <w:numId w:val="17"/>
        </w:numPr>
        <w:jc w:val="both"/>
        <w:rPr>
          <w:i/>
          <w:iCs/>
          <w:color w:val="44546A" w:themeColor="text2"/>
          <w:sz w:val="18"/>
          <w:szCs w:val="18"/>
        </w:rPr>
      </w:pPr>
      <w:r>
        <w:rPr>
          <w:rFonts w:cstheme="minorHAnsi"/>
        </w:rPr>
        <w:t>Municipalities</w:t>
      </w:r>
      <w:r w:rsidR="006C20D5">
        <w:rPr>
          <w:rFonts w:cstheme="minorHAnsi"/>
        </w:rPr>
        <w:t>;</w:t>
      </w:r>
    </w:p>
    <w:p w14:paraId="5D32CB88" w14:textId="5F4EA9D4" w:rsidR="006C20D5" w:rsidRPr="006066AB" w:rsidRDefault="00AC383A" w:rsidP="00454C26">
      <w:pPr>
        <w:pStyle w:val="ListParagraph"/>
        <w:numPr>
          <w:ilvl w:val="0"/>
          <w:numId w:val="17"/>
        </w:numPr>
        <w:jc w:val="both"/>
        <w:rPr>
          <w:i/>
          <w:iCs/>
          <w:color w:val="44546A" w:themeColor="text2"/>
          <w:sz w:val="18"/>
          <w:szCs w:val="18"/>
        </w:rPr>
      </w:pPr>
      <w:hyperlink r:id="rId11" w:history="1">
        <w:r w:rsidR="005C6868" w:rsidRPr="00454C26">
          <w:rPr>
            <w:rFonts w:cstheme="minorHAnsi"/>
          </w:rPr>
          <w:t>State Fund for Protection and Assistance of (Statutory) Victims of Human Trafficking</w:t>
        </w:r>
      </w:hyperlink>
      <w:r w:rsidR="005C6868" w:rsidRPr="00454C26">
        <w:rPr>
          <w:rFonts w:cstheme="minorHAnsi"/>
        </w:rPr>
        <w:t xml:space="preserve"> (</w:t>
      </w:r>
      <w:proofErr w:type="spellStart"/>
      <w:r w:rsidR="005C6868" w:rsidRPr="00454C26">
        <w:rPr>
          <w:rFonts w:cstheme="minorHAnsi"/>
        </w:rPr>
        <w:t>Atipfund</w:t>
      </w:r>
      <w:proofErr w:type="spellEnd"/>
      <w:r w:rsidR="005C6868" w:rsidRPr="00454C26">
        <w:rPr>
          <w:rFonts w:cstheme="minorHAnsi"/>
        </w:rPr>
        <w:t>)</w:t>
      </w:r>
    </w:p>
    <w:p w14:paraId="27702CF0" w14:textId="39104225" w:rsidR="006C20D5" w:rsidRPr="006066AB" w:rsidRDefault="00082663" w:rsidP="00454C26">
      <w:pPr>
        <w:pStyle w:val="ListParagraph"/>
        <w:numPr>
          <w:ilvl w:val="0"/>
          <w:numId w:val="17"/>
        </w:numPr>
        <w:jc w:val="both"/>
        <w:rPr>
          <w:i/>
          <w:iCs/>
          <w:color w:val="44546A" w:themeColor="text2"/>
          <w:sz w:val="18"/>
          <w:szCs w:val="18"/>
        </w:rPr>
      </w:pPr>
      <w:r w:rsidRPr="009D13A4">
        <w:rPr>
          <w:rFonts w:cstheme="minorHAnsi"/>
        </w:rPr>
        <w:t xml:space="preserve">Ministry of </w:t>
      </w:r>
      <w:r w:rsidR="006C20D5">
        <w:rPr>
          <w:rFonts w:cstheme="minorHAnsi"/>
        </w:rPr>
        <w:t xml:space="preserve">the </w:t>
      </w:r>
      <w:r w:rsidRPr="009D13A4">
        <w:rPr>
          <w:rFonts w:cstheme="minorHAnsi"/>
        </w:rPr>
        <w:t>Econom</w:t>
      </w:r>
      <w:r w:rsidR="006C20D5">
        <w:rPr>
          <w:rFonts w:cstheme="minorHAnsi"/>
        </w:rPr>
        <w:t>y</w:t>
      </w:r>
      <w:r w:rsidRPr="004C3BCA">
        <w:rPr>
          <w:rFonts w:cstheme="minorHAnsi"/>
        </w:rPr>
        <w:t xml:space="preserve"> and Sustainable Development </w:t>
      </w:r>
      <w:r w:rsidR="006C20D5">
        <w:rPr>
          <w:rFonts w:cstheme="minorHAnsi"/>
        </w:rPr>
        <w:t xml:space="preserve">and </w:t>
      </w:r>
      <w:r w:rsidRPr="004C3BCA">
        <w:rPr>
          <w:rFonts w:cstheme="minorHAnsi"/>
        </w:rPr>
        <w:t>its legal entity under public law</w:t>
      </w:r>
      <w:r w:rsidR="000448C8">
        <w:rPr>
          <w:rFonts w:cstheme="minorHAnsi"/>
        </w:rPr>
        <w:t xml:space="preserve"> -</w:t>
      </w:r>
      <w:r w:rsidRPr="004C3BCA">
        <w:rPr>
          <w:rFonts w:cstheme="minorHAnsi"/>
        </w:rPr>
        <w:t xml:space="preserve"> Nati</w:t>
      </w:r>
      <w:r w:rsidRPr="00610BE1">
        <w:rPr>
          <w:rFonts w:cstheme="minorHAnsi"/>
        </w:rPr>
        <w:t>onal Agency of State Property</w:t>
      </w:r>
      <w:r w:rsidR="006C20D5">
        <w:rPr>
          <w:rFonts w:cstheme="minorHAnsi"/>
        </w:rPr>
        <w:t>;</w:t>
      </w:r>
    </w:p>
    <w:p w14:paraId="1AF86C83" w14:textId="5A9C011A" w:rsidR="006C20D5" w:rsidRPr="000448C8" w:rsidRDefault="00082663" w:rsidP="00454C26">
      <w:pPr>
        <w:pStyle w:val="ListParagraph"/>
        <w:numPr>
          <w:ilvl w:val="0"/>
          <w:numId w:val="17"/>
        </w:numPr>
        <w:jc w:val="both"/>
        <w:rPr>
          <w:i/>
          <w:iCs/>
          <w:color w:val="44546A" w:themeColor="text2"/>
          <w:sz w:val="18"/>
          <w:szCs w:val="18"/>
        </w:rPr>
      </w:pPr>
      <w:r w:rsidRPr="009D13A4">
        <w:rPr>
          <w:rFonts w:cstheme="minorHAnsi"/>
        </w:rPr>
        <w:t>Minist</w:t>
      </w:r>
      <w:r w:rsidRPr="004C3BCA">
        <w:rPr>
          <w:rFonts w:cstheme="minorHAnsi"/>
        </w:rPr>
        <w:t>ry of Internal Affairs</w:t>
      </w:r>
      <w:r w:rsidR="006C20D5">
        <w:rPr>
          <w:rFonts w:cstheme="minorHAnsi"/>
        </w:rPr>
        <w:t>;</w:t>
      </w:r>
    </w:p>
    <w:p w14:paraId="28F30233" w14:textId="7080C39C" w:rsidR="000448C8" w:rsidRPr="00454C26" w:rsidRDefault="000448C8" w:rsidP="000448C8">
      <w:pPr>
        <w:pStyle w:val="ListParagraph"/>
        <w:numPr>
          <w:ilvl w:val="0"/>
          <w:numId w:val="17"/>
        </w:numPr>
        <w:jc w:val="both"/>
        <w:rPr>
          <w:i/>
          <w:iCs/>
          <w:color w:val="44546A" w:themeColor="text2"/>
          <w:sz w:val="18"/>
          <w:szCs w:val="18"/>
        </w:rPr>
      </w:pPr>
      <w:r>
        <w:rPr>
          <w:rFonts w:cstheme="minorHAnsi"/>
        </w:rPr>
        <w:t>Other</w:t>
      </w:r>
      <w:r w:rsidRPr="009D13A4">
        <w:rPr>
          <w:rFonts w:cstheme="minorHAnsi"/>
        </w:rPr>
        <w:t xml:space="preserve"> institutions </w:t>
      </w:r>
      <w:r>
        <w:rPr>
          <w:rFonts w:cstheme="minorHAnsi"/>
        </w:rPr>
        <w:t>which</w:t>
      </w:r>
      <w:r w:rsidRPr="009D13A4">
        <w:rPr>
          <w:rFonts w:cstheme="minorHAnsi"/>
        </w:rPr>
        <w:t xml:space="preserve"> have interests in the </w:t>
      </w:r>
      <w:r>
        <w:rPr>
          <w:rFonts w:cstheme="minorHAnsi"/>
        </w:rPr>
        <w:t>unstable housing</w:t>
      </w:r>
      <w:r w:rsidRPr="009D13A4">
        <w:rPr>
          <w:rFonts w:cstheme="minorHAnsi"/>
        </w:rPr>
        <w:t xml:space="preserve"> </w:t>
      </w:r>
      <w:r w:rsidRPr="004C3BCA">
        <w:rPr>
          <w:rFonts w:cstheme="minorHAnsi"/>
        </w:rPr>
        <w:t>field</w:t>
      </w:r>
      <w:r>
        <w:rPr>
          <w:rFonts w:cstheme="minorHAnsi"/>
        </w:rPr>
        <w:t>;</w:t>
      </w:r>
    </w:p>
    <w:p w14:paraId="2DE32CFF" w14:textId="77777777" w:rsidR="000448C8" w:rsidRPr="006066AB" w:rsidRDefault="000448C8" w:rsidP="000448C8">
      <w:pPr>
        <w:pStyle w:val="ListParagraph"/>
        <w:jc w:val="both"/>
        <w:rPr>
          <w:i/>
          <w:iCs/>
          <w:color w:val="44546A" w:themeColor="text2"/>
          <w:sz w:val="18"/>
          <w:szCs w:val="18"/>
        </w:rPr>
      </w:pPr>
    </w:p>
    <w:p w14:paraId="1941E189" w14:textId="20753648" w:rsidR="00115C67" w:rsidRPr="006C467C" w:rsidRDefault="00082663" w:rsidP="00976D0B">
      <w:pPr>
        <w:jc w:val="both"/>
        <w:rPr>
          <w:rFonts w:cstheme="minorHAnsi"/>
          <w:lang w:val="en-GB"/>
        </w:rPr>
      </w:pPr>
      <w:r>
        <w:rPr>
          <w:rFonts w:cstheme="minorHAnsi"/>
        </w:rPr>
        <w:t>Th</w:t>
      </w:r>
      <w:r w:rsidR="002D30AB">
        <w:rPr>
          <w:rFonts w:cstheme="minorHAnsi"/>
        </w:rPr>
        <w:t>is section</w:t>
      </w:r>
      <w:r w:rsidR="006E17F2">
        <w:rPr>
          <w:rFonts w:cstheme="minorHAnsi"/>
        </w:rPr>
        <w:t xml:space="preserve"> is divided into three</w:t>
      </w:r>
      <w:r w:rsidR="00112189">
        <w:rPr>
          <w:rFonts w:cstheme="minorHAnsi"/>
        </w:rPr>
        <w:t xml:space="preserve"> parts</w:t>
      </w:r>
      <w:r w:rsidR="00115C67">
        <w:rPr>
          <w:rFonts w:cstheme="minorHAnsi"/>
        </w:rPr>
        <w:t>:</w:t>
      </w:r>
      <w:r w:rsidR="00112189">
        <w:rPr>
          <w:rFonts w:cstheme="minorHAnsi"/>
        </w:rPr>
        <w:t xml:space="preserve"> </w:t>
      </w:r>
    </w:p>
    <w:p w14:paraId="55E7DA2F" w14:textId="2F4EE868" w:rsidR="00071E1D" w:rsidRDefault="00F00466" w:rsidP="00454C26">
      <w:pPr>
        <w:pStyle w:val="ListParagraph"/>
        <w:numPr>
          <w:ilvl w:val="0"/>
          <w:numId w:val="7"/>
        </w:numPr>
        <w:jc w:val="both"/>
        <w:rPr>
          <w:rFonts w:cstheme="minorHAnsi"/>
        </w:rPr>
      </w:pPr>
      <w:r>
        <w:rPr>
          <w:rFonts w:cstheme="minorHAnsi"/>
        </w:rPr>
        <w:t xml:space="preserve">an </w:t>
      </w:r>
      <w:r w:rsidRPr="008C49B7">
        <w:rPr>
          <w:rFonts w:cstheme="minorHAnsi"/>
        </w:rPr>
        <w:t>investigat</w:t>
      </w:r>
      <w:r>
        <w:rPr>
          <w:rFonts w:cstheme="minorHAnsi"/>
        </w:rPr>
        <w:t xml:space="preserve">ion of </w:t>
      </w:r>
      <w:r w:rsidR="00071E1D">
        <w:rPr>
          <w:rFonts w:cstheme="minorHAnsi"/>
        </w:rPr>
        <w:t>general housing market trends</w:t>
      </w:r>
      <w:r>
        <w:rPr>
          <w:rFonts w:cstheme="minorHAnsi"/>
        </w:rPr>
        <w:t xml:space="preserve"> in the Georgian context</w:t>
      </w:r>
      <w:r w:rsidR="001E0852">
        <w:rPr>
          <w:rFonts w:cstheme="minorHAnsi"/>
        </w:rPr>
        <w:t>;</w:t>
      </w:r>
    </w:p>
    <w:p w14:paraId="3C68130F" w14:textId="1676BACB" w:rsidR="00115C67" w:rsidRPr="00095BBA" w:rsidRDefault="00501E13" w:rsidP="00454C26">
      <w:pPr>
        <w:pStyle w:val="ListParagraph"/>
        <w:numPr>
          <w:ilvl w:val="0"/>
          <w:numId w:val="7"/>
        </w:numPr>
        <w:jc w:val="both"/>
        <w:rPr>
          <w:rFonts w:cstheme="minorHAnsi"/>
        </w:rPr>
      </w:pPr>
      <w:r>
        <w:rPr>
          <w:rFonts w:cstheme="minorHAnsi"/>
        </w:rPr>
        <w:t>a general</w:t>
      </w:r>
      <w:r w:rsidR="00B12947">
        <w:rPr>
          <w:rFonts w:cstheme="minorHAnsi"/>
        </w:rPr>
        <w:t xml:space="preserve"> overview of th</w:t>
      </w:r>
      <w:r w:rsidR="00C73DD2">
        <w:rPr>
          <w:rFonts w:cstheme="minorHAnsi"/>
        </w:rPr>
        <w:t>e phenomenon of</w:t>
      </w:r>
      <w:r w:rsidR="00115C67" w:rsidRPr="00095BBA">
        <w:rPr>
          <w:rFonts w:cstheme="minorHAnsi"/>
        </w:rPr>
        <w:t xml:space="preserve"> unstable housing</w:t>
      </w:r>
      <w:r w:rsidR="00C73DD2">
        <w:rPr>
          <w:rFonts w:cstheme="minorHAnsi"/>
        </w:rPr>
        <w:t xml:space="preserve"> in Georgia</w:t>
      </w:r>
      <w:r w:rsidR="00162CF4">
        <w:rPr>
          <w:rFonts w:cstheme="minorHAnsi"/>
        </w:rPr>
        <w:t>;</w:t>
      </w:r>
    </w:p>
    <w:p w14:paraId="4E2B2F71" w14:textId="60C52314" w:rsidR="00162CF4" w:rsidRDefault="00501E13" w:rsidP="00454C26">
      <w:pPr>
        <w:pStyle w:val="ListParagraph"/>
        <w:numPr>
          <w:ilvl w:val="0"/>
          <w:numId w:val="7"/>
        </w:numPr>
        <w:jc w:val="both"/>
        <w:rPr>
          <w:rFonts w:cstheme="minorHAnsi"/>
        </w:rPr>
      </w:pPr>
      <w:r>
        <w:rPr>
          <w:rFonts w:cstheme="minorHAnsi"/>
        </w:rPr>
        <w:t>a</w:t>
      </w:r>
      <w:r w:rsidR="00162CF4" w:rsidRPr="00095BBA">
        <w:rPr>
          <w:rFonts w:cstheme="minorHAnsi"/>
        </w:rPr>
        <w:t xml:space="preserve"> </w:t>
      </w:r>
      <w:r w:rsidR="007A5F02" w:rsidRPr="00095BBA">
        <w:rPr>
          <w:rFonts w:cstheme="minorHAnsi"/>
        </w:rPr>
        <w:t>d</w:t>
      </w:r>
      <w:r w:rsidR="007A5F02">
        <w:rPr>
          <w:rFonts w:cstheme="minorHAnsi"/>
        </w:rPr>
        <w:t>isaggregated</w:t>
      </w:r>
      <w:r w:rsidR="007A5F02" w:rsidRPr="00095BBA">
        <w:rPr>
          <w:rFonts w:cstheme="minorHAnsi"/>
        </w:rPr>
        <w:t xml:space="preserve"> </w:t>
      </w:r>
      <w:r w:rsidR="00162CF4" w:rsidRPr="00095BBA">
        <w:rPr>
          <w:rFonts w:cstheme="minorHAnsi"/>
        </w:rPr>
        <w:t xml:space="preserve">analysis </w:t>
      </w:r>
      <w:r w:rsidR="007A5F02">
        <w:rPr>
          <w:rFonts w:cstheme="minorHAnsi"/>
        </w:rPr>
        <w:t>of the phenomenon of</w:t>
      </w:r>
      <w:r w:rsidR="007A5F02" w:rsidRPr="00095BBA">
        <w:rPr>
          <w:rFonts w:cstheme="minorHAnsi"/>
        </w:rPr>
        <w:t xml:space="preserve"> unstable housing</w:t>
      </w:r>
      <w:r w:rsidR="007A5F02">
        <w:rPr>
          <w:rFonts w:cstheme="minorHAnsi"/>
        </w:rPr>
        <w:t xml:space="preserve"> in Georgia, with a focus on </w:t>
      </w:r>
      <w:r w:rsidR="00C73DD2">
        <w:rPr>
          <w:rFonts w:cstheme="minorHAnsi"/>
        </w:rPr>
        <w:t xml:space="preserve">outcomes </w:t>
      </w:r>
      <w:r w:rsidR="00CF798A">
        <w:rPr>
          <w:rFonts w:cstheme="minorHAnsi"/>
        </w:rPr>
        <w:t xml:space="preserve">and household characteristics </w:t>
      </w:r>
      <w:r>
        <w:rPr>
          <w:rFonts w:cstheme="minorHAnsi"/>
        </w:rPr>
        <w:t xml:space="preserve">potentially </w:t>
      </w:r>
      <w:r w:rsidR="00C73DD2">
        <w:rPr>
          <w:rFonts w:cstheme="minorHAnsi"/>
        </w:rPr>
        <w:t>related to</w:t>
      </w:r>
      <w:r w:rsidR="00115C67" w:rsidRPr="00095BBA">
        <w:rPr>
          <w:rFonts w:cstheme="minorHAnsi"/>
        </w:rPr>
        <w:t xml:space="preserve"> unstable housing</w:t>
      </w:r>
      <w:r w:rsidR="00162CF4">
        <w:rPr>
          <w:rFonts w:cstheme="minorHAnsi"/>
        </w:rPr>
        <w:t>;</w:t>
      </w:r>
    </w:p>
    <w:p w14:paraId="3C0933D2" w14:textId="77777777" w:rsidR="00F00466" w:rsidRDefault="00F00466" w:rsidP="00D74D8C">
      <w:pPr>
        <w:pStyle w:val="ListParagraph"/>
        <w:jc w:val="both"/>
        <w:rPr>
          <w:rFonts w:cstheme="minorHAnsi"/>
        </w:rPr>
      </w:pPr>
    </w:p>
    <w:p w14:paraId="00D8E293" w14:textId="4277C840" w:rsidR="007A5F02" w:rsidRDefault="00F00466" w:rsidP="007A5F02">
      <w:pPr>
        <w:jc w:val="both"/>
        <w:rPr>
          <w:rFonts w:cstheme="minorHAnsi"/>
        </w:rPr>
      </w:pPr>
      <w:r w:rsidRPr="00095BBA">
        <w:rPr>
          <w:rFonts w:cstheme="minorHAnsi"/>
        </w:rPr>
        <w:t xml:space="preserve">The </w:t>
      </w:r>
      <w:r>
        <w:rPr>
          <w:rFonts w:cstheme="minorHAnsi"/>
        </w:rPr>
        <w:t>first</w:t>
      </w:r>
      <w:r w:rsidRPr="00095BBA">
        <w:rPr>
          <w:rFonts w:cstheme="minorHAnsi"/>
        </w:rPr>
        <w:t xml:space="preserve"> part of </w:t>
      </w:r>
      <w:r>
        <w:rPr>
          <w:rFonts w:cstheme="minorHAnsi"/>
        </w:rPr>
        <w:t xml:space="preserve">the </w:t>
      </w:r>
      <w:r w:rsidRPr="00095BBA">
        <w:rPr>
          <w:rFonts w:cstheme="minorHAnsi"/>
        </w:rPr>
        <w:t xml:space="preserve">analysis </w:t>
      </w:r>
      <w:r w:rsidRPr="00680F00">
        <w:rPr>
          <w:rFonts w:cstheme="minorHAnsi"/>
        </w:rPr>
        <w:t xml:space="preserve">investigates </w:t>
      </w:r>
      <w:r w:rsidR="001E0852" w:rsidRPr="00D74D8C">
        <w:rPr>
          <w:rFonts w:cstheme="minorHAnsi"/>
          <w:b/>
          <w:bCs/>
        </w:rPr>
        <w:t>general housing market trends</w:t>
      </w:r>
      <w:r w:rsidR="001E0852">
        <w:rPr>
          <w:rFonts w:cstheme="minorHAnsi"/>
        </w:rPr>
        <w:t xml:space="preserve"> in the Georgian context</w:t>
      </w:r>
      <w:r>
        <w:rPr>
          <w:rFonts w:cstheme="minorHAnsi"/>
        </w:rPr>
        <w:t xml:space="preserve">. </w:t>
      </w:r>
      <w:r w:rsidR="007B3C4A">
        <w:rPr>
          <w:rFonts w:cstheme="minorHAnsi"/>
        </w:rPr>
        <w:t>T</w:t>
      </w:r>
      <w:r w:rsidR="00112189" w:rsidRPr="00095BBA">
        <w:rPr>
          <w:rFonts w:cstheme="minorHAnsi"/>
        </w:rPr>
        <w:t xml:space="preserve">he </w:t>
      </w:r>
      <w:r>
        <w:rPr>
          <w:rFonts w:cstheme="minorHAnsi"/>
        </w:rPr>
        <w:t>second</w:t>
      </w:r>
      <w:r w:rsidR="006E17F2" w:rsidRPr="00095BBA">
        <w:rPr>
          <w:rFonts w:cstheme="minorHAnsi"/>
        </w:rPr>
        <w:t xml:space="preserve"> part </w:t>
      </w:r>
      <w:r w:rsidR="00082663" w:rsidRPr="00116E42">
        <w:rPr>
          <w:rFonts w:cstheme="minorHAnsi"/>
        </w:rPr>
        <w:t>starts</w:t>
      </w:r>
      <w:r w:rsidR="00112189" w:rsidRPr="00116E42">
        <w:rPr>
          <w:rFonts w:cstheme="minorHAnsi"/>
        </w:rPr>
        <w:t xml:space="preserve"> with</w:t>
      </w:r>
      <w:r w:rsidR="00082663" w:rsidRPr="00116E42">
        <w:rPr>
          <w:rFonts w:cstheme="minorHAnsi"/>
        </w:rPr>
        <w:t xml:space="preserve"> </w:t>
      </w:r>
      <w:r w:rsidR="00112189" w:rsidRPr="00116E42">
        <w:rPr>
          <w:rFonts w:cstheme="minorHAnsi"/>
        </w:rPr>
        <w:t xml:space="preserve">an </w:t>
      </w:r>
      <w:r w:rsidR="00082663" w:rsidRPr="00116E42">
        <w:rPr>
          <w:rFonts w:cstheme="minorHAnsi"/>
        </w:rPr>
        <w:t>analy</w:t>
      </w:r>
      <w:r w:rsidR="001B7A20" w:rsidRPr="00116E42">
        <w:rPr>
          <w:rFonts w:cstheme="minorHAnsi"/>
        </w:rPr>
        <w:t xml:space="preserve">sis </w:t>
      </w:r>
      <w:r w:rsidR="00112189" w:rsidRPr="00116E42">
        <w:rPr>
          <w:rFonts w:cstheme="minorHAnsi"/>
        </w:rPr>
        <w:t>of</w:t>
      </w:r>
      <w:r w:rsidR="001B7A20" w:rsidRPr="00116E42">
        <w:rPr>
          <w:rFonts w:cstheme="minorHAnsi"/>
        </w:rPr>
        <w:t xml:space="preserve"> </w:t>
      </w:r>
      <w:r w:rsidR="00082663" w:rsidRPr="00116E42">
        <w:rPr>
          <w:rFonts w:cstheme="minorHAnsi"/>
        </w:rPr>
        <w:t>the most severe form</w:t>
      </w:r>
      <w:r w:rsidR="00501E13">
        <w:rPr>
          <w:rFonts w:cstheme="minorHAnsi"/>
        </w:rPr>
        <w:t>s</w:t>
      </w:r>
      <w:r w:rsidR="00082663" w:rsidRPr="00116E42">
        <w:rPr>
          <w:rFonts w:cstheme="minorHAnsi"/>
        </w:rPr>
        <w:t xml:space="preserve"> of unstable housing, homelessness and roo</w:t>
      </w:r>
      <w:r w:rsidR="00770122" w:rsidRPr="00116E42">
        <w:rPr>
          <w:rFonts w:cstheme="minorHAnsi"/>
        </w:rPr>
        <w:t>f</w:t>
      </w:r>
      <w:r w:rsidR="00082663" w:rsidRPr="00116E42">
        <w:rPr>
          <w:rFonts w:cstheme="minorHAnsi"/>
        </w:rPr>
        <w:t xml:space="preserve">lessness, and then is followed by </w:t>
      </w:r>
      <w:r w:rsidR="00501E13">
        <w:rPr>
          <w:rFonts w:cstheme="minorHAnsi"/>
        </w:rPr>
        <w:t xml:space="preserve">the </w:t>
      </w:r>
      <w:r w:rsidR="00082663" w:rsidRPr="00116E42">
        <w:rPr>
          <w:rFonts w:cstheme="minorHAnsi"/>
        </w:rPr>
        <w:t>discussi</w:t>
      </w:r>
      <w:r w:rsidR="00501E13">
        <w:rPr>
          <w:rFonts w:cstheme="minorHAnsi"/>
        </w:rPr>
        <w:t>on of</w:t>
      </w:r>
      <w:r w:rsidR="00082663" w:rsidRPr="00116E42">
        <w:rPr>
          <w:rFonts w:cstheme="minorHAnsi"/>
        </w:rPr>
        <w:t xml:space="preserve"> the condition of households who suffer </w:t>
      </w:r>
      <w:r w:rsidR="00501E13">
        <w:rPr>
          <w:rFonts w:cstheme="minorHAnsi"/>
        </w:rPr>
        <w:t xml:space="preserve">from </w:t>
      </w:r>
      <w:r w:rsidR="00082663" w:rsidRPr="00116E42">
        <w:rPr>
          <w:rFonts w:cstheme="minorHAnsi"/>
        </w:rPr>
        <w:lastRenderedPageBreak/>
        <w:t xml:space="preserve">insecure and inadequate housing conditions. </w:t>
      </w:r>
      <w:r w:rsidR="00501E13">
        <w:rPr>
          <w:rFonts w:cstheme="minorHAnsi"/>
        </w:rPr>
        <w:t>The purpose of this part is to analyze</w:t>
      </w:r>
      <w:r w:rsidR="004925E6" w:rsidRPr="00095BBA">
        <w:rPr>
          <w:rFonts w:cstheme="minorHAnsi"/>
        </w:rPr>
        <w:t xml:space="preserve"> all available information about households living in unstable housing to </w:t>
      </w:r>
      <w:r w:rsidR="00501E13" w:rsidRPr="006066AB">
        <w:rPr>
          <w:rFonts w:cstheme="minorHAnsi"/>
          <w:b/>
          <w:bCs/>
        </w:rPr>
        <w:t xml:space="preserve">produce a general </w:t>
      </w:r>
      <w:r w:rsidR="004925E6" w:rsidRPr="006066AB">
        <w:rPr>
          <w:rFonts w:cstheme="minorHAnsi"/>
          <w:b/>
          <w:bCs/>
        </w:rPr>
        <w:t xml:space="preserve">picture </w:t>
      </w:r>
      <w:r w:rsidR="00501E13" w:rsidRPr="006066AB">
        <w:rPr>
          <w:rFonts w:cstheme="minorHAnsi"/>
          <w:b/>
          <w:bCs/>
        </w:rPr>
        <w:t>of the phenomenon of unstable housing in Georgia</w:t>
      </w:r>
      <w:r w:rsidR="004925E6" w:rsidRPr="00680F00">
        <w:rPr>
          <w:rFonts w:cstheme="minorHAnsi"/>
        </w:rPr>
        <w:t xml:space="preserve">. </w:t>
      </w:r>
      <w:r w:rsidR="00112189" w:rsidRPr="00095BBA">
        <w:rPr>
          <w:rFonts w:cstheme="minorHAnsi"/>
        </w:rPr>
        <w:t xml:space="preserve">The </w:t>
      </w:r>
      <w:r w:rsidR="001E6D5F">
        <w:rPr>
          <w:rFonts w:cstheme="minorHAnsi"/>
        </w:rPr>
        <w:t>third</w:t>
      </w:r>
      <w:r w:rsidR="00112189" w:rsidRPr="00095BBA">
        <w:rPr>
          <w:rFonts w:cstheme="minorHAnsi"/>
        </w:rPr>
        <w:t xml:space="preserve"> part represents </w:t>
      </w:r>
      <w:r w:rsidR="004C6E65">
        <w:rPr>
          <w:rFonts w:cstheme="minorHAnsi"/>
        </w:rPr>
        <w:t>a</w:t>
      </w:r>
      <w:r w:rsidR="004925E6" w:rsidRPr="00095BBA">
        <w:rPr>
          <w:rFonts w:cstheme="minorHAnsi"/>
        </w:rPr>
        <w:t xml:space="preserve"> data </w:t>
      </w:r>
      <w:r w:rsidR="004925E6" w:rsidRPr="006066AB">
        <w:rPr>
          <w:rFonts w:cstheme="minorHAnsi"/>
          <w:b/>
          <w:bCs/>
        </w:rPr>
        <w:t xml:space="preserve">review </w:t>
      </w:r>
      <w:r w:rsidR="00501E13" w:rsidRPr="006066AB">
        <w:rPr>
          <w:rFonts w:cstheme="minorHAnsi"/>
          <w:b/>
          <w:bCs/>
        </w:rPr>
        <w:t xml:space="preserve">of the correlation between unstable housing and other </w:t>
      </w:r>
      <w:r w:rsidR="00112189" w:rsidRPr="006066AB">
        <w:rPr>
          <w:rFonts w:cstheme="minorHAnsi"/>
          <w:b/>
          <w:bCs/>
        </w:rPr>
        <w:t>negative outcomes</w:t>
      </w:r>
      <w:r w:rsidR="00501E13">
        <w:rPr>
          <w:rFonts w:cstheme="minorHAnsi"/>
        </w:rPr>
        <w:t>, such</w:t>
      </w:r>
      <w:r w:rsidR="00112189" w:rsidRPr="00095BBA">
        <w:rPr>
          <w:rFonts w:cstheme="minorHAnsi"/>
        </w:rPr>
        <w:t xml:space="preserve"> as </w:t>
      </w:r>
      <w:r w:rsidR="00501E13">
        <w:rPr>
          <w:rFonts w:cstheme="minorHAnsi"/>
        </w:rPr>
        <w:t>low household incomes</w:t>
      </w:r>
      <w:r w:rsidR="00112189" w:rsidRPr="00680F00">
        <w:rPr>
          <w:rFonts w:cstheme="minorHAnsi"/>
        </w:rPr>
        <w:t xml:space="preserve"> and income </w:t>
      </w:r>
      <w:r w:rsidR="001B7A20" w:rsidRPr="00116E42">
        <w:rPr>
          <w:rFonts w:cstheme="minorHAnsi"/>
        </w:rPr>
        <w:t>inequality</w:t>
      </w:r>
      <w:r w:rsidR="007A5F02">
        <w:rPr>
          <w:rFonts w:cstheme="minorHAnsi"/>
        </w:rPr>
        <w:t xml:space="preserve">, </w:t>
      </w:r>
      <w:r w:rsidR="007A5F02" w:rsidRPr="006066AB">
        <w:rPr>
          <w:rFonts w:cstheme="minorHAnsi"/>
          <w:b/>
          <w:bCs/>
        </w:rPr>
        <w:t>as well as some household traits</w:t>
      </w:r>
      <w:r w:rsidR="007A5F02">
        <w:rPr>
          <w:rFonts w:cstheme="minorHAnsi"/>
        </w:rPr>
        <w:t xml:space="preserve"> identified by the literature and/or by experts and other stakeholders as </w:t>
      </w:r>
      <w:r w:rsidR="007A5F02" w:rsidRPr="006066AB">
        <w:rPr>
          <w:rFonts w:cstheme="minorHAnsi"/>
          <w:b/>
          <w:bCs/>
        </w:rPr>
        <w:t>strongly associated with increased vulnerability to unstable housing</w:t>
      </w:r>
      <w:r w:rsidR="007A5F02">
        <w:rPr>
          <w:rFonts w:cstheme="minorHAnsi"/>
        </w:rPr>
        <w:t xml:space="preserve"> (</w:t>
      </w:r>
      <w:r w:rsidR="007A5F02" w:rsidRPr="00116E42">
        <w:rPr>
          <w:rFonts w:cstheme="minorHAnsi"/>
        </w:rPr>
        <w:t>IDPs, disabled people</w:t>
      </w:r>
      <w:r w:rsidR="007A5F02">
        <w:rPr>
          <w:rFonts w:cstheme="minorHAnsi"/>
        </w:rPr>
        <w:t xml:space="preserve">, </w:t>
      </w:r>
      <w:r w:rsidR="007A5F02" w:rsidRPr="00116E42">
        <w:rPr>
          <w:rFonts w:cstheme="minorHAnsi"/>
        </w:rPr>
        <w:t>woman headed households</w:t>
      </w:r>
      <w:r w:rsidR="007A5F02">
        <w:rPr>
          <w:rFonts w:cstheme="minorHAnsi"/>
        </w:rPr>
        <w:t>, etc</w:t>
      </w:r>
      <w:r w:rsidR="007A5F02" w:rsidRPr="00116E42">
        <w:rPr>
          <w:rFonts w:cstheme="minorHAnsi"/>
        </w:rPr>
        <w:t>.</w:t>
      </w:r>
      <w:r w:rsidR="007A5F02">
        <w:rPr>
          <w:rFonts w:cstheme="minorHAnsi"/>
        </w:rPr>
        <w:t>).</w:t>
      </w:r>
    </w:p>
    <w:p w14:paraId="084A1E43" w14:textId="77777777" w:rsidR="000448C8" w:rsidRDefault="000448C8" w:rsidP="007A5F02">
      <w:pPr>
        <w:jc w:val="both"/>
        <w:rPr>
          <w:rFonts w:cstheme="minorHAnsi"/>
        </w:rPr>
      </w:pPr>
    </w:p>
    <w:p w14:paraId="2F99FCF5" w14:textId="592EABA2" w:rsidR="00A134FE" w:rsidRPr="004076AD" w:rsidRDefault="004076AD" w:rsidP="00D74D8C">
      <w:pPr>
        <w:pStyle w:val="Heading2"/>
        <w:jc w:val="both"/>
        <w:rPr>
          <w:b/>
          <w:color w:val="002060"/>
        </w:rPr>
      </w:pPr>
      <w:bookmarkStart w:id="20" w:name="_Toc28008592"/>
      <w:bookmarkStart w:id="21" w:name="_Toc28010448"/>
      <w:r>
        <w:rPr>
          <w:b/>
          <w:color w:val="002060"/>
        </w:rPr>
        <w:t>General M</w:t>
      </w:r>
      <w:r w:rsidR="008F2E66" w:rsidRPr="004076AD">
        <w:rPr>
          <w:b/>
          <w:color w:val="002060"/>
        </w:rPr>
        <w:t>arket</w:t>
      </w:r>
      <w:r w:rsidR="00A134FE" w:rsidRPr="004076AD">
        <w:rPr>
          <w:b/>
          <w:color w:val="002060"/>
        </w:rPr>
        <w:t xml:space="preserve"> </w:t>
      </w:r>
      <w:r>
        <w:rPr>
          <w:b/>
          <w:color w:val="002060"/>
        </w:rPr>
        <w:t>T</w:t>
      </w:r>
      <w:r w:rsidR="00A134FE" w:rsidRPr="004076AD">
        <w:rPr>
          <w:b/>
          <w:color w:val="002060"/>
        </w:rPr>
        <w:t>rends</w:t>
      </w:r>
      <w:bookmarkEnd w:id="20"/>
      <w:bookmarkEnd w:id="21"/>
    </w:p>
    <w:p w14:paraId="31812FF4" w14:textId="77777777" w:rsidR="00C6347D" w:rsidRDefault="00C6347D" w:rsidP="00A134FE">
      <w:pPr>
        <w:jc w:val="both"/>
      </w:pPr>
    </w:p>
    <w:p w14:paraId="697EA7C7" w14:textId="4D1894F9" w:rsidR="00A134FE" w:rsidRDefault="00A134FE" w:rsidP="00A134FE">
      <w:pPr>
        <w:jc w:val="both"/>
      </w:pPr>
      <w:r>
        <w:t>As it was already mentioned there are economic and social factors affecting housing unaffordability or instability. In this section relevant socio-economic trends that might affect the extent and depth of unstable housing</w:t>
      </w:r>
      <w:r w:rsidR="00C1517A">
        <w:t xml:space="preserve"> are going to be introduced</w:t>
      </w:r>
      <w:r>
        <w:t>.</w:t>
      </w:r>
    </w:p>
    <w:p w14:paraId="1AB80E31" w14:textId="77777777" w:rsidR="00A134FE" w:rsidRPr="00C510FB" w:rsidRDefault="00A134FE" w:rsidP="00A134FE">
      <w:pPr>
        <w:jc w:val="both"/>
        <w:rPr>
          <w:b/>
          <w:bCs/>
        </w:rPr>
      </w:pPr>
      <w:r w:rsidRPr="00C510FB">
        <w:rPr>
          <w:b/>
          <w:bCs/>
        </w:rPr>
        <w:t>Demand side</w:t>
      </w:r>
    </w:p>
    <w:p w14:paraId="2082370E" w14:textId="326FCBAF" w:rsidR="00153B90" w:rsidRDefault="00153B90" w:rsidP="00153B90">
      <w:pPr>
        <w:jc w:val="both"/>
      </w:pPr>
      <w:r>
        <w:t xml:space="preserve">Demand side factors, such as </w:t>
      </w:r>
      <w:r w:rsidR="007D02A2">
        <w:t>demographic trends</w:t>
      </w:r>
      <w:r>
        <w:t>, labor market trends, inequality and poverty trends, and changes in the cost of borrowing defines much the demand level on housing market.</w:t>
      </w:r>
    </w:p>
    <w:p w14:paraId="0E3F0758" w14:textId="19D98265" w:rsidR="00153B90" w:rsidRPr="00C510FB" w:rsidRDefault="007D02A2" w:rsidP="00153B90">
      <w:pPr>
        <w:jc w:val="both"/>
        <w:rPr>
          <w:b/>
          <w:bCs/>
          <w:i/>
          <w:iCs/>
        </w:rPr>
      </w:pPr>
      <w:r>
        <w:rPr>
          <w:b/>
          <w:bCs/>
          <w:i/>
          <w:iCs/>
        </w:rPr>
        <w:t>Demographic trends</w:t>
      </w:r>
    </w:p>
    <w:p w14:paraId="7191B560" w14:textId="315DF49D" w:rsidR="002273F7" w:rsidRDefault="00153B90" w:rsidP="002273F7">
      <w:pPr>
        <w:jc w:val="both"/>
      </w:pPr>
      <w:r>
        <w:t xml:space="preserve">As it can be noticed </w:t>
      </w:r>
      <w:r w:rsidR="00B16C99">
        <w:t>Table 2</w:t>
      </w:r>
      <w:r>
        <w:t xml:space="preserve">, over the period 2007-2018 Georgian population decreased by 0.34%, mostly driven by declining population in </w:t>
      </w:r>
      <w:r w:rsidR="0021680A">
        <w:t>rural</w:t>
      </w:r>
      <w:r>
        <w:t xml:space="preserve"> areas (0.72%)</w:t>
      </w:r>
      <w:r>
        <w:rPr>
          <w:rStyle w:val="FootnoteReference"/>
        </w:rPr>
        <w:footnoteReference w:id="22"/>
      </w:r>
      <w:r w:rsidR="002273F7">
        <w:t xml:space="preserve">. </w:t>
      </w:r>
    </w:p>
    <w:p w14:paraId="53DABD39" w14:textId="0FBBA051" w:rsidR="002273F7" w:rsidRDefault="002273F7" w:rsidP="002273F7">
      <w:pPr>
        <w:jc w:val="both"/>
      </w:pPr>
      <w:r>
        <w:t xml:space="preserve">The population decline has been the result of reduced fertility rates and of a consistently negative net migration balance over the last decades. However, the net outflows declined sharply since 2011 (-35,000), stabilizing at a much lower level since 2013 (between -5,000 and – 10,000). </w:t>
      </w:r>
    </w:p>
    <w:p w14:paraId="3F5C4143" w14:textId="4F9FD4A1" w:rsidR="002273F7" w:rsidRDefault="002273F7">
      <w:pPr>
        <w:jc w:val="both"/>
      </w:pPr>
      <w:r>
        <w:t xml:space="preserve">Despite the mild decline in population, due to the reduction in the average household size (down from 3.7 to 3.5), the number of households increased on average by 0.4% over years, with a decrease in </w:t>
      </w:r>
      <w:r w:rsidR="0021680A">
        <w:t>rural</w:t>
      </w:r>
      <w:r>
        <w:t xml:space="preserve"> areas more than compensated by the increase in </w:t>
      </w:r>
      <w:r w:rsidR="0021680A">
        <w:t>urban</w:t>
      </w:r>
      <w:r>
        <w:t xml:space="preserve"> areas. This trend suggests the possibility of a mild increase in housing demand in </w:t>
      </w:r>
      <w:r w:rsidR="0021680A">
        <w:t>urban</w:t>
      </w:r>
      <w:r>
        <w:t xml:space="preserve"> areas despite declining population numbers</w:t>
      </w:r>
      <w:r w:rsidR="007325E4">
        <w:rPr>
          <w:lang w:val="ka-GE"/>
        </w:rPr>
        <w:t>.</w:t>
      </w:r>
      <w:r>
        <w:t xml:space="preserve"> </w:t>
      </w:r>
    </w:p>
    <w:p w14:paraId="0F96329C" w14:textId="164CA81A" w:rsidR="00C6347D" w:rsidRPr="00D74D8C" w:rsidRDefault="00C6347D" w:rsidP="00D74D8C">
      <w:pPr>
        <w:pStyle w:val="Caption"/>
        <w:rPr>
          <w:b/>
        </w:rPr>
      </w:pPr>
      <w:r>
        <w:t xml:space="preserve">Table </w:t>
      </w:r>
      <w:r w:rsidR="00D656F6">
        <w:rPr>
          <w:noProof/>
        </w:rPr>
        <w:fldChar w:fldCharType="begin"/>
      </w:r>
      <w:r w:rsidR="00D656F6">
        <w:rPr>
          <w:noProof/>
        </w:rPr>
        <w:instrText xml:space="preserve"> SEQ Table \* ARABIC </w:instrText>
      </w:r>
      <w:r w:rsidR="00D656F6">
        <w:rPr>
          <w:noProof/>
        </w:rPr>
        <w:fldChar w:fldCharType="separate"/>
      </w:r>
      <w:r w:rsidR="008F3E6B">
        <w:rPr>
          <w:noProof/>
        </w:rPr>
        <w:t>2</w:t>
      </w:r>
      <w:r w:rsidR="00D656F6">
        <w:rPr>
          <w:noProof/>
        </w:rPr>
        <w:fldChar w:fldCharType="end"/>
      </w:r>
      <w:r>
        <w:t xml:space="preserve">: </w:t>
      </w:r>
      <w:r w:rsidR="005A68FE">
        <w:t>Evolution</w:t>
      </w:r>
      <w:r>
        <w:t xml:space="preserve"> of </w:t>
      </w:r>
      <w:r w:rsidR="00A02C89">
        <w:t>p</w:t>
      </w:r>
      <w:r>
        <w:t>opulation in Georgia</w:t>
      </w:r>
    </w:p>
    <w:tbl>
      <w:tblPr>
        <w:tblStyle w:val="ListTable3-Accent5"/>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350"/>
        <w:gridCol w:w="2350"/>
        <w:gridCol w:w="2350"/>
      </w:tblGrid>
      <w:tr w:rsidR="00C6347D" w:rsidRPr="00C6347D" w14:paraId="1D0CD9D7" w14:textId="77777777" w:rsidTr="008A1D26">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2350" w:type="dxa"/>
            <w:tcBorders>
              <w:bottom w:val="none" w:sz="0" w:space="0" w:color="auto"/>
              <w:right w:val="none" w:sz="0" w:space="0" w:color="auto"/>
            </w:tcBorders>
            <w:shd w:val="clear" w:color="auto" w:fill="002060"/>
            <w:noWrap/>
          </w:tcPr>
          <w:p w14:paraId="3CFF7F0C" w14:textId="52C323B6" w:rsidR="00C6347D" w:rsidRPr="00C6347D" w:rsidRDefault="00C6347D" w:rsidP="00454C26">
            <w:pPr>
              <w:jc w:val="center"/>
              <w:rPr>
                <w:rFonts w:ascii="Calibri" w:eastAsia="Times New Roman" w:hAnsi="Calibri" w:cs="Calibri"/>
                <w:sz w:val="20"/>
                <w:szCs w:val="20"/>
              </w:rPr>
            </w:pPr>
            <w:r w:rsidRPr="00C6347D">
              <w:rPr>
                <w:rFonts w:ascii="Calibri" w:eastAsia="Times New Roman" w:hAnsi="Calibri" w:cs="Calibri"/>
                <w:sz w:val="20"/>
                <w:szCs w:val="20"/>
              </w:rPr>
              <w:t>Ye</w:t>
            </w:r>
            <w:r w:rsidR="00A02C89">
              <w:rPr>
                <w:rFonts w:ascii="Calibri" w:eastAsia="Times New Roman" w:hAnsi="Calibri" w:cs="Calibri"/>
                <w:sz w:val="20"/>
                <w:szCs w:val="20"/>
              </w:rPr>
              <w:t>a</w:t>
            </w:r>
            <w:r w:rsidRPr="00C6347D">
              <w:rPr>
                <w:rFonts w:ascii="Calibri" w:eastAsia="Times New Roman" w:hAnsi="Calibri" w:cs="Calibri"/>
                <w:sz w:val="20"/>
                <w:szCs w:val="20"/>
              </w:rPr>
              <w:t>r</w:t>
            </w:r>
          </w:p>
        </w:tc>
        <w:tc>
          <w:tcPr>
            <w:tcW w:w="2350" w:type="dxa"/>
            <w:shd w:val="clear" w:color="auto" w:fill="002060"/>
            <w:noWrap/>
          </w:tcPr>
          <w:p w14:paraId="30B9B498" w14:textId="5E36E993" w:rsidR="00C6347D" w:rsidRPr="00D74D8C" w:rsidRDefault="00C6347D" w:rsidP="00454C2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rPr>
            </w:pPr>
            <w:r w:rsidRPr="00C6347D">
              <w:rPr>
                <w:rFonts w:ascii="Calibri" w:eastAsia="Times New Roman" w:hAnsi="Calibri" w:cs="Calibri"/>
                <w:sz w:val="20"/>
                <w:szCs w:val="20"/>
              </w:rPr>
              <w:t>Total</w:t>
            </w:r>
          </w:p>
        </w:tc>
        <w:tc>
          <w:tcPr>
            <w:tcW w:w="2350" w:type="dxa"/>
            <w:shd w:val="clear" w:color="auto" w:fill="002060"/>
            <w:noWrap/>
          </w:tcPr>
          <w:p w14:paraId="5F51FEC3" w14:textId="5AA90FDA" w:rsidR="00C6347D" w:rsidRPr="00D74D8C" w:rsidRDefault="0021680A" w:rsidP="00454C2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rPr>
            </w:pPr>
            <w:r>
              <w:rPr>
                <w:rFonts w:ascii="Calibri" w:eastAsia="Times New Roman" w:hAnsi="Calibri" w:cs="Calibri"/>
                <w:sz w:val="20"/>
                <w:szCs w:val="20"/>
              </w:rPr>
              <w:t>Urban</w:t>
            </w:r>
          </w:p>
        </w:tc>
        <w:tc>
          <w:tcPr>
            <w:tcW w:w="2350" w:type="dxa"/>
            <w:shd w:val="clear" w:color="auto" w:fill="002060"/>
            <w:noWrap/>
          </w:tcPr>
          <w:p w14:paraId="67A76CFB" w14:textId="22D1F244" w:rsidR="00C6347D" w:rsidRPr="00D74D8C" w:rsidRDefault="0021680A" w:rsidP="00454C2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sz w:val="20"/>
                <w:szCs w:val="20"/>
              </w:rPr>
            </w:pPr>
            <w:r>
              <w:rPr>
                <w:rFonts w:ascii="Calibri" w:eastAsia="Times New Roman" w:hAnsi="Calibri" w:cs="Calibri"/>
                <w:sz w:val="20"/>
                <w:szCs w:val="20"/>
              </w:rPr>
              <w:t>Rural</w:t>
            </w:r>
          </w:p>
        </w:tc>
      </w:tr>
      <w:tr w:rsidR="00C0115F" w:rsidRPr="00C0115F" w14:paraId="3F0DE001" w14:textId="77777777" w:rsidTr="008A1D2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50" w:type="dxa"/>
            <w:tcBorders>
              <w:top w:val="none" w:sz="0" w:space="0" w:color="auto"/>
              <w:bottom w:val="none" w:sz="0" w:space="0" w:color="auto"/>
              <w:right w:val="none" w:sz="0" w:space="0" w:color="auto"/>
            </w:tcBorders>
            <w:noWrap/>
            <w:hideMark/>
          </w:tcPr>
          <w:p w14:paraId="7BE4AD01"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2007</w:t>
            </w:r>
          </w:p>
        </w:tc>
        <w:tc>
          <w:tcPr>
            <w:tcW w:w="2350" w:type="dxa"/>
            <w:tcBorders>
              <w:top w:val="none" w:sz="0" w:space="0" w:color="auto"/>
              <w:bottom w:val="none" w:sz="0" w:space="0" w:color="auto"/>
            </w:tcBorders>
            <w:noWrap/>
            <w:hideMark/>
          </w:tcPr>
          <w:p w14:paraId="0ECE0736" w14:textId="50B1B5BD"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3,872,000</w:t>
            </w:r>
          </w:p>
        </w:tc>
        <w:tc>
          <w:tcPr>
            <w:tcW w:w="2350" w:type="dxa"/>
            <w:tcBorders>
              <w:top w:val="none" w:sz="0" w:space="0" w:color="auto"/>
              <w:bottom w:val="none" w:sz="0" w:space="0" w:color="auto"/>
            </w:tcBorders>
            <w:noWrap/>
            <w:hideMark/>
          </w:tcPr>
          <w:p w14:paraId="10F7623C" w14:textId="7E87E264"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2,189</w:t>
            </w:r>
            <w:r w:rsidR="008A1D26">
              <w:rPr>
                <w:rFonts w:ascii="Calibri" w:eastAsia="Times New Roman" w:hAnsi="Calibri" w:cs="Calibri"/>
                <w:bCs/>
                <w:sz w:val="20"/>
                <w:szCs w:val="20"/>
              </w:rPr>
              <w:t>,</w:t>
            </w:r>
            <w:r w:rsidRPr="00D74D8C">
              <w:rPr>
                <w:rFonts w:ascii="Calibri" w:eastAsia="Times New Roman" w:hAnsi="Calibri" w:cs="Calibri"/>
                <w:bCs/>
                <w:sz w:val="20"/>
                <w:szCs w:val="20"/>
              </w:rPr>
              <w:t>500</w:t>
            </w:r>
          </w:p>
        </w:tc>
        <w:tc>
          <w:tcPr>
            <w:tcW w:w="2350" w:type="dxa"/>
            <w:tcBorders>
              <w:top w:val="none" w:sz="0" w:space="0" w:color="auto"/>
              <w:bottom w:val="none" w:sz="0" w:space="0" w:color="auto"/>
            </w:tcBorders>
            <w:noWrap/>
            <w:hideMark/>
          </w:tcPr>
          <w:p w14:paraId="7D805370" w14:textId="24CED833"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1,683</w:t>
            </w:r>
            <w:r w:rsidR="008A1D26">
              <w:rPr>
                <w:rFonts w:ascii="Calibri" w:eastAsia="Times New Roman" w:hAnsi="Calibri" w:cs="Calibri"/>
                <w:bCs/>
                <w:sz w:val="20"/>
                <w:szCs w:val="20"/>
              </w:rPr>
              <w:t>,</w:t>
            </w:r>
            <w:r w:rsidRPr="00D74D8C">
              <w:rPr>
                <w:rFonts w:ascii="Calibri" w:eastAsia="Times New Roman" w:hAnsi="Calibri" w:cs="Calibri"/>
                <w:bCs/>
                <w:sz w:val="20"/>
                <w:szCs w:val="20"/>
              </w:rPr>
              <w:t>200</w:t>
            </w:r>
          </w:p>
        </w:tc>
      </w:tr>
      <w:tr w:rsidR="00C0115F" w:rsidRPr="00C0115F" w14:paraId="7C57EA48" w14:textId="77777777" w:rsidTr="008A1D26">
        <w:trPr>
          <w:trHeight w:val="353"/>
        </w:trPr>
        <w:tc>
          <w:tcPr>
            <w:cnfStyle w:val="001000000000" w:firstRow="0" w:lastRow="0" w:firstColumn="1" w:lastColumn="0" w:oddVBand="0" w:evenVBand="0" w:oddHBand="0" w:evenHBand="0" w:firstRowFirstColumn="0" w:firstRowLastColumn="0" w:lastRowFirstColumn="0" w:lastRowLastColumn="0"/>
            <w:tcW w:w="2350" w:type="dxa"/>
            <w:tcBorders>
              <w:right w:val="none" w:sz="0" w:space="0" w:color="auto"/>
            </w:tcBorders>
            <w:noWrap/>
            <w:hideMark/>
          </w:tcPr>
          <w:p w14:paraId="12576AFF"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2008</w:t>
            </w:r>
          </w:p>
        </w:tc>
        <w:tc>
          <w:tcPr>
            <w:tcW w:w="2350" w:type="dxa"/>
            <w:noWrap/>
            <w:hideMark/>
          </w:tcPr>
          <w:p w14:paraId="3EB069F1" w14:textId="3D7F1E14"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3,847,600</w:t>
            </w:r>
          </w:p>
        </w:tc>
        <w:tc>
          <w:tcPr>
            <w:tcW w:w="2350" w:type="dxa"/>
            <w:noWrap/>
            <w:hideMark/>
          </w:tcPr>
          <w:p w14:paraId="10DD09F6" w14:textId="501678FE"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2,175</w:t>
            </w:r>
            <w:r w:rsidR="008A1D26">
              <w:rPr>
                <w:rFonts w:ascii="Calibri" w:eastAsia="Times New Roman" w:hAnsi="Calibri" w:cs="Calibri"/>
                <w:bCs/>
                <w:sz w:val="20"/>
                <w:szCs w:val="20"/>
              </w:rPr>
              <w:t>,</w:t>
            </w:r>
            <w:r w:rsidRPr="00D74D8C">
              <w:rPr>
                <w:rFonts w:ascii="Calibri" w:eastAsia="Times New Roman" w:hAnsi="Calibri" w:cs="Calibri"/>
                <w:bCs/>
                <w:sz w:val="20"/>
                <w:szCs w:val="20"/>
              </w:rPr>
              <w:t>300</w:t>
            </w:r>
          </w:p>
        </w:tc>
        <w:tc>
          <w:tcPr>
            <w:tcW w:w="2350" w:type="dxa"/>
            <w:noWrap/>
            <w:hideMark/>
          </w:tcPr>
          <w:p w14:paraId="0AD3D9D1" w14:textId="19204BB1"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1,672</w:t>
            </w:r>
            <w:r w:rsidR="00B90493">
              <w:rPr>
                <w:rFonts w:ascii="Calibri" w:eastAsia="Times New Roman" w:hAnsi="Calibri" w:cs="Calibri"/>
                <w:bCs/>
                <w:sz w:val="20"/>
                <w:szCs w:val="20"/>
              </w:rPr>
              <w:t>,</w:t>
            </w:r>
            <w:r w:rsidRPr="00D74D8C">
              <w:rPr>
                <w:rFonts w:ascii="Calibri" w:eastAsia="Times New Roman" w:hAnsi="Calibri" w:cs="Calibri"/>
                <w:bCs/>
                <w:sz w:val="20"/>
                <w:szCs w:val="20"/>
              </w:rPr>
              <w:t>300</w:t>
            </w:r>
          </w:p>
        </w:tc>
      </w:tr>
      <w:tr w:rsidR="00C0115F" w:rsidRPr="00C0115F" w14:paraId="135ED302" w14:textId="77777777" w:rsidTr="008A1D2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50" w:type="dxa"/>
            <w:tcBorders>
              <w:top w:val="none" w:sz="0" w:space="0" w:color="auto"/>
              <w:bottom w:val="none" w:sz="0" w:space="0" w:color="auto"/>
              <w:right w:val="none" w:sz="0" w:space="0" w:color="auto"/>
            </w:tcBorders>
            <w:noWrap/>
            <w:hideMark/>
          </w:tcPr>
          <w:p w14:paraId="53C3D7AC"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2009</w:t>
            </w:r>
          </w:p>
        </w:tc>
        <w:tc>
          <w:tcPr>
            <w:tcW w:w="2350" w:type="dxa"/>
            <w:tcBorders>
              <w:top w:val="none" w:sz="0" w:space="0" w:color="auto"/>
              <w:bottom w:val="none" w:sz="0" w:space="0" w:color="auto"/>
            </w:tcBorders>
            <w:noWrap/>
            <w:hideMark/>
          </w:tcPr>
          <w:p w14:paraId="1B35C3B8" w14:textId="4C95F0A5"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3,829,000</w:t>
            </w:r>
          </w:p>
        </w:tc>
        <w:tc>
          <w:tcPr>
            <w:tcW w:w="2350" w:type="dxa"/>
            <w:tcBorders>
              <w:top w:val="none" w:sz="0" w:space="0" w:color="auto"/>
              <w:bottom w:val="none" w:sz="0" w:space="0" w:color="auto"/>
            </w:tcBorders>
            <w:noWrap/>
            <w:hideMark/>
          </w:tcPr>
          <w:p w14:paraId="78A22256" w14:textId="6A4E55BD"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2,163</w:t>
            </w:r>
            <w:r w:rsidR="008A1D26">
              <w:rPr>
                <w:rFonts w:ascii="Calibri" w:eastAsia="Times New Roman" w:hAnsi="Calibri" w:cs="Calibri"/>
                <w:bCs/>
                <w:sz w:val="20"/>
                <w:szCs w:val="20"/>
              </w:rPr>
              <w:t>,</w:t>
            </w:r>
            <w:r w:rsidRPr="00D74D8C">
              <w:rPr>
                <w:rFonts w:ascii="Calibri" w:eastAsia="Times New Roman" w:hAnsi="Calibri" w:cs="Calibri"/>
                <w:bCs/>
                <w:sz w:val="20"/>
                <w:szCs w:val="20"/>
              </w:rPr>
              <w:t>600</w:t>
            </w:r>
          </w:p>
        </w:tc>
        <w:tc>
          <w:tcPr>
            <w:tcW w:w="2350" w:type="dxa"/>
            <w:tcBorders>
              <w:top w:val="none" w:sz="0" w:space="0" w:color="auto"/>
              <w:bottom w:val="none" w:sz="0" w:space="0" w:color="auto"/>
            </w:tcBorders>
            <w:noWrap/>
            <w:hideMark/>
          </w:tcPr>
          <w:p w14:paraId="7F0C3BCB" w14:textId="43EEC148"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1,665</w:t>
            </w:r>
            <w:r w:rsidR="00B90493">
              <w:rPr>
                <w:rFonts w:ascii="Calibri" w:eastAsia="Times New Roman" w:hAnsi="Calibri" w:cs="Calibri"/>
                <w:bCs/>
                <w:sz w:val="20"/>
                <w:szCs w:val="20"/>
              </w:rPr>
              <w:t>,</w:t>
            </w:r>
            <w:r w:rsidRPr="00D74D8C">
              <w:rPr>
                <w:rFonts w:ascii="Calibri" w:eastAsia="Times New Roman" w:hAnsi="Calibri" w:cs="Calibri"/>
                <w:bCs/>
                <w:sz w:val="20"/>
                <w:szCs w:val="20"/>
              </w:rPr>
              <w:t>400</w:t>
            </w:r>
          </w:p>
        </w:tc>
      </w:tr>
      <w:tr w:rsidR="00C0115F" w:rsidRPr="00C0115F" w14:paraId="056A3F42" w14:textId="77777777" w:rsidTr="008A1D26">
        <w:trPr>
          <w:trHeight w:val="353"/>
        </w:trPr>
        <w:tc>
          <w:tcPr>
            <w:cnfStyle w:val="001000000000" w:firstRow="0" w:lastRow="0" w:firstColumn="1" w:lastColumn="0" w:oddVBand="0" w:evenVBand="0" w:oddHBand="0" w:evenHBand="0" w:firstRowFirstColumn="0" w:firstRowLastColumn="0" w:lastRowFirstColumn="0" w:lastRowLastColumn="0"/>
            <w:tcW w:w="2350" w:type="dxa"/>
            <w:tcBorders>
              <w:right w:val="none" w:sz="0" w:space="0" w:color="auto"/>
            </w:tcBorders>
            <w:noWrap/>
            <w:hideMark/>
          </w:tcPr>
          <w:p w14:paraId="37D1BBBC"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2010</w:t>
            </w:r>
          </w:p>
        </w:tc>
        <w:tc>
          <w:tcPr>
            <w:tcW w:w="2350" w:type="dxa"/>
            <w:noWrap/>
            <w:hideMark/>
          </w:tcPr>
          <w:p w14:paraId="041BE422" w14:textId="71F0E5C7"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3,799,800</w:t>
            </w:r>
          </w:p>
        </w:tc>
        <w:tc>
          <w:tcPr>
            <w:tcW w:w="2350" w:type="dxa"/>
            <w:noWrap/>
            <w:hideMark/>
          </w:tcPr>
          <w:p w14:paraId="3D0B8EBF" w14:textId="225ED01A"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2,145</w:t>
            </w:r>
            <w:r w:rsidR="008A1D26">
              <w:rPr>
                <w:rFonts w:ascii="Calibri" w:eastAsia="Times New Roman" w:hAnsi="Calibri" w:cs="Calibri"/>
                <w:bCs/>
                <w:sz w:val="20"/>
                <w:szCs w:val="20"/>
              </w:rPr>
              <w:t>,</w:t>
            </w:r>
            <w:r w:rsidRPr="00D74D8C">
              <w:rPr>
                <w:rFonts w:ascii="Calibri" w:eastAsia="Times New Roman" w:hAnsi="Calibri" w:cs="Calibri"/>
                <w:bCs/>
                <w:sz w:val="20"/>
                <w:szCs w:val="20"/>
              </w:rPr>
              <w:t>300</w:t>
            </w:r>
          </w:p>
        </w:tc>
        <w:tc>
          <w:tcPr>
            <w:tcW w:w="2350" w:type="dxa"/>
            <w:noWrap/>
            <w:hideMark/>
          </w:tcPr>
          <w:p w14:paraId="7F6FF72C" w14:textId="5B802395"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1,654</w:t>
            </w:r>
            <w:r w:rsidR="008A1D26">
              <w:rPr>
                <w:rFonts w:ascii="Calibri" w:eastAsia="Times New Roman" w:hAnsi="Calibri" w:cs="Calibri"/>
                <w:bCs/>
                <w:sz w:val="20"/>
                <w:szCs w:val="20"/>
              </w:rPr>
              <w:t>,</w:t>
            </w:r>
            <w:r w:rsidRPr="00D74D8C">
              <w:rPr>
                <w:rFonts w:ascii="Calibri" w:eastAsia="Times New Roman" w:hAnsi="Calibri" w:cs="Calibri"/>
                <w:bCs/>
                <w:sz w:val="20"/>
                <w:szCs w:val="20"/>
              </w:rPr>
              <w:t>500</w:t>
            </w:r>
          </w:p>
        </w:tc>
      </w:tr>
      <w:tr w:rsidR="00C0115F" w:rsidRPr="00C0115F" w14:paraId="7CE19629" w14:textId="77777777" w:rsidTr="008A1D2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50" w:type="dxa"/>
            <w:tcBorders>
              <w:top w:val="none" w:sz="0" w:space="0" w:color="auto"/>
              <w:bottom w:val="none" w:sz="0" w:space="0" w:color="auto"/>
              <w:right w:val="none" w:sz="0" w:space="0" w:color="auto"/>
            </w:tcBorders>
            <w:noWrap/>
            <w:hideMark/>
          </w:tcPr>
          <w:p w14:paraId="58098C95"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2011</w:t>
            </w:r>
          </w:p>
        </w:tc>
        <w:tc>
          <w:tcPr>
            <w:tcW w:w="2350" w:type="dxa"/>
            <w:tcBorders>
              <w:top w:val="none" w:sz="0" w:space="0" w:color="auto"/>
              <w:bottom w:val="none" w:sz="0" w:space="0" w:color="auto"/>
            </w:tcBorders>
            <w:noWrap/>
            <w:hideMark/>
          </w:tcPr>
          <w:p w14:paraId="01632685" w14:textId="41AC079E"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3,773600</w:t>
            </w:r>
          </w:p>
        </w:tc>
        <w:tc>
          <w:tcPr>
            <w:tcW w:w="2350" w:type="dxa"/>
            <w:tcBorders>
              <w:top w:val="none" w:sz="0" w:space="0" w:color="auto"/>
              <w:bottom w:val="none" w:sz="0" w:space="0" w:color="auto"/>
            </w:tcBorders>
            <w:noWrap/>
            <w:hideMark/>
          </w:tcPr>
          <w:p w14:paraId="53C96F7E" w14:textId="413DADD1"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2,130</w:t>
            </w:r>
            <w:r w:rsidR="008A1D26">
              <w:rPr>
                <w:rFonts w:ascii="Calibri" w:eastAsia="Times New Roman" w:hAnsi="Calibri" w:cs="Calibri"/>
                <w:bCs/>
                <w:sz w:val="20"/>
                <w:szCs w:val="20"/>
              </w:rPr>
              <w:t>,</w:t>
            </w:r>
            <w:r w:rsidRPr="00D74D8C">
              <w:rPr>
                <w:rFonts w:ascii="Calibri" w:eastAsia="Times New Roman" w:hAnsi="Calibri" w:cs="Calibri"/>
                <w:bCs/>
                <w:sz w:val="20"/>
                <w:szCs w:val="20"/>
              </w:rPr>
              <w:t>200</w:t>
            </w:r>
          </w:p>
        </w:tc>
        <w:tc>
          <w:tcPr>
            <w:tcW w:w="2350" w:type="dxa"/>
            <w:tcBorders>
              <w:top w:val="none" w:sz="0" w:space="0" w:color="auto"/>
              <w:bottom w:val="none" w:sz="0" w:space="0" w:color="auto"/>
            </w:tcBorders>
            <w:noWrap/>
            <w:hideMark/>
          </w:tcPr>
          <w:p w14:paraId="71C710EF" w14:textId="1620DF57"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1,643</w:t>
            </w:r>
            <w:r w:rsidR="008A1D26">
              <w:rPr>
                <w:rFonts w:ascii="Calibri" w:eastAsia="Times New Roman" w:hAnsi="Calibri" w:cs="Calibri"/>
                <w:bCs/>
                <w:sz w:val="20"/>
                <w:szCs w:val="20"/>
              </w:rPr>
              <w:t>,</w:t>
            </w:r>
            <w:r w:rsidRPr="00D74D8C">
              <w:rPr>
                <w:rFonts w:ascii="Calibri" w:eastAsia="Times New Roman" w:hAnsi="Calibri" w:cs="Calibri"/>
                <w:bCs/>
                <w:sz w:val="20"/>
                <w:szCs w:val="20"/>
              </w:rPr>
              <w:t>400</w:t>
            </w:r>
          </w:p>
        </w:tc>
      </w:tr>
      <w:tr w:rsidR="00C0115F" w:rsidRPr="00C0115F" w14:paraId="6329AFE1" w14:textId="77777777" w:rsidTr="008A1D26">
        <w:trPr>
          <w:trHeight w:val="353"/>
        </w:trPr>
        <w:tc>
          <w:tcPr>
            <w:cnfStyle w:val="001000000000" w:firstRow="0" w:lastRow="0" w:firstColumn="1" w:lastColumn="0" w:oddVBand="0" w:evenVBand="0" w:oddHBand="0" w:evenHBand="0" w:firstRowFirstColumn="0" w:firstRowLastColumn="0" w:lastRowFirstColumn="0" w:lastRowLastColumn="0"/>
            <w:tcW w:w="2350" w:type="dxa"/>
            <w:tcBorders>
              <w:right w:val="none" w:sz="0" w:space="0" w:color="auto"/>
            </w:tcBorders>
            <w:noWrap/>
            <w:hideMark/>
          </w:tcPr>
          <w:p w14:paraId="754A8E1D"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2012</w:t>
            </w:r>
          </w:p>
        </w:tc>
        <w:tc>
          <w:tcPr>
            <w:tcW w:w="2350" w:type="dxa"/>
            <w:noWrap/>
            <w:hideMark/>
          </w:tcPr>
          <w:p w14:paraId="483AEC0A" w14:textId="7FAD09D8"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3,739300</w:t>
            </w:r>
          </w:p>
        </w:tc>
        <w:tc>
          <w:tcPr>
            <w:tcW w:w="2350" w:type="dxa"/>
            <w:noWrap/>
            <w:hideMark/>
          </w:tcPr>
          <w:p w14:paraId="177E1F11" w14:textId="3E8F74DD"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2,129</w:t>
            </w:r>
            <w:r w:rsidR="008A1D26">
              <w:rPr>
                <w:rFonts w:ascii="Calibri" w:eastAsia="Times New Roman" w:hAnsi="Calibri" w:cs="Calibri"/>
                <w:bCs/>
                <w:sz w:val="20"/>
                <w:szCs w:val="20"/>
              </w:rPr>
              <w:t>,</w:t>
            </w:r>
            <w:r w:rsidRPr="00D74D8C">
              <w:rPr>
                <w:rFonts w:ascii="Calibri" w:eastAsia="Times New Roman" w:hAnsi="Calibri" w:cs="Calibri"/>
                <w:bCs/>
                <w:sz w:val="20"/>
                <w:szCs w:val="20"/>
              </w:rPr>
              <w:t>300</w:t>
            </w:r>
          </w:p>
        </w:tc>
        <w:tc>
          <w:tcPr>
            <w:tcW w:w="2350" w:type="dxa"/>
            <w:noWrap/>
            <w:hideMark/>
          </w:tcPr>
          <w:p w14:paraId="5C7A8413" w14:textId="50C25A22"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1,610</w:t>
            </w:r>
            <w:r w:rsidR="008A1D26">
              <w:rPr>
                <w:rFonts w:ascii="Calibri" w:eastAsia="Times New Roman" w:hAnsi="Calibri" w:cs="Calibri"/>
                <w:bCs/>
                <w:sz w:val="20"/>
                <w:szCs w:val="20"/>
              </w:rPr>
              <w:t>,</w:t>
            </w:r>
            <w:r w:rsidRPr="00D74D8C">
              <w:rPr>
                <w:rFonts w:ascii="Calibri" w:eastAsia="Times New Roman" w:hAnsi="Calibri" w:cs="Calibri"/>
                <w:bCs/>
                <w:sz w:val="20"/>
                <w:szCs w:val="20"/>
              </w:rPr>
              <w:t>000</w:t>
            </w:r>
          </w:p>
        </w:tc>
      </w:tr>
      <w:tr w:rsidR="00C0115F" w:rsidRPr="00C0115F" w14:paraId="553EBD7D" w14:textId="77777777" w:rsidTr="008A1D2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50" w:type="dxa"/>
            <w:tcBorders>
              <w:top w:val="none" w:sz="0" w:space="0" w:color="auto"/>
              <w:bottom w:val="none" w:sz="0" w:space="0" w:color="auto"/>
              <w:right w:val="none" w:sz="0" w:space="0" w:color="auto"/>
            </w:tcBorders>
            <w:noWrap/>
            <w:hideMark/>
          </w:tcPr>
          <w:p w14:paraId="514D48EB"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lastRenderedPageBreak/>
              <w:t>2013</w:t>
            </w:r>
          </w:p>
        </w:tc>
        <w:tc>
          <w:tcPr>
            <w:tcW w:w="2350" w:type="dxa"/>
            <w:tcBorders>
              <w:top w:val="none" w:sz="0" w:space="0" w:color="auto"/>
              <w:bottom w:val="none" w:sz="0" w:space="0" w:color="auto"/>
            </w:tcBorders>
            <w:noWrap/>
            <w:hideMark/>
          </w:tcPr>
          <w:p w14:paraId="1CF334B8" w14:textId="2C5F8E51"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3,718400</w:t>
            </w:r>
          </w:p>
        </w:tc>
        <w:tc>
          <w:tcPr>
            <w:tcW w:w="2350" w:type="dxa"/>
            <w:tcBorders>
              <w:top w:val="none" w:sz="0" w:space="0" w:color="auto"/>
              <w:bottom w:val="none" w:sz="0" w:space="0" w:color="auto"/>
            </w:tcBorders>
            <w:noWrap/>
            <w:hideMark/>
          </w:tcPr>
          <w:p w14:paraId="393A260D" w14:textId="6D9760B3"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2,118</w:t>
            </w:r>
            <w:r w:rsidR="008A1D26">
              <w:rPr>
                <w:rFonts w:ascii="Calibri" w:eastAsia="Times New Roman" w:hAnsi="Calibri" w:cs="Calibri"/>
                <w:bCs/>
                <w:sz w:val="20"/>
                <w:szCs w:val="20"/>
              </w:rPr>
              <w:t>,</w:t>
            </w:r>
            <w:r w:rsidRPr="00D74D8C">
              <w:rPr>
                <w:rFonts w:ascii="Calibri" w:eastAsia="Times New Roman" w:hAnsi="Calibri" w:cs="Calibri"/>
                <w:bCs/>
                <w:sz w:val="20"/>
                <w:szCs w:val="20"/>
              </w:rPr>
              <w:t>700</w:t>
            </w:r>
          </w:p>
        </w:tc>
        <w:tc>
          <w:tcPr>
            <w:tcW w:w="2350" w:type="dxa"/>
            <w:tcBorders>
              <w:top w:val="none" w:sz="0" w:space="0" w:color="auto"/>
              <w:bottom w:val="none" w:sz="0" w:space="0" w:color="auto"/>
            </w:tcBorders>
            <w:noWrap/>
            <w:hideMark/>
          </w:tcPr>
          <w:p w14:paraId="06D284D6" w14:textId="287C3E54"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1,599</w:t>
            </w:r>
            <w:r w:rsidR="008A1D26">
              <w:rPr>
                <w:rFonts w:ascii="Calibri" w:eastAsia="Times New Roman" w:hAnsi="Calibri" w:cs="Calibri"/>
                <w:bCs/>
                <w:sz w:val="20"/>
                <w:szCs w:val="20"/>
              </w:rPr>
              <w:t>,</w:t>
            </w:r>
            <w:r w:rsidRPr="00D74D8C">
              <w:rPr>
                <w:rFonts w:ascii="Calibri" w:eastAsia="Times New Roman" w:hAnsi="Calibri" w:cs="Calibri"/>
                <w:bCs/>
                <w:sz w:val="20"/>
                <w:szCs w:val="20"/>
              </w:rPr>
              <w:t>700</w:t>
            </w:r>
          </w:p>
        </w:tc>
      </w:tr>
      <w:tr w:rsidR="00C0115F" w:rsidRPr="00C0115F" w14:paraId="13477385" w14:textId="77777777" w:rsidTr="008A1D26">
        <w:trPr>
          <w:trHeight w:val="353"/>
        </w:trPr>
        <w:tc>
          <w:tcPr>
            <w:cnfStyle w:val="001000000000" w:firstRow="0" w:lastRow="0" w:firstColumn="1" w:lastColumn="0" w:oddVBand="0" w:evenVBand="0" w:oddHBand="0" w:evenHBand="0" w:firstRowFirstColumn="0" w:firstRowLastColumn="0" w:lastRowFirstColumn="0" w:lastRowLastColumn="0"/>
            <w:tcW w:w="2350" w:type="dxa"/>
            <w:tcBorders>
              <w:right w:val="none" w:sz="0" w:space="0" w:color="auto"/>
            </w:tcBorders>
            <w:noWrap/>
            <w:hideMark/>
          </w:tcPr>
          <w:p w14:paraId="62F843A4"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2014</w:t>
            </w:r>
          </w:p>
        </w:tc>
        <w:tc>
          <w:tcPr>
            <w:tcW w:w="2350" w:type="dxa"/>
            <w:noWrap/>
            <w:hideMark/>
          </w:tcPr>
          <w:p w14:paraId="6947E59C" w14:textId="68E39429"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3,716900</w:t>
            </w:r>
          </w:p>
        </w:tc>
        <w:tc>
          <w:tcPr>
            <w:tcW w:w="2350" w:type="dxa"/>
            <w:noWrap/>
            <w:hideMark/>
          </w:tcPr>
          <w:p w14:paraId="06407541" w14:textId="442703F9"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2,121</w:t>
            </w:r>
            <w:r w:rsidR="008A1D26">
              <w:rPr>
                <w:rFonts w:ascii="Calibri" w:eastAsia="Times New Roman" w:hAnsi="Calibri" w:cs="Calibri"/>
                <w:bCs/>
                <w:sz w:val="20"/>
                <w:szCs w:val="20"/>
              </w:rPr>
              <w:t>,</w:t>
            </w:r>
            <w:r w:rsidRPr="00D74D8C">
              <w:rPr>
                <w:rFonts w:ascii="Calibri" w:eastAsia="Times New Roman" w:hAnsi="Calibri" w:cs="Calibri"/>
                <w:bCs/>
                <w:sz w:val="20"/>
                <w:szCs w:val="20"/>
              </w:rPr>
              <w:t>200</w:t>
            </w:r>
          </w:p>
        </w:tc>
        <w:tc>
          <w:tcPr>
            <w:tcW w:w="2350" w:type="dxa"/>
            <w:noWrap/>
            <w:hideMark/>
          </w:tcPr>
          <w:p w14:paraId="71DF0172" w14:textId="7579BA9D"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1,595</w:t>
            </w:r>
            <w:r w:rsidR="008A1D26">
              <w:rPr>
                <w:rFonts w:ascii="Calibri" w:eastAsia="Times New Roman" w:hAnsi="Calibri" w:cs="Calibri"/>
                <w:bCs/>
                <w:sz w:val="20"/>
                <w:szCs w:val="20"/>
              </w:rPr>
              <w:t>,</w:t>
            </w:r>
            <w:r w:rsidRPr="00D74D8C">
              <w:rPr>
                <w:rFonts w:ascii="Calibri" w:eastAsia="Times New Roman" w:hAnsi="Calibri" w:cs="Calibri"/>
                <w:bCs/>
                <w:sz w:val="20"/>
                <w:szCs w:val="20"/>
              </w:rPr>
              <w:t>700</w:t>
            </w:r>
          </w:p>
        </w:tc>
      </w:tr>
      <w:tr w:rsidR="00C0115F" w:rsidRPr="00C0115F" w14:paraId="1F7FF379" w14:textId="77777777" w:rsidTr="008A1D2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50" w:type="dxa"/>
            <w:tcBorders>
              <w:top w:val="none" w:sz="0" w:space="0" w:color="auto"/>
              <w:bottom w:val="none" w:sz="0" w:space="0" w:color="auto"/>
              <w:right w:val="none" w:sz="0" w:space="0" w:color="auto"/>
            </w:tcBorders>
            <w:noWrap/>
            <w:hideMark/>
          </w:tcPr>
          <w:p w14:paraId="37276798"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2015</w:t>
            </w:r>
          </w:p>
        </w:tc>
        <w:tc>
          <w:tcPr>
            <w:tcW w:w="2350" w:type="dxa"/>
            <w:tcBorders>
              <w:top w:val="none" w:sz="0" w:space="0" w:color="auto"/>
              <w:bottom w:val="none" w:sz="0" w:space="0" w:color="auto"/>
            </w:tcBorders>
            <w:noWrap/>
            <w:hideMark/>
          </w:tcPr>
          <w:p w14:paraId="7DBE077C" w14:textId="7DB7E7D2"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3,721900</w:t>
            </w:r>
          </w:p>
        </w:tc>
        <w:tc>
          <w:tcPr>
            <w:tcW w:w="2350" w:type="dxa"/>
            <w:tcBorders>
              <w:top w:val="none" w:sz="0" w:space="0" w:color="auto"/>
              <w:bottom w:val="none" w:sz="0" w:space="0" w:color="auto"/>
            </w:tcBorders>
            <w:noWrap/>
            <w:hideMark/>
          </w:tcPr>
          <w:p w14:paraId="7E321502" w14:textId="314D7351"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2,135</w:t>
            </w:r>
            <w:r w:rsidR="008A1D26">
              <w:rPr>
                <w:rFonts w:ascii="Calibri" w:eastAsia="Times New Roman" w:hAnsi="Calibri" w:cs="Calibri"/>
                <w:bCs/>
                <w:sz w:val="20"/>
                <w:szCs w:val="20"/>
              </w:rPr>
              <w:t>,</w:t>
            </w:r>
            <w:r w:rsidRPr="00D74D8C">
              <w:rPr>
                <w:rFonts w:ascii="Calibri" w:eastAsia="Times New Roman" w:hAnsi="Calibri" w:cs="Calibri"/>
                <w:bCs/>
                <w:sz w:val="20"/>
                <w:szCs w:val="20"/>
              </w:rPr>
              <w:t>600</w:t>
            </w:r>
          </w:p>
        </w:tc>
        <w:tc>
          <w:tcPr>
            <w:tcW w:w="2350" w:type="dxa"/>
            <w:tcBorders>
              <w:top w:val="none" w:sz="0" w:space="0" w:color="auto"/>
              <w:bottom w:val="none" w:sz="0" w:space="0" w:color="auto"/>
            </w:tcBorders>
            <w:noWrap/>
            <w:hideMark/>
          </w:tcPr>
          <w:p w14:paraId="625CDC65" w14:textId="52203DDE"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1,586</w:t>
            </w:r>
            <w:r w:rsidR="008A1D26">
              <w:rPr>
                <w:rFonts w:ascii="Calibri" w:eastAsia="Times New Roman" w:hAnsi="Calibri" w:cs="Calibri"/>
                <w:bCs/>
                <w:sz w:val="20"/>
                <w:szCs w:val="20"/>
              </w:rPr>
              <w:t>,</w:t>
            </w:r>
            <w:r w:rsidRPr="00D74D8C">
              <w:rPr>
                <w:rFonts w:ascii="Calibri" w:eastAsia="Times New Roman" w:hAnsi="Calibri" w:cs="Calibri"/>
                <w:bCs/>
                <w:sz w:val="20"/>
                <w:szCs w:val="20"/>
              </w:rPr>
              <w:t>300</w:t>
            </w:r>
          </w:p>
        </w:tc>
      </w:tr>
      <w:tr w:rsidR="00C0115F" w:rsidRPr="00C0115F" w14:paraId="544C4340" w14:textId="77777777" w:rsidTr="008A1D26">
        <w:trPr>
          <w:trHeight w:val="353"/>
        </w:trPr>
        <w:tc>
          <w:tcPr>
            <w:cnfStyle w:val="001000000000" w:firstRow="0" w:lastRow="0" w:firstColumn="1" w:lastColumn="0" w:oddVBand="0" w:evenVBand="0" w:oddHBand="0" w:evenHBand="0" w:firstRowFirstColumn="0" w:firstRowLastColumn="0" w:lastRowFirstColumn="0" w:lastRowLastColumn="0"/>
            <w:tcW w:w="2350" w:type="dxa"/>
            <w:tcBorders>
              <w:right w:val="none" w:sz="0" w:space="0" w:color="auto"/>
            </w:tcBorders>
            <w:noWrap/>
            <w:hideMark/>
          </w:tcPr>
          <w:p w14:paraId="0AAC2833"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2016</w:t>
            </w:r>
          </w:p>
        </w:tc>
        <w:tc>
          <w:tcPr>
            <w:tcW w:w="2350" w:type="dxa"/>
            <w:noWrap/>
            <w:hideMark/>
          </w:tcPr>
          <w:p w14:paraId="098EEBB2" w14:textId="134557F5"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3,728600</w:t>
            </w:r>
          </w:p>
        </w:tc>
        <w:tc>
          <w:tcPr>
            <w:tcW w:w="2350" w:type="dxa"/>
            <w:noWrap/>
            <w:hideMark/>
          </w:tcPr>
          <w:p w14:paraId="4AF4C3DC" w14:textId="73365DDA"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2,151</w:t>
            </w:r>
            <w:r w:rsidR="008A1D26">
              <w:rPr>
                <w:rFonts w:ascii="Calibri" w:eastAsia="Times New Roman" w:hAnsi="Calibri" w:cs="Calibri"/>
                <w:bCs/>
                <w:sz w:val="20"/>
                <w:szCs w:val="20"/>
              </w:rPr>
              <w:t>,</w:t>
            </w:r>
            <w:r w:rsidRPr="00D74D8C">
              <w:rPr>
                <w:rFonts w:ascii="Calibri" w:eastAsia="Times New Roman" w:hAnsi="Calibri" w:cs="Calibri"/>
                <w:bCs/>
                <w:sz w:val="20"/>
                <w:szCs w:val="20"/>
              </w:rPr>
              <w:t>500</w:t>
            </w:r>
          </w:p>
        </w:tc>
        <w:tc>
          <w:tcPr>
            <w:tcW w:w="2350" w:type="dxa"/>
            <w:noWrap/>
            <w:hideMark/>
          </w:tcPr>
          <w:p w14:paraId="2B0AB19B" w14:textId="284B1233"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1,577</w:t>
            </w:r>
            <w:r w:rsidR="008A1D26">
              <w:rPr>
                <w:rFonts w:ascii="Calibri" w:eastAsia="Times New Roman" w:hAnsi="Calibri" w:cs="Calibri"/>
                <w:bCs/>
                <w:sz w:val="20"/>
                <w:szCs w:val="20"/>
              </w:rPr>
              <w:t>,</w:t>
            </w:r>
            <w:r w:rsidRPr="00D74D8C">
              <w:rPr>
                <w:rFonts w:ascii="Calibri" w:eastAsia="Times New Roman" w:hAnsi="Calibri" w:cs="Calibri"/>
                <w:bCs/>
                <w:sz w:val="20"/>
                <w:szCs w:val="20"/>
              </w:rPr>
              <w:t>100</w:t>
            </w:r>
          </w:p>
        </w:tc>
      </w:tr>
      <w:tr w:rsidR="00C0115F" w:rsidRPr="00C0115F" w14:paraId="55DB8583" w14:textId="77777777" w:rsidTr="008A1D26">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350" w:type="dxa"/>
            <w:tcBorders>
              <w:top w:val="none" w:sz="0" w:space="0" w:color="auto"/>
              <w:bottom w:val="none" w:sz="0" w:space="0" w:color="auto"/>
              <w:right w:val="none" w:sz="0" w:space="0" w:color="auto"/>
            </w:tcBorders>
            <w:noWrap/>
            <w:hideMark/>
          </w:tcPr>
          <w:p w14:paraId="0CBCD415"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2017</w:t>
            </w:r>
          </w:p>
        </w:tc>
        <w:tc>
          <w:tcPr>
            <w:tcW w:w="2350" w:type="dxa"/>
            <w:tcBorders>
              <w:top w:val="none" w:sz="0" w:space="0" w:color="auto"/>
              <w:bottom w:val="none" w:sz="0" w:space="0" w:color="auto"/>
            </w:tcBorders>
            <w:noWrap/>
            <w:hideMark/>
          </w:tcPr>
          <w:p w14:paraId="4320D756" w14:textId="664BFE6F"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3,726400</w:t>
            </w:r>
          </w:p>
        </w:tc>
        <w:tc>
          <w:tcPr>
            <w:tcW w:w="2350" w:type="dxa"/>
            <w:tcBorders>
              <w:top w:val="none" w:sz="0" w:space="0" w:color="auto"/>
              <w:bottom w:val="none" w:sz="0" w:space="0" w:color="auto"/>
            </w:tcBorders>
            <w:noWrap/>
            <w:hideMark/>
          </w:tcPr>
          <w:p w14:paraId="5DF1D070" w14:textId="335C9ADA"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2,161</w:t>
            </w:r>
            <w:r w:rsidR="008A1D26">
              <w:rPr>
                <w:rFonts w:ascii="Calibri" w:eastAsia="Times New Roman" w:hAnsi="Calibri" w:cs="Calibri"/>
                <w:bCs/>
                <w:sz w:val="20"/>
                <w:szCs w:val="20"/>
              </w:rPr>
              <w:t>,</w:t>
            </w:r>
            <w:r w:rsidRPr="00D74D8C">
              <w:rPr>
                <w:rFonts w:ascii="Calibri" w:eastAsia="Times New Roman" w:hAnsi="Calibri" w:cs="Calibri"/>
                <w:bCs/>
                <w:sz w:val="20"/>
                <w:szCs w:val="20"/>
              </w:rPr>
              <w:t>900</w:t>
            </w:r>
          </w:p>
        </w:tc>
        <w:tc>
          <w:tcPr>
            <w:tcW w:w="2350" w:type="dxa"/>
            <w:tcBorders>
              <w:top w:val="none" w:sz="0" w:space="0" w:color="auto"/>
              <w:bottom w:val="none" w:sz="0" w:space="0" w:color="auto"/>
            </w:tcBorders>
            <w:noWrap/>
            <w:hideMark/>
          </w:tcPr>
          <w:p w14:paraId="20D63C7F" w14:textId="5592812D" w:rsidR="00C0115F" w:rsidRPr="00D74D8C" w:rsidRDefault="00C0115F" w:rsidP="00454C2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1,564</w:t>
            </w:r>
            <w:r w:rsidR="008A1D26">
              <w:rPr>
                <w:rFonts w:ascii="Calibri" w:eastAsia="Times New Roman" w:hAnsi="Calibri" w:cs="Calibri"/>
                <w:bCs/>
                <w:sz w:val="20"/>
                <w:szCs w:val="20"/>
              </w:rPr>
              <w:t>,</w:t>
            </w:r>
            <w:r w:rsidRPr="00D74D8C">
              <w:rPr>
                <w:rFonts w:ascii="Calibri" w:eastAsia="Times New Roman" w:hAnsi="Calibri" w:cs="Calibri"/>
                <w:bCs/>
                <w:sz w:val="20"/>
                <w:szCs w:val="20"/>
              </w:rPr>
              <w:t>500</w:t>
            </w:r>
          </w:p>
        </w:tc>
      </w:tr>
      <w:tr w:rsidR="00C0115F" w:rsidRPr="00C0115F" w14:paraId="2FB692FA" w14:textId="77777777" w:rsidTr="008A1D26">
        <w:trPr>
          <w:trHeight w:val="353"/>
        </w:trPr>
        <w:tc>
          <w:tcPr>
            <w:cnfStyle w:val="001000000000" w:firstRow="0" w:lastRow="0" w:firstColumn="1" w:lastColumn="0" w:oddVBand="0" w:evenVBand="0" w:oddHBand="0" w:evenHBand="0" w:firstRowFirstColumn="0" w:firstRowLastColumn="0" w:lastRowFirstColumn="0" w:lastRowLastColumn="0"/>
            <w:tcW w:w="2350" w:type="dxa"/>
            <w:tcBorders>
              <w:right w:val="none" w:sz="0" w:space="0" w:color="auto"/>
            </w:tcBorders>
            <w:noWrap/>
            <w:hideMark/>
          </w:tcPr>
          <w:p w14:paraId="619DE754" w14:textId="77777777" w:rsidR="00C0115F" w:rsidRPr="00D74D8C" w:rsidRDefault="00C0115F" w:rsidP="00454C26">
            <w:pPr>
              <w:jc w:val="center"/>
              <w:rPr>
                <w:rFonts w:ascii="Calibri" w:eastAsia="Times New Roman" w:hAnsi="Calibri" w:cs="Calibri"/>
                <w:bCs w:val="0"/>
                <w:sz w:val="20"/>
                <w:szCs w:val="20"/>
              </w:rPr>
            </w:pPr>
            <w:r w:rsidRPr="00C6347D">
              <w:rPr>
                <w:rFonts w:ascii="Calibri" w:eastAsia="Times New Roman" w:hAnsi="Calibri" w:cs="Calibri"/>
                <w:sz w:val="20"/>
                <w:szCs w:val="20"/>
              </w:rPr>
              <w:t>2018</w:t>
            </w:r>
          </w:p>
        </w:tc>
        <w:tc>
          <w:tcPr>
            <w:tcW w:w="2350" w:type="dxa"/>
            <w:noWrap/>
            <w:hideMark/>
          </w:tcPr>
          <w:p w14:paraId="01C05B35" w14:textId="0C6CDD84"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3,729600</w:t>
            </w:r>
          </w:p>
        </w:tc>
        <w:tc>
          <w:tcPr>
            <w:tcW w:w="2350" w:type="dxa"/>
            <w:noWrap/>
            <w:hideMark/>
          </w:tcPr>
          <w:p w14:paraId="4B77C3FD" w14:textId="1B34451A"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2,174</w:t>
            </w:r>
            <w:r w:rsidR="008A1D26">
              <w:rPr>
                <w:rFonts w:ascii="Calibri" w:eastAsia="Times New Roman" w:hAnsi="Calibri" w:cs="Calibri"/>
                <w:bCs/>
                <w:sz w:val="20"/>
                <w:szCs w:val="20"/>
              </w:rPr>
              <w:t>,</w:t>
            </w:r>
            <w:r w:rsidRPr="00D74D8C">
              <w:rPr>
                <w:rFonts w:ascii="Calibri" w:eastAsia="Times New Roman" w:hAnsi="Calibri" w:cs="Calibri"/>
                <w:bCs/>
                <w:sz w:val="20"/>
                <w:szCs w:val="20"/>
              </w:rPr>
              <w:t>800</w:t>
            </w:r>
          </w:p>
        </w:tc>
        <w:tc>
          <w:tcPr>
            <w:tcW w:w="2350" w:type="dxa"/>
            <w:noWrap/>
            <w:hideMark/>
          </w:tcPr>
          <w:p w14:paraId="4CA6A28B" w14:textId="72F0B7D2" w:rsidR="00C0115F" w:rsidRPr="00D74D8C" w:rsidRDefault="00C0115F" w:rsidP="00454C2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Cs/>
                <w:sz w:val="20"/>
                <w:szCs w:val="20"/>
              </w:rPr>
            </w:pPr>
            <w:r w:rsidRPr="00D74D8C">
              <w:rPr>
                <w:rFonts w:ascii="Calibri" w:eastAsia="Times New Roman" w:hAnsi="Calibri" w:cs="Calibri"/>
                <w:bCs/>
                <w:sz w:val="20"/>
                <w:szCs w:val="20"/>
              </w:rPr>
              <w:t>1,554</w:t>
            </w:r>
            <w:r w:rsidR="008A1D26">
              <w:rPr>
                <w:rFonts w:ascii="Calibri" w:eastAsia="Times New Roman" w:hAnsi="Calibri" w:cs="Calibri"/>
                <w:bCs/>
                <w:sz w:val="20"/>
                <w:szCs w:val="20"/>
              </w:rPr>
              <w:t>,</w:t>
            </w:r>
            <w:r w:rsidRPr="00D74D8C">
              <w:rPr>
                <w:rFonts w:ascii="Calibri" w:eastAsia="Times New Roman" w:hAnsi="Calibri" w:cs="Calibri"/>
                <w:bCs/>
                <w:sz w:val="20"/>
                <w:szCs w:val="20"/>
              </w:rPr>
              <w:t>800</w:t>
            </w:r>
          </w:p>
        </w:tc>
      </w:tr>
    </w:tbl>
    <w:p w14:paraId="4F0D0A7E" w14:textId="2211AD21" w:rsidR="005A68FE" w:rsidRDefault="005A68FE">
      <w:pPr>
        <w:rPr>
          <w:color w:val="FF0000"/>
        </w:rPr>
      </w:pPr>
      <w:r>
        <w:rPr>
          <w:i/>
          <w:iCs/>
          <w:color w:val="44546A" w:themeColor="text2"/>
          <w:sz w:val="18"/>
          <w:szCs w:val="18"/>
        </w:rPr>
        <w:t xml:space="preserve">Source: </w:t>
      </w:r>
      <w:proofErr w:type="spellStart"/>
      <w:r w:rsidR="00FB1B33">
        <w:rPr>
          <w:i/>
          <w:iCs/>
          <w:color w:val="44546A" w:themeColor="text2"/>
          <w:sz w:val="18"/>
          <w:szCs w:val="18"/>
        </w:rPr>
        <w:t>Geostat</w:t>
      </w:r>
      <w:proofErr w:type="spellEnd"/>
    </w:p>
    <w:p w14:paraId="558B0B44" w14:textId="74932A42" w:rsidR="00153B90" w:rsidRPr="00C510FB" w:rsidRDefault="00153B90" w:rsidP="00153B90">
      <w:pPr>
        <w:jc w:val="both"/>
        <w:rPr>
          <w:b/>
          <w:bCs/>
          <w:i/>
          <w:iCs/>
        </w:rPr>
      </w:pPr>
      <w:r w:rsidRPr="00C510FB">
        <w:rPr>
          <w:b/>
          <w:bCs/>
          <w:i/>
          <w:iCs/>
        </w:rPr>
        <w:t>Income, wages and labor market dynamics</w:t>
      </w:r>
    </w:p>
    <w:p w14:paraId="523C044C" w14:textId="28423935" w:rsidR="00153B90" w:rsidRDefault="00153B90" w:rsidP="00153B90">
      <w:pPr>
        <w:jc w:val="both"/>
      </w:pPr>
      <w:r>
        <w:t>Other factors which can also determine the demand on the housing market are the income level of households, the level of monthly wages and, more generally, labor market dynamics</w:t>
      </w:r>
      <w:r w:rsidR="00B16C99">
        <w:t>.</w:t>
      </w:r>
      <w:r w:rsidR="009A0BFB">
        <w:t xml:space="preserve"> Positive evolutions in the labor market related trends (increases in incomes, earnings, labor market participation, and declining unemployment) make – ceteris paribus – housing more affordable</w:t>
      </w:r>
      <w:r w:rsidR="00CE78E2">
        <w:t>.</w:t>
      </w:r>
      <w:r w:rsidR="009A0BFB">
        <w:t xml:space="preserve"> The opposite is true when labor market conditions deteriorate</w:t>
      </w:r>
      <w:r w:rsidR="00CE78E2">
        <w:t>.</w:t>
      </w:r>
    </w:p>
    <w:p w14:paraId="637DB438" w14:textId="701DDF1D" w:rsidR="00153B90" w:rsidRDefault="00153B90" w:rsidP="00153B90">
      <w:pPr>
        <w:jc w:val="both"/>
      </w:pPr>
      <w:r>
        <w:t xml:space="preserve">Over the period 2007-2018 the average monthly incomes per household in </w:t>
      </w:r>
      <w:r w:rsidR="006B1DDE">
        <w:t>u</w:t>
      </w:r>
      <w:r w:rsidR="0021680A">
        <w:t>rban</w:t>
      </w:r>
      <w:r>
        <w:t xml:space="preserve"> and </w:t>
      </w:r>
      <w:r w:rsidR="006B1DDE">
        <w:t>r</w:t>
      </w:r>
      <w:r w:rsidR="0021680A">
        <w:t>ural</w:t>
      </w:r>
      <w:r>
        <w:t xml:space="preserve"> areas grew annually, in nominal terms, by 10% and 9%, respectively (Figure </w:t>
      </w:r>
      <w:r w:rsidR="00CE78E2">
        <w:t>1</w:t>
      </w:r>
      <w:r>
        <w:t>)</w:t>
      </w:r>
      <w:r w:rsidR="00B16C99">
        <w:t>.</w:t>
      </w:r>
      <w:r>
        <w:t xml:space="preserve"> </w:t>
      </w:r>
    </w:p>
    <w:p w14:paraId="6877B5A9" w14:textId="6B10D579" w:rsidR="00153B90" w:rsidRPr="003A4DD2" w:rsidRDefault="00153B90" w:rsidP="00153B90">
      <w:pPr>
        <w:pStyle w:val="Caption"/>
        <w:jc w:val="both"/>
        <w:rPr>
          <w:rFonts w:ascii="Sylfaen" w:hAnsi="Sylfaen"/>
          <w:lang w:val="ka-GE"/>
        </w:rPr>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1</w:t>
      </w:r>
      <w:r w:rsidR="00D656F6">
        <w:rPr>
          <w:noProof/>
        </w:rPr>
        <w:fldChar w:fldCharType="end"/>
      </w:r>
      <w:r>
        <w:t xml:space="preserve">: Average </w:t>
      </w:r>
      <w:r w:rsidR="00A02C89">
        <w:t>m</w:t>
      </w:r>
      <w:r>
        <w:t xml:space="preserve">onthly </w:t>
      </w:r>
      <w:r w:rsidR="00A02C89">
        <w:t>i</w:t>
      </w:r>
      <w:r>
        <w:t xml:space="preserve">ncomes per household in </w:t>
      </w:r>
      <w:r w:rsidR="00A02C89">
        <w:t>u</w:t>
      </w:r>
      <w:r w:rsidR="0021680A">
        <w:t>rban</w:t>
      </w:r>
      <w:r>
        <w:t xml:space="preserve"> and </w:t>
      </w:r>
      <w:r w:rsidR="00A02C89">
        <w:t>r</w:t>
      </w:r>
      <w:r w:rsidR="0021680A">
        <w:t>ural</w:t>
      </w:r>
      <w:r>
        <w:t xml:space="preserve"> </w:t>
      </w:r>
      <w:r w:rsidR="00A02C89">
        <w:t>a</w:t>
      </w:r>
      <w:r>
        <w:t xml:space="preserve">reas </w:t>
      </w:r>
    </w:p>
    <w:p w14:paraId="5381151F" w14:textId="77777777" w:rsidR="00153B90" w:rsidRDefault="00153B90" w:rsidP="00B90493">
      <w:pPr>
        <w:spacing w:after="0"/>
        <w:jc w:val="both"/>
      </w:pPr>
      <w:r>
        <w:rPr>
          <w:noProof/>
        </w:rPr>
        <w:drawing>
          <wp:inline distT="0" distB="0" distL="0" distR="0" wp14:anchorId="6DE0EE55" wp14:editId="7364FFCA">
            <wp:extent cx="5705475" cy="2076450"/>
            <wp:effectExtent l="0" t="0" r="9525" b="0"/>
            <wp:docPr id="74"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14225A" w14:textId="7CB4FF01" w:rsidR="00153B90" w:rsidRDefault="00153B90" w:rsidP="00153B90">
      <w:pPr>
        <w:jc w:val="both"/>
      </w:pPr>
      <w:r>
        <w:rPr>
          <w:i/>
          <w:iCs/>
          <w:color w:val="44546A" w:themeColor="text2"/>
          <w:sz w:val="18"/>
          <w:szCs w:val="18"/>
        </w:rPr>
        <w:t xml:space="preserve">Source: </w:t>
      </w:r>
      <w:proofErr w:type="spellStart"/>
      <w:r w:rsidR="00473F78">
        <w:rPr>
          <w:i/>
          <w:iCs/>
          <w:color w:val="44546A" w:themeColor="text2"/>
          <w:sz w:val="18"/>
          <w:szCs w:val="18"/>
        </w:rPr>
        <w:t>Geostat</w:t>
      </w:r>
      <w:proofErr w:type="spellEnd"/>
    </w:p>
    <w:p w14:paraId="1176933E" w14:textId="014DEB18" w:rsidR="00153B90" w:rsidRDefault="00153B90" w:rsidP="00153B90">
      <w:pPr>
        <w:jc w:val="both"/>
      </w:pPr>
      <w:r>
        <w:t>A</w:t>
      </w:r>
      <w:r w:rsidR="009A0BFB">
        <w:t xml:space="preserve"> very similar trend can be observed for </w:t>
      </w:r>
      <w:r>
        <w:t>nominal earning</w:t>
      </w:r>
      <w:r w:rsidR="009A0BFB">
        <w:t>s</w:t>
      </w:r>
      <w:r w:rsidR="00301B47">
        <w:t xml:space="preserve"> for individuals</w:t>
      </w:r>
      <w:r>
        <w:t>, increas</w:t>
      </w:r>
      <w:r w:rsidR="009A0BFB">
        <w:t>ing</w:t>
      </w:r>
      <w:r>
        <w:t xml:space="preserve"> on average by 11% over </w:t>
      </w:r>
      <w:r w:rsidR="00B16C99">
        <w:t>11-year</w:t>
      </w:r>
      <w:r>
        <w:t xml:space="preserve"> period</w:t>
      </w:r>
      <w:r w:rsidR="00CE78E2">
        <w:t xml:space="preserve"> (Figure 2).</w:t>
      </w:r>
    </w:p>
    <w:p w14:paraId="25409F6F" w14:textId="787AD77C" w:rsidR="00B90493" w:rsidRDefault="00B90493" w:rsidP="00153B90">
      <w:pPr>
        <w:jc w:val="both"/>
      </w:pPr>
    </w:p>
    <w:p w14:paraId="1BA99C06" w14:textId="7B87BFDF" w:rsidR="00B90493" w:rsidRDefault="00B90493" w:rsidP="00153B90">
      <w:pPr>
        <w:jc w:val="both"/>
      </w:pPr>
    </w:p>
    <w:p w14:paraId="21D8B531" w14:textId="1C1ACE8B" w:rsidR="004076AD" w:rsidRDefault="004076AD" w:rsidP="00153B90">
      <w:pPr>
        <w:jc w:val="both"/>
      </w:pPr>
    </w:p>
    <w:p w14:paraId="7FB9C242" w14:textId="09C1198D" w:rsidR="004076AD" w:rsidRDefault="004076AD" w:rsidP="00153B90">
      <w:pPr>
        <w:jc w:val="both"/>
      </w:pPr>
    </w:p>
    <w:p w14:paraId="6E846474" w14:textId="6C5CC0DA" w:rsidR="00B90493" w:rsidRDefault="00B90493" w:rsidP="00153B90">
      <w:pPr>
        <w:jc w:val="both"/>
      </w:pPr>
    </w:p>
    <w:p w14:paraId="3D5F6DA5" w14:textId="77777777" w:rsidR="00B90493" w:rsidRDefault="00B90493" w:rsidP="00153B90">
      <w:pPr>
        <w:jc w:val="both"/>
      </w:pPr>
    </w:p>
    <w:p w14:paraId="0CFB5C03" w14:textId="338E6893" w:rsidR="00153B90" w:rsidRDefault="00153B90" w:rsidP="00153B90">
      <w:pPr>
        <w:pStyle w:val="Caption"/>
        <w:jc w:val="both"/>
      </w:pPr>
      <w:r>
        <w:lastRenderedPageBreak/>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2</w:t>
      </w:r>
      <w:r w:rsidR="00D656F6">
        <w:rPr>
          <w:noProof/>
        </w:rPr>
        <w:fldChar w:fldCharType="end"/>
      </w:r>
      <w:r>
        <w:t xml:space="preserve">: Average </w:t>
      </w:r>
      <w:r w:rsidR="00A02C89">
        <w:t>m</w:t>
      </w:r>
      <w:r>
        <w:t xml:space="preserve">onthly </w:t>
      </w:r>
      <w:r w:rsidR="00A02C89">
        <w:t>n</w:t>
      </w:r>
      <w:r>
        <w:t xml:space="preserve">ominal </w:t>
      </w:r>
      <w:r w:rsidR="00A02C89">
        <w:t>e</w:t>
      </w:r>
      <w:r>
        <w:t>arnings</w:t>
      </w:r>
      <w:r w:rsidR="00301B47">
        <w:t xml:space="preserve"> for </w:t>
      </w:r>
      <w:r w:rsidR="00A02C89">
        <w:t>i</w:t>
      </w:r>
      <w:r w:rsidR="00301B47">
        <w:t>ndividuals</w:t>
      </w:r>
    </w:p>
    <w:p w14:paraId="22059231" w14:textId="6C27A348" w:rsidR="00153B90" w:rsidRDefault="0090241C" w:rsidP="00B90493">
      <w:pPr>
        <w:spacing w:after="0"/>
        <w:jc w:val="both"/>
      </w:pPr>
      <w:r>
        <w:rPr>
          <w:noProof/>
        </w:rPr>
        <w:drawing>
          <wp:inline distT="0" distB="0" distL="0" distR="0" wp14:anchorId="47AFF179" wp14:editId="4FC2CA2B">
            <wp:extent cx="5743575" cy="2695575"/>
            <wp:effectExtent l="0" t="0" r="9525" b="9525"/>
            <wp:docPr id="20" name="Chart 20">
              <a:extLst xmlns:a="http://schemas.openxmlformats.org/drawingml/2006/main">
                <a:ext uri="{FF2B5EF4-FFF2-40B4-BE49-F238E27FC236}">
                  <a16:creationId xmlns:a16="http://schemas.microsoft.com/office/drawing/2014/main" id="{00000000-0008-0000-3C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AC636FE" w14:textId="53FA323E" w:rsidR="00153B90" w:rsidRDefault="00153B90" w:rsidP="00153B90">
      <w:pPr>
        <w:jc w:val="both"/>
      </w:pPr>
      <w:r>
        <w:rPr>
          <w:i/>
          <w:iCs/>
          <w:color w:val="44546A" w:themeColor="text2"/>
          <w:sz w:val="18"/>
          <w:szCs w:val="18"/>
        </w:rPr>
        <w:t xml:space="preserve">Source: </w:t>
      </w:r>
      <w:proofErr w:type="spellStart"/>
      <w:r w:rsidR="00473F78">
        <w:rPr>
          <w:i/>
          <w:iCs/>
          <w:color w:val="44546A" w:themeColor="text2"/>
          <w:sz w:val="18"/>
          <w:szCs w:val="18"/>
        </w:rPr>
        <w:t>Geostat</w:t>
      </w:r>
      <w:proofErr w:type="spellEnd"/>
    </w:p>
    <w:p w14:paraId="31389C45" w14:textId="32C31BB1" w:rsidR="00153B90" w:rsidRDefault="00153B90" w:rsidP="00153B90">
      <w:pPr>
        <w:jc w:val="both"/>
      </w:pPr>
      <w:r>
        <w:t xml:space="preserve">Over the 2007-2018 period, the unemployment has been decreasing by </w:t>
      </w:r>
      <w:r w:rsidR="008E0281">
        <w:t>5</w:t>
      </w:r>
      <w:r>
        <w:t xml:space="preserve">7%, while labor market participation has been increasing by </w:t>
      </w:r>
      <w:r w:rsidR="008E0281">
        <w:t>36</w:t>
      </w:r>
      <w:r>
        <w:t xml:space="preserve">% (Figure </w:t>
      </w:r>
      <w:r w:rsidR="005A68FE">
        <w:t>3</w:t>
      </w:r>
      <w:r>
        <w:t>)</w:t>
      </w:r>
      <w:r w:rsidR="00B16C99">
        <w:t>.</w:t>
      </w:r>
    </w:p>
    <w:p w14:paraId="79B5D2B5" w14:textId="41105C9E" w:rsidR="00153B90" w:rsidRDefault="00153B90" w:rsidP="00153B90">
      <w:pPr>
        <w:pStyle w:val="Caption"/>
        <w:jc w:val="both"/>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3</w:t>
      </w:r>
      <w:r w:rsidR="00D656F6">
        <w:rPr>
          <w:noProof/>
        </w:rPr>
        <w:fldChar w:fldCharType="end"/>
      </w:r>
      <w:r>
        <w:t xml:space="preserve">: Unemployment </w:t>
      </w:r>
      <w:r w:rsidR="00A02C89">
        <w:t>r</w:t>
      </w:r>
      <w:r>
        <w:t xml:space="preserve">ate and </w:t>
      </w:r>
      <w:r w:rsidR="00A02C89">
        <w:t>l</w:t>
      </w:r>
      <w:r>
        <w:t xml:space="preserve">abor </w:t>
      </w:r>
      <w:r w:rsidR="00A02C89">
        <w:t>f</w:t>
      </w:r>
      <w:r>
        <w:t xml:space="preserve">orce </w:t>
      </w:r>
      <w:r w:rsidR="00A02C89">
        <w:t>p</w:t>
      </w:r>
      <w:r>
        <w:t>articipation (%)</w:t>
      </w:r>
    </w:p>
    <w:p w14:paraId="4F6167A2" w14:textId="04D353DF" w:rsidR="00153B90" w:rsidRDefault="002949A0" w:rsidP="00FB1B33">
      <w:pPr>
        <w:spacing w:before="240"/>
        <w:rPr>
          <w:rFonts w:ascii="Sylfaen" w:hAnsi="Sylfaen"/>
          <w:i/>
          <w:iCs/>
          <w:color w:val="44546A" w:themeColor="text2"/>
          <w:sz w:val="18"/>
          <w:szCs w:val="18"/>
          <w:lang w:val="ka-GE"/>
        </w:rPr>
      </w:pPr>
      <w:r w:rsidRPr="00694FEE">
        <w:rPr>
          <w:noProof/>
        </w:rPr>
        <w:drawing>
          <wp:inline distT="0" distB="0" distL="0" distR="0" wp14:anchorId="2A20B16B" wp14:editId="030A5850">
            <wp:extent cx="5800725" cy="2886075"/>
            <wp:effectExtent l="0" t="0" r="9525" b="9525"/>
            <wp:docPr id="33" name="Chart 33">
              <a:extLst xmlns:a="http://schemas.openxmlformats.org/drawingml/2006/main">
                <a:ext uri="{FF2B5EF4-FFF2-40B4-BE49-F238E27FC236}">
                  <a16:creationId xmlns:a16="http://schemas.microsoft.com/office/drawing/2014/main" id="{00000000-0008-0000-09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53B90">
        <w:rPr>
          <w:i/>
          <w:iCs/>
          <w:color w:val="44546A" w:themeColor="text2"/>
          <w:sz w:val="18"/>
          <w:szCs w:val="18"/>
        </w:rPr>
        <w:t xml:space="preserve">Source: </w:t>
      </w:r>
      <w:proofErr w:type="spellStart"/>
      <w:r w:rsidR="00473F78">
        <w:rPr>
          <w:i/>
          <w:iCs/>
          <w:color w:val="44546A" w:themeColor="text2"/>
          <w:sz w:val="18"/>
          <w:szCs w:val="18"/>
        </w:rPr>
        <w:t>Geostat</w:t>
      </w:r>
      <w:proofErr w:type="spellEnd"/>
    </w:p>
    <w:p w14:paraId="3A4546C3" w14:textId="77777777" w:rsidR="006C467C" w:rsidRPr="006C467C" w:rsidRDefault="006C467C" w:rsidP="00FB1B33">
      <w:pPr>
        <w:spacing w:before="240"/>
        <w:rPr>
          <w:rFonts w:ascii="Sylfaen" w:hAnsi="Sylfaen"/>
          <w:lang w:val="ka-GE"/>
        </w:rPr>
      </w:pPr>
    </w:p>
    <w:p w14:paraId="66D191AF" w14:textId="77777777" w:rsidR="00153B90" w:rsidRPr="00C510FB" w:rsidRDefault="00153B90" w:rsidP="00153B90">
      <w:pPr>
        <w:jc w:val="both"/>
        <w:rPr>
          <w:b/>
          <w:bCs/>
        </w:rPr>
      </w:pPr>
      <w:r w:rsidRPr="00C510FB">
        <w:rPr>
          <w:b/>
          <w:bCs/>
          <w:i/>
          <w:iCs/>
        </w:rPr>
        <w:t>Poverty and Inequality</w:t>
      </w:r>
    </w:p>
    <w:p w14:paraId="15787C99" w14:textId="4E31F734" w:rsidR="009A0BFB" w:rsidRDefault="009A0BFB" w:rsidP="00153B90">
      <w:pPr>
        <w:spacing w:after="0" w:line="240" w:lineRule="auto"/>
        <w:jc w:val="both"/>
      </w:pPr>
      <w:r>
        <w:t>Poverty and inequality also affect the development of unstable housing trends</w:t>
      </w:r>
      <w:r w:rsidR="002949A0">
        <w:t>.</w:t>
      </w:r>
      <w:r>
        <w:t xml:space="preserve"> Higher levels of poverty unambiguously lead to an increase in the share of the population exposed to the risk of unstable housing</w:t>
      </w:r>
      <w:r w:rsidR="00B16C99">
        <w:t>.</w:t>
      </w:r>
      <w:r>
        <w:t xml:space="preserve"> The role of inequality is, instead, more ambiguous</w:t>
      </w:r>
      <w:r w:rsidR="002949A0">
        <w:t>.</w:t>
      </w:r>
      <w:r>
        <w:t xml:space="preserve"> An increase in inequality might be neutral </w:t>
      </w:r>
      <w:r>
        <w:lastRenderedPageBreak/>
        <w:t xml:space="preserve">in terms of unstable housing outcomes, if </w:t>
      </w:r>
      <w:r w:rsidR="00CF42C4">
        <w:t>absolute poverty is not increasing and poorer and richer households buy and rent houses in separated markets</w:t>
      </w:r>
      <w:r w:rsidR="002949A0">
        <w:t>.</w:t>
      </w:r>
      <w:r w:rsidR="00CF42C4">
        <w:t xml:space="preserve"> On the other hand, even when absolute poverty is not increasing, especially in a tight housing market, the </w:t>
      </w:r>
      <w:r w:rsidR="00B16C99">
        <w:t>richer</w:t>
      </w:r>
      <w:r w:rsidR="00CF42C4">
        <w:t xml:space="preserve"> and poorer households compete for the same housing stock, the </w:t>
      </w:r>
      <w:r w:rsidR="00B16C99">
        <w:t>poorer</w:t>
      </w:r>
      <w:r w:rsidR="00CF42C4">
        <w:t xml:space="preserve"> households are likely to be facing the issue of unaffordable housing (as richer household bid prices up)</w:t>
      </w:r>
      <w:r w:rsidR="002949A0">
        <w:t>.</w:t>
      </w:r>
      <w:r>
        <w:t xml:space="preserve"> </w:t>
      </w:r>
    </w:p>
    <w:p w14:paraId="3D58E505" w14:textId="77777777" w:rsidR="00CF42C4" w:rsidRDefault="00CF42C4" w:rsidP="00153B90">
      <w:pPr>
        <w:spacing w:after="0" w:line="240" w:lineRule="auto"/>
        <w:jc w:val="both"/>
      </w:pPr>
    </w:p>
    <w:p w14:paraId="10CECCA1" w14:textId="04268E90" w:rsidR="00153B90" w:rsidRDefault="00153B90" w:rsidP="00153B90">
      <w:pPr>
        <w:spacing w:after="0" w:line="240" w:lineRule="auto"/>
        <w:jc w:val="both"/>
      </w:pPr>
      <w:r w:rsidRPr="00C510FB">
        <w:t>According to the official data from the National Stati</w:t>
      </w:r>
      <w:r w:rsidR="00AD0880">
        <w:t>stics Office of Georgia</w:t>
      </w:r>
      <w:r w:rsidRPr="00C510FB">
        <w:t xml:space="preserve"> </w:t>
      </w:r>
      <w:r>
        <w:t xml:space="preserve">the </w:t>
      </w:r>
      <w:r w:rsidRPr="00C510FB">
        <w:t>percentage of population below the absolute poverty line amounted to 20% in 2018</w:t>
      </w:r>
      <w:r w:rsidR="00B16C99">
        <w:t>.</w:t>
      </w:r>
      <w:r w:rsidRPr="00C510FB">
        <w:t xml:space="preserve"> </w:t>
      </w:r>
      <w:r>
        <w:t>The a</w:t>
      </w:r>
      <w:r w:rsidRPr="00C510FB">
        <w:t>bsolute poverty indic</w:t>
      </w:r>
      <w:r>
        <w:t xml:space="preserve">ator </w:t>
      </w:r>
      <w:r w:rsidR="008E0281">
        <w:t>has been</w:t>
      </w:r>
      <w:r w:rsidRPr="00C510FB">
        <w:t xml:space="preserve"> characterized </w:t>
      </w:r>
      <w:r>
        <w:t xml:space="preserve">by a declining trend over </w:t>
      </w:r>
      <w:r w:rsidR="008E0281">
        <w:t xml:space="preserve">the period </w:t>
      </w:r>
      <w:r>
        <w:t>200</w:t>
      </w:r>
      <w:r w:rsidR="00505BA5">
        <w:t>7</w:t>
      </w:r>
      <w:r w:rsidRPr="00C510FB">
        <w:t xml:space="preserve">-2018, </w:t>
      </w:r>
      <w:r>
        <w:t>with a reduction of</w:t>
      </w:r>
      <w:r w:rsidRPr="00C510FB">
        <w:t xml:space="preserve"> 1</w:t>
      </w:r>
      <w:r w:rsidR="00BD43BF">
        <w:rPr>
          <w:lang w:val="ka-GE"/>
        </w:rPr>
        <w:t>9</w:t>
      </w:r>
      <w:r w:rsidRPr="00C510FB">
        <w:t xml:space="preserve"> percentage points</w:t>
      </w:r>
      <w:r w:rsidR="00B16C99">
        <w:t>.</w:t>
      </w:r>
      <w:r w:rsidRPr="00C510FB">
        <w:t xml:space="preserve"> </w:t>
      </w:r>
      <w:r>
        <w:t>The</w:t>
      </w:r>
      <w:r w:rsidRPr="00C510FB">
        <w:t xml:space="preserve"> </w:t>
      </w:r>
      <w:r>
        <w:t xml:space="preserve">measure of relative poverty, </w:t>
      </w:r>
      <w:r w:rsidRPr="00C510FB">
        <w:t>share of population below 60% of median consumption</w:t>
      </w:r>
      <w:r>
        <w:t>, remained much more stable over the s</w:t>
      </w:r>
      <w:r w:rsidR="00AD0880">
        <w:t>ame period varying between 20-</w:t>
      </w:r>
      <w:r>
        <w:t>23% (21% in 2018)</w:t>
      </w:r>
      <w:r w:rsidR="00B16C99">
        <w:t>.</w:t>
      </w:r>
      <w:r>
        <w:t xml:space="preserve"> </w:t>
      </w:r>
    </w:p>
    <w:p w14:paraId="688CFF19" w14:textId="77777777" w:rsidR="00153B90" w:rsidRDefault="00153B90" w:rsidP="00153B90">
      <w:pPr>
        <w:spacing w:after="0" w:line="240" w:lineRule="auto"/>
        <w:jc w:val="both"/>
      </w:pPr>
    </w:p>
    <w:p w14:paraId="04234E48" w14:textId="538A1AD8" w:rsidR="00153B90" w:rsidRDefault="00153B90" w:rsidP="00153B90">
      <w:pPr>
        <w:jc w:val="both"/>
      </w:pPr>
      <w:r>
        <w:t>A</w:t>
      </w:r>
      <w:r w:rsidR="008E0281">
        <w:t xml:space="preserve">t the same time, the </w:t>
      </w:r>
      <w:r w:rsidR="008E0281" w:rsidRPr="006C467C">
        <w:rPr>
          <w:i/>
        </w:rPr>
        <w:t xml:space="preserve">Gini </w:t>
      </w:r>
      <w:r w:rsidR="006C467C">
        <w:rPr>
          <w:rFonts w:cstheme="minorHAnsi"/>
          <w:i/>
          <w:lang w:val="en-GB"/>
        </w:rPr>
        <w:t>Coefficient</w:t>
      </w:r>
      <w:r w:rsidR="008E0281" w:rsidRPr="00C510FB">
        <w:t xml:space="preserve"> by total income</w:t>
      </w:r>
      <w:r>
        <w:t xml:space="preserve">, </w:t>
      </w:r>
      <w:r w:rsidRPr="00C510FB">
        <w:t xml:space="preserve">the most </w:t>
      </w:r>
      <w:r w:rsidR="008E0281">
        <w:t>known</w:t>
      </w:r>
      <w:r w:rsidRPr="00C510FB">
        <w:t xml:space="preserve"> indicator for </w:t>
      </w:r>
      <w:r w:rsidR="008E0281">
        <w:t>the measurement of inequality measurement,</w:t>
      </w:r>
      <w:r w:rsidRPr="00C510FB">
        <w:t xml:space="preserve"> va</w:t>
      </w:r>
      <w:r>
        <w:t>rie</w:t>
      </w:r>
      <w:r w:rsidR="009A0BFB">
        <w:t>d</w:t>
      </w:r>
      <w:r>
        <w:t xml:space="preserve"> between 0</w:t>
      </w:r>
      <w:r w:rsidR="00B16C99">
        <w:t>.</w:t>
      </w:r>
      <w:r>
        <w:t>39</w:t>
      </w:r>
      <w:r w:rsidR="009A0BFB">
        <w:t xml:space="preserve"> and </w:t>
      </w:r>
      <w:r>
        <w:t>0</w:t>
      </w:r>
      <w:r w:rsidR="00B16C99">
        <w:t>.</w:t>
      </w:r>
      <w:r>
        <w:t>44</w:t>
      </w:r>
      <w:r w:rsidR="009A0BFB">
        <w:t xml:space="preserve">, with the </w:t>
      </w:r>
      <w:r w:rsidRPr="00C510FB">
        <w:t>lowest</w:t>
      </w:r>
      <w:r>
        <w:t xml:space="preserve"> value </w:t>
      </w:r>
      <w:r w:rsidRPr="00C510FB">
        <w:t>recorded in 2018</w:t>
      </w:r>
      <w:r w:rsidR="009A0BFB">
        <w:t xml:space="preserve">, </w:t>
      </w:r>
      <w:r w:rsidRPr="00C510FB">
        <w:t>indicat</w:t>
      </w:r>
      <w:r w:rsidR="009A0BFB">
        <w:t>ing</w:t>
      </w:r>
      <w:r w:rsidRPr="00C510FB">
        <w:t xml:space="preserve"> that income </w:t>
      </w:r>
      <w:r w:rsidR="009A0BFB">
        <w:t>became</w:t>
      </w:r>
      <w:r w:rsidRPr="00C510FB">
        <w:t xml:space="preserve"> slightly more evenly distributed</w:t>
      </w:r>
      <w:r w:rsidR="00A86D82">
        <w:t>.</w:t>
      </w:r>
    </w:p>
    <w:p w14:paraId="7F754580" w14:textId="46F12B1E" w:rsidR="005A68FE" w:rsidRPr="00746787" w:rsidRDefault="00CF42C4" w:rsidP="00746787">
      <w:pPr>
        <w:jc w:val="both"/>
      </w:pPr>
      <w:r>
        <w:t>Both poverty and inequality indicators, therefore, are in line with a potential improvement of unstable housing issues</w:t>
      </w:r>
      <w:r w:rsidR="002949A0">
        <w:t xml:space="preserve"> (Figure</w:t>
      </w:r>
      <w:r w:rsidR="00AC14FE">
        <w:t xml:space="preserve"> </w:t>
      </w:r>
      <w:r w:rsidR="002949A0">
        <w:t>4)</w:t>
      </w:r>
      <w:r w:rsidR="00AC14FE">
        <w:t>.</w:t>
      </w:r>
    </w:p>
    <w:p w14:paraId="3603E458" w14:textId="1DE927FE" w:rsidR="00AC14FE" w:rsidRPr="00AC14FE" w:rsidRDefault="00AC14FE">
      <w:pPr>
        <w:pStyle w:val="Caption"/>
        <w:jc w:val="both"/>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4</w:t>
      </w:r>
      <w:r w:rsidR="00D656F6">
        <w:rPr>
          <w:noProof/>
        </w:rPr>
        <w:fldChar w:fldCharType="end"/>
      </w:r>
      <w:r>
        <w:t>: Absolute</w:t>
      </w:r>
      <w:r w:rsidR="009E6455">
        <w:rPr>
          <w:lang w:val="ka-GE"/>
        </w:rPr>
        <w:t xml:space="preserve"> </w:t>
      </w:r>
      <w:r w:rsidR="009E6455">
        <w:rPr>
          <w:lang w:val="en-GB"/>
        </w:rPr>
        <w:t>and</w:t>
      </w:r>
      <w:r w:rsidR="00A02C89">
        <w:rPr>
          <w:lang w:val="en-GB"/>
        </w:rPr>
        <w:t xml:space="preserve"> </w:t>
      </w:r>
      <w:r w:rsidR="00A02C89">
        <w:t>re</w:t>
      </w:r>
      <w:r>
        <w:t xml:space="preserve">lative </w:t>
      </w:r>
      <w:r w:rsidR="00A02C89">
        <w:t>p</w:t>
      </w:r>
      <w:r>
        <w:t xml:space="preserve">overty </w:t>
      </w:r>
      <w:r w:rsidR="00A02C89">
        <w:t>i</w:t>
      </w:r>
      <w:r>
        <w:t>ndicators</w:t>
      </w:r>
      <w:r w:rsidR="009E6455">
        <w:t xml:space="preserve">; </w:t>
      </w:r>
      <w:r>
        <w:t xml:space="preserve">Gini </w:t>
      </w:r>
      <w:r w:rsidR="00A02C89">
        <w:t>C</w:t>
      </w:r>
      <w:r>
        <w:t>oefficient</w:t>
      </w:r>
    </w:p>
    <w:p w14:paraId="455956B9" w14:textId="7DC36446" w:rsidR="00CF42C4" w:rsidRDefault="00AC14FE" w:rsidP="00153B90">
      <w:pPr>
        <w:jc w:val="both"/>
      </w:pPr>
      <w:r>
        <w:rPr>
          <w:noProof/>
        </w:rPr>
        <w:drawing>
          <wp:anchor distT="0" distB="0" distL="114300" distR="114300" simplePos="0" relativeHeight="251707392" behindDoc="1" locked="0" layoutInCell="1" allowOverlap="1" wp14:anchorId="59455A02" wp14:editId="16095A72">
            <wp:simplePos x="0" y="0"/>
            <wp:positionH relativeFrom="margin">
              <wp:align>left</wp:align>
            </wp:positionH>
            <wp:positionV relativeFrom="paragraph">
              <wp:posOffset>6350</wp:posOffset>
            </wp:positionV>
            <wp:extent cx="5800725" cy="2590800"/>
            <wp:effectExtent l="0" t="0" r="9525" b="0"/>
            <wp:wrapNone/>
            <wp:docPr id="77"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0C38E80A" w14:textId="77777777" w:rsidR="00AC14FE" w:rsidRDefault="00AC14FE" w:rsidP="00AC14FE">
      <w:pPr>
        <w:spacing w:after="0" w:line="240" w:lineRule="auto"/>
        <w:jc w:val="both"/>
        <w:rPr>
          <w:i/>
          <w:iCs/>
          <w:color w:val="44546A" w:themeColor="text2"/>
          <w:sz w:val="18"/>
          <w:szCs w:val="18"/>
        </w:rPr>
      </w:pPr>
    </w:p>
    <w:p w14:paraId="4AB0DE08" w14:textId="77777777" w:rsidR="00377AF5" w:rsidRDefault="00377AF5" w:rsidP="00AC14FE">
      <w:pPr>
        <w:rPr>
          <w:i/>
          <w:iCs/>
          <w:color w:val="44546A" w:themeColor="text2"/>
          <w:sz w:val="18"/>
          <w:szCs w:val="18"/>
        </w:rPr>
      </w:pPr>
      <w:r>
        <w:rPr>
          <w:i/>
          <w:iCs/>
          <w:color w:val="44546A" w:themeColor="text2"/>
          <w:sz w:val="18"/>
          <w:szCs w:val="18"/>
        </w:rPr>
        <w:t xml:space="preserve">                 </w:t>
      </w:r>
    </w:p>
    <w:p w14:paraId="62AA3A35" w14:textId="77777777" w:rsidR="00377AF5" w:rsidRDefault="00377AF5" w:rsidP="00AC14FE">
      <w:pPr>
        <w:rPr>
          <w:i/>
          <w:iCs/>
          <w:color w:val="44546A" w:themeColor="text2"/>
          <w:sz w:val="18"/>
          <w:szCs w:val="18"/>
        </w:rPr>
      </w:pPr>
    </w:p>
    <w:p w14:paraId="3787F811" w14:textId="77777777" w:rsidR="00377AF5" w:rsidRDefault="00377AF5" w:rsidP="00AC14FE">
      <w:pPr>
        <w:rPr>
          <w:i/>
          <w:iCs/>
          <w:color w:val="44546A" w:themeColor="text2"/>
          <w:sz w:val="18"/>
          <w:szCs w:val="18"/>
        </w:rPr>
      </w:pPr>
    </w:p>
    <w:p w14:paraId="764484D5" w14:textId="77777777" w:rsidR="00377AF5" w:rsidRDefault="00377AF5" w:rsidP="00AC14FE">
      <w:pPr>
        <w:rPr>
          <w:i/>
          <w:iCs/>
          <w:color w:val="44546A" w:themeColor="text2"/>
          <w:sz w:val="18"/>
          <w:szCs w:val="18"/>
        </w:rPr>
      </w:pPr>
    </w:p>
    <w:p w14:paraId="3DA8C55B" w14:textId="77777777" w:rsidR="00377AF5" w:rsidRDefault="00377AF5" w:rsidP="00AC14FE">
      <w:pPr>
        <w:rPr>
          <w:i/>
          <w:iCs/>
          <w:color w:val="44546A" w:themeColor="text2"/>
          <w:sz w:val="18"/>
          <w:szCs w:val="18"/>
        </w:rPr>
      </w:pPr>
    </w:p>
    <w:p w14:paraId="0EA81625" w14:textId="77777777" w:rsidR="00377AF5" w:rsidRDefault="00377AF5" w:rsidP="00AC14FE">
      <w:pPr>
        <w:rPr>
          <w:i/>
          <w:iCs/>
          <w:color w:val="44546A" w:themeColor="text2"/>
          <w:sz w:val="18"/>
          <w:szCs w:val="18"/>
        </w:rPr>
      </w:pPr>
    </w:p>
    <w:p w14:paraId="61663400" w14:textId="77777777" w:rsidR="00377AF5" w:rsidRDefault="00377AF5" w:rsidP="00AC14FE">
      <w:pPr>
        <w:rPr>
          <w:i/>
          <w:iCs/>
          <w:color w:val="44546A" w:themeColor="text2"/>
          <w:sz w:val="18"/>
          <w:szCs w:val="18"/>
        </w:rPr>
      </w:pPr>
    </w:p>
    <w:p w14:paraId="28E5C46F" w14:textId="77777777" w:rsidR="00377AF5" w:rsidRDefault="00377AF5" w:rsidP="00AC14FE">
      <w:pPr>
        <w:rPr>
          <w:i/>
          <w:iCs/>
          <w:color w:val="44546A" w:themeColor="text2"/>
          <w:sz w:val="18"/>
          <w:szCs w:val="18"/>
        </w:rPr>
      </w:pPr>
    </w:p>
    <w:p w14:paraId="11ADA766" w14:textId="77777777" w:rsidR="00377AF5" w:rsidRDefault="00377AF5" w:rsidP="00AD0880">
      <w:pPr>
        <w:spacing w:after="0"/>
        <w:rPr>
          <w:i/>
          <w:iCs/>
          <w:color w:val="44546A" w:themeColor="text2"/>
          <w:sz w:val="18"/>
          <w:szCs w:val="18"/>
        </w:rPr>
      </w:pPr>
    </w:p>
    <w:p w14:paraId="526760B3" w14:textId="26C9726E" w:rsidR="006407BD" w:rsidRDefault="00AC14FE" w:rsidP="00153B90">
      <w:pPr>
        <w:spacing w:after="0" w:line="240" w:lineRule="auto"/>
        <w:jc w:val="both"/>
      </w:pPr>
      <w:r>
        <w:rPr>
          <w:i/>
          <w:iCs/>
          <w:color w:val="44546A" w:themeColor="text2"/>
          <w:sz w:val="18"/>
          <w:szCs w:val="18"/>
        </w:rPr>
        <w:t>Source:</w:t>
      </w:r>
      <w:r w:rsidR="00473F78">
        <w:rPr>
          <w:i/>
          <w:iCs/>
          <w:color w:val="44546A" w:themeColor="text2"/>
          <w:sz w:val="18"/>
          <w:szCs w:val="18"/>
        </w:rPr>
        <w:t xml:space="preserve"> </w:t>
      </w:r>
      <w:proofErr w:type="spellStart"/>
      <w:r w:rsidR="00473F78">
        <w:rPr>
          <w:i/>
          <w:iCs/>
          <w:color w:val="44546A" w:themeColor="text2"/>
          <w:sz w:val="18"/>
          <w:szCs w:val="18"/>
        </w:rPr>
        <w:t>Geostat</w:t>
      </w:r>
      <w:proofErr w:type="spellEnd"/>
    </w:p>
    <w:p w14:paraId="558F2CC6" w14:textId="77777777" w:rsidR="00153B90" w:rsidRDefault="00153B90" w:rsidP="00153B90">
      <w:pPr>
        <w:spacing w:after="0" w:line="240" w:lineRule="auto"/>
        <w:jc w:val="both"/>
      </w:pPr>
    </w:p>
    <w:p w14:paraId="70B587C3" w14:textId="77777777" w:rsidR="00153B90" w:rsidRDefault="00153B90" w:rsidP="00153B90">
      <w:pPr>
        <w:jc w:val="both"/>
      </w:pPr>
      <w:r w:rsidRPr="00C510FB">
        <w:rPr>
          <w:b/>
          <w:bCs/>
          <w:i/>
          <w:iCs/>
        </w:rPr>
        <w:t>Cost of borrowing</w:t>
      </w:r>
    </w:p>
    <w:p w14:paraId="4B972331" w14:textId="3B4C5092" w:rsidR="00452448" w:rsidRDefault="00452448" w:rsidP="00153B90">
      <w:pPr>
        <w:spacing w:after="0" w:line="240" w:lineRule="auto"/>
        <w:jc w:val="both"/>
      </w:pPr>
      <w:r>
        <w:t>Cost of borrowing also affects access to stable housing</w:t>
      </w:r>
      <w:r w:rsidR="00755C3D">
        <w:t>.</w:t>
      </w:r>
      <w:r>
        <w:t xml:space="preserve"> High interest rates make the service of the debt harder, reducing the number of households that can afford buying their own house and increasing the risk of default and of losing the immobile property acquired, for those households that managed to buy one</w:t>
      </w:r>
      <w:r w:rsidR="00755C3D">
        <w:t>.</w:t>
      </w:r>
    </w:p>
    <w:p w14:paraId="7F2629E3" w14:textId="78154264" w:rsidR="00153B90" w:rsidRDefault="00153B90" w:rsidP="00153B90">
      <w:pPr>
        <w:spacing w:after="0" w:line="240" w:lineRule="auto"/>
        <w:jc w:val="both"/>
      </w:pPr>
      <w:r>
        <w:t xml:space="preserve">According the data from National Bank of Georgia the cost of mortgages </w:t>
      </w:r>
      <w:r w:rsidR="00177003">
        <w:t>has been</w:t>
      </w:r>
      <w:r>
        <w:t xml:space="preserve"> declining over time, </w:t>
      </w:r>
      <w:r w:rsidR="00177003">
        <w:t xml:space="preserve">albeit with quite wide fluctuations, </w:t>
      </w:r>
      <w:r>
        <w:t xml:space="preserve">both in national and foreign currencies </w:t>
      </w:r>
      <w:r w:rsidR="00473F78">
        <w:t>–</w:t>
      </w:r>
      <w:r w:rsidR="00177003">
        <w:t xml:space="preserve"> </w:t>
      </w:r>
      <w:r>
        <w:t xml:space="preserve">for both individual and household loans </w:t>
      </w:r>
      <w:r w:rsidR="00177003">
        <w:t>– over the period 2010-2018</w:t>
      </w:r>
      <w:r w:rsidR="00755C3D">
        <w:t>.</w:t>
      </w:r>
      <w:r>
        <w:t xml:space="preserve"> </w:t>
      </w:r>
      <w:r w:rsidR="00177003">
        <w:t>Most of the volatility seems concentrated over</w:t>
      </w:r>
      <w:r>
        <w:t xml:space="preserve"> the 2010-2015 period</w:t>
      </w:r>
      <w:r w:rsidR="00177003">
        <w:t>, for which we observe the rate on individual level loans</w:t>
      </w:r>
      <w:r w:rsidR="00755C3D">
        <w:t>.</w:t>
      </w:r>
      <w:r>
        <w:t xml:space="preserve"> As for the rates on household’s loans, the rates on the loans in the national currency varies in 2015-2016 period and more or less stabilizes over 2017-2018 period</w:t>
      </w:r>
      <w:r w:rsidR="00755C3D">
        <w:t>.</w:t>
      </w:r>
      <w:r>
        <w:t xml:space="preserve"> </w:t>
      </w:r>
    </w:p>
    <w:p w14:paraId="7621F8F3" w14:textId="77777777" w:rsidR="00153B90" w:rsidRDefault="00153B90" w:rsidP="00153B90">
      <w:pPr>
        <w:spacing w:after="0" w:line="240" w:lineRule="auto"/>
        <w:jc w:val="both"/>
      </w:pPr>
    </w:p>
    <w:p w14:paraId="10587C7D" w14:textId="5F24D395" w:rsidR="00153B90" w:rsidRDefault="00153B90" w:rsidP="00153B90">
      <w:pPr>
        <w:spacing w:after="0" w:line="240" w:lineRule="auto"/>
        <w:jc w:val="both"/>
      </w:pPr>
      <w:r>
        <w:t xml:space="preserve">The range of </w:t>
      </w:r>
      <w:r>
        <w:rPr>
          <w:noProof/>
        </w:rPr>
        <w:t>a</w:t>
      </w:r>
      <w:r w:rsidRPr="003F4EF6">
        <w:rPr>
          <w:noProof/>
        </w:rPr>
        <w:t>nn</w:t>
      </w:r>
      <w:r>
        <w:rPr>
          <w:noProof/>
        </w:rPr>
        <w:t xml:space="preserve">ual weighted average interest rates </w:t>
      </w:r>
      <w:r>
        <w:t>in national currency</w:t>
      </w:r>
      <w:r>
        <w:rPr>
          <w:noProof/>
        </w:rPr>
        <w:t xml:space="preserve"> on individuals' loans </w:t>
      </w:r>
      <w:r>
        <w:t>for 2010-2015 years varie</w:t>
      </w:r>
      <w:r w:rsidR="00233FFF">
        <w:t>d</w:t>
      </w:r>
      <w:r>
        <w:t xml:space="preserve"> from historically highest 17% and to historically lowest 8</w:t>
      </w:r>
      <w:r w:rsidR="00755C3D">
        <w:t>.</w:t>
      </w:r>
      <w:r>
        <w:t>1%</w:t>
      </w:r>
      <w:r w:rsidR="00755C3D">
        <w:t>.</w:t>
      </w:r>
      <w:r>
        <w:t xml:space="preserve"> While in 2015-2018 years, the annual weighted average interest rates on ho</w:t>
      </w:r>
      <w:r w:rsidRPr="000F2E1F">
        <w:t>useholds</w:t>
      </w:r>
      <w:r>
        <w:t>' l</w:t>
      </w:r>
      <w:r w:rsidRPr="000F2E1F">
        <w:t>oans</w:t>
      </w:r>
      <w:r>
        <w:t xml:space="preserve"> in national currency range</w:t>
      </w:r>
      <w:r w:rsidR="00233FFF">
        <w:t>d</w:t>
      </w:r>
      <w:r>
        <w:t xml:space="preserve"> between highest 17% to the lowest 9</w:t>
      </w:r>
      <w:r w:rsidR="00755C3D">
        <w:t>.</w:t>
      </w:r>
      <w:r>
        <w:t>78% for 5-10 year loans and between 16 % and 9</w:t>
      </w:r>
      <w:r w:rsidR="00755C3D">
        <w:t>.</w:t>
      </w:r>
      <w:r>
        <w:t>53% for more than 10 year loans (Figure 5)</w:t>
      </w:r>
      <w:r w:rsidR="00755C3D">
        <w:t>.</w:t>
      </w:r>
    </w:p>
    <w:p w14:paraId="22D5DCD6" w14:textId="77777777" w:rsidR="00473F78" w:rsidRDefault="00473F78" w:rsidP="00153B90">
      <w:pPr>
        <w:spacing w:after="0" w:line="240" w:lineRule="auto"/>
        <w:jc w:val="both"/>
      </w:pPr>
    </w:p>
    <w:p w14:paraId="4E6E9711" w14:textId="490FCECD" w:rsidR="00153B90" w:rsidRDefault="00755C3D" w:rsidP="00153B90">
      <w:pPr>
        <w:pStyle w:val="Caption"/>
        <w:jc w:val="both"/>
        <w:rPr>
          <w:noProof/>
        </w:rPr>
      </w:pPr>
      <w:r w:rsidRPr="00FD09FD">
        <w:rPr>
          <w:i w:val="0"/>
          <w:iCs w:val="0"/>
          <w:noProof/>
        </w:rPr>
        <w:drawing>
          <wp:anchor distT="0" distB="0" distL="114300" distR="114300" simplePos="0" relativeHeight="251704320" behindDoc="1" locked="0" layoutInCell="1" allowOverlap="1" wp14:anchorId="5416DCFA" wp14:editId="1E5E4C1B">
            <wp:simplePos x="0" y="0"/>
            <wp:positionH relativeFrom="column">
              <wp:posOffset>2933700</wp:posOffset>
            </wp:positionH>
            <wp:positionV relativeFrom="paragraph">
              <wp:posOffset>323850</wp:posOffset>
            </wp:positionV>
            <wp:extent cx="2914650" cy="3019425"/>
            <wp:effectExtent l="0" t="0" r="0" b="9525"/>
            <wp:wrapNone/>
            <wp:docPr id="78"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Pr>
          <w:i w:val="0"/>
          <w:iCs w:val="0"/>
          <w:noProof/>
        </w:rPr>
        <w:drawing>
          <wp:anchor distT="0" distB="0" distL="114300" distR="114300" simplePos="0" relativeHeight="251706368" behindDoc="1" locked="0" layoutInCell="1" allowOverlap="1" wp14:anchorId="7DE599FD" wp14:editId="306C2068">
            <wp:simplePos x="0" y="0"/>
            <wp:positionH relativeFrom="margin">
              <wp:align>left</wp:align>
            </wp:positionH>
            <wp:positionV relativeFrom="paragraph">
              <wp:posOffset>323850</wp:posOffset>
            </wp:positionV>
            <wp:extent cx="2933700" cy="3028950"/>
            <wp:effectExtent l="0" t="0" r="0" b="0"/>
            <wp:wrapNone/>
            <wp:docPr id="79" name="Chart 64">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153B90">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5</w:t>
      </w:r>
      <w:r w:rsidR="00D656F6">
        <w:rPr>
          <w:noProof/>
        </w:rPr>
        <w:fldChar w:fldCharType="end"/>
      </w:r>
      <w:r w:rsidR="006407BD">
        <w:rPr>
          <w:noProof/>
        </w:rPr>
        <w:t xml:space="preserve"> : </w:t>
      </w:r>
      <w:r w:rsidR="00153B90" w:rsidRPr="003F4EF6">
        <w:rPr>
          <w:noProof/>
        </w:rPr>
        <w:t xml:space="preserve">Annual </w:t>
      </w:r>
      <w:r w:rsidR="00A02C89">
        <w:rPr>
          <w:noProof/>
        </w:rPr>
        <w:t>w</w:t>
      </w:r>
      <w:r w:rsidR="00153B90" w:rsidRPr="003F4EF6">
        <w:rPr>
          <w:noProof/>
        </w:rPr>
        <w:t xml:space="preserve">eighted </w:t>
      </w:r>
      <w:r w:rsidR="00A02C89">
        <w:rPr>
          <w:noProof/>
        </w:rPr>
        <w:t>a</w:t>
      </w:r>
      <w:r w:rsidR="00153B90" w:rsidRPr="003F4EF6">
        <w:rPr>
          <w:noProof/>
        </w:rPr>
        <w:t xml:space="preserve">verage </w:t>
      </w:r>
      <w:r w:rsidR="00A02C89">
        <w:rPr>
          <w:noProof/>
        </w:rPr>
        <w:t>i</w:t>
      </w:r>
      <w:r w:rsidR="00153B90" w:rsidRPr="003F4EF6">
        <w:rPr>
          <w:noProof/>
        </w:rPr>
        <w:t xml:space="preserve">nterest </w:t>
      </w:r>
      <w:r w:rsidR="00A02C89">
        <w:rPr>
          <w:noProof/>
        </w:rPr>
        <w:t>r</w:t>
      </w:r>
      <w:r w:rsidR="00153B90" w:rsidRPr="003F4EF6">
        <w:rPr>
          <w:noProof/>
        </w:rPr>
        <w:t xml:space="preserve">ates  on  </w:t>
      </w:r>
      <w:r w:rsidR="00A02C89">
        <w:rPr>
          <w:noProof/>
        </w:rPr>
        <w:t>i</w:t>
      </w:r>
      <w:r w:rsidR="00153B90" w:rsidRPr="003F4EF6">
        <w:rPr>
          <w:noProof/>
        </w:rPr>
        <w:t>ndividuals'</w:t>
      </w:r>
      <w:r w:rsidR="00A02C89">
        <w:rPr>
          <w:noProof/>
        </w:rPr>
        <w:t xml:space="preserve"> </w:t>
      </w:r>
      <w:r w:rsidR="00153B90">
        <w:rPr>
          <w:noProof/>
        </w:rPr>
        <w:t>(left handside)</w:t>
      </w:r>
      <w:r w:rsidR="00153B90" w:rsidRPr="003F4EF6">
        <w:rPr>
          <w:noProof/>
        </w:rPr>
        <w:t xml:space="preserve"> </w:t>
      </w:r>
      <w:r w:rsidR="00153B90">
        <w:rPr>
          <w:noProof/>
        </w:rPr>
        <w:t>and households’ (right handside)</w:t>
      </w:r>
      <w:r w:rsidR="00A02C89">
        <w:rPr>
          <w:noProof/>
        </w:rPr>
        <w:t xml:space="preserve"> l</w:t>
      </w:r>
      <w:r w:rsidR="00153B90" w:rsidRPr="003F4EF6">
        <w:rPr>
          <w:noProof/>
        </w:rPr>
        <w:t>oans  in</w:t>
      </w:r>
      <w:r w:rsidR="00153B90">
        <w:rPr>
          <w:noProof/>
        </w:rPr>
        <w:t xml:space="preserve"> </w:t>
      </w:r>
      <w:r w:rsidR="00A02C89">
        <w:rPr>
          <w:noProof/>
        </w:rPr>
        <w:t>n</w:t>
      </w:r>
      <w:r w:rsidR="00153B90">
        <w:rPr>
          <w:noProof/>
        </w:rPr>
        <w:t xml:space="preserve">ational </w:t>
      </w:r>
      <w:r w:rsidR="00A02C89">
        <w:rPr>
          <w:noProof/>
        </w:rPr>
        <w:t>c</w:t>
      </w:r>
      <w:r w:rsidR="00153B90">
        <w:rPr>
          <w:noProof/>
        </w:rPr>
        <w:t xml:space="preserve">urrency  </w:t>
      </w:r>
      <w:r w:rsidR="00A02C89">
        <w:rPr>
          <w:noProof/>
        </w:rPr>
        <w:t>i</w:t>
      </w:r>
      <w:r w:rsidR="00153B90" w:rsidRPr="003F4EF6">
        <w:rPr>
          <w:noProof/>
        </w:rPr>
        <w:t xml:space="preserve">ssued </w:t>
      </w:r>
      <w:r w:rsidR="00A02C89">
        <w:rPr>
          <w:noProof/>
        </w:rPr>
        <w:t>d</w:t>
      </w:r>
      <w:r w:rsidR="00153B90" w:rsidRPr="003F4EF6">
        <w:rPr>
          <w:noProof/>
        </w:rPr>
        <w:t xml:space="preserve">uring the </w:t>
      </w:r>
      <w:r w:rsidR="00A02C89">
        <w:rPr>
          <w:noProof/>
        </w:rPr>
        <w:t>r</w:t>
      </w:r>
      <w:r w:rsidR="00153B90" w:rsidRPr="003F4EF6">
        <w:rPr>
          <w:noProof/>
        </w:rPr>
        <w:t xml:space="preserve">eporting </w:t>
      </w:r>
      <w:r w:rsidR="00A02C89">
        <w:rPr>
          <w:noProof/>
        </w:rPr>
        <w:t>p</w:t>
      </w:r>
      <w:r w:rsidR="00153B90" w:rsidRPr="003F4EF6">
        <w:rPr>
          <w:noProof/>
        </w:rPr>
        <w:t>eriod (mortgages more than 5 years)</w:t>
      </w:r>
    </w:p>
    <w:p w14:paraId="03A639AD" w14:textId="77777777" w:rsidR="00153B90" w:rsidRDefault="00153B90" w:rsidP="00153B90">
      <w:pPr>
        <w:pStyle w:val="Caption"/>
        <w:jc w:val="both"/>
      </w:pPr>
      <w:r w:rsidRPr="00EE6CAB">
        <w:rPr>
          <w:noProof/>
        </w:rPr>
        <w:t xml:space="preserve"> </w:t>
      </w:r>
      <w:r>
        <w:t xml:space="preserve">                                                                                                       </w:t>
      </w:r>
    </w:p>
    <w:p w14:paraId="1AFF54CD" w14:textId="77777777" w:rsidR="00153B90" w:rsidRPr="00EA0E3C" w:rsidRDefault="00153B90" w:rsidP="00153B90">
      <w:pPr>
        <w:pStyle w:val="Caption"/>
        <w:jc w:val="both"/>
      </w:pPr>
      <w:r>
        <w:t xml:space="preserve">                                                                                                                     </w:t>
      </w:r>
    </w:p>
    <w:p w14:paraId="506503BB" w14:textId="77777777" w:rsidR="00153B90" w:rsidRPr="00317C16" w:rsidRDefault="00153B90" w:rsidP="00153B90">
      <w:pPr>
        <w:pStyle w:val="Caption"/>
        <w:jc w:val="both"/>
      </w:pPr>
    </w:p>
    <w:p w14:paraId="4E4CECCE" w14:textId="77777777" w:rsidR="00153B90" w:rsidRDefault="00153B90" w:rsidP="00153B90">
      <w:pPr>
        <w:spacing w:after="0" w:line="240" w:lineRule="auto"/>
        <w:jc w:val="both"/>
      </w:pPr>
    </w:p>
    <w:p w14:paraId="78258CCC" w14:textId="77777777" w:rsidR="00153B90" w:rsidRDefault="00153B90" w:rsidP="00153B90">
      <w:pPr>
        <w:spacing w:after="0" w:line="240" w:lineRule="auto"/>
        <w:jc w:val="both"/>
      </w:pPr>
    </w:p>
    <w:p w14:paraId="539778E0" w14:textId="77777777" w:rsidR="00153B90" w:rsidRDefault="00153B90" w:rsidP="00153B90">
      <w:pPr>
        <w:spacing w:after="0" w:line="240" w:lineRule="auto"/>
        <w:jc w:val="both"/>
      </w:pPr>
    </w:p>
    <w:p w14:paraId="7505127F" w14:textId="77777777" w:rsidR="00153B90" w:rsidRDefault="00153B90" w:rsidP="00153B90">
      <w:pPr>
        <w:spacing w:after="0" w:line="240" w:lineRule="auto"/>
        <w:jc w:val="both"/>
      </w:pPr>
    </w:p>
    <w:p w14:paraId="5EA38C45" w14:textId="77777777" w:rsidR="00153B90" w:rsidRDefault="00153B90" w:rsidP="00153B90">
      <w:pPr>
        <w:spacing w:after="0" w:line="240" w:lineRule="auto"/>
        <w:jc w:val="both"/>
      </w:pPr>
    </w:p>
    <w:p w14:paraId="43490FE7" w14:textId="77777777" w:rsidR="00153B90" w:rsidRDefault="00153B90" w:rsidP="00153B90">
      <w:pPr>
        <w:spacing w:after="0" w:line="240" w:lineRule="auto"/>
        <w:jc w:val="both"/>
      </w:pPr>
    </w:p>
    <w:p w14:paraId="64F3ECC7" w14:textId="77777777" w:rsidR="00153B90" w:rsidRDefault="00153B90" w:rsidP="00153B90">
      <w:pPr>
        <w:spacing w:after="0" w:line="240" w:lineRule="auto"/>
        <w:jc w:val="both"/>
      </w:pPr>
    </w:p>
    <w:p w14:paraId="7CCF82A7" w14:textId="77777777" w:rsidR="00153B90" w:rsidRDefault="00153B90" w:rsidP="00153B90">
      <w:pPr>
        <w:tabs>
          <w:tab w:val="left" w:pos="3255"/>
        </w:tabs>
        <w:spacing w:after="0" w:line="240" w:lineRule="auto"/>
        <w:jc w:val="both"/>
      </w:pPr>
      <w:r>
        <w:tab/>
      </w:r>
    </w:p>
    <w:p w14:paraId="3FD4443E" w14:textId="77777777" w:rsidR="00153B90" w:rsidRDefault="00153B90" w:rsidP="00153B90">
      <w:pPr>
        <w:spacing w:after="0" w:line="240" w:lineRule="auto"/>
        <w:jc w:val="both"/>
      </w:pPr>
    </w:p>
    <w:p w14:paraId="4D4AD6DD" w14:textId="77777777" w:rsidR="00153B90" w:rsidRDefault="00153B90" w:rsidP="00153B90">
      <w:pPr>
        <w:spacing w:after="0" w:line="240" w:lineRule="auto"/>
        <w:jc w:val="both"/>
      </w:pPr>
    </w:p>
    <w:p w14:paraId="4B21BC0B" w14:textId="77777777" w:rsidR="00153B90" w:rsidRDefault="00153B90" w:rsidP="00153B90">
      <w:pPr>
        <w:spacing w:after="0" w:line="240" w:lineRule="auto"/>
        <w:jc w:val="both"/>
      </w:pPr>
    </w:p>
    <w:p w14:paraId="6837D114" w14:textId="77777777" w:rsidR="00153B90" w:rsidRDefault="00153B90" w:rsidP="00153B90">
      <w:pPr>
        <w:spacing w:after="0" w:line="240" w:lineRule="auto"/>
        <w:jc w:val="both"/>
      </w:pPr>
    </w:p>
    <w:p w14:paraId="0892BED8" w14:textId="77777777" w:rsidR="005E5DA0" w:rsidRDefault="005E5DA0" w:rsidP="00153B90">
      <w:pPr>
        <w:spacing w:after="0" w:line="240" w:lineRule="auto"/>
        <w:jc w:val="both"/>
      </w:pPr>
    </w:p>
    <w:p w14:paraId="00B00E5C" w14:textId="21BE91A6" w:rsidR="005E5DA0" w:rsidRDefault="005E5DA0" w:rsidP="00153B90">
      <w:pPr>
        <w:spacing w:after="0" w:line="240" w:lineRule="auto"/>
        <w:jc w:val="both"/>
      </w:pPr>
      <w:r>
        <w:rPr>
          <w:i/>
          <w:iCs/>
          <w:color w:val="44546A" w:themeColor="text2"/>
          <w:sz w:val="18"/>
          <w:szCs w:val="18"/>
        </w:rPr>
        <w:t>Source: National Bank of Georgia</w:t>
      </w:r>
    </w:p>
    <w:p w14:paraId="66C354F9" w14:textId="77777777" w:rsidR="00153B90" w:rsidRDefault="00153B90" w:rsidP="00153B90">
      <w:pPr>
        <w:spacing w:after="0" w:line="240" w:lineRule="auto"/>
        <w:jc w:val="both"/>
      </w:pPr>
    </w:p>
    <w:p w14:paraId="6E9FB63C" w14:textId="6BC3B0A4" w:rsidR="00153B90" w:rsidRDefault="00805C02" w:rsidP="00153B90">
      <w:pPr>
        <w:spacing w:after="0" w:line="240" w:lineRule="auto"/>
        <w:jc w:val="both"/>
      </w:pPr>
      <w:r>
        <w:t>Rates on individual and household’s loans in foreign currency performs more stable trend</w:t>
      </w:r>
      <w:r w:rsidR="00755C3D">
        <w:t>.</w:t>
      </w:r>
      <w:r>
        <w:rPr>
          <w:rStyle w:val="FootnoteReference"/>
        </w:rPr>
        <w:footnoteReference w:id="23"/>
      </w:r>
      <w:r>
        <w:t xml:space="preserve"> T</w:t>
      </w:r>
      <w:r w:rsidR="00153B90">
        <w:t xml:space="preserve">he annual weighted average interest rates on individual </w:t>
      </w:r>
      <w:r>
        <w:t xml:space="preserve">loans </w:t>
      </w:r>
      <w:r w:rsidR="00153B90">
        <w:t>for</w:t>
      </w:r>
      <w:r>
        <w:t xml:space="preserve"> the</w:t>
      </w:r>
      <w:r w:rsidR="00153B90">
        <w:t xml:space="preserve"> 2010-2015 </w:t>
      </w:r>
      <w:r>
        <w:t>period</w:t>
      </w:r>
      <w:r w:rsidR="00153B90">
        <w:t xml:space="preserve"> the individuals’ loans rate varie</w:t>
      </w:r>
      <w:r w:rsidR="00493139">
        <w:t>d</w:t>
      </w:r>
      <w:r w:rsidR="00153B90">
        <w:t xml:space="preserve"> from the highest value </w:t>
      </w:r>
      <w:r w:rsidR="00AE4F97">
        <w:t xml:space="preserve">of </w:t>
      </w:r>
      <w:r w:rsidR="00153B90">
        <w:rPr>
          <w:lang w:val="ka-GE"/>
        </w:rPr>
        <w:t>16</w:t>
      </w:r>
      <w:r w:rsidR="00301B47">
        <w:t>.</w:t>
      </w:r>
      <w:r w:rsidR="00153B90">
        <w:rPr>
          <w:lang w:val="ka-GE"/>
        </w:rPr>
        <w:t>7%</w:t>
      </w:r>
      <w:r w:rsidR="00153B90">
        <w:t xml:space="preserve"> to </w:t>
      </w:r>
      <w:r w:rsidR="00AE4F97">
        <w:t xml:space="preserve">the </w:t>
      </w:r>
      <w:r w:rsidR="00153B90">
        <w:t>lowest 9</w:t>
      </w:r>
      <w:r w:rsidR="00301B47">
        <w:t>.</w:t>
      </w:r>
      <w:r w:rsidR="00153B90">
        <w:t>4%</w:t>
      </w:r>
      <w:r w:rsidR="00AE4F97">
        <w:t>, declining almost monotonically</w:t>
      </w:r>
      <w:r w:rsidR="00755C3D">
        <w:t>.</w:t>
      </w:r>
      <w:r w:rsidR="00153B90">
        <w:t xml:space="preserve"> </w:t>
      </w:r>
      <w:r w:rsidR="00AE4F97">
        <w:t>I</w:t>
      </w:r>
      <w:r w:rsidR="00153B90">
        <w:t>n</w:t>
      </w:r>
      <w:r w:rsidR="00AE4F97">
        <w:t xml:space="preserve"> the</w:t>
      </w:r>
      <w:r w:rsidR="00153B90">
        <w:t xml:space="preserve"> 2015-2018 </w:t>
      </w:r>
      <w:r w:rsidR="00AE4F97">
        <w:t>period, instead,</w:t>
      </w:r>
      <w:r w:rsidR="00153B90">
        <w:t xml:space="preserve"> the annual weighted average interest rates on ho</w:t>
      </w:r>
      <w:r w:rsidR="00153B90" w:rsidRPr="000F2E1F">
        <w:t>useholds</w:t>
      </w:r>
      <w:r w:rsidR="00153B90">
        <w:t>' l</w:t>
      </w:r>
      <w:r w:rsidR="00153B90" w:rsidRPr="000F2E1F">
        <w:t>oans</w:t>
      </w:r>
      <w:r w:rsidR="00153B90">
        <w:t xml:space="preserve"> in foreign currency range</w:t>
      </w:r>
      <w:r w:rsidR="00BF2723">
        <w:t>d</w:t>
      </w:r>
      <w:r w:rsidR="00153B90">
        <w:t xml:space="preserve"> between 9</w:t>
      </w:r>
      <w:r w:rsidR="00301B47">
        <w:t>.</w:t>
      </w:r>
      <w:r w:rsidR="00153B90">
        <w:t>7%</w:t>
      </w:r>
      <w:r w:rsidR="00BF2723">
        <w:t xml:space="preserve"> </w:t>
      </w:r>
      <w:r w:rsidR="00153B90">
        <w:t>to the lowest 5</w:t>
      </w:r>
      <w:r w:rsidR="00301B47">
        <w:t>.</w:t>
      </w:r>
      <w:r w:rsidR="00153B90">
        <w:t xml:space="preserve">09% for </w:t>
      </w:r>
      <w:r w:rsidR="008C45FD">
        <w:t>5-10-year</w:t>
      </w:r>
      <w:r w:rsidR="00153B90">
        <w:t xml:space="preserve"> loans and between 9</w:t>
      </w:r>
      <w:r w:rsidR="00301B47">
        <w:t>.</w:t>
      </w:r>
      <w:r w:rsidR="00153B90">
        <w:t>38 %</w:t>
      </w:r>
      <w:r w:rsidR="0030279C">
        <w:t xml:space="preserve"> </w:t>
      </w:r>
      <w:r w:rsidR="00153B90">
        <w:t>and 5</w:t>
      </w:r>
      <w:r w:rsidR="00301B47">
        <w:t>.</w:t>
      </w:r>
      <w:r w:rsidR="00153B90">
        <w:t xml:space="preserve">09% for more than </w:t>
      </w:r>
      <w:r w:rsidR="008C45FD">
        <w:t>10-year</w:t>
      </w:r>
      <w:r w:rsidR="00153B90">
        <w:t xml:space="preserve"> loans</w:t>
      </w:r>
      <w:r w:rsidR="0030279C">
        <w:t>, respectively</w:t>
      </w:r>
      <w:r w:rsidR="00153B90">
        <w:t xml:space="preserve"> </w:t>
      </w:r>
      <w:r w:rsidR="00153B90" w:rsidRPr="00D74D8C">
        <w:t>(Figure</w:t>
      </w:r>
      <w:r w:rsidR="006407BD" w:rsidRPr="00D74D8C">
        <w:t xml:space="preserve"> 6</w:t>
      </w:r>
      <w:r w:rsidR="00153B90" w:rsidRPr="00D74D8C">
        <w:t>)</w:t>
      </w:r>
      <w:r w:rsidR="006407BD">
        <w:t>.</w:t>
      </w:r>
    </w:p>
    <w:p w14:paraId="001F1D94" w14:textId="77777777" w:rsidR="00153B90" w:rsidRDefault="00153B90" w:rsidP="00153B90">
      <w:pPr>
        <w:spacing w:after="0" w:line="240" w:lineRule="auto"/>
        <w:jc w:val="both"/>
      </w:pPr>
    </w:p>
    <w:p w14:paraId="40A54158" w14:textId="77777777" w:rsidR="00D7176C" w:rsidRDefault="00D7176C">
      <w:pPr>
        <w:rPr>
          <w:i/>
          <w:iCs/>
          <w:color w:val="44546A" w:themeColor="text2"/>
          <w:sz w:val="18"/>
          <w:szCs w:val="18"/>
        </w:rPr>
      </w:pPr>
      <w:r>
        <w:br w:type="page"/>
      </w:r>
    </w:p>
    <w:p w14:paraId="44BE5AF5" w14:textId="71DAE358" w:rsidR="00153B90" w:rsidRDefault="00153B90" w:rsidP="00153B90">
      <w:pPr>
        <w:pStyle w:val="Caption"/>
        <w:jc w:val="both"/>
        <w:rPr>
          <w:noProof/>
        </w:rPr>
      </w:pPr>
      <w:r>
        <w:lastRenderedPageBreak/>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6</w:t>
      </w:r>
      <w:r w:rsidR="00D656F6">
        <w:rPr>
          <w:noProof/>
        </w:rPr>
        <w:fldChar w:fldCharType="end"/>
      </w:r>
      <w:r>
        <w:t xml:space="preserve">: </w:t>
      </w:r>
      <w:r w:rsidRPr="003F4EF6">
        <w:rPr>
          <w:noProof/>
        </w:rPr>
        <w:t xml:space="preserve">Annual </w:t>
      </w:r>
      <w:r w:rsidR="00F11557">
        <w:rPr>
          <w:noProof/>
        </w:rPr>
        <w:t>w</w:t>
      </w:r>
      <w:r w:rsidRPr="003F4EF6">
        <w:rPr>
          <w:noProof/>
        </w:rPr>
        <w:t xml:space="preserve">eighted </w:t>
      </w:r>
      <w:r w:rsidR="00F11557">
        <w:rPr>
          <w:noProof/>
        </w:rPr>
        <w:t>a</w:t>
      </w:r>
      <w:r w:rsidRPr="003F4EF6">
        <w:rPr>
          <w:noProof/>
        </w:rPr>
        <w:t xml:space="preserve">verage </w:t>
      </w:r>
      <w:r w:rsidR="00F11557">
        <w:rPr>
          <w:noProof/>
        </w:rPr>
        <w:t>i</w:t>
      </w:r>
      <w:r w:rsidRPr="003F4EF6">
        <w:rPr>
          <w:noProof/>
        </w:rPr>
        <w:t xml:space="preserve">nterest </w:t>
      </w:r>
      <w:r w:rsidR="00F11557">
        <w:rPr>
          <w:noProof/>
        </w:rPr>
        <w:t>r</w:t>
      </w:r>
      <w:r w:rsidRPr="003F4EF6">
        <w:rPr>
          <w:noProof/>
        </w:rPr>
        <w:t xml:space="preserve">ates  on  </w:t>
      </w:r>
      <w:r w:rsidR="00F11557">
        <w:rPr>
          <w:noProof/>
        </w:rPr>
        <w:t>i</w:t>
      </w:r>
      <w:r w:rsidRPr="003F4EF6">
        <w:rPr>
          <w:noProof/>
        </w:rPr>
        <w:t>ndividuals'</w:t>
      </w:r>
      <w:r w:rsidR="00D77505">
        <w:rPr>
          <w:noProof/>
        </w:rPr>
        <w:t xml:space="preserve"> </w:t>
      </w:r>
      <w:r>
        <w:rPr>
          <w:noProof/>
        </w:rPr>
        <w:t>(left handside)</w:t>
      </w:r>
      <w:r w:rsidRPr="003F4EF6">
        <w:rPr>
          <w:noProof/>
        </w:rPr>
        <w:t xml:space="preserve"> </w:t>
      </w:r>
      <w:r>
        <w:rPr>
          <w:noProof/>
        </w:rPr>
        <w:t>and households’ (right handside)</w:t>
      </w:r>
      <w:r w:rsidRPr="003F4EF6">
        <w:rPr>
          <w:noProof/>
        </w:rPr>
        <w:t>Loans  in</w:t>
      </w:r>
      <w:r>
        <w:rPr>
          <w:noProof/>
        </w:rPr>
        <w:t xml:space="preserve"> </w:t>
      </w:r>
      <w:r w:rsidR="00F11557">
        <w:rPr>
          <w:noProof/>
        </w:rPr>
        <w:t>f</w:t>
      </w:r>
      <w:r>
        <w:rPr>
          <w:noProof/>
        </w:rPr>
        <w:t xml:space="preserve">oreign </w:t>
      </w:r>
      <w:r w:rsidR="00F11557">
        <w:rPr>
          <w:noProof/>
        </w:rPr>
        <w:t>c</w:t>
      </w:r>
      <w:r>
        <w:rPr>
          <w:noProof/>
        </w:rPr>
        <w:t xml:space="preserve">urrency  </w:t>
      </w:r>
      <w:r w:rsidRPr="003F4EF6">
        <w:rPr>
          <w:noProof/>
        </w:rPr>
        <w:t xml:space="preserve">Issued </w:t>
      </w:r>
      <w:r w:rsidR="00F11557">
        <w:rPr>
          <w:noProof/>
        </w:rPr>
        <w:t>d</w:t>
      </w:r>
      <w:r w:rsidRPr="003F4EF6">
        <w:rPr>
          <w:noProof/>
        </w:rPr>
        <w:t xml:space="preserve">uring the </w:t>
      </w:r>
      <w:r w:rsidR="00F11557">
        <w:rPr>
          <w:noProof/>
        </w:rPr>
        <w:t>r</w:t>
      </w:r>
      <w:r w:rsidRPr="003F4EF6">
        <w:rPr>
          <w:noProof/>
        </w:rPr>
        <w:t xml:space="preserve">eporting </w:t>
      </w:r>
      <w:r w:rsidR="00F11557">
        <w:rPr>
          <w:noProof/>
        </w:rPr>
        <w:t>p</w:t>
      </w:r>
      <w:r w:rsidRPr="003F4EF6">
        <w:rPr>
          <w:noProof/>
        </w:rPr>
        <w:t>eriod (mortgages more than 5 years)</w:t>
      </w:r>
    </w:p>
    <w:p w14:paraId="55B43894" w14:textId="00F8830D" w:rsidR="00153B90" w:rsidRDefault="00D77505" w:rsidP="00153B90">
      <w:pPr>
        <w:pStyle w:val="Caption"/>
        <w:jc w:val="both"/>
      </w:pPr>
      <w:r>
        <w:rPr>
          <w:noProof/>
        </w:rPr>
        <w:drawing>
          <wp:anchor distT="0" distB="0" distL="114300" distR="114300" simplePos="0" relativeHeight="251708416" behindDoc="1" locked="0" layoutInCell="1" allowOverlap="1" wp14:anchorId="4B7910CA" wp14:editId="58D118AC">
            <wp:simplePos x="0" y="0"/>
            <wp:positionH relativeFrom="margin">
              <wp:align>left</wp:align>
            </wp:positionH>
            <wp:positionV relativeFrom="paragraph">
              <wp:posOffset>62408</wp:posOffset>
            </wp:positionV>
            <wp:extent cx="2914650" cy="3152775"/>
            <wp:effectExtent l="0" t="0" r="0" b="9525"/>
            <wp:wrapNone/>
            <wp:docPr id="81" name="Chart 65">
              <a:extLst xmlns:a="http://schemas.openxmlformats.org/drawingml/2006/main">
                <a:ext uri="{FF2B5EF4-FFF2-40B4-BE49-F238E27FC236}">
                  <a16:creationId xmlns:a16="http://schemas.microsoft.com/office/drawing/2014/main" id="{AC2BDE21-1290-4F5B-9F1F-43584370B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0A13D4EA" wp14:editId="34E35E97">
            <wp:simplePos x="0" y="0"/>
            <wp:positionH relativeFrom="margin">
              <wp:posOffset>2911450</wp:posOffset>
            </wp:positionH>
            <wp:positionV relativeFrom="paragraph">
              <wp:posOffset>62409</wp:posOffset>
            </wp:positionV>
            <wp:extent cx="2905125" cy="3656660"/>
            <wp:effectExtent l="0" t="0" r="9525" b="1270"/>
            <wp:wrapNone/>
            <wp:docPr id="80"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7DEB6A3E" w14:textId="77777777" w:rsidR="00153B90" w:rsidRDefault="00153B90" w:rsidP="00153B90">
      <w:pPr>
        <w:spacing w:after="0" w:line="240" w:lineRule="auto"/>
        <w:jc w:val="both"/>
      </w:pPr>
    </w:p>
    <w:p w14:paraId="4B57BC9E" w14:textId="77777777" w:rsidR="00153B90" w:rsidRDefault="00153B90" w:rsidP="00153B90">
      <w:pPr>
        <w:jc w:val="both"/>
      </w:pPr>
    </w:p>
    <w:p w14:paraId="7FEBC90B" w14:textId="77777777" w:rsidR="00153B90" w:rsidRDefault="00153B90" w:rsidP="00153B90">
      <w:pPr>
        <w:jc w:val="both"/>
      </w:pPr>
    </w:p>
    <w:p w14:paraId="138CAE6C" w14:textId="77777777" w:rsidR="00153B90" w:rsidRDefault="00153B90" w:rsidP="00153B90">
      <w:pPr>
        <w:jc w:val="both"/>
      </w:pPr>
    </w:p>
    <w:p w14:paraId="170C2FCA" w14:textId="77777777" w:rsidR="00153B90" w:rsidRDefault="00153B90" w:rsidP="00153B90">
      <w:pPr>
        <w:jc w:val="both"/>
      </w:pPr>
    </w:p>
    <w:p w14:paraId="499227F5" w14:textId="77777777" w:rsidR="00153B90" w:rsidRDefault="00153B90" w:rsidP="00153B90">
      <w:pPr>
        <w:jc w:val="both"/>
      </w:pPr>
    </w:p>
    <w:p w14:paraId="0713B81A" w14:textId="77777777" w:rsidR="00153B90" w:rsidRDefault="00153B90" w:rsidP="00153B90">
      <w:pPr>
        <w:jc w:val="both"/>
      </w:pPr>
    </w:p>
    <w:p w14:paraId="1A8A659C" w14:textId="77777777" w:rsidR="00153B90" w:rsidRDefault="00153B90" w:rsidP="00153B90">
      <w:pPr>
        <w:jc w:val="both"/>
      </w:pPr>
    </w:p>
    <w:p w14:paraId="4A68D2EF" w14:textId="77777777" w:rsidR="00153B90" w:rsidRDefault="00153B90" w:rsidP="00153B90">
      <w:pPr>
        <w:jc w:val="both"/>
      </w:pPr>
    </w:p>
    <w:p w14:paraId="3270FCAF" w14:textId="77777777" w:rsidR="00153B90" w:rsidRDefault="00153B90" w:rsidP="00153B90">
      <w:pPr>
        <w:jc w:val="both"/>
      </w:pPr>
    </w:p>
    <w:p w14:paraId="339A8198" w14:textId="77777777" w:rsidR="00153B90" w:rsidRDefault="00153B90" w:rsidP="00153B90">
      <w:pPr>
        <w:jc w:val="both"/>
      </w:pPr>
    </w:p>
    <w:p w14:paraId="5963BDB1" w14:textId="77777777" w:rsidR="009E6455" w:rsidRDefault="009E6455" w:rsidP="009E6455">
      <w:pPr>
        <w:spacing w:after="0" w:line="240" w:lineRule="auto"/>
        <w:jc w:val="both"/>
        <w:rPr>
          <w:i/>
          <w:iCs/>
          <w:color w:val="44546A" w:themeColor="text2"/>
          <w:sz w:val="18"/>
          <w:szCs w:val="18"/>
        </w:rPr>
      </w:pPr>
    </w:p>
    <w:p w14:paraId="075666E7" w14:textId="77777777" w:rsidR="009E6455" w:rsidRDefault="009E6455" w:rsidP="009E6455">
      <w:pPr>
        <w:spacing w:after="0" w:line="240" w:lineRule="auto"/>
        <w:jc w:val="both"/>
        <w:rPr>
          <w:i/>
          <w:iCs/>
          <w:color w:val="44546A" w:themeColor="text2"/>
          <w:sz w:val="18"/>
          <w:szCs w:val="18"/>
        </w:rPr>
      </w:pPr>
    </w:p>
    <w:p w14:paraId="2A7E9472" w14:textId="77777777" w:rsidR="009E6455" w:rsidRDefault="009E6455" w:rsidP="009E6455">
      <w:pPr>
        <w:spacing w:after="0" w:line="240" w:lineRule="auto"/>
        <w:jc w:val="both"/>
        <w:rPr>
          <w:i/>
          <w:iCs/>
          <w:color w:val="44546A" w:themeColor="text2"/>
          <w:sz w:val="18"/>
          <w:szCs w:val="18"/>
        </w:rPr>
      </w:pPr>
    </w:p>
    <w:p w14:paraId="697D6D29" w14:textId="079E0B7F" w:rsidR="005E5DA0" w:rsidRDefault="005E5DA0" w:rsidP="009E6455">
      <w:pPr>
        <w:spacing w:after="0" w:line="240" w:lineRule="auto"/>
        <w:jc w:val="both"/>
      </w:pPr>
      <w:r>
        <w:rPr>
          <w:i/>
          <w:iCs/>
          <w:color w:val="44546A" w:themeColor="text2"/>
          <w:sz w:val="18"/>
          <w:szCs w:val="18"/>
        </w:rPr>
        <w:t>So</w:t>
      </w:r>
      <w:r w:rsidR="00D77505">
        <w:rPr>
          <w:i/>
          <w:iCs/>
          <w:color w:val="44546A" w:themeColor="text2"/>
          <w:sz w:val="18"/>
          <w:szCs w:val="18"/>
        </w:rPr>
        <w:t xml:space="preserve">urce: National Bank of Georgia </w:t>
      </w:r>
    </w:p>
    <w:p w14:paraId="5A1EC521" w14:textId="77777777" w:rsidR="005E5DA0" w:rsidRDefault="005E5DA0" w:rsidP="00153B90">
      <w:pPr>
        <w:jc w:val="both"/>
        <w:rPr>
          <w:b/>
          <w:bCs/>
        </w:rPr>
      </w:pPr>
    </w:p>
    <w:p w14:paraId="5D6092B1" w14:textId="77777777" w:rsidR="00A134FE" w:rsidRPr="00C510FB" w:rsidRDefault="00A134FE" w:rsidP="00A134FE">
      <w:pPr>
        <w:jc w:val="both"/>
        <w:rPr>
          <w:b/>
          <w:bCs/>
        </w:rPr>
      </w:pPr>
      <w:r w:rsidRPr="00C510FB">
        <w:rPr>
          <w:b/>
          <w:bCs/>
        </w:rPr>
        <w:t>Supply side</w:t>
      </w:r>
      <w:bookmarkStart w:id="22" w:name="_GoBack"/>
      <w:bookmarkEnd w:id="22"/>
    </w:p>
    <w:p w14:paraId="5CE876E0" w14:textId="49A71AF2" w:rsidR="00A134FE" w:rsidRDefault="00A134FE" w:rsidP="00A134FE">
      <w:pPr>
        <w:jc w:val="both"/>
      </w:pPr>
      <w:r>
        <w:t>In addition to demand side factors, supply side factors also affect the affordability of housing</w:t>
      </w:r>
      <w:r w:rsidR="00755C3D">
        <w:t>.</w:t>
      </w:r>
      <w:r>
        <w:t xml:space="preserve"> Among supply side factors, we list the </w:t>
      </w:r>
      <w:r w:rsidR="003D3ACE">
        <w:t>supply of housing units</w:t>
      </w:r>
      <w:r>
        <w:t xml:space="preserve"> and other production related factors which might determine the prices on housing markets, such as the prices of inputs, including the values of purchased goods and services and cost of labo</w:t>
      </w:r>
      <w:r w:rsidR="00FA6F54">
        <w:t>r,</w:t>
      </w:r>
      <w:r w:rsidR="000A110C">
        <w:t xml:space="preserve"> and </w:t>
      </w:r>
      <w:r w:rsidR="005D0FCA" w:rsidRPr="003623D5">
        <w:t>the degree of competition in the sector</w:t>
      </w:r>
      <w:r w:rsidR="00755C3D">
        <w:t>.</w:t>
      </w:r>
      <w:r w:rsidR="005D0FCA">
        <w:t xml:space="preserve"> </w:t>
      </w:r>
      <w:r w:rsidR="00F52A31">
        <w:t>All of these factors play a role in determining final housing prices, which – in turn – are a key determinant of affordability</w:t>
      </w:r>
      <w:r w:rsidR="006407BD">
        <w:t>.</w:t>
      </w:r>
      <w:r w:rsidR="008C0488">
        <w:t xml:space="preserve"> </w:t>
      </w:r>
    </w:p>
    <w:p w14:paraId="257DBC04" w14:textId="77777777" w:rsidR="00246102" w:rsidRPr="00C510FB" w:rsidRDefault="00246102" w:rsidP="00246102">
      <w:pPr>
        <w:jc w:val="both"/>
        <w:rPr>
          <w:b/>
          <w:bCs/>
          <w:i/>
          <w:iCs/>
        </w:rPr>
      </w:pPr>
      <w:r w:rsidRPr="00C510FB">
        <w:rPr>
          <w:b/>
          <w:bCs/>
          <w:i/>
          <w:iCs/>
        </w:rPr>
        <w:t>Total supply of housing stock</w:t>
      </w:r>
    </w:p>
    <w:p w14:paraId="7E4AC88C" w14:textId="0B5C5EFC" w:rsidR="00A134FE" w:rsidRDefault="00A134FE" w:rsidP="00A134FE">
      <w:pPr>
        <w:jc w:val="both"/>
      </w:pPr>
      <w:r>
        <w:t xml:space="preserve">As, it can be seen from </w:t>
      </w:r>
      <w:r w:rsidR="00F27788" w:rsidRPr="00D74D8C">
        <w:t xml:space="preserve">Figure </w:t>
      </w:r>
      <w:r w:rsidR="006407BD" w:rsidRPr="006407BD">
        <w:t>7</w:t>
      </w:r>
      <w:r>
        <w:rPr>
          <w:rStyle w:val="FootnoteReference"/>
        </w:rPr>
        <w:footnoteReference w:id="24"/>
      </w:r>
      <w:r>
        <w:t>, the stock of housing</w:t>
      </w:r>
      <w:r w:rsidR="0071772B">
        <w:rPr>
          <w:rStyle w:val="FootnoteReference"/>
        </w:rPr>
        <w:footnoteReference w:id="25"/>
      </w:r>
      <w:r>
        <w:t xml:space="preserve"> is way bigger than the number of households in each year from 2014 to 2018</w:t>
      </w:r>
      <w:r w:rsidR="00755C3D">
        <w:t>.</w:t>
      </w:r>
      <w:r>
        <w:rPr>
          <w:rStyle w:val="FootnoteReference"/>
        </w:rPr>
        <w:footnoteReference w:id="26"/>
      </w:r>
      <w:r>
        <w:t xml:space="preserve"> Unfortunately, </w:t>
      </w:r>
      <w:r w:rsidR="00755C3D">
        <w:t xml:space="preserve">the </w:t>
      </w:r>
      <w:r>
        <w:t>data cannot be split by location (</w:t>
      </w:r>
      <w:r w:rsidR="0021680A">
        <w:t>urban</w:t>
      </w:r>
      <w:r>
        <w:t xml:space="preserve"> vs </w:t>
      </w:r>
      <w:r w:rsidR="0021680A">
        <w:t>rural</w:t>
      </w:r>
      <w:r>
        <w:t xml:space="preserve">), with the exception of 2014 year, </w:t>
      </w:r>
      <w:r w:rsidR="00B5006D">
        <w:t>for which we can use</w:t>
      </w:r>
      <w:r>
        <w:t xml:space="preserve"> the data about housing stock from </w:t>
      </w:r>
      <w:r w:rsidR="00B5006D">
        <w:t xml:space="preserve">the </w:t>
      </w:r>
      <w:r>
        <w:t>Census database</w:t>
      </w:r>
      <w:r w:rsidR="00755C3D">
        <w:t>.</w:t>
      </w:r>
    </w:p>
    <w:p w14:paraId="15FCB0C7" w14:textId="579677E2" w:rsidR="00A134FE" w:rsidRDefault="00A134FE" w:rsidP="00A134FE">
      <w:pPr>
        <w:jc w:val="both"/>
      </w:pPr>
      <w:r>
        <w:t xml:space="preserve">According to the estimates for 2014, the housing stock was 617,624 in </w:t>
      </w:r>
      <w:r w:rsidR="0021680A">
        <w:t>urban</w:t>
      </w:r>
      <w:r>
        <w:t xml:space="preserve"> areas while in </w:t>
      </w:r>
      <w:r w:rsidR="0021680A">
        <w:t>rural</w:t>
      </w:r>
      <w:r w:rsidR="00D77505">
        <w:t xml:space="preserve"> areas it was 439,</w:t>
      </w:r>
      <w:r>
        <w:t>548</w:t>
      </w:r>
      <w:r w:rsidR="00755C3D">
        <w:t>.</w:t>
      </w:r>
      <w:r>
        <w:t xml:space="preserve"> Comparing the data of the number of households from 2014, it can be seen there were </w:t>
      </w:r>
      <w:r>
        <w:lastRenderedPageBreak/>
        <w:t xml:space="preserve">way more houses available in </w:t>
      </w:r>
      <w:r w:rsidR="0021680A">
        <w:t>urban</w:t>
      </w:r>
      <w:r>
        <w:t xml:space="preserve"> areas then there were households, however the number of houses lagged behind the number of households in </w:t>
      </w:r>
      <w:r w:rsidR="0021680A">
        <w:t>rural</w:t>
      </w:r>
      <w:r>
        <w:t xml:space="preserve"> </w:t>
      </w:r>
      <w:r w:rsidR="005B6276">
        <w:t>a</w:t>
      </w:r>
      <w:r>
        <w:t xml:space="preserve">reas, meaning that in 2014 several households might have lived together in one house, so might have been exposed to the risk of homelessness or </w:t>
      </w:r>
      <w:r w:rsidR="00E16B70">
        <w:t>being pressed</w:t>
      </w:r>
      <w:r>
        <w:t xml:space="preserve"> to migrate to </w:t>
      </w:r>
      <w:r w:rsidR="0021680A">
        <w:t>urban</w:t>
      </w:r>
      <w:r>
        <w:t xml:space="preserve"> areas due to unavailability of houses in </w:t>
      </w:r>
      <w:r w:rsidR="0021680A">
        <w:t>rural</w:t>
      </w:r>
      <w:r>
        <w:t xml:space="preserve"> areas</w:t>
      </w:r>
      <w:r w:rsidR="00755C3D">
        <w:t>.</w:t>
      </w:r>
      <w:r>
        <w:t xml:space="preserve"> As there </w:t>
      </w:r>
      <w:r w:rsidR="0021680A">
        <w:t>urban</w:t>
      </w:r>
      <w:r>
        <w:t>/</w:t>
      </w:r>
      <w:r w:rsidR="0021680A">
        <w:t>rural</w:t>
      </w:r>
      <w:r>
        <w:t xml:space="preserve"> level data after 2014</w:t>
      </w:r>
      <w:r w:rsidR="00E16B70">
        <w:t xml:space="preserve"> are not available,</w:t>
      </w:r>
      <w:r>
        <w:t xml:space="preserve"> it is hard to analyze what the picture is right now</w:t>
      </w:r>
      <w:r w:rsidR="0071772B">
        <w:t xml:space="preserve">. </w:t>
      </w:r>
    </w:p>
    <w:p w14:paraId="1A1676F8" w14:textId="109FAFB1" w:rsidR="00A134FE" w:rsidRDefault="00A134FE" w:rsidP="00A134FE">
      <w:pPr>
        <w:pStyle w:val="Caption"/>
        <w:jc w:val="both"/>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7</w:t>
      </w:r>
      <w:r w:rsidR="00D656F6">
        <w:rPr>
          <w:noProof/>
        </w:rPr>
        <w:fldChar w:fldCharType="end"/>
      </w:r>
      <w:r>
        <w:t xml:space="preserve">: Housing </w:t>
      </w:r>
      <w:r w:rsidR="00F11557">
        <w:t>s</w:t>
      </w:r>
      <w:r>
        <w:t>tock</w:t>
      </w:r>
      <w:r w:rsidR="0071772B">
        <w:t xml:space="preserve"> (Supply from 2015, added built houses in Kutaisi, Batumi and Tbilisi) and </w:t>
      </w:r>
      <w:r w:rsidR="00F11557">
        <w:t>n</w:t>
      </w:r>
      <w:r w:rsidR="0071772B">
        <w:t xml:space="preserve">umber of </w:t>
      </w:r>
      <w:r w:rsidR="00F11557">
        <w:t>h</w:t>
      </w:r>
      <w:r w:rsidR="0071772B">
        <w:t>ouseholds</w:t>
      </w:r>
    </w:p>
    <w:p w14:paraId="6ADED62B" w14:textId="4A47BA61" w:rsidR="00A134FE" w:rsidRDefault="0071772B" w:rsidP="00D77505">
      <w:pPr>
        <w:spacing w:after="0"/>
        <w:jc w:val="both"/>
      </w:pPr>
      <w:r>
        <w:rPr>
          <w:noProof/>
        </w:rPr>
        <w:drawing>
          <wp:inline distT="0" distB="0" distL="0" distR="0" wp14:anchorId="5A55F0BD" wp14:editId="74A11327">
            <wp:extent cx="5734050" cy="2743200"/>
            <wp:effectExtent l="0" t="0" r="0" b="0"/>
            <wp:docPr id="35" name="Chart 35">
              <a:extLst xmlns:a="http://schemas.openxmlformats.org/drawingml/2006/main">
                <a:ext uri="{FF2B5EF4-FFF2-40B4-BE49-F238E27FC236}">
                  <a16:creationId xmlns:a16="http://schemas.microsoft.com/office/drawing/2014/main"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1CB13CE" w14:textId="58248099" w:rsidR="00A134FE" w:rsidRDefault="00A134FE" w:rsidP="00A134FE">
      <w:pPr>
        <w:spacing w:after="0" w:line="240" w:lineRule="auto"/>
        <w:jc w:val="both"/>
      </w:pPr>
      <w:r>
        <w:rPr>
          <w:i/>
          <w:iCs/>
          <w:color w:val="44546A" w:themeColor="text2"/>
          <w:sz w:val="18"/>
          <w:szCs w:val="18"/>
        </w:rPr>
        <w:t xml:space="preserve">Source: Colliers International and </w:t>
      </w:r>
      <w:r w:rsidR="009E6455">
        <w:rPr>
          <w:i/>
          <w:iCs/>
          <w:color w:val="44546A" w:themeColor="text2"/>
          <w:sz w:val="18"/>
          <w:szCs w:val="18"/>
          <w:lang w:val="en-GB"/>
        </w:rPr>
        <w:t xml:space="preserve">National </w:t>
      </w:r>
      <w:r>
        <w:rPr>
          <w:i/>
          <w:iCs/>
          <w:color w:val="44546A" w:themeColor="text2"/>
          <w:sz w:val="18"/>
          <w:szCs w:val="18"/>
        </w:rPr>
        <w:t>Census</w:t>
      </w:r>
      <w:r w:rsidR="009E6455">
        <w:rPr>
          <w:i/>
          <w:iCs/>
          <w:color w:val="44546A" w:themeColor="text2"/>
          <w:sz w:val="18"/>
          <w:szCs w:val="18"/>
        </w:rPr>
        <w:t xml:space="preserve"> 2014</w:t>
      </w:r>
    </w:p>
    <w:p w14:paraId="66C373C4" w14:textId="77777777" w:rsidR="00A134FE" w:rsidRDefault="00A134FE" w:rsidP="00A134FE">
      <w:pPr>
        <w:jc w:val="both"/>
      </w:pPr>
    </w:p>
    <w:p w14:paraId="733D0D4E" w14:textId="77777777" w:rsidR="00A134FE" w:rsidRDefault="00A134FE" w:rsidP="00A134FE">
      <w:pPr>
        <w:jc w:val="both"/>
        <w:rPr>
          <w:b/>
          <w:bCs/>
          <w:i/>
          <w:iCs/>
        </w:rPr>
      </w:pPr>
      <w:r w:rsidRPr="00C510FB">
        <w:rPr>
          <w:b/>
          <w:bCs/>
          <w:i/>
          <w:iCs/>
        </w:rPr>
        <w:t>Input prices</w:t>
      </w:r>
    </w:p>
    <w:p w14:paraId="083457C9" w14:textId="76CF1030" w:rsidR="00A134FE" w:rsidRDefault="00A134FE" w:rsidP="00A134FE">
      <w:pPr>
        <w:jc w:val="both"/>
      </w:pPr>
      <w:r>
        <w:t xml:space="preserve">As it can be noticed from Figure </w:t>
      </w:r>
      <w:r w:rsidR="00E16B70">
        <w:t xml:space="preserve">8 </w:t>
      </w:r>
      <w:r>
        <w:t>below</w:t>
      </w:r>
      <w:r w:rsidR="00660277">
        <w:t>,</w:t>
      </w:r>
      <w:r>
        <w:t xml:space="preserve"> the </w:t>
      </w:r>
      <w:r w:rsidR="00A3409A">
        <w:t>C</w:t>
      </w:r>
      <w:r w:rsidR="005C5DEA">
        <w:t xml:space="preserve">onsumer </w:t>
      </w:r>
      <w:r w:rsidR="00A3409A">
        <w:t>P</w:t>
      </w:r>
      <w:r w:rsidR="005C5DEA">
        <w:t xml:space="preserve">rice </w:t>
      </w:r>
      <w:r w:rsidR="00A3409A">
        <w:t>I</w:t>
      </w:r>
      <w:r w:rsidR="005C5DEA">
        <w:t>ndex</w:t>
      </w:r>
      <w:r w:rsidR="00E026FA">
        <w:t xml:space="preserve"> </w:t>
      </w:r>
      <w:r w:rsidR="00A3409A">
        <w:t xml:space="preserve">(CPI) </w:t>
      </w:r>
      <w:r w:rsidR="00E026FA">
        <w:t>for</w:t>
      </w:r>
      <w:r w:rsidR="00E823BE">
        <w:t xml:space="preserve"> construction material </w:t>
      </w:r>
      <w:r w:rsidR="003B53A2">
        <w:t>inputs,</w:t>
      </w:r>
      <w:r w:rsidR="0049708B">
        <w:t xml:space="preserve"> measuring the general trend of prices</w:t>
      </w:r>
      <w:r w:rsidR="00E823BE">
        <w:t xml:space="preserve"> of construction materials</w:t>
      </w:r>
      <w:r w:rsidR="0049708B">
        <w:t xml:space="preserve"> in the country grew by approximately </w:t>
      </w:r>
      <w:r w:rsidR="00A02CAE">
        <w:t>26% between 2010 and 2018</w:t>
      </w:r>
      <w:r w:rsidR="00755C3D">
        <w:t>.</w:t>
      </w:r>
    </w:p>
    <w:p w14:paraId="513A115F" w14:textId="484F8779" w:rsidR="0071772B" w:rsidRDefault="00A134FE" w:rsidP="00A134FE">
      <w:pPr>
        <w:pStyle w:val="Caption"/>
        <w:jc w:val="both"/>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8</w:t>
      </w:r>
      <w:r w:rsidR="00D656F6">
        <w:rPr>
          <w:noProof/>
        </w:rPr>
        <w:fldChar w:fldCharType="end"/>
      </w:r>
      <w:r>
        <w:t>: CPI</w:t>
      </w:r>
      <w:r w:rsidR="007A017C">
        <w:t xml:space="preserve"> </w:t>
      </w:r>
      <w:r>
        <w:t xml:space="preserve">index </w:t>
      </w:r>
      <w:r w:rsidR="00E026FA">
        <w:t xml:space="preserve">for construction material inputs </w:t>
      </w:r>
      <w:r>
        <w:t>over years (the base year 2010=100)</w:t>
      </w:r>
    </w:p>
    <w:p w14:paraId="5B18639A" w14:textId="3BB95B54" w:rsidR="00A134FE" w:rsidRDefault="00A134FE" w:rsidP="00D77505">
      <w:pPr>
        <w:pStyle w:val="Caption"/>
        <w:spacing w:after="0"/>
        <w:jc w:val="both"/>
      </w:pPr>
      <w:r w:rsidRPr="00FD09FD">
        <w:rPr>
          <w:noProof/>
        </w:rPr>
        <w:drawing>
          <wp:inline distT="0" distB="0" distL="0" distR="0" wp14:anchorId="5B20A6BB" wp14:editId="308E96C4">
            <wp:extent cx="5772150" cy="1971675"/>
            <wp:effectExtent l="0" t="0" r="0" b="9525"/>
            <wp:docPr id="84"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C38EE0" w14:textId="47D25770" w:rsidR="005E5DA0" w:rsidRDefault="005E5DA0" w:rsidP="005E5DA0">
      <w:pPr>
        <w:spacing w:after="0" w:line="240" w:lineRule="auto"/>
        <w:jc w:val="both"/>
      </w:pPr>
      <w:r>
        <w:rPr>
          <w:i/>
          <w:iCs/>
          <w:color w:val="44546A" w:themeColor="text2"/>
          <w:sz w:val="18"/>
          <w:szCs w:val="18"/>
        </w:rPr>
        <w:t xml:space="preserve">Source: </w:t>
      </w:r>
      <w:proofErr w:type="spellStart"/>
      <w:r w:rsidR="00473F78">
        <w:rPr>
          <w:i/>
          <w:iCs/>
          <w:color w:val="44546A" w:themeColor="text2"/>
          <w:sz w:val="18"/>
          <w:szCs w:val="18"/>
        </w:rPr>
        <w:t>Geostat</w:t>
      </w:r>
      <w:proofErr w:type="spellEnd"/>
      <w:r w:rsidR="00D77505">
        <w:rPr>
          <w:i/>
          <w:iCs/>
          <w:color w:val="44546A" w:themeColor="text2"/>
          <w:sz w:val="18"/>
          <w:szCs w:val="18"/>
        </w:rPr>
        <w:t xml:space="preserve"> </w:t>
      </w:r>
    </w:p>
    <w:p w14:paraId="51B203E1" w14:textId="3284B898" w:rsidR="00A134FE" w:rsidRPr="007A4F0B" w:rsidRDefault="00A134FE" w:rsidP="00A134FE">
      <w:pPr>
        <w:jc w:val="both"/>
      </w:pPr>
      <w:r>
        <w:t xml:space="preserve">Looking at imported products in construction sector (Figure </w:t>
      </w:r>
      <w:r w:rsidR="00E16B70">
        <w:t>9</w:t>
      </w:r>
      <w:r>
        <w:t xml:space="preserve">), even though, the value of imports in dollars are more or less stable, it increases in </w:t>
      </w:r>
      <w:proofErr w:type="spellStart"/>
      <w:r>
        <w:t>Lari</w:t>
      </w:r>
      <w:proofErr w:type="spellEnd"/>
      <w:r>
        <w:t xml:space="preserve"> equivalent (on average by 3%) due to exchange rate depreciation</w:t>
      </w:r>
      <w:r w:rsidR="00B729E4">
        <w:rPr>
          <w:lang w:val="ka-GE"/>
        </w:rPr>
        <w:t>.</w:t>
      </w:r>
    </w:p>
    <w:p w14:paraId="354BAF06" w14:textId="5E3CEB20" w:rsidR="00A134FE" w:rsidRDefault="00A134FE" w:rsidP="00A134FE">
      <w:pPr>
        <w:pStyle w:val="Caption"/>
        <w:jc w:val="both"/>
      </w:pPr>
      <w:r>
        <w:lastRenderedPageBreak/>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9</w:t>
      </w:r>
      <w:r w:rsidR="00D656F6">
        <w:rPr>
          <w:noProof/>
        </w:rPr>
        <w:fldChar w:fldCharType="end"/>
      </w:r>
      <w:r>
        <w:t xml:space="preserve">:The </w:t>
      </w:r>
      <w:r w:rsidR="00F11557">
        <w:t>v</w:t>
      </w:r>
      <w:r>
        <w:t xml:space="preserve">alue of </w:t>
      </w:r>
      <w:r w:rsidR="00F11557">
        <w:t>i</w:t>
      </w:r>
      <w:r>
        <w:t>mports in</w:t>
      </w:r>
      <w:r w:rsidR="006C7E8D">
        <w:t xml:space="preserve"> </w:t>
      </w:r>
      <w:proofErr w:type="spellStart"/>
      <w:r w:rsidR="006C7E8D">
        <w:t>mln</w:t>
      </w:r>
      <w:proofErr w:type="spellEnd"/>
      <w:r w:rsidR="006C7E8D">
        <w:t xml:space="preserve">. </w:t>
      </w:r>
      <w:r>
        <w:t>Dollar</w:t>
      </w:r>
      <w:r w:rsidR="00F11557">
        <w:t xml:space="preserve"> and </w:t>
      </w:r>
      <w:proofErr w:type="spellStart"/>
      <w:r w:rsidR="00F11557">
        <w:t>mln</w:t>
      </w:r>
      <w:proofErr w:type="spellEnd"/>
      <w:r w:rsidR="00F11557">
        <w:t>. GEL</w:t>
      </w:r>
    </w:p>
    <w:p w14:paraId="33863C51" w14:textId="253CD943" w:rsidR="00A134FE" w:rsidRDefault="007A4F0B" w:rsidP="00473F78">
      <w:pPr>
        <w:spacing w:after="0"/>
        <w:jc w:val="both"/>
      </w:pPr>
      <w:r>
        <w:rPr>
          <w:noProof/>
        </w:rPr>
        <w:drawing>
          <wp:inline distT="0" distB="0" distL="0" distR="0" wp14:anchorId="2A67A3AD" wp14:editId="069E7C5B">
            <wp:extent cx="5781675" cy="2962275"/>
            <wp:effectExtent l="0" t="0" r="9525" b="9525"/>
            <wp:docPr id="21" name="Chart 21">
              <a:extLst xmlns:a="http://schemas.openxmlformats.org/drawingml/2006/main">
                <a:ext uri="{FF2B5EF4-FFF2-40B4-BE49-F238E27FC236}">
                  <a16:creationId xmlns:a16="http://schemas.microsoft.com/office/drawing/2014/main" id="{00000000-0008-0000-4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4CFA9F" w14:textId="2D086C23" w:rsidR="005E5DA0" w:rsidRDefault="005E5DA0" w:rsidP="006E21EE">
      <w:pPr>
        <w:spacing w:after="0" w:line="240" w:lineRule="auto"/>
        <w:jc w:val="both"/>
      </w:pPr>
      <w:r>
        <w:rPr>
          <w:i/>
          <w:iCs/>
          <w:color w:val="44546A" w:themeColor="text2"/>
          <w:sz w:val="18"/>
          <w:szCs w:val="18"/>
        </w:rPr>
        <w:t xml:space="preserve">Source: </w:t>
      </w:r>
      <w:proofErr w:type="spellStart"/>
      <w:r w:rsidR="00473F78">
        <w:rPr>
          <w:i/>
          <w:iCs/>
          <w:color w:val="44546A" w:themeColor="text2"/>
          <w:sz w:val="18"/>
          <w:szCs w:val="18"/>
        </w:rPr>
        <w:t>Geostat</w:t>
      </w:r>
      <w:proofErr w:type="spellEnd"/>
    </w:p>
    <w:p w14:paraId="581B500D" w14:textId="77777777" w:rsidR="006E21EE" w:rsidRPr="006E21EE" w:rsidRDefault="006E21EE" w:rsidP="006E21EE">
      <w:pPr>
        <w:spacing w:after="0" w:line="240" w:lineRule="auto"/>
        <w:jc w:val="both"/>
      </w:pPr>
    </w:p>
    <w:p w14:paraId="3FC4BFAD" w14:textId="49AC151C" w:rsidR="00A134FE" w:rsidRDefault="00A134FE" w:rsidP="00A134FE">
      <w:pPr>
        <w:jc w:val="both"/>
      </w:pPr>
      <w:r>
        <w:t>Despite the fact that monthly exchange rates are fluctuating over the average trend, the trend is clearly increasing (Figure</w:t>
      </w:r>
      <w:r w:rsidR="00D55177">
        <w:t xml:space="preserve"> 10</w:t>
      </w:r>
      <w:r>
        <w:t xml:space="preserve">), which indicates directly that the prices of imported construction inputs </w:t>
      </w:r>
      <w:r w:rsidR="00A76A0D">
        <w:t>are</w:t>
      </w:r>
      <w:r>
        <w:t xml:space="preserve"> increasing</w:t>
      </w:r>
      <w:r w:rsidR="00755C3D">
        <w:t>.</w:t>
      </w:r>
    </w:p>
    <w:p w14:paraId="79FA17ED" w14:textId="2F4AE1A9" w:rsidR="00A134FE" w:rsidRDefault="00A134FE" w:rsidP="00A134FE">
      <w:pPr>
        <w:pStyle w:val="Caption"/>
        <w:jc w:val="both"/>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10</w:t>
      </w:r>
      <w:r w:rsidR="00D656F6">
        <w:rPr>
          <w:noProof/>
        </w:rPr>
        <w:fldChar w:fldCharType="end"/>
      </w:r>
      <w:r>
        <w:t xml:space="preserve">: The </w:t>
      </w:r>
      <w:r w:rsidR="00F11557">
        <w:t>e</w:t>
      </w:r>
      <w:r>
        <w:t xml:space="preserve">xchange </w:t>
      </w:r>
      <w:r w:rsidR="00F11557">
        <w:t>r</w:t>
      </w:r>
      <w:r>
        <w:t xml:space="preserve">ate </w:t>
      </w:r>
      <w:r w:rsidR="00F11557">
        <w:t>d</w:t>
      </w:r>
      <w:r>
        <w:t>evelopment</w:t>
      </w:r>
      <w:r w:rsidR="00F11557">
        <w:t xml:space="preserve"> (GEL/USD)</w:t>
      </w:r>
    </w:p>
    <w:p w14:paraId="0A74D543" w14:textId="77777777" w:rsidR="00A134FE" w:rsidRDefault="00A134FE" w:rsidP="00473F78">
      <w:pPr>
        <w:spacing w:after="0"/>
        <w:jc w:val="both"/>
      </w:pPr>
      <w:r>
        <w:rPr>
          <w:noProof/>
        </w:rPr>
        <w:drawing>
          <wp:inline distT="0" distB="0" distL="0" distR="0" wp14:anchorId="4A238044" wp14:editId="4532327A">
            <wp:extent cx="5753100" cy="2533650"/>
            <wp:effectExtent l="0" t="0" r="0" b="0"/>
            <wp:docPr id="86"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DFC113" w14:textId="2E30227C" w:rsidR="007E10B2" w:rsidRDefault="00B71553" w:rsidP="007E10B2">
      <w:pPr>
        <w:spacing w:after="0" w:line="240" w:lineRule="auto"/>
        <w:jc w:val="both"/>
        <w:rPr>
          <w:i/>
          <w:iCs/>
          <w:color w:val="44546A" w:themeColor="text2"/>
          <w:sz w:val="18"/>
          <w:szCs w:val="18"/>
        </w:rPr>
      </w:pPr>
      <w:r>
        <w:rPr>
          <w:i/>
          <w:iCs/>
          <w:color w:val="44546A" w:themeColor="text2"/>
          <w:sz w:val="18"/>
          <w:szCs w:val="18"/>
        </w:rPr>
        <w:t xml:space="preserve">Source: National Bank of Georgia </w:t>
      </w:r>
    </w:p>
    <w:p w14:paraId="07A7BEC6" w14:textId="77777777" w:rsidR="002E16C0" w:rsidRDefault="002E16C0" w:rsidP="007E10B2">
      <w:pPr>
        <w:spacing w:after="0" w:line="240" w:lineRule="auto"/>
        <w:jc w:val="both"/>
      </w:pPr>
    </w:p>
    <w:p w14:paraId="3F26300D" w14:textId="557F70F6" w:rsidR="00A134FE" w:rsidRDefault="001467CC" w:rsidP="007E10B2">
      <w:pPr>
        <w:spacing w:after="0" w:line="240" w:lineRule="auto"/>
        <w:jc w:val="both"/>
      </w:pPr>
      <w:r>
        <w:t>Moreover, average monthly remuneration of employees in construction</w:t>
      </w:r>
      <w:r w:rsidR="00A134FE">
        <w:t xml:space="preserve"> </w:t>
      </w:r>
      <w:r w:rsidR="000105AD">
        <w:t>ha</w:t>
      </w:r>
      <w:r w:rsidR="00B0423B">
        <w:t>s</w:t>
      </w:r>
      <w:r w:rsidR="000105AD">
        <w:t xml:space="preserve"> been</w:t>
      </w:r>
      <w:r w:rsidR="00A134FE">
        <w:t xml:space="preserve"> </w:t>
      </w:r>
      <w:r w:rsidR="000105AD">
        <w:t xml:space="preserve">also </w:t>
      </w:r>
      <w:r w:rsidR="00A134FE">
        <w:t xml:space="preserve">increasing over years </w:t>
      </w:r>
      <w:r w:rsidR="00B0423B">
        <w:t xml:space="preserve">in nominal values </w:t>
      </w:r>
      <w:r w:rsidR="00A134FE">
        <w:t xml:space="preserve">(Figure </w:t>
      </w:r>
      <w:r w:rsidR="00D55177">
        <w:t>11</w:t>
      </w:r>
      <w:r w:rsidR="00A134FE">
        <w:t>)</w:t>
      </w:r>
      <w:r w:rsidR="00B0423B">
        <w:t>.</w:t>
      </w:r>
      <w:r w:rsidR="00A134FE">
        <w:t xml:space="preserve"> Particularly, the </w:t>
      </w:r>
      <w:r w:rsidR="00B0423B">
        <w:t xml:space="preserve">average monthly remuneration rate </w:t>
      </w:r>
      <w:r w:rsidR="00A134FE">
        <w:t>increase</w:t>
      </w:r>
      <w:r w:rsidR="00B0423B">
        <w:t>s</w:t>
      </w:r>
      <w:r w:rsidR="00A134FE">
        <w:t xml:space="preserve"> on average by </w:t>
      </w:r>
      <w:r w:rsidR="00B0423B">
        <w:t>11</w:t>
      </w:r>
      <w:r w:rsidR="00A134FE">
        <w:t>% over 2007-2018 period</w:t>
      </w:r>
      <w:r w:rsidR="00B0423B">
        <w:t>.</w:t>
      </w:r>
    </w:p>
    <w:p w14:paraId="151D5FDE" w14:textId="494E6F98" w:rsidR="00EF0194" w:rsidRDefault="00EF0194" w:rsidP="007E10B2">
      <w:pPr>
        <w:spacing w:after="0" w:line="240" w:lineRule="auto"/>
        <w:jc w:val="both"/>
      </w:pPr>
    </w:p>
    <w:p w14:paraId="611C06DD" w14:textId="0B4034AA" w:rsidR="002E16C0" w:rsidRDefault="002E16C0" w:rsidP="007E10B2">
      <w:pPr>
        <w:spacing w:after="0" w:line="240" w:lineRule="auto"/>
        <w:jc w:val="both"/>
      </w:pPr>
    </w:p>
    <w:p w14:paraId="39311235" w14:textId="77777777" w:rsidR="002E16C0" w:rsidRDefault="002E16C0" w:rsidP="007E10B2">
      <w:pPr>
        <w:spacing w:after="0" w:line="240" w:lineRule="auto"/>
        <w:jc w:val="both"/>
      </w:pPr>
    </w:p>
    <w:p w14:paraId="370E2BDB" w14:textId="113534DE" w:rsidR="00A134FE" w:rsidRDefault="001E3C41" w:rsidP="00D74D8C">
      <w:pPr>
        <w:pStyle w:val="Caption"/>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11</w:t>
      </w:r>
      <w:r w:rsidR="00D656F6">
        <w:rPr>
          <w:noProof/>
        </w:rPr>
        <w:fldChar w:fldCharType="end"/>
      </w:r>
      <w:r>
        <w:t xml:space="preserve"> </w:t>
      </w:r>
      <w:r w:rsidR="00A134FE" w:rsidRPr="001E3C41">
        <w:t xml:space="preserve">: </w:t>
      </w:r>
      <w:r w:rsidR="00AA46F9">
        <w:t xml:space="preserve">Average </w:t>
      </w:r>
      <w:r w:rsidR="00F11557">
        <w:t>m</w:t>
      </w:r>
      <w:r w:rsidR="00AA46F9">
        <w:t xml:space="preserve">onthly </w:t>
      </w:r>
      <w:r w:rsidR="00F11557">
        <w:t>r</w:t>
      </w:r>
      <w:r w:rsidR="00AA46F9">
        <w:t xml:space="preserve">emuneration of </w:t>
      </w:r>
      <w:r w:rsidR="00F11557">
        <w:t>e</w:t>
      </w:r>
      <w:r w:rsidR="00AA46F9">
        <w:t xml:space="preserve">mployees in </w:t>
      </w:r>
      <w:r w:rsidR="00F11557">
        <w:t>c</w:t>
      </w:r>
      <w:r w:rsidR="00AA46F9">
        <w:t>onstruction (Gel)</w:t>
      </w:r>
    </w:p>
    <w:p w14:paraId="35B52ED3" w14:textId="669F89B5" w:rsidR="00A134FE" w:rsidRDefault="00AA46F9" w:rsidP="00EF0194">
      <w:pPr>
        <w:spacing w:after="0"/>
      </w:pPr>
      <w:r>
        <w:rPr>
          <w:noProof/>
        </w:rPr>
        <w:drawing>
          <wp:inline distT="0" distB="0" distL="0" distR="0" wp14:anchorId="7F699E38" wp14:editId="3E479712">
            <wp:extent cx="5648325" cy="2686050"/>
            <wp:effectExtent l="0" t="0" r="9525" b="0"/>
            <wp:docPr id="41" name="Chart 41">
              <a:extLst xmlns:a="http://schemas.openxmlformats.org/drawingml/2006/main">
                <a:ext uri="{FF2B5EF4-FFF2-40B4-BE49-F238E27FC236}">
                  <a16:creationId xmlns:a16="http://schemas.microsoft.com/office/drawing/2014/main" id="{9717FFAC-C64E-46D1-A384-14792A5F61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EBCEDB" w14:textId="570A3C0D" w:rsidR="005E5DA0" w:rsidRDefault="005E5DA0" w:rsidP="00610046">
      <w:pPr>
        <w:spacing w:after="0" w:line="240" w:lineRule="auto"/>
        <w:jc w:val="both"/>
        <w:rPr>
          <w:i/>
          <w:iCs/>
          <w:color w:val="44546A" w:themeColor="text2"/>
          <w:sz w:val="18"/>
          <w:szCs w:val="18"/>
        </w:rPr>
      </w:pPr>
      <w:r>
        <w:rPr>
          <w:i/>
          <w:iCs/>
          <w:color w:val="44546A" w:themeColor="text2"/>
          <w:sz w:val="18"/>
          <w:szCs w:val="18"/>
        </w:rPr>
        <w:t xml:space="preserve">Source: </w:t>
      </w:r>
      <w:proofErr w:type="spellStart"/>
      <w:r w:rsidR="00473F78">
        <w:rPr>
          <w:i/>
          <w:iCs/>
          <w:color w:val="44546A" w:themeColor="text2"/>
          <w:sz w:val="18"/>
          <w:szCs w:val="18"/>
        </w:rPr>
        <w:t>Geostat</w:t>
      </w:r>
      <w:proofErr w:type="spellEnd"/>
    </w:p>
    <w:p w14:paraId="7CF46C4D" w14:textId="77777777" w:rsidR="00610046" w:rsidRPr="00610046" w:rsidRDefault="00610046" w:rsidP="00610046">
      <w:pPr>
        <w:spacing w:after="0" w:line="240" w:lineRule="auto"/>
        <w:jc w:val="both"/>
        <w:rPr>
          <w:i/>
          <w:iCs/>
          <w:color w:val="44546A" w:themeColor="text2"/>
          <w:sz w:val="18"/>
          <w:szCs w:val="18"/>
        </w:rPr>
      </w:pPr>
    </w:p>
    <w:p w14:paraId="72CF952E" w14:textId="5FF4EBC2" w:rsidR="00A134FE" w:rsidRDefault="00F17745" w:rsidP="00A134FE">
      <w:pPr>
        <w:jc w:val="both"/>
      </w:pPr>
      <w:r>
        <w:t>Also</w:t>
      </w:r>
      <w:r w:rsidR="00A134FE">
        <w:t xml:space="preserve"> land prices </w:t>
      </w:r>
      <w:r>
        <w:t>can clearly affect</w:t>
      </w:r>
      <w:r w:rsidR="00A134FE">
        <w:t xml:space="preserve"> construction prices</w:t>
      </w:r>
      <w:r w:rsidR="00755C3D">
        <w:t xml:space="preserve">. </w:t>
      </w:r>
      <w:r w:rsidR="00A134FE">
        <w:t xml:space="preserve">Looking at land prices in two big cities Tbilisi and </w:t>
      </w:r>
      <w:r w:rsidR="00470F92">
        <w:t>Kutaisi</w:t>
      </w:r>
      <w:r w:rsidR="00755C3D">
        <w:t xml:space="preserve"> (Figure 12)</w:t>
      </w:r>
      <w:r>
        <w:t>, we can see that prices slightly</w:t>
      </w:r>
      <w:r w:rsidR="00A134FE">
        <w:t xml:space="preserve"> increase</w:t>
      </w:r>
      <w:r>
        <w:t>d</w:t>
      </w:r>
      <w:r w:rsidR="00A134FE">
        <w:t xml:space="preserve"> </w:t>
      </w:r>
      <w:r w:rsidR="00470F92">
        <w:t>in both cities over the last years, with Kutaisi land prices showing the largest volatility</w:t>
      </w:r>
      <w:r w:rsidR="00755C3D">
        <w:t>.</w:t>
      </w:r>
    </w:p>
    <w:p w14:paraId="4AC33C31" w14:textId="15526FB4" w:rsidR="00A134FE" w:rsidRDefault="00473F78" w:rsidP="00A134FE">
      <w:pPr>
        <w:pStyle w:val="Caption"/>
        <w:jc w:val="both"/>
      </w:pPr>
      <w:r>
        <w:rPr>
          <w:noProof/>
        </w:rPr>
        <w:drawing>
          <wp:anchor distT="0" distB="0" distL="114300" distR="114300" simplePos="0" relativeHeight="251717632" behindDoc="1" locked="0" layoutInCell="1" allowOverlap="1" wp14:anchorId="5C04D1D3" wp14:editId="7E15A9B6">
            <wp:simplePos x="0" y="0"/>
            <wp:positionH relativeFrom="margin">
              <wp:posOffset>2852928</wp:posOffset>
            </wp:positionH>
            <wp:positionV relativeFrom="paragraph">
              <wp:posOffset>261772</wp:posOffset>
            </wp:positionV>
            <wp:extent cx="2823667" cy="2274266"/>
            <wp:effectExtent l="0" t="0" r="15240" b="12065"/>
            <wp:wrapNone/>
            <wp:docPr id="90"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73169">
        <w:rPr>
          <w:noProof/>
        </w:rPr>
        <w:drawing>
          <wp:anchor distT="0" distB="0" distL="114300" distR="114300" simplePos="0" relativeHeight="251716608" behindDoc="1" locked="0" layoutInCell="1" allowOverlap="1" wp14:anchorId="75AA80DA" wp14:editId="4D4F2F64">
            <wp:simplePos x="0" y="0"/>
            <wp:positionH relativeFrom="margin">
              <wp:align>left</wp:align>
            </wp:positionH>
            <wp:positionV relativeFrom="paragraph">
              <wp:posOffset>266700</wp:posOffset>
            </wp:positionV>
            <wp:extent cx="2809875" cy="2266950"/>
            <wp:effectExtent l="0" t="0" r="9525" b="0"/>
            <wp:wrapNone/>
            <wp:docPr id="89"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134FE">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12</w:t>
      </w:r>
      <w:r w:rsidR="00D656F6">
        <w:rPr>
          <w:noProof/>
        </w:rPr>
        <w:fldChar w:fldCharType="end"/>
      </w:r>
      <w:r w:rsidR="00A134FE">
        <w:t xml:space="preserve">: </w:t>
      </w:r>
      <w:r w:rsidR="00A134FE" w:rsidRPr="00AF2BC1">
        <w:t>Weig</w:t>
      </w:r>
      <w:r w:rsidR="00A134FE">
        <w:t xml:space="preserve">hted </w:t>
      </w:r>
      <w:r w:rsidR="00F11557">
        <w:t>a</w:t>
      </w:r>
      <w:r w:rsidR="00A134FE">
        <w:t xml:space="preserve">verage </w:t>
      </w:r>
      <w:r w:rsidR="00F11557">
        <w:t>s</w:t>
      </w:r>
      <w:r w:rsidR="00A134FE">
        <w:t xml:space="preserve">elling </w:t>
      </w:r>
      <w:r w:rsidR="00F11557">
        <w:t>p</w:t>
      </w:r>
      <w:r w:rsidR="00A134FE">
        <w:t xml:space="preserve">rices on </w:t>
      </w:r>
      <w:r w:rsidR="00F11557">
        <w:t>d</w:t>
      </w:r>
      <w:r w:rsidR="00A134FE" w:rsidRPr="00AF2BC1">
        <w:t xml:space="preserve">evelopment </w:t>
      </w:r>
      <w:r w:rsidR="00F11557">
        <w:t>l</w:t>
      </w:r>
      <w:r w:rsidR="00A134FE" w:rsidRPr="00AF2BC1">
        <w:t>ands</w:t>
      </w:r>
      <w:r w:rsidR="00A134FE">
        <w:t xml:space="preserve"> in Tbilisi</w:t>
      </w:r>
      <w:r w:rsidR="00D73169">
        <w:t xml:space="preserve"> (right</w:t>
      </w:r>
      <w:r w:rsidR="009E6455">
        <w:t xml:space="preserve"> hand side</w:t>
      </w:r>
      <w:r w:rsidR="00D73169">
        <w:t>) and Kutaisi (left hand side)</w:t>
      </w:r>
      <w:r w:rsidR="001E3C41">
        <w:t xml:space="preserve"> (USD</w:t>
      </w:r>
      <w:r w:rsidR="00F11557">
        <w:t>/m</w:t>
      </w:r>
      <w:r w:rsidR="00F11557">
        <w:rPr>
          <w:vertAlign w:val="superscript"/>
        </w:rPr>
        <w:t>2</w:t>
      </w:r>
      <w:r w:rsidR="001E3C41">
        <w:t>)</w:t>
      </w:r>
    </w:p>
    <w:p w14:paraId="3EE8F925" w14:textId="1180CD58" w:rsidR="00A134FE" w:rsidRDefault="00A134FE" w:rsidP="00A134FE">
      <w:pPr>
        <w:jc w:val="both"/>
      </w:pPr>
    </w:p>
    <w:p w14:paraId="037C745A" w14:textId="77777777" w:rsidR="00D73169" w:rsidRDefault="00D73169" w:rsidP="00E00431">
      <w:pPr>
        <w:spacing w:after="0" w:line="240" w:lineRule="auto"/>
        <w:jc w:val="both"/>
        <w:rPr>
          <w:i/>
          <w:iCs/>
          <w:color w:val="44546A" w:themeColor="text2"/>
          <w:sz w:val="18"/>
          <w:szCs w:val="18"/>
        </w:rPr>
      </w:pPr>
    </w:p>
    <w:p w14:paraId="588848B5" w14:textId="77777777" w:rsidR="00D73169" w:rsidRDefault="00D73169" w:rsidP="00E00431">
      <w:pPr>
        <w:spacing w:after="0" w:line="240" w:lineRule="auto"/>
        <w:jc w:val="both"/>
        <w:rPr>
          <w:i/>
          <w:iCs/>
          <w:color w:val="44546A" w:themeColor="text2"/>
          <w:sz w:val="18"/>
          <w:szCs w:val="18"/>
        </w:rPr>
      </w:pPr>
    </w:p>
    <w:p w14:paraId="7F5A2171" w14:textId="77777777" w:rsidR="00D73169" w:rsidRDefault="00D73169" w:rsidP="00E00431">
      <w:pPr>
        <w:spacing w:after="0" w:line="240" w:lineRule="auto"/>
        <w:jc w:val="both"/>
        <w:rPr>
          <w:i/>
          <w:iCs/>
          <w:color w:val="44546A" w:themeColor="text2"/>
          <w:sz w:val="18"/>
          <w:szCs w:val="18"/>
        </w:rPr>
      </w:pPr>
    </w:p>
    <w:p w14:paraId="3FC1D626" w14:textId="77777777" w:rsidR="00D73169" w:rsidRDefault="00D73169" w:rsidP="00E00431">
      <w:pPr>
        <w:spacing w:after="0" w:line="240" w:lineRule="auto"/>
        <w:jc w:val="both"/>
        <w:rPr>
          <w:i/>
          <w:iCs/>
          <w:color w:val="44546A" w:themeColor="text2"/>
          <w:sz w:val="18"/>
          <w:szCs w:val="18"/>
        </w:rPr>
      </w:pPr>
    </w:p>
    <w:p w14:paraId="0A415171" w14:textId="77777777" w:rsidR="00D73169" w:rsidRDefault="00D73169" w:rsidP="00E00431">
      <w:pPr>
        <w:spacing w:after="0" w:line="240" w:lineRule="auto"/>
        <w:jc w:val="both"/>
        <w:rPr>
          <w:i/>
          <w:iCs/>
          <w:color w:val="44546A" w:themeColor="text2"/>
          <w:sz w:val="18"/>
          <w:szCs w:val="18"/>
        </w:rPr>
      </w:pPr>
    </w:p>
    <w:p w14:paraId="06DE032B" w14:textId="77777777" w:rsidR="00D73169" w:rsidRDefault="00D73169" w:rsidP="00E00431">
      <w:pPr>
        <w:spacing w:after="0" w:line="240" w:lineRule="auto"/>
        <w:jc w:val="both"/>
        <w:rPr>
          <w:i/>
          <w:iCs/>
          <w:color w:val="44546A" w:themeColor="text2"/>
          <w:sz w:val="18"/>
          <w:szCs w:val="18"/>
        </w:rPr>
      </w:pPr>
    </w:p>
    <w:p w14:paraId="0E2C350F" w14:textId="77777777" w:rsidR="00D73169" w:rsidRDefault="00D73169" w:rsidP="00E00431">
      <w:pPr>
        <w:spacing w:after="0" w:line="240" w:lineRule="auto"/>
        <w:jc w:val="both"/>
        <w:rPr>
          <w:i/>
          <w:iCs/>
          <w:color w:val="44546A" w:themeColor="text2"/>
          <w:sz w:val="18"/>
          <w:szCs w:val="18"/>
        </w:rPr>
      </w:pPr>
    </w:p>
    <w:p w14:paraId="50FC28E9" w14:textId="77777777" w:rsidR="00D73169" w:rsidRDefault="00D73169" w:rsidP="00E00431">
      <w:pPr>
        <w:spacing w:after="0" w:line="240" w:lineRule="auto"/>
        <w:jc w:val="both"/>
        <w:rPr>
          <w:i/>
          <w:iCs/>
          <w:color w:val="44546A" w:themeColor="text2"/>
          <w:sz w:val="18"/>
          <w:szCs w:val="18"/>
        </w:rPr>
      </w:pPr>
    </w:p>
    <w:p w14:paraId="74BA4FC7" w14:textId="77777777" w:rsidR="00D73169" w:rsidRDefault="00D73169" w:rsidP="00E00431">
      <w:pPr>
        <w:spacing w:after="0" w:line="240" w:lineRule="auto"/>
        <w:jc w:val="both"/>
        <w:rPr>
          <w:i/>
          <w:iCs/>
          <w:color w:val="44546A" w:themeColor="text2"/>
          <w:sz w:val="18"/>
          <w:szCs w:val="18"/>
        </w:rPr>
      </w:pPr>
    </w:p>
    <w:p w14:paraId="2A937D08" w14:textId="77777777" w:rsidR="00D73169" w:rsidRDefault="00D73169" w:rsidP="00E00431">
      <w:pPr>
        <w:spacing w:after="0" w:line="240" w:lineRule="auto"/>
        <w:jc w:val="both"/>
        <w:rPr>
          <w:i/>
          <w:iCs/>
          <w:color w:val="44546A" w:themeColor="text2"/>
          <w:sz w:val="18"/>
          <w:szCs w:val="18"/>
        </w:rPr>
      </w:pPr>
    </w:p>
    <w:p w14:paraId="77305992" w14:textId="77777777" w:rsidR="00D73169" w:rsidRDefault="00D73169" w:rsidP="00E00431">
      <w:pPr>
        <w:spacing w:after="0" w:line="240" w:lineRule="auto"/>
        <w:jc w:val="both"/>
        <w:rPr>
          <w:i/>
          <w:iCs/>
          <w:color w:val="44546A" w:themeColor="text2"/>
          <w:sz w:val="18"/>
          <w:szCs w:val="18"/>
        </w:rPr>
      </w:pPr>
    </w:p>
    <w:p w14:paraId="14E922B0" w14:textId="77777777" w:rsidR="00D73169" w:rsidRDefault="00D73169" w:rsidP="00E00431">
      <w:pPr>
        <w:spacing w:after="0" w:line="240" w:lineRule="auto"/>
        <w:jc w:val="both"/>
        <w:rPr>
          <w:i/>
          <w:iCs/>
          <w:color w:val="44546A" w:themeColor="text2"/>
          <w:sz w:val="18"/>
          <w:szCs w:val="18"/>
        </w:rPr>
      </w:pPr>
    </w:p>
    <w:p w14:paraId="4EE47C19" w14:textId="77777777" w:rsidR="00D73169" w:rsidRDefault="00D73169" w:rsidP="00E00431">
      <w:pPr>
        <w:spacing w:after="0" w:line="240" w:lineRule="auto"/>
        <w:jc w:val="both"/>
        <w:rPr>
          <w:i/>
          <w:iCs/>
          <w:color w:val="44546A" w:themeColor="text2"/>
          <w:sz w:val="18"/>
          <w:szCs w:val="18"/>
        </w:rPr>
      </w:pPr>
    </w:p>
    <w:p w14:paraId="2E79B3D5" w14:textId="59DF3AE6" w:rsidR="00D73169" w:rsidRDefault="00D73169" w:rsidP="00D74D8C">
      <w:pPr>
        <w:tabs>
          <w:tab w:val="left" w:pos="2370"/>
          <w:tab w:val="left" w:pos="5145"/>
        </w:tabs>
        <w:spacing w:after="0" w:line="240" w:lineRule="auto"/>
        <w:jc w:val="both"/>
        <w:rPr>
          <w:i/>
          <w:iCs/>
          <w:color w:val="44546A" w:themeColor="text2"/>
          <w:sz w:val="18"/>
          <w:szCs w:val="18"/>
        </w:rPr>
      </w:pPr>
      <w:r>
        <w:rPr>
          <w:i/>
          <w:iCs/>
          <w:color w:val="44546A" w:themeColor="text2"/>
          <w:sz w:val="18"/>
          <w:szCs w:val="18"/>
        </w:rPr>
        <w:tab/>
      </w:r>
      <w:r>
        <w:rPr>
          <w:i/>
          <w:iCs/>
          <w:color w:val="44546A" w:themeColor="text2"/>
          <w:sz w:val="18"/>
          <w:szCs w:val="18"/>
        </w:rPr>
        <w:tab/>
      </w:r>
    </w:p>
    <w:p w14:paraId="13DE9243" w14:textId="237D693C" w:rsidR="00D73169" w:rsidRDefault="00E00431" w:rsidP="00610046">
      <w:pPr>
        <w:spacing w:after="0" w:line="240" w:lineRule="auto"/>
        <w:jc w:val="both"/>
        <w:rPr>
          <w:i/>
          <w:iCs/>
          <w:color w:val="44546A" w:themeColor="text2"/>
          <w:sz w:val="18"/>
          <w:szCs w:val="18"/>
        </w:rPr>
      </w:pPr>
      <w:r>
        <w:rPr>
          <w:i/>
          <w:iCs/>
          <w:color w:val="44546A" w:themeColor="text2"/>
          <w:sz w:val="18"/>
          <w:szCs w:val="18"/>
        </w:rPr>
        <w:t>Source: Colliers International</w:t>
      </w:r>
    </w:p>
    <w:p w14:paraId="1D3ADC0B" w14:textId="77777777" w:rsidR="00755C3D" w:rsidRDefault="00755C3D" w:rsidP="00610046">
      <w:pPr>
        <w:spacing w:after="0" w:line="240" w:lineRule="auto"/>
        <w:jc w:val="both"/>
      </w:pPr>
    </w:p>
    <w:p w14:paraId="6B4042AA" w14:textId="7DCF6804" w:rsidR="009C67C6" w:rsidRDefault="00755C3D" w:rsidP="00976D0B">
      <w:pPr>
        <w:jc w:val="both"/>
      </w:pPr>
      <w:r>
        <w:t>I</w:t>
      </w:r>
      <w:r w:rsidR="009C67C6">
        <w:t xml:space="preserve">n some </w:t>
      </w:r>
      <w:r w:rsidR="00003638">
        <w:t>cases,</w:t>
      </w:r>
      <w:r w:rsidR="009C67C6">
        <w:t xml:space="preserve"> the increased input and land prices should be reflected into increased selling prices in primary markets</w:t>
      </w:r>
      <w:r w:rsidR="00035B45">
        <w:t>. H</w:t>
      </w:r>
      <w:r w:rsidR="009C67C6">
        <w:t xml:space="preserve">owever, as it can be seen </w:t>
      </w:r>
      <w:r w:rsidR="00035B45">
        <w:t>below</w:t>
      </w:r>
      <w:r w:rsidR="009C67C6">
        <w:t xml:space="preserve">, the selling prices on primary markets in every big city were more or less stable over </w:t>
      </w:r>
      <w:r w:rsidR="00035B45">
        <w:t xml:space="preserve">the </w:t>
      </w:r>
      <w:r w:rsidR="00FB1B33">
        <w:t>2012-</w:t>
      </w:r>
      <w:r w:rsidR="009C67C6">
        <w:t xml:space="preserve">2017 period, meaning that the margins of the construction companies might </w:t>
      </w:r>
      <w:r w:rsidR="00246368">
        <w:t xml:space="preserve">have </w:t>
      </w:r>
      <w:r w:rsidR="009C67C6">
        <w:t>be</w:t>
      </w:r>
      <w:r w:rsidR="00246368">
        <w:t>en</w:t>
      </w:r>
      <w:r w:rsidR="009C67C6">
        <w:t xml:space="preserve"> squeezed in order to adjust the demand on housing market considering affordability issues of the consumers</w:t>
      </w:r>
      <w:r w:rsidR="00E00431">
        <w:t>.</w:t>
      </w:r>
      <w:r w:rsidR="009C67C6">
        <w:t xml:space="preserve"> Yet, increased prices on production factors </w:t>
      </w:r>
      <w:r w:rsidR="00246368">
        <w:t>are likely to be sooner or later</w:t>
      </w:r>
      <w:r w:rsidR="009C67C6">
        <w:t xml:space="preserve"> reflected in the selling prices on the new flats</w:t>
      </w:r>
      <w:r>
        <w:t>.</w:t>
      </w:r>
      <w:r w:rsidR="009C67C6">
        <w:t xml:space="preserve">  </w:t>
      </w:r>
    </w:p>
    <w:p w14:paraId="18D66E19" w14:textId="77777777" w:rsidR="002E16C0" w:rsidRDefault="002E16C0" w:rsidP="00976D0B">
      <w:pPr>
        <w:jc w:val="both"/>
        <w:rPr>
          <w:rFonts w:cstheme="minorHAnsi"/>
        </w:rPr>
      </w:pPr>
    </w:p>
    <w:p w14:paraId="108BAF4B" w14:textId="77777777" w:rsidR="00353859" w:rsidRPr="00BA5D5A" w:rsidRDefault="00353859" w:rsidP="00353859">
      <w:pPr>
        <w:jc w:val="both"/>
        <w:rPr>
          <w:b/>
          <w:bCs/>
          <w:i/>
        </w:rPr>
      </w:pPr>
      <w:r w:rsidRPr="00BA5D5A">
        <w:rPr>
          <w:b/>
          <w:bCs/>
          <w:i/>
        </w:rPr>
        <w:lastRenderedPageBreak/>
        <w:t>Sale and rental prices</w:t>
      </w:r>
    </w:p>
    <w:p w14:paraId="4781178E" w14:textId="6CA229D8" w:rsidR="00353859" w:rsidRDefault="00353859" w:rsidP="00353859">
      <w:pPr>
        <w:jc w:val="both"/>
      </w:pPr>
      <w:r>
        <w:t>Final housing prices, and rent</w:t>
      </w:r>
      <w:r w:rsidR="00A50C6C">
        <w:t xml:space="preserve">s, </w:t>
      </w:r>
      <w:r>
        <w:t xml:space="preserve">are </w:t>
      </w:r>
      <w:r w:rsidR="00A50C6C">
        <w:t xml:space="preserve">– together with household incomes, </w:t>
      </w:r>
      <w:r>
        <w:t>a key determinant of affordability</w:t>
      </w:r>
      <w:r w:rsidR="00A50C6C">
        <w:t xml:space="preserve"> of housing</w:t>
      </w:r>
      <w:r w:rsidR="00755C3D">
        <w:t>.</w:t>
      </w:r>
      <w:r>
        <w:t xml:space="preserve"> </w:t>
      </w:r>
    </w:p>
    <w:p w14:paraId="59D095DA" w14:textId="5124B5E1" w:rsidR="00353859" w:rsidRDefault="00353859" w:rsidP="00353859">
      <w:pPr>
        <w:jc w:val="both"/>
      </w:pPr>
      <w:r>
        <w:t xml:space="preserve">Looking at the average selling and renting prices of residential buildings in Georgia, it can be easily noticed that the prices have not been changing dramatically over the 6-year period between 2012-2017 Figure </w:t>
      </w:r>
      <w:r w:rsidR="00B815AB">
        <w:t>1</w:t>
      </w:r>
      <w:r w:rsidR="00020CC1">
        <w:rPr>
          <w:lang w:val="ka-GE"/>
        </w:rPr>
        <w:t>3</w:t>
      </w:r>
      <w:r w:rsidR="00755C3D">
        <w:t xml:space="preserve"> shows that </w:t>
      </w:r>
      <w:r>
        <w:t>selling prices of residential houses on both primary and secondary markets have been declining in Tbilisi</w:t>
      </w:r>
      <w:r w:rsidR="00D76E58">
        <w:t>.</w:t>
      </w:r>
      <w:r>
        <w:t xml:space="preserve"> In Batumi, the average weighted selling price has been increasing in the secondary market, while in the primary market it has remained relatively stable over years</w:t>
      </w:r>
      <w:r w:rsidR="00D73169">
        <w:t xml:space="preserve"> (Fi</w:t>
      </w:r>
      <w:r w:rsidR="00A2053D">
        <w:t>gure 14</w:t>
      </w:r>
      <w:r w:rsidR="00D73169">
        <w:t xml:space="preserve">). </w:t>
      </w:r>
      <w:r>
        <w:t>The selling prices for residential buildings in Kutaisi have also remained more or less stable (showing just a slight decline in the secondary market) over the observation period</w:t>
      </w:r>
      <w:r w:rsidR="00D73169">
        <w:t xml:space="preserve"> (F</w:t>
      </w:r>
      <w:r w:rsidR="00A2053D">
        <w:t>igure 15</w:t>
      </w:r>
      <w:r w:rsidR="00D73169">
        <w:t>).</w:t>
      </w:r>
    </w:p>
    <w:p w14:paraId="3211C295" w14:textId="56806528" w:rsidR="00353859" w:rsidRPr="00F11557" w:rsidRDefault="00D73169" w:rsidP="00B815AB">
      <w:pPr>
        <w:pStyle w:val="Caption"/>
        <w:keepNext/>
      </w:pPr>
      <w:r>
        <w:rPr>
          <w:noProof/>
        </w:rPr>
        <w:drawing>
          <wp:anchor distT="0" distB="0" distL="114300" distR="114300" simplePos="0" relativeHeight="251711488" behindDoc="1" locked="0" layoutInCell="1" allowOverlap="1" wp14:anchorId="333F6F4A" wp14:editId="10808A8D">
            <wp:simplePos x="0" y="0"/>
            <wp:positionH relativeFrom="margin">
              <wp:posOffset>2771775</wp:posOffset>
            </wp:positionH>
            <wp:positionV relativeFrom="paragraph">
              <wp:posOffset>261620</wp:posOffset>
            </wp:positionV>
            <wp:extent cx="2800350" cy="1781175"/>
            <wp:effectExtent l="0" t="0" r="0" b="9525"/>
            <wp:wrapNone/>
            <wp:docPr id="4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D76E58">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13</w:t>
      </w:r>
      <w:r w:rsidR="006C3BD6">
        <w:rPr>
          <w:noProof/>
        </w:rPr>
        <w:fldChar w:fldCharType="end"/>
      </w:r>
      <w:r w:rsidR="00353859">
        <w:t xml:space="preserve">: Tbilisi </w:t>
      </w:r>
      <w:r w:rsidR="00F11557">
        <w:t>w</w:t>
      </w:r>
      <w:r w:rsidR="00353859">
        <w:t xml:space="preserve">eighted </w:t>
      </w:r>
      <w:r w:rsidR="00F11557">
        <w:t>average s</w:t>
      </w:r>
      <w:r w:rsidR="00353859">
        <w:t xml:space="preserve">elling </w:t>
      </w:r>
      <w:r w:rsidR="00F11557">
        <w:t>p</w:t>
      </w:r>
      <w:r w:rsidR="00353859">
        <w:t>rices (USD/m</w:t>
      </w:r>
      <w:r w:rsidR="00353859" w:rsidRPr="00C510FB">
        <w:rPr>
          <w:vertAlign w:val="superscript"/>
        </w:rPr>
        <w:t>2</w:t>
      </w:r>
      <w:r w:rsidR="00353859">
        <w:t xml:space="preserve">)     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14</w:t>
      </w:r>
      <w:r w:rsidR="006C3BD6">
        <w:rPr>
          <w:noProof/>
        </w:rPr>
        <w:fldChar w:fldCharType="end"/>
      </w:r>
      <w:r w:rsidR="00353859">
        <w:t xml:space="preserve">: Batumi </w:t>
      </w:r>
      <w:r w:rsidR="00F11557">
        <w:t>weighted average selling prices (USD/m</w:t>
      </w:r>
      <w:r w:rsidR="00F11557" w:rsidRPr="00C510FB">
        <w:rPr>
          <w:vertAlign w:val="superscript"/>
        </w:rPr>
        <w:t>2</w:t>
      </w:r>
      <w:r w:rsidR="00F11557">
        <w:t>)</w:t>
      </w:r>
    </w:p>
    <w:p w14:paraId="6E62A7AA" w14:textId="03BF6327" w:rsidR="00353859" w:rsidRDefault="00D73169" w:rsidP="00353859">
      <w:pPr>
        <w:jc w:val="both"/>
      </w:pPr>
      <w:r w:rsidRPr="00FD09FD">
        <w:rPr>
          <w:noProof/>
        </w:rPr>
        <w:drawing>
          <wp:anchor distT="0" distB="0" distL="114300" distR="114300" simplePos="0" relativeHeight="251710464" behindDoc="1" locked="0" layoutInCell="1" allowOverlap="1" wp14:anchorId="6C9F93F8" wp14:editId="63A17857">
            <wp:simplePos x="0" y="0"/>
            <wp:positionH relativeFrom="margin">
              <wp:align>left</wp:align>
            </wp:positionH>
            <wp:positionV relativeFrom="paragraph">
              <wp:posOffset>9525</wp:posOffset>
            </wp:positionV>
            <wp:extent cx="2752725" cy="1762125"/>
            <wp:effectExtent l="0" t="0" r="9525" b="9525"/>
            <wp:wrapNone/>
            <wp:docPr id="3"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9C72748" w14:textId="431F928D" w:rsidR="00353859" w:rsidRDefault="00353859" w:rsidP="00353859">
      <w:pPr>
        <w:jc w:val="both"/>
      </w:pPr>
    </w:p>
    <w:p w14:paraId="483ADF2E" w14:textId="7C4B293D" w:rsidR="00353859" w:rsidRDefault="00353859" w:rsidP="00353859">
      <w:pPr>
        <w:jc w:val="both"/>
      </w:pPr>
    </w:p>
    <w:p w14:paraId="1590C261" w14:textId="77777777" w:rsidR="00353859" w:rsidRDefault="00353859" w:rsidP="00353859">
      <w:pPr>
        <w:jc w:val="both"/>
        <w:rPr>
          <w:i/>
          <w:iCs/>
          <w:color w:val="44546A" w:themeColor="text2"/>
          <w:sz w:val="18"/>
          <w:szCs w:val="18"/>
        </w:rPr>
      </w:pPr>
      <w:r>
        <w:tab/>
      </w:r>
    </w:p>
    <w:p w14:paraId="465917A8" w14:textId="77777777" w:rsidR="00D73169" w:rsidRDefault="00D73169" w:rsidP="00353859">
      <w:pPr>
        <w:jc w:val="both"/>
        <w:rPr>
          <w:i/>
          <w:iCs/>
          <w:color w:val="44546A" w:themeColor="text2"/>
          <w:sz w:val="18"/>
          <w:szCs w:val="18"/>
        </w:rPr>
      </w:pPr>
    </w:p>
    <w:p w14:paraId="099B2A62" w14:textId="77777777" w:rsidR="00353859" w:rsidRPr="00C510FB" w:rsidRDefault="00353859" w:rsidP="00353859">
      <w:pPr>
        <w:jc w:val="both"/>
        <w:rPr>
          <w:i/>
          <w:iCs/>
          <w:color w:val="44546A" w:themeColor="text2"/>
          <w:sz w:val="18"/>
          <w:szCs w:val="18"/>
        </w:rPr>
      </w:pPr>
    </w:p>
    <w:p w14:paraId="39B72E56" w14:textId="77777777" w:rsidR="00610046" w:rsidRDefault="00610046" w:rsidP="00353859">
      <w:pPr>
        <w:pStyle w:val="Caption"/>
        <w:jc w:val="both"/>
      </w:pPr>
    </w:p>
    <w:p w14:paraId="20B59D96" w14:textId="16B59AD5" w:rsidR="00353859" w:rsidRPr="00F11557" w:rsidRDefault="00353859" w:rsidP="00353859">
      <w:pPr>
        <w:pStyle w:val="Caption"/>
        <w:jc w:val="both"/>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15</w:t>
      </w:r>
      <w:r w:rsidR="00D656F6">
        <w:rPr>
          <w:noProof/>
        </w:rPr>
        <w:fldChar w:fldCharType="end"/>
      </w:r>
      <w:r>
        <w:t xml:space="preserve">: Kutaisi </w:t>
      </w:r>
      <w:r w:rsidR="00F11557">
        <w:t>weighted average selling prices (USD/m</w:t>
      </w:r>
      <w:r w:rsidR="00F11557" w:rsidRPr="00C510FB">
        <w:rPr>
          <w:vertAlign w:val="superscript"/>
        </w:rPr>
        <w:t>2</w:t>
      </w:r>
      <w:r w:rsidR="00F11557">
        <w:t>)</w:t>
      </w:r>
    </w:p>
    <w:p w14:paraId="726B4EDE" w14:textId="77777777" w:rsidR="00353859" w:rsidRDefault="00353859" w:rsidP="00353859">
      <w:pPr>
        <w:jc w:val="both"/>
      </w:pPr>
      <w:r>
        <w:rPr>
          <w:noProof/>
        </w:rPr>
        <w:drawing>
          <wp:anchor distT="0" distB="0" distL="114300" distR="114300" simplePos="0" relativeHeight="251712512" behindDoc="1" locked="0" layoutInCell="1" allowOverlap="1" wp14:anchorId="62BA87B2" wp14:editId="7DB4CBC2">
            <wp:simplePos x="0" y="0"/>
            <wp:positionH relativeFrom="margin">
              <wp:align>left</wp:align>
            </wp:positionH>
            <wp:positionV relativeFrom="paragraph">
              <wp:posOffset>10160</wp:posOffset>
            </wp:positionV>
            <wp:extent cx="2771775" cy="1962150"/>
            <wp:effectExtent l="0" t="0" r="9525" b="0"/>
            <wp:wrapNone/>
            <wp:docPr id="5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19BD9083" w14:textId="77777777" w:rsidR="00353859" w:rsidRDefault="00353859" w:rsidP="00353859">
      <w:pPr>
        <w:tabs>
          <w:tab w:val="left" w:pos="2145"/>
        </w:tabs>
        <w:jc w:val="both"/>
      </w:pPr>
      <w:r>
        <w:tab/>
      </w:r>
    </w:p>
    <w:p w14:paraId="185DC0CB" w14:textId="77777777" w:rsidR="00353859" w:rsidRDefault="00353859" w:rsidP="00353859">
      <w:pPr>
        <w:tabs>
          <w:tab w:val="left" w:pos="2790"/>
        </w:tabs>
        <w:jc w:val="both"/>
      </w:pPr>
      <w:r>
        <w:tab/>
      </w:r>
    </w:p>
    <w:p w14:paraId="5FB9DEFF" w14:textId="77777777" w:rsidR="00353859" w:rsidRDefault="00353859" w:rsidP="00353859">
      <w:pPr>
        <w:tabs>
          <w:tab w:val="left" w:pos="2790"/>
        </w:tabs>
        <w:jc w:val="both"/>
      </w:pPr>
      <w:r>
        <w:tab/>
      </w:r>
    </w:p>
    <w:p w14:paraId="78ACBFC4" w14:textId="77777777" w:rsidR="00353859" w:rsidRDefault="00353859" w:rsidP="00353859">
      <w:pPr>
        <w:jc w:val="both"/>
      </w:pPr>
    </w:p>
    <w:p w14:paraId="62ED62C5" w14:textId="77777777" w:rsidR="00D73169" w:rsidRDefault="00D73169" w:rsidP="00353859">
      <w:pPr>
        <w:jc w:val="both"/>
      </w:pPr>
    </w:p>
    <w:p w14:paraId="47F2F822" w14:textId="7DDF23F0" w:rsidR="00D73169" w:rsidRDefault="00D73169" w:rsidP="00353859">
      <w:pPr>
        <w:jc w:val="both"/>
      </w:pPr>
    </w:p>
    <w:p w14:paraId="4F25FEA7" w14:textId="43796A9D" w:rsidR="00D73169" w:rsidRDefault="00CD78CA" w:rsidP="00A76A0D">
      <w:pPr>
        <w:spacing w:after="0" w:line="240" w:lineRule="auto"/>
        <w:jc w:val="both"/>
        <w:rPr>
          <w:i/>
          <w:iCs/>
          <w:color w:val="44546A" w:themeColor="text2"/>
          <w:sz w:val="18"/>
          <w:szCs w:val="18"/>
        </w:rPr>
      </w:pPr>
      <w:r>
        <w:rPr>
          <w:i/>
          <w:iCs/>
          <w:color w:val="44546A" w:themeColor="text2"/>
          <w:sz w:val="18"/>
          <w:szCs w:val="18"/>
        </w:rPr>
        <w:t>Source: Colliers International</w:t>
      </w:r>
    </w:p>
    <w:p w14:paraId="23FBECEB" w14:textId="77777777" w:rsidR="00610046" w:rsidRDefault="00610046" w:rsidP="00A76A0D">
      <w:pPr>
        <w:spacing w:after="0" w:line="240" w:lineRule="auto"/>
        <w:jc w:val="both"/>
      </w:pPr>
    </w:p>
    <w:p w14:paraId="1645A7F5" w14:textId="398EB992" w:rsidR="00353859" w:rsidRDefault="00353859" w:rsidP="00353859">
      <w:pPr>
        <w:jc w:val="both"/>
      </w:pPr>
      <w:r>
        <w:t xml:space="preserve">Also rent data are available for the same three big cities, even though for Batumi and Kutaisi data are available only for a </w:t>
      </w:r>
      <w:r w:rsidR="00610046">
        <w:t>three-year</w:t>
      </w:r>
      <w:r>
        <w:t xml:space="preserve"> period</w:t>
      </w:r>
      <w:r w:rsidR="00755C3D">
        <w:t>.</w:t>
      </w:r>
      <w:r>
        <w:t xml:space="preserve"> </w:t>
      </w:r>
    </w:p>
    <w:p w14:paraId="11EE3F1F" w14:textId="23D7EC59" w:rsidR="004076AD" w:rsidRDefault="00353859" w:rsidP="00353859">
      <w:pPr>
        <w:jc w:val="both"/>
      </w:pPr>
      <w:r>
        <w:t>In Tbilisi, consistently with the apartment prices, rents have been declining slightly over the period 2012-2017, in all categories (1 room flat, 2 rooms flat, 3 rooms flat) and in all locations (suburb, medium and central)</w:t>
      </w:r>
      <w:r w:rsidR="00755C3D">
        <w:t>.</w:t>
      </w:r>
      <w:r>
        <w:t xml:space="preserve"> However, in the last of the series, renting prices for central and middle central districts seemed to bounce back</w:t>
      </w:r>
      <w:r w:rsidR="00B815AB">
        <w:t xml:space="preserve"> (Table </w:t>
      </w:r>
      <w:r w:rsidR="00E7441F">
        <w:rPr>
          <w:lang w:val="ka-GE"/>
        </w:rPr>
        <w:t>3</w:t>
      </w:r>
      <w:r w:rsidR="00B815AB">
        <w:t>).</w:t>
      </w:r>
      <w:r>
        <w:t xml:space="preserve"> This might be the sign of a new trend due to the expansion of the tourism sector, generating increasing renting opportunities for owners of houses in central and middle-center </w:t>
      </w:r>
      <w:r>
        <w:lastRenderedPageBreak/>
        <w:t>districts, especially given that these areas are already densely populated and the space for construction is limited</w:t>
      </w:r>
      <w:r w:rsidR="0026391F">
        <w:t>.</w:t>
      </w:r>
    </w:p>
    <w:p w14:paraId="25C5DE5F" w14:textId="536BB453" w:rsidR="002903D5" w:rsidRPr="00D74D8C" w:rsidRDefault="0026391F" w:rsidP="00454C26">
      <w:pPr>
        <w:pStyle w:val="Caption"/>
        <w:rPr>
          <w:i w:val="0"/>
          <w:iCs w:val="0"/>
        </w:rPr>
      </w:pPr>
      <w:r>
        <w:t xml:space="preserve">Table </w:t>
      </w:r>
      <w:r w:rsidR="009E6455">
        <w:rPr>
          <w:noProof/>
        </w:rPr>
        <w:fldChar w:fldCharType="begin"/>
      </w:r>
      <w:r w:rsidR="009E6455">
        <w:rPr>
          <w:noProof/>
        </w:rPr>
        <w:instrText xml:space="preserve"> SEQ Table \* ARABIC </w:instrText>
      </w:r>
      <w:r w:rsidR="009E6455">
        <w:rPr>
          <w:noProof/>
        </w:rPr>
        <w:fldChar w:fldCharType="separate"/>
      </w:r>
      <w:r w:rsidR="008F3E6B">
        <w:rPr>
          <w:noProof/>
        </w:rPr>
        <w:t>3</w:t>
      </w:r>
      <w:r w:rsidR="009E6455">
        <w:rPr>
          <w:noProof/>
        </w:rPr>
        <w:fldChar w:fldCharType="end"/>
      </w:r>
      <w:r>
        <w:t xml:space="preserve">: </w:t>
      </w:r>
      <w:r w:rsidR="002903D5" w:rsidRPr="00454C26">
        <w:t xml:space="preserve">Rental </w:t>
      </w:r>
      <w:r w:rsidR="00F11557">
        <w:t>p</w:t>
      </w:r>
      <w:r w:rsidR="002903D5" w:rsidRPr="00454C26">
        <w:t xml:space="preserve">rices in Tbilisi by </w:t>
      </w:r>
      <w:r w:rsidR="00F11557">
        <w:t>t</w:t>
      </w:r>
      <w:r w:rsidR="002903D5" w:rsidRPr="00454C26">
        <w:t xml:space="preserve">ype and </w:t>
      </w:r>
      <w:r w:rsidR="00F11557">
        <w:t>l</w:t>
      </w:r>
      <w:r w:rsidR="002903D5" w:rsidRPr="00454C26">
        <w:t>ocation (USD)</w:t>
      </w:r>
    </w:p>
    <w:tbl>
      <w:tblPr>
        <w:tblStyle w:val="GridTable1Light-Accent1"/>
        <w:tblW w:w="9132" w:type="dxa"/>
        <w:tblLook w:val="04A0" w:firstRow="1" w:lastRow="0" w:firstColumn="1" w:lastColumn="0" w:noHBand="0" w:noVBand="1"/>
      </w:tblPr>
      <w:tblGrid>
        <w:gridCol w:w="1477"/>
        <w:gridCol w:w="1490"/>
        <w:gridCol w:w="862"/>
        <w:gridCol w:w="1246"/>
        <w:gridCol w:w="1159"/>
        <w:gridCol w:w="854"/>
        <w:gridCol w:w="1117"/>
        <w:gridCol w:w="927"/>
      </w:tblGrid>
      <w:tr w:rsidR="0026391F" w:rsidRPr="002903D5" w14:paraId="71F55A5E" w14:textId="77777777" w:rsidTr="00896D43">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77" w:type="dxa"/>
            <w:shd w:val="clear" w:color="auto" w:fill="002060"/>
            <w:noWrap/>
            <w:hideMark/>
          </w:tcPr>
          <w:p w14:paraId="2979437F" w14:textId="0598DD55" w:rsidR="002903D5" w:rsidRPr="00896D43" w:rsidRDefault="00F11557" w:rsidP="002903D5">
            <w:pPr>
              <w:rPr>
                <w:rFonts w:ascii="Calibri" w:eastAsia="Times New Roman" w:hAnsi="Calibri" w:cs="Calibri"/>
                <w:color w:val="FFFFFF" w:themeColor="background1"/>
              </w:rPr>
            </w:pPr>
            <w:r w:rsidRPr="00896D43">
              <w:rPr>
                <w:rFonts w:ascii="Calibri" w:eastAsia="Times New Roman" w:hAnsi="Calibri" w:cs="Calibri"/>
                <w:color w:val="FFFFFF" w:themeColor="background1"/>
              </w:rPr>
              <w:t xml:space="preserve">Number of </w:t>
            </w:r>
            <w:r w:rsidR="002903D5" w:rsidRPr="00896D43">
              <w:rPr>
                <w:rFonts w:ascii="Calibri" w:eastAsia="Times New Roman" w:hAnsi="Calibri" w:cs="Calibri"/>
                <w:color w:val="FFFFFF" w:themeColor="background1"/>
              </w:rPr>
              <w:t>Rooms</w:t>
            </w:r>
          </w:p>
        </w:tc>
        <w:tc>
          <w:tcPr>
            <w:tcW w:w="1490" w:type="dxa"/>
            <w:shd w:val="clear" w:color="auto" w:fill="002060"/>
            <w:noWrap/>
            <w:hideMark/>
          </w:tcPr>
          <w:p w14:paraId="2C1F2DD0" w14:textId="77777777" w:rsidR="002903D5" w:rsidRPr="00896D43" w:rsidRDefault="002903D5" w:rsidP="002903D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96D43">
              <w:rPr>
                <w:rFonts w:ascii="Calibri" w:eastAsia="Times New Roman" w:hAnsi="Calibri" w:cs="Calibri"/>
                <w:color w:val="FFFFFF" w:themeColor="background1"/>
              </w:rPr>
              <w:t>Location</w:t>
            </w:r>
          </w:p>
        </w:tc>
        <w:tc>
          <w:tcPr>
            <w:tcW w:w="862" w:type="dxa"/>
            <w:shd w:val="clear" w:color="auto" w:fill="002060"/>
            <w:noWrap/>
            <w:hideMark/>
          </w:tcPr>
          <w:p w14:paraId="432D53C3" w14:textId="77777777" w:rsidR="002903D5" w:rsidRPr="00896D43" w:rsidRDefault="002903D5" w:rsidP="002903D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96D43">
              <w:rPr>
                <w:rFonts w:ascii="Calibri" w:eastAsia="Times New Roman" w:hAnsi="Calibri" w:cs="Calibri"/>
                <w:color w:val="FFFFFF" w:themeColor="background1"/>
              </w:rPr>
              <w:t>2012</w:t>
            </w:r>
          </w:p>
        </w:tc>
        <w:tc>
          <w:tcPr>
            <w:tcW w:w="1246" w:type="dxa"/>
            <w:shd w:val="clear" w:color="auto" w:fill="002060"/>
            <w:noWrap/>
            <w:hideMark/>
          </w:tcPr>
          <w:p w14:paraId="3CF33974" w14:textId="77777777" w:rsidR="002903D5" w:rsidRPr="00896D43" w:rsidRDefault="002903D5" w:rsidP="002903D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96D43">
              <w:rPr>
                <w:rFonts w:ascii="Calibri" w:eastAsia="Times New Roman" w:hAnsi="Calibri" w:cs="Calibri"/>
                <w:color w:val="FFFFFF" w:themeColor="background1"/>
              </w:rPr>
              <w:t>2013</w:t>
            </w:r>
          </w:p>
        </w:tc>
        <w:tc>
          <w:tcPr>
            <w:tcW w:w="1159" w:type="dxa"/>
            <w:shd w:val="clear" w:color="auto" w:fill="002060"/>
            <w:noWrap/>
            <w:hideMark/>
          </w:tcPr>
          <w:p w14:paraId="59EFFA45" w14:textId="77777777" w:rsidR="002903D5" w:rsidRPr="00896D43" w:rsidRDefault="002903D5" w:rsidP="002903D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96D43">
              <w:rPr>
                <w:rFonts w:ascii="Calibri" w:eastAsia="Times New Roman" w:hAnsi="Calibri" w:cs="Calibri"/>
                <w:color w:val="FFFFFF" w:themeColor="background1"/>
              </w:rPr>
              <w:t>2014</w:t>
            </w:r>
          </w:p>
        </w:tc>
        <w:tc>
          <w:tcPr>
            <w:tcW w:w="854" w:type="dxa"/>
            <w:shd w:val="clear" w:color="auto" w:fill="002060"/>
            <w:noWrap/>
            <w:hideMark/>
          </w:tcPr>
          <w:p w14:paraId="66610ED1" w14:textId="77777777" w:rsidR="002903D5" w:rsidRPr="00896D43" w:rsidRDefault="002903D5" w:rsidP="002903D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96D43">
              <w:rPr>
                <w:rFonts w:ascii="Calibri" w:eastAsia="Times New Roman" w:hAnsi="Calibri" w:cs="Calibri"/>
                <w:color w:val="FFFFFF" w:themeColor="background1"/>
              </w:rPr>
              <w:t>2015</w:t>
            </w:r>
          </w:p>
        </w:tc>
        <w:tc>
          <w:tcPr>
            <w:tcW w:w="1117" w:type="dxa"/>
            <w:shd w:val="clear" w:color="auto" w:fill="002060"/>
            <w:noWrap/>
            <w:hideMark/>
          </w:tcPr>
          <w:p w14:paraId="34825B64" w14:textId="77777777" w:rsidR="002903D5" w:rsidRPr="00896D43" w:rsidRDefault="002903D5" w:rsidP="002903D5">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96D43">
              <w:rPr>
                <w:rFonts w:ascii="Calibri" w:eastAsia="Times New Roman" w:hAnsi="Calibri" w:cs="Calibri"/>
                <w:color w:val="FFFFFF" w:themeColor="background1"/>
              </w:rPr>
              <w:t>2016</w:t>
            </w:r>
          </w:p>
        </w:tc>
        <w:tc>
          <w:tcPr>
            <w:tcW w:w="927" w:type="dxa"/>
            <w:shd w:val="clear" w:color="auto" w:fill="002060"/>
            <w:noWrap/>
            <w:hideMark/>
          </w:tcPr>
          <w:p w14:paraId="07F8E1A6" w14:textId="261413AC" w:rsidR="002903D5" w:rsidRPr="00896D43" w:rsidRDefault="00A76A0D" w:rsidP="00A76A0D">
            <w:pPr>
              <w:ind w:left="-1199" w:right="106"/>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96D43">
              <w:rPr>
                <w:rFonts w:ascii="Calibri" w:eastAsia="Times New Roman" w:hAnsi="Calibri" w:cs="Calibri"/>
                <w:color w:val="FFFFFF" w:themeColor="background1"/>
              </w:rPr>
              <w:t xml:space="preserve">  </w:t>
            </w:r>
            <w:r w:rsidR="00D53B66" w:rsidRPr="00896D43">
              <w:rPr>
                <w:rFonts w:ascii="Calibri" w:eastAsia="Times New Roman" w:hAnsi="Calibri" w:cs="Calibri"/>
                <w:color w:val="FFFFFF" w:themeColor="background1"/>
              </w:rPr>
              <w:t xml:space="preserve"> </w:t>
            </w:r>
            <w:r w:rsidR="002903D5" w:rsidRPr="00896D43">
              <w:rPr>
                <w:rFonts w:ascii="Calibri" w:eastAsia="Times New Roman" w:hAnsi="Calibri" w:cs="Calibri"/>
                <w:color w:val="FFFFFF" w:themeColor="background1"/>
              </w:rPr>
              <w:t>2017</w:t>
            </w:r>
          </w:p>
        </w:tc>
      </w:tr>
      <w:tr w:rsidR="0026391F" w:rsidRPr="002903D5" w14:paraId="108FDD57" w14:textId="77777777" w:rsidTr="0026391F">
        <w:trPr>
          <w:trHeight w:val="364"/>
        </w:trPr>
        <w:tc>
          <w:tcPr>
            <w:cnfStyle w:val="001000000000" w:firstRow="0" w:lastRow="0" w:firstColumn="1" w:lastColumn="0" w:oddVBand="0" w:evenVBand="0" w:oddHBand="0" w:evenHBand="0" w:firstRowFirstColumn="0" w:firstRowLastColumn="0" w:lastRowFirstColumn="0" w:lastRowLastColumn="0"/>
            <w:tcW w:w="1477" w:type="dxa"/>
            <w:vMerge w:val="restart"/>
            <w:noWrap/>
            <w:hideMark/>
          </w:tcPr>
          <w:p w14:paraId="6C98C9C6" w14:textId="77777777" w:rsidR="002903D5" w:rsidRPr="002903D5" w:rsidRDefault="002903D5">
            <w:pPr>
              <w:jc w:val="center"/>
              <w:rPr>
                <w:rFonts w:ascii="Calibri" w:eastAsia="Times New Roman" w:hAnsi="Calibri" w:cs="Calibri"/>
                <w:color w:val="000000"/>
              </w:rPr>
            </w:pPr>
            <w:r w:rsidRPr="002903D5">
              <w:rPr>
                <w:rFonts w:ascii="Calibri" w:eastAsia="Times New Roman" w:hAnsi="Calibri" w:cs="Calibri"/>
                <w:color w:val="000000"/>
              </w:rPr>
              <w:t>1 room</w:t>
            </w:r>
          </w:p>
        </w:tc>
        <w:tc>
          <w:tcPr>
            <w:tcW w:w="1490" w:type="dxa"/>
            <w:noWrap/>
            <w:hideMark/>
          </w:tcPr>
          <w:p w14:paraId="3C81940F" w14:textId="77777777" w:rsidR="002903D5" w:rsidRPr="002903D5" w:rsidRDefault="002903D5" w:rsidP="002903D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Central</w:t>
            </w:r>
          </w:p>
        </w:tc>
        <w:tc>
          <w:tcPr>
            <w:tcW w:w="862" w:type="dxa"/>
            <w:noWrap/>
            <w:hideMark/>
          </w:tcPr>
          <w:p w14:paraId="5219E947" w14:textId="77777777" w:rsidR="002903D5" w:rsidRPr="002903D5" w:rsidRDefault="002903D5" w:rsidP="002903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323</w:t>
            </w:r>
          </w:p>
        </w:tc>
        <w:tc>
          <w:tcPr>
            <w:tcW w:w="1246" w:type="dxa"/>
            <w:noWrap/>
            <w:hideMark/>
          </w:tcPr>
          <w:p w14:paraId="47171CDD" w14:textId="77777777" w:rsidR="002903D5" w:rsidRPr="002903D5" w:rsidRDefault="002903D5" w:rsidP="002903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329</w:t>
            </w:r>
          </w:p>
        </w:tc>
        <w:tc>
          <w:tcPr>
            <w:tcW w:w="1159" w:type="dxa"/>
            <w:noWrap/>
            <w:hideMark/>
          </w:tcPr>
          <w:p w14:paraId="5CBB1C7B" w14:textId="77777777" w:rsidR="002903D5" w:rsidRPr="002903D5" w:rsidRDefault="002903D5" w:rsidP="002903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322</w:t>
            </w:r>
          </w:p>
        </w:tc>
        <w:tc>
          <w:tcPr>
            <w:tcW w:w="854" w:type="dxa"/>
            <w:noWrap/>
            <w:hideMark/>
          </w:tcPr>
          <w:p w14:paraId="11407E7E" w14:textId="77777777" w:rsidR="002903D5" w:rsidRPr="002903D5" w:rsidRDefault="002903D5" w:rsidP="002903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384</w:t>
            </w:r>
          </w:p>
        </w:tc>
        <w:tc>
          <w:tcPr>
            <w:tcW w:w="1117" w:type="dxa"/>
            <w:noWrap/>
            <w:hideMark/>
          </w:tcPr>
          <w:p w14:paraId="72415926" w14:textId="77777777" w:rsidR="002903D5" w:rsidRPr="002903D5" w:rsidRDefault="002903D5" w:rsidP="002903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255</w:t>
            </w:r>
          </w:p>
        </w:tc>
        <w:tc>
          <w:tcPr>
            <w:tcW w:w="927" w:type="dxa"/>
            <w:noWrap/>
            <w:hideMark/>
          </w:tcPr>
          <w:p w14:paraId="5005FB8B" w14:textId="77777777" w:rsidR="002903D5" w:rsidRPr="002903D5" w:rsidRDefault="002903D5" w:rsidP="002903D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300</w:t>
            </w:r>
          </w:p>
        </w:tc>
      </w:tr>
      <w:tr w:rsidR="0026391F" w:rsidRPr="002903D5" w14:paraId="575B8806" w14:textId="77777777" w:rsidTr="0026391F">
        <w:trPr>
          <w:trHeight w:val="364"/>
        </w:trPr>
        <w:tc>
          <w:tcPr>
            <w:cnfStyle w:val="001000000000" w:firstRow="0" w:lastRow="0" w:firstColumn="1" w:lastColumn="0" w:oddVBand="0" w:evenVBand="0" w:oddHBand="0" w:evenHBand="0" w:firstRowFirstColumn="0" w:firstRowLastColumn="0" w:lastRowFirstColumn="0" w:lastRowLastColumn="0"/>
            <w:tcW w:w="1477" w:type="dxa"/>
            <w:vMerge/>
            <w:hideMark/>
          </w:tcPr>
          <w:p w14:paraId="7A2AFDE9" w14:textId="77777777" w:rsidR="00D62481" w:rsidRPr="002903D5" w:rsidRDefault="00D62481" w:rsidP="00D74D8C">
            <w:pPr>
              <w:jc w:val="center"/>
              <w:rPr>
                <w:rFonts w:ascii="Calibri" w:eastAsia="Times New Roman" w:hAnsi="Calibri" w:cs="Calibri"/>
                <w:color w:val="000000"/>
              </w:rPr>
            </w:pPr>
          </w:p>
        </w:tc>
        <w:tc>
          <w:tcPr>
            <w:tcW w:w="1490" w:type="dxa"/>
            <w:noWrap/>
          </w:tcPr>
          <w:p w14:paraId="5E5BD365" w14:textId="3FDBD41D" w:rsidR="00D62481" w:rsidRPr="002903D5" w:rsidRDefault="00D62481" w:rsidP="00D624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Medium</w:t>
            </w:r>
          </w:p>
        </w:tc>
        <w:tc>
          <w:tcPr>
            <w:tcW w:w="862" w:type="dxa"/>
            <w:noWrap/>
          </w:tcPr>
          <w:p w14:paraId="03C9BE5C" w14:textId="6F6543A2"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251</w:t>
            </w:r>
          </w:p>
        </w:tc>
        <w:tc>
          <w:tcPr>
            <w:tcW w:w="1246" w:type="dxa"/>
            <w:noWrap/>
          </w:tcPr>
          <w:p w14:paraId="6D987BC7" w14:textId="1AE09BA9"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227</w:t>
            </w:r>
          </w:p>
        </w:tc>
        <w:tc>
          <w:tcPr>
            <w:tcW w:w="1159" w:type="dxa"/>
            <w:noWrap/>
          </w:tcPr>
          <w:p w14:paraId="0DD16F84" w14:textId="35C054F9"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273</w:t>
            </w:r>
          </w:p>
        </w:tc>
        <w:tc>
          <w:tcPr>
            <w:tcW w:w="854" w:type="dxa"/>
            <w:noWrap/>
          </w:tcPr>
          <w:p w14:paraId="36AFD5EC" w14:textId="2E889F3D"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254</w:t>
            </w:r>
          </w:p>
        </w:tc>
        <w:tc>
          <w:tcPr>
            <w:tcW w:w="1117" w:type="dxa"/>
            <w:noWrap/>
          </w:tcPr>
          <w:p w14:paraId="12AE96B4" w14:textId="4A51A54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190</w:t>
            </w:r>
          </w:p>
        </w:tc>
        <w:tc>
          <w:tcPr>
            <w:tcW w:w="927" w:type="dxa"/>
            <w:noWrap/>
          </w:tcPr>
          <w:p w14:paraId="4ED8344F" w14:textId="393E5E86"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224</w:t>
            </w:r>
          </w:p>
        </w:tc>
      </w:tr>
      <w:tr w:rsidR="0026391F" w:rsidRPr="002903D5" w14:paraId="4B3FC8D8" w14:textId="77777777" w:rsidTr="0026391F">
        <w:trPr>
          <w:trHeight w:val="381"/>
        </w:trPr>
        <w:tc>
          <w:tcPr>
            <w:cnfStyle w:val="001000000000" w:firstRow="0" w:lastRow="0" w:firstColumn="1" w:lastColumn="0" w:oddVBand="0" w:evenVBand="0" w:oddHBand="0" w:evenHBand="0" w:firstRowFirstColumn="0" w:firstRowLastColumn="0" w:lastRowFirstColumn="0" w:lastRowLastColumn="0"/>
            <w:tcW w:w="1477" w:type="dxa"/>
            <w:vMerge/>
            <w:hideMark/>
          </w:tcPr>
          <w:p w14:paraId="6D7E3966" w14:textId="77777777" w:rsidR="00D62481" w:rsidRPr="002903D5" w:rsidRDefault="00D62481" w:rsidP="00D74D8C">
            <w:pPr>
              <w:jc w:val="center"/>
              <w:rPr>
                <w:rFonts w:ascii="Calibri" w:eastAsia="Times New Roman" w:hAnsi="Calibri" w:cs="Calibri"/>
                <w:color w:val="000000"/>
              </w:rPr>
            </w:pPr>
          </w:p>
        </w:tc>
        <w:tc>
          <w:tcPr>
            <w:tcW w:w="1490" w:type="dxa"/>
            <w:noWrap/>
          </w:tcPr>
          <w:p w14:paraId="1E6CFB7D" w14:textId="28BD0A55" w:rsidR="00D62481" w:rsidRPr="002903D5" w:rsidRDefault="00D62481" w:rsidP="00D624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Suburb</w:t>
            </w:r>
          </w:p>
        </w:tc>
        <w:tc>
          <w:tcPr>
            <w:tcW w:w="862" w:type="dxa"/>
            <w:noWrap/>
          </w:tcPr>
          <w:p w14:paraId="55F8A095" w14:textId="77421593"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233</w:t>
            </w:r>
          </w:p>
        </w:tc>
        <w:tc>
          <w:tcPr>
            <w:tcW w:w="1246" w:type="dxa"/>
            <w:noWrap/>
          </w:tcPr>
          <w:p w14:paraId="3E355A7B" w14:textId="3D42992B"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262</w:t>
            </w:r>
          </w:p>
        </w:tc>
        <w:tc>
          <w:tcPr>
            <w:tcW w:w="1159" w:type="dxa"/>
            <w:noWrap/>
          </w:tcPr>
          <w:p w14:paraId="1FDCFF2C" w14:textId="3EFAEEB2"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228</w:t>
            </w:r>
          </w:p>
        </w:tc>
        <w:tc>
          <w:tcPr>
            <w:tcW w:w="854" w:type="dxa"/>
            <w:noWrap/>
          </w:tcPr>
          <w:p w14:paraId="7C35F054" w14:textId="3BA407F8"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301</w:t>
            </w:r>
          </w:p>
        </w:tc>
        <w:tc>
          <w:tcPr>
            <w:tcW w:w="1117" w:type="dxa"/>
            <w:noWrap/>
          </w:tcPr>
          <w:p w14:paraId="3C51D34E" w14:textId="1ED27EC0"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196</w:t>
            </w:r>
          </w:p>
        </w:tc>
        <w:tc>
          <w:tcPr>
            <w:tcW w:w="927" w:type="dxa"/>
            <w:noWrap/>
          </w:tcPr>
          <w:p w14:paraId="2A243CDE" w14:textId="0C55546F"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158</w:t>
            </w:r>
          </w:p>
        </w:tc>
      </w:tr>
      <w:tr w:rsidR="0026391F" w:rsidRPr="002903D5" w14:paraId="4477D175" w14:textId="77777777" w:rsidTr="0026391F">
        <w:trPr>
          <w:trHeight w:val="364"/>
        </w:trPr>
        <w:tc>
          <w:tcPr>
            <w:cnfStyle w:val="001000000000" w:firstRow="0" w:lastRow="0" w:firstColumn="1" w:lastColumn="0" w:oddVBand="0" w:evenVBand="0" w:oddHBand="0" w:evenHBand="0" w:firstRowFirstColumn="0" w:firstRowLastColumn="0" w:lastRowFirstColumn="0" w:lastRowLastColumn="0"/>
            <w:tcW w:w="1477" w:type="dxa"/>
            <w:vMerge w:val="restart"/>
            <w:noWrap/>
            <w:hideMark/>
          </w:tcPr>
          <w:p w14:paraId="6908E926" w14:textId="77777777" w:rsidR="00D62481" w:rsidRPr="002903D5" w:rsidRDefault="00D62481" w:rsidP="00D62481">
            <w:pPr>
              <w:jc w:val="center"/>
              <w:rPr>
                <w:rFonts w:ascii="Calibri" w:eastAsia="Times New Roman" w:hAnsi="Calibri" w:cs="Calibri"/>
                <w:color w:val="000000"/>
              </w:rPr>
            </w:pPr>
            <w:r w:rsidRPr="002903D5">
              <w:rPr>
                <w:rFonts w:ascii="Calibri" w:eastAsia="Times New Roman" w:hAnsi="Calibri" w:cs="Calibri"/>
                <w:color w:val="000000"/>
              </w:rPr>
              <w:t>2 Room</w:t>
            </w:r>
          </w:p>
        </w:tc>
        <w:tc>
          <w:tcPr>
            <w:tcW w:w="1490" w:type="dxa"/>
            <w:noWrap/>
            <w:hideMark/>
          </w:tcPr>
          <w:p w14:paraId="15E5391D" w14:textId="77777777" w:rsidR="00D62481" w:rsidRPr="002903D5" w:rsidRDefault="00D62481" w:rsidP="00D624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Central</w:t>
            </w:r>
          </w:p>
        </w:tc>
        <w:tc>
          <w:tcPr>
            <w:tcW w:w="862" w:type="dxa"/>
            <w:noWrap/>
            <w:hideMark/>
          </w:tcPr>
          <w:p w14:paraId="15CCCD01"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479</w:t>
            </w:r>
          </w:p>
        </w:tc>
        <w:tc>
          <w:tcPr>
            <w:tcW w:w="1246" w:type="dxa"/>
            <w:noWrap/>
            <w:hideMark/>
          </w:tcPr>
          <w:p w14:paraId="6CE14D11"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486</w:t>
            </w:r>
          </w:p>
        </w:tc>
        <w:tc>
          <w:tcPr>
            <w:tcW w:w="1159" w:type="dxa"/>
            <w:noWrap/>
            <w:hideMark/>
          </w:tcPr>
          <w:p w14:paraId="1A567DBD"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460</w:t>
            </w:r>
          </w:p>
        </w:tc>
        <w:tc>
          <w:tcPr>
            <w:tcW w:w="854" w:type="dxa"/>
            <w:noWrap/>
            <w:hideMark/>
          </w:tcPr>
          <w:p w14:paraId="0322792E"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520</w:t>
            </w:r>
          </w:p>
        </w:tc>
        <w:tc>
          <w:tcPr>
            <w:tcW w:w="1117" w:type="dxa"/>
            <w:noWrap/>
            <w:hideMark/>
          </w:tcPr>
          <w:p w14:paraId="5C8F920E"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405</w:t>
            </w:r>
          </w:p>
        </w:tc>
        <w:tc>
          <w:tcPr>
            <w:tcW w:w="927" w:type="dxa"/>
            <w:noWrap/>
            <w:hideMark/>
          </w:tcPr>
          <w:p w14:paraId="0AE313B6"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505</w:t>
            </w:r>
          </w:p>
        </w:tc>
      </w:tr>
      <w:tr w:rsidR="0026391F" w:rsidRPr="002903D5" w14:paraId="75BD9E19" w14:textId="77777777" w:rsidTr="0026391F">
        <w:trPr>
          <w:trHeight w:val="364"/>
        </w:trPr>
        <w:tc>
          <w:tcPr>
            <w:cnfStyle w:val="001000000000" w:firstRow="0" w:lastRow="0" w:firstColumn="1" w:lastColumn="0" w:oddVBand="0" w:evenVBand="0" w:oddHBand="0" w:evenHBand="0" w:firstRowFirstColumn="0" w:firstRowLastColumn="0" w:lastRowFirstColumn="0" w:lastRowLastColumn="0"/>
            <w:tcW w:w="1477" w:type="dxa"/>
            <w:vMerge/>
            <w:hideMark/>
          </w:tcPr>
          <w:p w14:paraId="43AB5304" w14:textId="77777777" w:rsidR="00D62481" w:rsidRPr="002903D5" w:rsidRDefault="00D62481" w:rsidP="00D74D8C">
            <w:pPr>
              <w:jc w:val="center"/>
              <w:rPr>
                <w:rFonts w:ascii="Calibri" w:eastAsia="Times New Roman" w:hAnsi="Calibri" w:cs="Calibri"/>
                <w:color w:val="000000"/>
              </w:rPr>
            </w:pPr>
          </w:p>
        </w:tc>
        <w:tc>
          <w:tcPr>
            <w:tcW w:w="1490" w:type="dxa"/>
            <w:noWrap/>
          </w:tcPr>
          <w:p w14:paraId="1E9C8E4E" w14:textId="4094E125" w:rsidR="00D62481" w:rsidRPr="002903D5" w:rsidRDefault="00D62481" w:rsidP="00D624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Medium</w:t>
            </w:r>
          </w:p>
        </w:tc>
        <w:tc>
          <w:tcPr>
            <w:tcW w:w="862" w:type="dxa"/>
            <w:noWrap/>
          </w:tcPr>
          <w:p w14:paraId="770C159B" w14:textId="2A8E1279"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343</w:t>
            </w:r>
          </w:p>
        </w:tc>
        <w:tc>
          <w:tcPr>
            <w:tcW w:w="1246" w:type="dxa"/>
            <w:noWrap/>
          </w:tcPr>
          <w:p w14:paraId="25A5E242" w14:textId="2767711E"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383</w:t>
            </w:r>
          </w:p>
        </w:tc>
        <w:tc>
          <w:tcPr>
            <w:tcW w:w="1159" w:type="dxa"/>
            <w:noWrap/>
          </w:tcPr>
          <w:p w14:paraId="67E5B6B2" w14:textId="466B587A"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388</w:t>
            </w:r>
          </w:p>
        </w:tc>
        <w:tc>
          <w:tcPr>
            <w:tcW w:w="854" w:type="dxa"/>
            <w:noWrap/>
          </w:tcPr>
          <w:p w14:paraId="729EB7C2" w14:textId="1F2E0C3A"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416</w:t>
            </w:r>
          </w:p>
        </w:tc>
        <w:tc>
          <w:tcPr>
            <w:tcW w:w="1117" w:type="dxa"/>
            <w:noWrap/>
          </w:tcPr>
          <w:p w14:paraId="4DFC794C" w14:textId="4497C09F"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293</w:t>
            </w:r>
          </w:p>
        </w:tc>
        <w:tc>
          <w:tcPr>
            <w:tcW w:w="927" w:type="dxa"/>
            <w:noWrap/>
          </w:tcPr>
          <w:p w14:paraId="69C64122" w14:textId="0CC56C68"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383</w:t>
            </w:r>
          </w:p>
        </w:tc>
      </w:tr>
      <w:tr w:rsidR="0026391F" w:rsidRPr="002903D5" w14:paraId="5878F721" w14:textId="77777777" w:rsidTr="0026391F">
        <w:trPr>
          <w:trHeight w:val="381"/>
        </w:trPr>
        <w:tc>
          <w:tcPr>
            <w:cnfStyle w:val="001000000000" w:firstRow="0" w:lastRow="0" w:firstColumn="1" w:lastColumn="0" w:oddVBand="0" w:evenVBand="0" w:oddHBand="0" w:evenHBand="0" w:firstRowFirstColumn="0" w:firstRowLastColumn="0" w:lastRowFirstColumn="0" w:lastRowLastColumn="0"/>
            <w:tcW w:w="1477" w:type="dxa"/>
            <w:vMerge/>
            <w:hideMark/>
          </w:tcPr>
          <w:p w14:paraId="066722BE" w14:textId="77777777" w:rsidR="00D62481" w:rsidRPr="002903D5" w:rsidRDefault="00D62481" w:rsidP="00D74D8C">
            <w:pPr>
              <w:jc w:val="center"/>
              <w:rPr>
                <w:rFonts w:ascii="Calibri" w:eastAsia="Times New Roman" w:hAnsi="Calibri" w:cs="Calibri"/>
                <w:color w:val="000000"/>
              </w:rPr>
            </w:pPr>
          </w:p>
        </w:tc>
        <w:tc>
          <w:tcPr>
            <w:tcW w:w="1490" w:type="dxa"/>
            <w:noWrap/>
          </w:tcPr>
          <w:p w14:paraId="3DAC77AA" w14:textId="0CDC80B1" w:rsidR="00D62481" w:rsidRPr="002903D5" w:rsidRDefault="00D62481" w:rsidP="00D624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Suburb</w:t>
            </w:r>
          </w:p>
        </w:tc>
        <w:tc>
          <w:tcPr>
            <w:tcW w:w="862" w:type="dxa"/>
            <w:noWrap/>
          </w:tcPr>
          <w:p w14:paraId="1C7787C8" w14:textId="0241AE8B"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281</w:t>
            </w:r>
          </w:p>
        </w:tc>
        <w:tc>
          <w:tcPr>
            <w:tcW w:w="1246" w:type="dxa"/>
            <w:noWrap/>
          </w:tcPr>
          <w:p w14:paraId="30A0C106" w14:textId="2CD1AC5D"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310</w:t>
            </w:r>
          </w:p>
        </w:tc>
        <w:tc>
          <w:tcPr>
            <w:tcW w:w="1159" w:type="dxa"/>
            <w:noWrap/>
          </w:tcPr>
          <w:p w14:paraId="2219D3F4" w14:textId="02CE498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324</w:t>
            </w:r>
          </w:p>
        </w:tc>
        <w:tc>
          <w:tcPr>
            <w:tcW w:w="854" w:type="dxa"/>
            <w:noWrap/>
          </w:tcPr>
          <w:p w14:paraId="53E50A23" w14:textId="3EE76D13"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359</w:t>
            </w:r>
          </w:p>
        </w:tc>
        <w:tc>
          <w:tcPr>
            <w:tcW w:w="1117" w:type="dxa"/>
            <w:noWrap/>
          </w:tcPr>
          <w:p w14:paraId="14C2BA08" w14:textId="4F50521D"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245</w:t>
            </w:r>
          </w:p>
        </w:tc>
        <w:tc>
          <w:tcPr>
            <w:tcW w:w="927" w:type="dxa"/>
            <w:noWrap/>
          </w:tcPr>
          <w:p w14:paraId="0D678C2B" w14:textId="576AF5B4"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237</w:t>
            </w:r>
          </w:p>
        </w:tc>
      </w:tr>
      <w:tr w:rsidR="0026391F" w:rsidRPr="002903D5" w14:paraId="15BE2965" w14:textId="77777777" w:rsidTr="0026391F">
        <w:trPr>
          <w:trHeight w:val="364"/>
        </w:trPr>
        <w:tc>
          <w:tcPr>
            <w:cnfStyle w:val="001000000000" w:firstRow="0" w:lastRow="0" w:firstColumn="1" w:lastColumn="0" w:oddVBand="0" w:evenVBand="0" w:oddHBand="0" w:evenHBand="0" w:firstRowFirstColumn="0" w:firstRowLastColumn="0" w:lastRowFirstColumn="0" w:lastRowLastColumn="0"/>
            <w:tcW w:w="1477" w:type="dxa"/>
            <w:vMerge w:val="restart"/>
            <w:noWrap/>
            <w:hideMark/>
          </w:tcPr>
          <w:p w14:paraId="33AD9EF5" w14:textId="77777777" w:rsidR="00D62481" w:rsidRPr="002903D5" w:rsidRDefault="00D62481" w:rsidP="00D62481">
            <w:pPr>
              <w:jc w:val="center"/>
              <w:rPr>
                <w:rFonts w:ascii="Calibri" w:eastAsia="Times New Roman" w:hAnsi="Calibri" w:cs="Calibri"/>
                <w:color w:val="000000"/>
              </w:rPr>
            </w:pPr>
            <w:r w:rsidRPr="002903D5">
              <w:rPr>
                <w:rFonts w:ascii="Calibri" w:eastAsia="Times New Roman" w:hAnsi="Calibri" w:cs="Calibri"/>
                <w:color w:val="000000"/>
              </w:rPr>
              <w:t>3 room</w:t>
            </w:r>
          </w:p>
        </w:tc>
        <w:tc>
          <w:tcPr>
            <w:tcW w:w="1490" w:type="dxa"/>
            <w:noWrap/>
            <w:hideMark/>
          </w:tcPr>
          <w:p w14:paraId="26B7DB0C" w14:textId="77777777" w:rsidR="00D62481" w:rsidRPr="002903D5" w:rsidRDefault="00D62481" w:rsidP="00D624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Central</w:t>
            </w:r>
          </w:p>
        </w:tc>
        <w:tc>
          <w:tcPr>
            <w:tcW w:w="862" w:type="dxa"/>
            <w:noWrap/>
            <w:hideMark/>
          </w:tcPr>
          <w:p w14:paraId="765B1E1E"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867</w:t>
            </w:r>
          </w:p>
        </w:tc>
        <w:tc>
          <w:tcPr>
            <w:tcW w:w="1246" w:type="dxa"/>
            <w:noWrap/>
            <w:hideMark/>
          </w:tcPr>
          <w:p w14:paraId="209F5F09"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891</w:t>
            </w:r>
          </w:p>
        </w:tc>
        <w:tc>
          <w:tcPr>
            <w:tcW w:w="1159" w:type="dxa"/>
            <w:noWrap/>
            <w:hideMark/>
          </w:tcPr>
          <w:p w14:paraId="1D0D92BF"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639</w:t>
            </w:r>
          </w:p>
        </w:tc>
        <w:tc>
          <w:tcPr>
            <w:tcW w:w="854" w:type="dxa"/>
            <w:noWrap/>
            <w:hideMark/>
          </w:tcPr>
          <w:p w14:paraId="2CC35EE3"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658</w:t>
            </w:r>
          </w:p>
        </w:tc>
        <w:tc>
          <w:tcPr>
            <w:tcW w:w="1117" w:type="dxa"/>
            <w:noWrap/>
            <w:hideMark/>
          </w:tcPr>
          <w:p w14:paraId="5E1BF877"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586</w:t>
            </w:r>
          </w:p>
        </w:tc>
        <w:tc>
          <w:tcPr>
            <w:tcW w:w="927" w:type="dxa"/>
            <w:noWrap/>
            <w:hideMark/>
          </w:tcPr>
          <w:p w14:paraId="7217CA70" w14:textId="77777777"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820</w:t>
            </w:r>
          </w:p>
        </w:tc>
      </w:tr>
      <w:tr w:rsidR="0026391F" w:rsidRPr="002903D5" w14:paraId="4770722A" w14:textId="77777777" w:rsidTr="0026391F">
        <w:trPr>
          <w:trHeight w:val="364"/>
        </w:trPr>
        <w:tc>
          <w:tcPr>
            <w:cnfStyle w:val="001000000000" w:firstRow="0" w:lastRow="0" w:firstColumn="1" w:lastColumn="0" w:oddVBand="0" w:evenVBand="0" w:oddHBand="0" w:evenHBand="0" w:firstRowFirstColumn="0" w:firstRowLastColumn="0" w:lastRowFirstColumn="0" w:lastRowLastColumn="0"/>
            <w:tcW w:w="1477" w:type="dxa"/>
            <w:vMerge/>
            <w:hideMark/>
          </w:tcPr>
          <w:p w14:paraId="3B46C129" w14:textId="77777777" w:rsidR="00D62481" w:rsidRPr="002903D5" w:rsidRDefault="00D62481" w:rsidP="00D62481">
            <w:pPr>
              <w:rPr>
                <w:rFonts w:ascii="Calibri" w:eastAsia="Times New Roman" w:hAnsi="Calibri" w:cs="Calibri"/>
                <w:color w:val="000000"/>
              </w:rPr>
            </w:pPr>
          </w:p>
        </w:tc>
        <w:tc>
          <w:tcPr>
            <w:tcW w:w="1490" w:type="dxa"/>
            <w:noWrap/>
          </w:tcPr>
          <w:p w14:paraId="246D27F3" w14:textId="3D60EC0F" w:rsidR="00D62481" w:rsidRPr="002903D5" w:rsidRDefault="00D62481" w:rsidP="00D6248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Medium</w:t>
            </w:r>
          </w:p>
        </w:tc>
        <w:tc>
          <w:tcPr>
            <w:tcW w:w="862" w:type="dxa"/>
            <w:noWrap/>
          </w:tcPr>
          <w:p w14:paraId="0AA257E4" w14:textId="4A4CC3FB"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687</w:t>
            </w:r>
          </w:p>
        </w:tc>
        <w:tc>
          <w:tcPr>
            <w:tcW w:w="1246" w:type="dxa"/>
            <w:noWrap/>
          </w:tcPr>
          <w:p w14:paraId="11128BAA" w14:textId="7E07476D"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634</w:t>
            </w:r>
          </w:p>
        </w:tc>
        <w:tc>
          <w:tcPr>
            <w:tcW w:w="1159" w:type="dxa"/>
            <w:noWrap/>
          </w:tcPr>
          <w:p w14:paraId="0F84B754" w14:textId="784C193B"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628</w:t>
            </w:r>
          </w:p>
        </w:tc>
        <w:tc>
          <w:tcPr>
            <w:tcW w:w="854" w:type="dxa"/>
            <w:noWrap/>
          </w:tcPr>
          <w:p w14:paraId="7179B853" w14:textId="1A70D75C"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549</w:t>
            </w:r>
          </w:p>
        </w:tc>
        <w:tc>
          <w:tcPr>
            <w:tcW w:w="1117" w:type="dxa"/>
            <w:noWrap/>
          </w:tcPr>
          <w:p w14:paraId="65A14BCD" w14:textId="76029FB0"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419</w:t>
            </w:r>
          </w:p>
        </w:tc>
        <w:tc>
          <w:tcPr>
            <w:tcW w:w="927" w:type="dxa"/>
            <w:noWrap/>
          </w:tcPr>
          <w:p w14:paraId="77E5D6DA" w14:textId="5DB516C6"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628</w:t>
            </w:r>
          </w:p>
        </w:tc>
      </w:tr>
      <w:tr w:rsidR="0026391F" w:rsidRPr="002903D5" w14:paraId="44531203" w14:textId="77777777" w:rsidTr="0026391F">
        <w:trPr>
          <w:trHeight w:val="381"/>
        </w:trPr>
        <w:tc>
          <w:tcPr>
            <w:cnfStyle w:val="001000000000" w:firstRow="0" w:lastRow="0" w:firstColumn="1" w:lastColumn="0" w:oddVBand="0" w:evenVBand="0" w:oddHBand="0" w:evenHBand="0" w:firstRowFirstColumn="0" w:firstRowLastColumn="0" w:lastRowFirstColumn="0" w:lastRowLastColumn="0"/>
            <w:tcW w:w="1477" w:type="dxa"/>
            <w:vMerge/>
            <w:hideMark/>
          </w:tcPr>
          <w:p w14:paraId="3FD89099" w14:textId="77777777" w:rsidR="00D62481" w:rsidRPr="002903D5" w:rsidRDefault="00D62481" w:rsidP="00D62481">
            <w:pPr>
              <w:rPr>
                <w:rFonts w:ascii="Calibri" w:eastAsia="Times New Roman" w:hAnsi="Calibri" w:cs="Calibri"/>
                <w:color w:val="000000"/>
              </w:rPr>
            </w:pPr>
          </w:p>
        </w:tc>
        <w:tc>
          <w:tcPr>
            <w:tcW w:w="1490" w:type="dxa"/>
            <w:noWrap/>
          </w:tcPr>
          <w:p w14:paraId="7230012A" w14:textId="0737A33E" w:rsidR="00D62481" w:rsidRPr="002903D5" w:rsidRDefault="00D62481" w:rsidP="00D74D8C">
            <w:pPr>
              <w:tabs>
                <w:tab w:val="center" w:pos="713"/>
              </w:tabs>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2903D5">
              <w:rPr>
                <w:rFonts w:ascii="Calibri" w:eastAsia="Times New Roman" w:hAnsi="Calibri" w:cs="Calibri"/>
                <w:b/>
                <w:bCs/>
                <w:color w:val="000000"/>
              </w:rPr>
              <w:t>Suburb</w:t>
            </w:r>
          </w:p>
        </w:tc>
        <w:tc>
          <w:tcPr>
            <w:tcW w:w="862" w:type="dxa"/>
            <w:noWrap/>
          </w:tcPr>
          <w:p w14:paraId="36A9A251" w14:textId="7C7E37EB"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391</w:t>
            </w:r>
          </w:p>
        </w:tc>
        <w:tc>
          <w:tcPr>
            <w:tcW w:w="1246" w:type="dxa"/>
            <w:noWrap/>
          </w:tcPr>
          <w:p w14:paraId="24C4D338" w14:textId="11342DA2"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447</w:t>
            </w:r>
          </w:p>
        </w:tc>
        <w:tc>
          <w:tcPr>
            <w:tcW w:w="1159" w:type="dxa"/>
            <w:noWrap/>
          </w:tcPr>
          <w:p w14:paraId="2DE7E45C" w14:textId="19C74BB0"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417</w:t>
            </w:r>
          </w:p>
        </w:tc>
        <w:tc>
          <w:tcPr>
            <w:tcW w:w="854" w:type="dxa"/>
            <w:noWrap/>
          </w:tcPr>
          <w:p w14:paraId="34306F2B" w14:textId="0DAF5C62"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501</w:t>
            </w:r>
          </w:p>
        </w:tc>
        <w:tc>
          <w:tcPr>
            <w:tcW w:w="1117" w:type="dxa"/>
            <w:noWrap/>
          </w:tcPr>
          <w:p w14:paraId="4125A4FB" w14:textId="1B77CCFB"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311</w:t>
            </w:r>
          </w:p>
        </w:tc>
        <w:tc>
          <w:tcPr>
            <w:tcW w:w="927" w:type="dxa"/>
            <w:noWrap/>
          </w:tcPr>
          <w:p w14:paraId="5C36FB49" w14:textId="5DFF878F" w:rsidR="00D62481" w:rsidRPr="002903D5" w:rsidRDefault="00D62481" w:rsidP="00D6248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903D5">
              <w:rPr>
                <w:rFonts w:ascii="Calibri" w:eastAsia="Times New Roman" w:hAnsi="Calibri" w:cs="Calibri"/>
                <w:color w:val="000000"/>
              </w:rPr>
              <w:t>308</w:t>
            </w:r>
          </w:p>
        </w:tc>
      </w:tr>
    </w:tbl>
    <w:p w14:paraId="00326B4C" w14:textId="12BCABB8" w:rsidR="00D73169" w:rsidRDefault="00CD78CA" w:rsidP="00A76A0D">
      <w:pPr>
        <w:spacing w:after="0" w:line="240" w:lineRule="auto"/>
        <w:jc w:val="both"/>
        <w:rPr>
          <w:i/>
          <w:iCs/>
          <w:color w:val="44546A" w:themeColor="text2"/>
          <w:sz w:val="18"/>
          <w:szCs w:val="18"/>
        </w:rPr>
      </w:pPr>
      <w:r w:rsidRPr="00CD78CA">
        <w:rPr>
          <w:i/>
          <w:iCs/>
          <w:color w:val="44546A" w:themeColor="text2"/>
          <w:sz w:val="18"/>
          <w:szCs w:val="18"/>
        </w:rPr>
        <w:t xml:space="preserve"> </w:t>
      </w:r>
      <w:r>
        <w:rPr>
          <w:i/>
          <w:iCs/>
          <w:color w:val="44546A" w:themeColor="text2"/>
          <w:sz w:val="18"/>
          <w:szCs w:val="18"/>
        </w:rPr>
        <w:t>Source: Colliers International</w:t>
      </w:r>
    </w:p>
    <w:p w14:paraId="6B147C18" w14:textId="77777777" w:rsidR="00610046" w:rsidRDefault="00610046" w:rsidP="00A76A0D">
      <w:pPr>
        <w:spacing w:after="0" w:line="240" w:lineRule="auto"/>
        <w:jc w:val="both"/>
      </w:pPr>
    </w:p>
    <w:p w14:paraId="1D71632C" w14:textId="7598B1FF" w:rsidR="00610046" w:rsidRDefault="00353859" w:rsidP="00353859">
      <w:pPr>
        <w:jc w:val="both"/>
      </w:pPr>
      <w:r>
        <w:t>Looking at average renting rates in Kutaisi and Batumi</w:t>
      </w:r>
      <w:r w:rsidR="0026391F">
        <w:t xml:space="preserve"> (Figure 16</w:t>
      </w:r>
      <w:r w:rsidR="005E7D11">
        <w:t xml:space="preserve"> &amp;17</w:t>
      </w:r>
      <w:r w:rsidR="0026391F">
        <w:t>)</w:t>
      </w:r>
      <w:r>
        <w:t>, we can also observe an overall decline (more accentuated for Kutaisi and less for Batumi) in rental prices from 2014 to 2017</w:t>
      </w:r>
      <w:r w:rsidR="0026391F">
        <w:t>.</w:t>
      </w:r>
      <w:r>
        <w:t xml:space="preserve"> However, the short length of the time period under observation requires more caution when speaking of </w:t>
      </w:r>
      <w:r w:rsidR="0026391F">
        <w:t>trends.</w:t>
      </w:r>
      <w:r>
        <w:t xml:space="preserve"> The most important difference between Kutaisi, Batumi and Tbilisi, is the lack of rebound in rental prices in 2017 for Batumi and Kutaisi</w:t>
      </w:r>
      <w:r w:rsidR="0026391F">
        <w:t>.</w:t>
      </w:r>
    </w:p>
    <w:p w14:paraId="6545AD03" w14:textId="61B563C7" w:rsidR="00353859" w:rsidRDefault="009C75E6" w:rsidP="00353859">
      <w:pPr>
        <w:pStyle w:val="Caption"/>
        <w:jc w:val="both"/>
      </w:pPr>
      <w:r>
        <w:rPr>
          <w:noProof/>
        </w:rPr>
        <w:drawing>
          <wp:anchor distT="0" distB="0" distL="114300" distR="114300" simplePos="0" relativeHeight="251715584" behindDoc="1" locked="0" layoutInCell="1" allowOverlap="1" wp14:anchorId="0C7A9CD2" wp14:editId="6E8F7173">
            <wp:simplePos x="0" y="0"/>
            <wp:positionH relativeFrom="page">
              <wp:posOffset>3838575</wp:posOffset>
            </wp:positionH>
            <wp:positionV relativeFrom="paragraph">
              <wp:posOffset>270509</wp:posOffset>
            </wp:positionV>
            <wp:extent cx="2809875" cy="2162175"/>
            <wp:effectExtent l="0" t="0" r="9525" b="9525"/>
            <wp:wrapNone/>
            <wp:docPr id="6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353859">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16</w:t>
      </w:r>
      <w:r w:rsidR="006C3BD6">
        <w:rPr>
          <w:noProof/>
        </w:rPr>
        <w:fldChar w:fldCharType="end"/>
      </w:r>
      <w:r w:rsidR="00353859">
        <w:t xml:space="preserve"> : Renting </w:t>
      </w:r>
      <w:r w:rsidR="00F11557">
        <w:t>r</w:t>
      </w:r>
      <w:r w:rsidR="00353859">
        <w:t xml:space="preserve">ates in Batumi                                                      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17</w:t>
      </w:r>
      <w:r w:rsidR="006C3BD6">
        <w:rPr>
          <w:noProof/>
        </w:rPr>
        <w:fldChar w:fldCharType="end"/>
      </w:r>
      <w:r w:rsidR="00353859">
        <w:t xml:space="preserve">: Renting </w:t>
      </w:r>
      <w:r w:rsidR="00F11557">
        <w:t>r</w:t>
      </w:r>
      <w:r w:rsidR="00353859">
        <w:t>ates in Kutaisi</w:t>
      </w:r>
    </w:p>
    <w:p w14:paraId="3D0B3DC2" w14:textId="124CE683" w:rsidR="00353859" w:rsidRDefault="00353859" w:rsidP="00896D43">
      <w:pPr>
        <w:spacing w:after="0"/>
        <w:jc w:val="both"/>
      </w:pPr>
      <w:r>
        <w:t xml:space="preserve"> </w:t>
      </w:r>
      <w:r>
        <w:rPr>
          <w:noProof/>
        </w:rPr>
        <w:drawing>
          <wp:inline distT="0" distB="0" distL="0" distR="0" wp14:anchorId="3F167FB8" wp14:editId="0276670F">
            <wp:extent cx="2762250" cy="2162175"/>
            <wp:effectExtent l="0" t="0" r="0" b="9525"/>
            <wp:docPr id="67"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3AE5B9" w14:textId="278EF0F7" w:rsidR="00353859" w:rsidRDefault="00CD78CA" w:rsidP="00D53B66">
      <w:pPr>
        <w:spacing w:after="0" w:line="240" w:lineRule="auto"/>
        <w:jc w:val="both"/>
        <w:rPr>
          <w:i/>
          <w:iCs/>
          <w:color w:val="44546A" w:themeColor="text2"/>
          <w:sz w:val="18"/>
          <w:szCs w:val="18"/>
        </w:rPr>
      </w:pPr>
      <w:r>
        <w:rPr>
          <w:i/>
          <w:iCs/>
          <w:color w:val="44546A" w:themeColor="text2"/>
          <w:sz w:val="18"/>
          <w:szCs w:val="18"/>
        </w:rPr>
        <w:t>Source: Colliers International</w:t>
      </w:r>
    </w:p>
    <w:p w14:paraId="31BEEBEE" w14:textId="3FB71BF3" w:rsidR="00896D43" w:rsidRDefault="00896D43" w:rsidP="00D53B66">
      <w:pPr>
        <w:spacing w:after="0" w:line="240" w:lineRule="auto"/>
        <w:jc w:val="both"/>
      </w:pPr>
    </w:p>
    <w:p w14:paraId="6EB81330" w14:textId="716258FC" w:rsidR="004076AD" w:rsidRDefault="004076AD" w:rsidP="00D53B66">
      <w:pPr>
        <w:spacing w:after="0" w:line="240" w:lineRule="auto"/>
        <w:jc w:val="both"/>
      </w:pPr>
    </w:p>
    <w:p w14:paraId="64FCC257" w14:textId="74CB8529" w:rsidR="004076AD" w:rsidRDefault="004076AD" w:rsidP="00D53B66">
      <w:pPr>
        <w:spacing w:after="0" w:line="240" w:lineRule="auto"/>
        <w:jc w:val="both"/>
      </w:pPr>
    </w:p>
    <w:p w14:paraId="3EC07652" w14:textId="4406814F" w:rsidR="004076AD" w:rsidRDefault="004076AD" w:rsidP="00D53B66">
      <w:pPr>
        <w:spacing w:after="0" w:line="240" w:lineRule="auto"/>
        <w:jc w:val="both"/>
      </w:pPr>
    </w:p>
    <w:p w14:paraId="489B7A22" w14:textId="6312FA80" w:rsidR="004076AD" w:rsidRDefault="004076AD" w:rsidP="00D53B66">
      <w:pPr>
        <w:spacing w:after="0" w:line="240" w:lineRule="auto"/>
        <w:jc w:val="both"/>
      </w:pPr>
    </w:p>
    <w:p w14:paraId="6A20EE31" w14:textId="2F0E1E2B" w:rsidR="004076AD" w:rsidRDefault="004076AD" w:rsidP="00D53B66">
      <w:pPr>
        <w:spacing w:after="0" w:line="240" w:lineRule="auto"/>
        <w:jc w:val="both"/>
      </w:pPr>
    </w:p>
    <w:p w14:paraId="53A0DD8A" w14:textId="77777777" w:rsidR="004076AD" w:rsidRPr="00D53B66" w:rsidRDefault="004076AD" w:rsidP="00D53B66">
      <w:pPr>
        <w:spacing w:after="0" w:line="240" w:lineRule="auto"/>
        <w:jc w:val="both"/>
      </w:pPr>
    </w:p>
    <w:p w14:paraId="37467D25" w14:textId="35E96DE8" w:rsidR="00A87478" w:rsidRPr="004076AD" w:rsidRDefault="00896D43" w:rsidP="00A76A0D">
      <w:pPr>
        <w:pStyle w:val="Heading2"/>
        <w:jc w:val="both"/>
        <w:rPr>
          <w:b/>
          <w:color w:val="002060"/>
        </w:rPr>
      </w:pPr>
      <w:bookmarkStart w:id="23" w:name="_Toc28008593"/>
      <w:bookmarkStart w:id="24" w:name="_Toc28010449"/>
      <w:r w:rsidRPr="004076AD">
        <w:rPr>
          <w:b/>
          <w:color w:val="002060"/>
        </w:rPr>
        <w:t>Overview of Unstable H</w:t>
      </w:r>
      <w:r w:rsidR="00A87478" w:rsidRPr="004076AD">
        <w:rPr>
          <w:b/>
          <w:color w:val="002060"/>
        </w:rPr>
        <w:t>ousing</w:t>
      </w:r>
      <w:r w:rsidRPr="004076AD">
        <w:rPr>
          <w:b/>
          <w:color w:val="002060"/>
        </w:rPr>
        <w:t xml:space="preserve"> I</w:t>
      </w:r>
      <w:r w:rsidR="00FB7226" w:rsidRPr="004076AD">
        <w:rPr>
          <w:b/>
          <w:color w:val="002060"/>
        </w:rPr>
        <w:t>ncidence</w:t>
      </w:r>
      <w:bookmarkEnd w:id="23"/>
      <w:bookmarkEnd w:id="24"/>
    </w:p>
    <w:p w14:paraId="137B63E0" w14:textId="77777777" w:rsidR="00D53B66" w:rsidRPr="00D53B66" w:rsidRDefault="00D53B66" w:rsidP="00D53B66"/>
    <w:p w14:paraId="27E87DCA" w14:textId="0A72D35B" w:rsidR="00A87478" w:rsidRPr="006066AB" w:rsidRDefault="00A87478" w:rsidP="00976D0B">
      <w:pPr>
        <w:jc w:val="both"/>
        <w:rPr>
          <w:b/>
          <w:bCs/>
        </w:rPr>
      </w:pPr>
      <w:r w:rsidRPr="006066AB">
        <w:rPr>
          <w:b/>
          <w:bCs/>
        </w:rPr>
        <w:t>Roofless</w:t>
      </w:r>
    </w:p>
    <w:p w14:paraId="477380BC" w14:textId="309CA9CF" w:rsidR="00B132B6" w:rsidRDefault="00B661F7" w:rsidP="00976D0B">
      <w:pPr>
        <w:jc w:val="both"/>
        <w:rPr>
          <w:rFonts w:cstheme="minorHAnsi"/>
        </w:rPr>
      </w:pPr>
      <w:r>
        <w:rPr>
          <w:rFonts w:cstheme="minorHAnsi"/>
        </w:rPr>
        <w:t xml:space="preserve">According to the data </w:t>
      </w:r>
      <w:r w:rsidR="00BA2590">
        <w:rPr>
          <w:rFonts w:cstheme="minorHAnsi"/>
        </w:rPr>
        <w:t xml:space="preserve">provided by </w:t>
      </w:r>
      <w:r w:rsidR="00C510FB">
        <w:rPr>
          <w:rFonts w:cstheme="minorHAnsi"/>
          <w:lang w:val="ka-GE"/>
        </w:rPr>
        <w:t>55</w:t>
      </w:r>
      <w:r w:rsidR="00BA2590">
        <w:rPr>
          <w:rFonts w:cstheme="minorHAnsi"/>
        </w:rPr>
        <w:t xml:space="preserve"> municipalities</w:t>
      </w:r>
      <w:r w:rsidR="008711CE">
        <w:rPr>
          <w:rFonts w:cstheme="minorHAnsi"/>
        </w:rPr>
        <w:t xml:space="preserve"> </w:t>
      </w:r>
      <w:r>
        <w:rPr>
          <w:rFonts w:cstheme="minorHAnsi"/>
        </w:rPr>
        <w:t xml:space="preserve">there </w:t>
      </w:r>
      <w:r w:rsidRPr="00C510FB">
        <w:rPr>
          <w:rFonts w:cstheme="minorHAnsi"/>
        </w:rPr>
        <w:t xml:space="preserve">are </w:t>
      </w:r>
      <w:r w:rsidR="00AE4320">
        <w:rPr>
          <w:rFonts w:cstheme="minorHAnsi"/>
          <w:lang w:val="ka-GE"/>
        </w:rPr>
        <w:t>1</w:t>
      </w:r>
      <w:r w:rsidR="008711CE">
        <w:rPr>
          <w:rFonts w:cstheme="minorHAnsi"/>
        </w:rPr>
        <w:t>,</w:t>
      </w:r>
      <w:r w:rsidR="00AE4320">
        <w:rPr>
          <w:rFonts w:cstheme="minorHAnsi"/>
          <w:lang w:val="ka-GE"/>
        </w:rPr>
        <w:t>206</w:t>
      </w:r>
      <w:r w:rsidR="00C510FB">
        <w:rPr>
          <w:rFonts w:cstheme="minorHAnsi"/>
          <w:lang w:val="ka-GE"/>
        </w:rPr>
        <w:t xml:space="preserve"> </w:t>
      </w:r>
      <w:r w:rsidR="00C510FB" w:rsidRPr="00C510FB">
        <w:rPr>
          <w:rFonts w:cstheme="minorHAnsi"/>
        </w:rPr>
        <w:t>household</w:t>
      </w:r>
      <w:r w:rsidR="000A1064">
        <w:rPr>
          <w:rFonts w:cstheme="minorHAnsi"/>
        </w:rPr>
        <w:t>s</w:t>
      </w:r>
      <w:r w:rsidR="00C510FB">
        <w:rPr>
          <w:rFonts w:cstheme="minorHAnsi"/>
          <w:lang w:val="ka-GE"/>
        </w:rPr>
        <w:t xml:space="preserve"> </w:t>
      </w:r>
      <w:r w:rsidR="00D110CB" w:rsidRPr="00C510FB">
        <w:rPr>
          <w:rFonts w:cstheme="minorHAnsi"/>
        </w:rPr>
        <w:t>(</w:t>
      </w:r>
      <w:r w:rsidR="00C510FB">
        <w:rPr>
          <w:rFonts w:cstheme="minorHAnsi"/>
          <w:lang w:val="ka-GE"/>
        </w:rPr>
        <w:t>0</w:t>
      </w:r>
      <w:r w:rsidR="005267A9">
        <w:rPr>
          <w:rFonts w:cstheme="minorHAnsi"/>
        </w:rPr>
        <w:t>.</w:t>
      </w:r>
      <w:r w:rsidR="00AE4320">
        <w:rPr>
          <w:rFonts w:cstheme="minorHAnsi"/>
          <w:lang w:val="ka-GE"/>
        </w:rPr>
        <w:t>11</w:t>
      </w:r>
      <w:r w:rsidR="00C510FB">
        <w:rPr>
          <w:rFonts w:cstheme="minorHAnsi"/>
          <w:lang w:val="ka-GE"/>
        </w:rPr>
        <w:t xml:space="preserve">% </w:t>
      </w:r>
      <w:r w:rsidR="00D110CB" w:rsidRPr="00C510FB">
        <w:rPr>
          <w:rFonts w:cstheme="minorHAnsi"/>
        </w:rPr>
        <w:t>of total households in Georgia)</w:t>
      </w:r>
      <w:r w:rsidR="00D3454B" w:rsidRPr="00C510FB">
        <w:rPr>
          <w:rFonts w:cstheme="minorHAnsi"/>
        </w:rPr>
        <w:t xml:space="preserve"> and </w:t>
      </w:r>
      <w:r w:rsidR="003E48CF">
        <w:rPr>
          <w:rFonts w:cstheme="minorHAnsi"/>
          <w:lang w:val="ka-GE"/>
        </w:rPr>
        <w:t>931</w:t>
      </w:r>
      <w:r w:rsidR="00C510FB">
        <w:rPr>
          <w:rFonts w:cstheme="minorHAnsi"/>
          <w:lang w:val="ka-GE"/>
        </w:rPr>
        <w:t xml:space="preserve"> </w:t>
      </w:r>
      <w:r w:rsidR="00BA2590" w:rsidRPr="00C510FB">
        <w:rPr>
          <w:rFonts w:cstheme="minorHAnsi"/>
        </w:rPr>
        <w:t>individual beneficiaries</w:t>
      </w:r>
      <w:r w:rsidRPr="00C510FB">
        <w:rPr>
          <w:rFonts w:cstheme="minorHAnsi"/>
        </w:rPr>
        <w:t xml:space="preserve"> </w:t>
      </w:r>
      <w:r w:rsidR="00D110CB" w:rsidRPr="00C510FB">
        <w:rPr>
          <w:rFonts w:cstheme="minorHAnsi"/>
        </w:rPr>
        <w:t>(</w:t>
      </w:r>
      <w:r w:rsidR="00840F80">
        <w:rPr>
          <w:rFonts w:cstheme="minorHAnsi"/>
        </w:rPr>
        <w:t>0</w:t>
      </w:r>
      <w:r w:rsidR="005267A9">
        <w:rPr>
          <w:rFonts w:cstheme="minorHAnsi"/>
        </w:rPr>
        <w:t>.</w:t>
      </w:r>
      <w:r w:rsidR="00840F80">
        <w:rPr>
          <w:rFonts w:cstheme="minorHAnsi"/>
        </w:rPr>
        <w:t>0</w:t>
      </w:r>
      <w:r w:rsidR="003E48CF">
        <w:rPr>
          <w:rFonts w:cstheme="minorHAnsi"/>
          <w:lang w:val="ka-GE"/>
        </w:rPr>
        <w:t>25</w:t>
      </w:r>
      <w:r w:rsidR="00840F80">
        <w:rPr>
          <w:rFonts w:cstheme="minorHAnsi"/>
        </w:rPr>
        <w:t xml:space="preserve">% </w:t>
      </w:r>
      <w:r w:rsidR="00D110CB" w:rsidRPr="00C510FB">
        <w:rPr>
          <w:rFonts w:cstheme="minorHAnsi"/>
        </w:rPr>
        <w:t xml:space="preserve">of the total population) </w:t>
      </w:r>
      <w:r w:rsidRPr="00C510FB">
        <w:rPr>
          <w:rFonts w:cstheme="minorHAnsi"/>
        </w:rPr>
        <w:t>who are registered homeless and have not been satisfied with temporary or permanent accommodations</w:t>
      </w:r>
      <w:r w:rsidR="001A707F">
        <w:rPr>
          <w:rFonts w:cstheme="minorHAnsi"/>
        </w:rPr>
        <w:t>.</w:t>
      </w:r>
      <w:r w:rsidRPr="00C510FB">
        <w:rPr>
          <w:rFonts w:cstheme="minorHAnsi"/>
        </w:rPr>
        <w:t xml:space="preserve"> </w:t>
      </w:r>
      <w:r w:rsidR="00B132B6">
        <w:rPr>
          <w:rFonts w:cstheme="minorHAnsi"/>
        </w:rPr>
        <w:t>It is important to note that these number</w:t>
      </w:r>
      <w:r w:rsidR="00786963">
        <w:rPr>
          <w:rFonts w:cstheme="minorHAnsi"/>
        </w:rPr>
        <w:t xml:space="preserve">s must be understood as cumulative, as some </w:t>
      </w:r>
      <w:r w:rsidR="00B94C7F">
        <w:rPr>
          <w:rFonts w:cstheme="minorHAnsi"/>
        </w:rPr>
        <w:t>municipalities provide information at the individual level while other provide information at the household level</w:t>
      </w:r>
      <w:r w:rsidR="005267A9">
        <w:rPr>
          <w:rFonts w:cstheme="minorHAnsi"/>
        </w:rPr>
        <w:t>.</w:t>
      </w:r>
      <w:r w:rsidR="005C4957">
        <w:rPr>
          <w:rFonts w:cstheme="minorHAnsi"/>
        </w:rPr>
        <w:t xml:space="preserve"> Unfortunately,</w:t>
      </w:r>
      <w:r w:rsidR="00DE3EC8">
        <w:rPr>
          <w:rFonts w:cstheme="minorHAnsi"/>
        </w:rPr>
        <w:t xml:space="preserve"> the data</w:t>
      </w:r>
      <w:r w:rsidR="005C4957">
        <w:rPr>
          <w:rFonts w:cstheme="minorHAnsi"/>
        </w:rPr>
        <w:t xml:space="preserve"> for Tbilisi are not available</w:t>
      </w:r>
      <w:r w:rsidR="008711CE">
        <w:rPr>
          <w:rFonts w:cstheme="minorHAnsi"/>
        </w:rPr>
        <w:t xml:space="preserve"> for us</w:t>
      </w:r>
      <w:r w:rsidR="005C4957">
        <w:rPr>
          <w:rFonts w:cstheme="minorHAnsi"/>
        </w:rPr>
        <w:t>.</w:t>
      </w:r>
      <w:r w:rsidR="008711CE">
        <w:rPr>
          <w:rFonts w:cstheme="minorHAnsi"/>
        </w:rPr>
        <w:t xml:space="preserve"> </w:t>
      </w:r>
    </w:p>
    <w:p w14:paraId="28DB77BF" w14:textId="07D99F66" w:rsidR="00082663" w:rsidRDefault="00B66507" w:rsidP="00976D0B">
      <w:pPr>
        <w:jc w:val="both"/>
        <w:rPr>
          <w:rFonts w:cstheme="minorHAnsi"/>
        </w:rPr>
      </w:pPr>
      <w:r>
        <w:rPr>
          <w:rFonts w:cstheme="minorHAnsi"/>
        </w:rPr>
        <w:t xml:space="preserve">These numbers are just indicative, as </w:t>
      </w:r>
      <w:r w:rsidR="00B661F7" w:rsidRPr="00C510FB">
        <w:rPr>
          <w:rFonts w:cstheme="minorHAnsi"/>
        </w:rPr>
        <w:t xml:space="preserve">it is not clear how </w:t>
      </w:r>
      <w:r>
        <w:rPr>
          <w:rFonts w:cstheme="minorHAnsi"/>
        </w:rPr>
        <w:t>the individuals</w:t>
      </w:r>
      <w:r w:rsidR="00B661F7" w:rsidRPr="00C510FB">
        <w:rPr>
          <w:rFonts w:cstheme="minorHAnsi"/>
        </w:rPr>
        <w:t xml:space="preserve"> and households</w:t>
      </w:r>
      <w:r w:rsidR="00B661F7">
        <w:rPr>
          <w:rFonts w:cstheme="minorHAnsi"/>
        </w:rPr>
        <w:t xml:space="preserve"> above</w:t>
      </w:r>
      <w:r>
        <w:rPr>
          <w:rFonts w:cstheme="minorHAnsi"/>
        </w:rPr>
        <w:t xml:space="preserve"> mentioned</w:t>
      </w:r>
      <w:r w:rsidR="00B661F7">
        <w:rPr>
          <w:rFonts w:cstheme="minorHAnsi"/>
        </w:rPr>
        <w:t xml:space="preserve"> are identified</w:t>
      </w:r>
      <w:r>
        <w:rPr>
          <w:rFonts w:cstheme="minorHAnsi"/>
        </w:rPr>
        <w:t xml:space="preserve"> and classified</w:t>
      </w:r>
      <w:r w:rsidR="00B661F7">
        <w:rPr>
          <w:rFonts w:cstheme="minorHAnsi"/>
        </w:rPr>
        <w:t xml:space="preserve"> as homeless</w:t>
      </w:r>
      <w:r w:rsidR="009C3A90">
        <w:rPr>
          <w:rFonts w:cstheme="minorHAnsi"/>
        </w:rPr>
        <w:t xml:space="preserve"> by the different municipalities</w:t>
      </w:r>
      <w:r>
        <w:rPr>
          <w:rFonts w:cstheme="minorHAnsi"/>
        </w:rPr>
        <w:t>, who adopt different definitions and approaches</w:t>
      </w:r>
      <w:r w:rsidR="005267A9">
        <w:rPr>
          <w:rFonts w:cstheme="minorHAnsi"/>
        </w:rPr>
        <w:t>.</w:t>
      </w:r>
      <w:r w:rsidR="00B661F7">
        <w:rPr>
          <w:rFonts w:cstheme="minorHAnsi"/>
        </w:rPr>
        <w:t xml:space="preserve"> Some of them</w:t>
      </w:r>
      <w:r w:rsidR="00B55AEB">
        <w:rPr>
          <w:rFonts w:cstheme="minorHAnsi"/>
        </w:rPr>
        <w:t xml:space="preserve"> might live in public places while</w:t>
      </w:r>
      <w:r w:rsidR="00B661F7">
        <w:rPr>
          <w:rFonts w:cstheme="minorHAnsi"/>
        </w:rPr>
        <w:t xml:space="preserve"> the rest of them</w:t>
      </w:r>
      <w:r w:rsidR="00B55AEB">
        <w:rPr>
          <w:rFonts w:cstheme="minorHAnsi"/>
        </w:rPr>
        <w:t xml:space="preserve"> might live</w:t>
      </w:r>
      <w:r w:rsidR="00B661F7">
        <w:rPr>
          <w:rFonts w:cstheme="minorHAnsi"/>
        </w:rPr>
        <w:t xml:space="preserve"> with their relatives, so severity of problem is not so evident</w:t>
      </w:r>
      <w:r w:rsidR="005267A9">
        <w:rPr>
          <w:rFonts w:cstheme="minorHAnsi"/>
        </w:rPr>
        <w:t>.</w:t>
      </w:r>
      <w:r w:rsidR="00B661F7">
        <w:rPr>
          <w:rFonts w:cstheme="minorHAnsi"/>
        </w:rPr>
        <w:t xml:space="preserve"> Moreover, the</w:t>
      </w:r>
      <w:r w:rsidR="009C4E4C">
        <w:rPr>
          <w:rFonts w:cstheme="minorHAnsi"/>
        </w:rPr>
        <w:t xml:space="preserve"> data are provided</w:t>
      </w:r>
      <w:r w:rsidR="009C3A90">
        <w:rPr>
          <w:rFonts w:cstheme="minorHAnsi"/>
        </w:rPr>
        <w:t xml:space="preserve"> at a single point in time, so it is not possible to study the trend o</w:t>
      </w:r>
      <w:r w:rsidR="00B661F7">
        <w:rPr>
          <w:rFonts w:cstheme="minorHAnsi"/>
        </w:rPr>
        <w:t>f the indicator</w:t>
      </w:r>
      <w:r>
        <w:rPr>
          <w:rFonts w:cstheme="minorHAnsi"/>
        </w:rPr>
        <w:t xml:space="preserve"> </w:t>
      </w:r>
    </w:p>
    <w:p w14:paraId="6A0B67FF" w14:textId="3FEF27FE" w:rsidR="003B2C8F" w:rsidRDefault="003B2C8F" w:rsidP="00976D0B">
      <w:pPr>
        <w:jc w:val="both"/>
        <w:rPr>
          <w:rFonts w:cstheme="minorHAnsi"/>
        </w:rPr>
      </w:pPr>
      <w:r>
        <w:rPr>
          <w:rFonts w:cstheme="minorHAnsi"/>
        </w:rPr>
        <w:t xml:space="preserve">These numbers are also </w:t>
      </w:r>
      <w:r w:rsidR="009934DB">
        <w:rPr>
          <w:rFonts w:cstheme="minorHAnsi"/>
        </w:rPr>
        <w:t>likely to underestimate the true number of roofless individuals/households, as</w:t>
      </w:r>
      <w:r w:rsidR="007F33B4">
        <w:rPr>
          <w:rFonts w:cstheme="minorHAnsi"/>
        </w:rPr>
        <w:t xml:space="preserve"> – in order to appear in this list</w:t>
      </w:r>
      <w:r w:rsidR="00A36356">
        <w:rPr>
          <w:rFonts w:cstheme="minorHAnsi"/>
        </w:rPr>
        <w:t xml:space="preserve"> and be counted</w:t>
      </w:r>
      <w:r w:rsidR="007F33B4">
        <w:rPr>
          <w:rFonts w:cstheme="minorHAnsi"/>
        </w:rPr>
        <w:t xml:space="preserve"> – individuals and households need to be registered as </w:t>
      </w:r>
      <w:r w:rsidR="00DE3EC8">
        <w:rPr>
          <w:rFonts w:cstheme="minorHAnsi"/>
        </w:rPr>
        <w:t>ho</w:t>
      </w:r>
      <w:r w:rsidR="007F33B4">
        <w:rPr>
          <w:rFonts w:cstheme="minorHAnsi"/>
        </w:rPr>
        <w:t>meless</w:t>
      </w:r>
      <w:r w:rsidR="00DE3EC8">
        <w:rPr>
          <w:rFonts w:cstheme="minorHAnsi"/>
        </w:rPr>
        <w:t>.</w:t>
      </w:r>
    </w:p>
    <w:p w14:paraId="627581CF" w14:textId="2893C8B8" w:rsidR="00BA2590" w:rsidRDefault="00B66507" w:rsidP="00976D0B">
      <w:pPr>
        <w:jc w:val="both"/>
        <w:rPr>
          <w:rFonts w:cstheme="minorHAnsi"/>
        </w:rPr>
      </w:pPr>
      <w:r>
        <w:rPr>
          <w:rFonts w:cstheme="minorHAnsi"/>
        </w:rPr>
        <w:t xml:space="preserve">Still, based on the available data, summarized </w:t>
      </w:r>
      <w:r w:rsidR="00BA2590">
        <w:rPr>
          <w:rFonts w:cstheme="minorHAnsi"/>
        </w:rPr>
        <w:t xml:space="preserve">in Figure </w:t>
      </w:r>
      <w:r w:rsidR="00DE3EC8">
        <w:rPr>
          <w:rFonts w:cstheme="minorHAnsi"/>
        </w:rPr>
        <w:t>18,</w:t>
      </w:r>
      <w:r w:rsidR="00BA2590">
        <w:rPr>
          <w:rFonts w:cstheme="minorHAnsi"/>
        </w:rPr>
        <w:t xml:space="preserve"> the highest</w:t>
      </w:r>
      <w:r>
        <w:rPr>
          <w:rFonts w:cstheme="minorHAnsi"/>
        </w:rPr>
        <w:t xml:space="preserve"> share of</w:t>
      </w:r>
      <w:r w:rsidR="00BA2590">
        <w:rPr>
          <w:rFonts w:cstheme="minorHAnsi"/>
        </w:rPr>
        <w:t xml:space="preserve"> households </w:t>
      </w:r>
      <w:r w:rsidR="000644AF">
        <w:rPr>
          <w:rFonts w:cstheme="minorHAnsi"/>
        </w:rPr>
        <w:t xml:space="preserve">in </w:t>
      </w:r>
      <w:r w:rsidR="00BA2590">
        <w:rPr>
          <w:rFonts w:cstheme="minorHAnsi"/>
        </w:rPr>
        <w:t xml:space="preserve">need </w:t>
      </w:r>
      <w:r w:rsidR="000644AF">
        <w:rPr>
          <w:rFonts w:cstheme="minorHAnsi"/>
        </w:rPr>
        <w:t>of</w:t>
      </w:r>
      <w:r w:rsidR="00BA2590">
        <w:rPr>
          <w:rFonts w:cstheme="minorHAnsi"/>
        </w:rPr>
        <w:t xml:space="preserve"> help </w:t>
      </w:r>
      <w:r>
        <w:rPr>
          <w:rFonts w:cstheme="minorHAnsi"/>
        </w:rPr>
        <w:t xml:space="preserve">is </w:t>
      </w:r>
      <w:r w:rsidR="00BA2590">
        <w:rPr>
          <w:rFonts w:cstheme="minorHAnsi"/>
        </w:rPr>
        <w:t xml:space="preserve">in </w:t>
      </w:r>
      <w:proofErr w:type="spellStart"/>
      <w:r w:rsidR="00BA2590">
        <w:rPr>
          <w:rFonts w:cstheme="minorHAnsi"/>
        </w:rPr>
        <w:t>Mestia</w:t>
      </w:r>
      <w:proofErr w:type="spellEnd"/>
      <w:r w:rsidR="00995E13">
        <w:rPr>
          <w:rStyle w:val="FootnoteReference"/>
          <w:rFonts w:cstheme="minorHAnsi"/>
        </w:rPr>
        <w:footnoteReference w:id="27"/>
      </w:r>
      <w:r>
        <w:rPr>
          <w:rFonts w:cstheme="minorHAnsi"/>
        </w:rPr>
        <w:t xml:space="preserve"> (76%)</w:t>
      </w:r>
      <w:r w:rsidR="00C32F22">
        <w:rPr>
          <w:rFonts w:cstheme="minorHAnsi"/>
        </w:rPr>
        <w:t xml:space="preserve">, followed by </w:t>
      </w:r>
      <w:r w:rsidR="00B32501">
        <w:rPr>
          <w:rFonts w:cstheme="minorHAnsi"/>
        </w:rPr>
        <w:t>Kutaisi</w:t>
      </w:r>
      <w:r w:rsidR="00C32F22">
        <w:rPr>
          <w:rFonts w:cstheme="minorHAnsi"/>
        </w:rPr>
        <w:t xml:space="preserve"> (20%) and </w:t>
      </w:r>
      <w:proofErr w:type="spellStart"/>
      <w:r w:rsidR="00C32F22">
        <w:rPr>
          <w:rFonts w:cstheme="minorHAnsi"/>
        </w:rPr>
        <w:t>Gurj</w:t>
      </w:r>
      <w:r w:rsidR="00B32501">
        <w:rPr>
          <w:rFonts w:cstheme="minorHAnsi"/>
        </w:rPr>
        <w:t>a</w:t>
      </w:r>
      <w:r w:rsidR="00C32F22">
        <w:rPr>
          <w:rFonts w:cstheme="minorHAnsi"/>
        </w:rPr>
        <w:t>ani</w:t>
      </w:r>
      <w:proofErr w:type="spellEnd"/>
      <w:r w:rsidR="00FB142E">
        <w:rPr>
          <w:rFonts w:cstheme="minorHAnsi"/>
        </w:rPr>
        <w:t xml:space="preserve"> (4%</w:t>
      </w:r>
      <w:r w:rsidR="00F11557">
        <w:rPr>
          <w:rFonts w:cstheme="minorHAnsi"/>
        </w:rPr>
        <w:t>).</w:t>
      </w:r>
      <w:r w:rsidR="00FB142E">
        <w:rPr>
          <w:rFonts w:cstheme="minorHAnsi"/>
        </w:rPr>
        <w:t xml:space="preserve"> </w:t>
      </w:r>
      <w:r w:rsidR="000C6A34">
        <w:rPr>
          <w:rFonts w:cstheme="minorHAnsi"/>
        </w:rPr>
        <w:t xml:space="preserve">Homeless </w:t>
      </w:r>
      <w:r w:rsidR="00BA2590">
        <w:rPr>
          <w:rFonts w:cstheme="minorHAnsi"/>
        </w:rPr>
        <w:t xml:space="preserve">individuals </w:t>
      </w:r>
      <w:r w:rsidR="000C6A34">
        <w:rPr>
          <w:rFonts w:cstheme="minorHAnsi"/>
        </w:rPr>
        <w:t xml:space="preserve">who applied for homeless status and have not been satisfied live, instead, in </w:t>
      </w:r>
      <w:proofErr w:type="spellStart"/>
      <w:r w:rsidR="000C6A34">
        <w:rPr>
          <w:rFonts w:cstheme="minorHAnsi"/>
        </w:rPr>
        <w:t>Khashuri</w:t>
      </w:r>
      <w:proofErr w:type="spellEnd"/>
      <w:r w:rsidR="000C6A34">
        <w:rPr>
          <w:rFonts w:cstheme="minorHAnsi"/>
        </w:rPr>
        <w:t xml:space="preserve"> (</w:t>
      </w:r>
      <w:r w:rsidR="00BA2590">
        <w:rPr>
          <w:rFonts w:cstheme="minorHAnsi"/>
        </w:rPr>
        <w:t>38%</w:t>
      </w:r>
      <w:r w:rsidR="00A2181E">
        <w:rPr>
          <w:rFonts w:cstheme="minorHAnsi"/>
        </w:rPr>
        <w:t>)</w:t>
      </w:r>
      <w:r w:rsidR="006C7E8D">
        <w:rPr>
          <w:rFonts w:cstheme="minorHAnsi"/>
        </w:rPr>
        <w:t xml:space="preserve">, Marneuli (25%) and in </w:t>
      </w:r>
      <w:proofErr w:type="spellStart"/>
      <w:r w:rsidR="006C7E8D">
        <w:rPr>
          <w:rFonts w:cstheme="minorHAnsi"/>
        </w:rPr>
        <w:t>Poti</w:t>
      </w:r>
      <w:proofErr w:type="spellEnd"/>
      <w:r w:rsidR="006C7E8D">
        <w:rPr>
          <w:rFonts w:cstheme="minorHAnsi"/>
        </w:rPr>
        <w:t xml:space="preserve"> (24%).</w:t>
      </w:r>
    </w:p>
    <w:p w14:paraId="50C5891E" w14:textId="329DE0B5" w:rsidR="00EE5BB4" w:rsidRPr="000644AF" w:rsidRDefault="00657B09" w:rsidP="00976D0B">
      <w:pPr>
        <w:pStyle w:val="Caption"/>
        <w:jc w:val="both"/>
        <w:rPr>
          <w:rFonts w:cstheme="minorHAnsi"/>
        </w:rPr>
      </w:pPr>
      <w:r>
        <w:rPr>
          <w:noProof/>
        </w:rPr>
        <w:drawing>
          <wp:anchor distT="0" distB="0" distL="114300" distR="114300" simplePos="0" relativeHeight="251729920" behindDoc="1" locked="0" layoutInCell="1" allowOverlap="1" wp14:anchorId="117E9F1B" wp14:editId="0B502620">
            <wp:simplePos x="0" y="0"/>
            <wp:positionH relativeFrom="margin">
              <wp:posOffset>2933700</wp:posOffset>
            </wp:positionH>
            <wp:positionV relativeFrom="paragraph">
              <wp:posOffset>268605</wp:posOffset>
            </wp:positionV>
            <wp:extent cx="2895600" cy="2571750"/>
            <wp:effectExtent l="0" t="0" r="0" b="0"/>
            <wp:wrapNone/>
            <wp:docPr id="50" name="Chart 50">
              <a:extLst xmlns:a="http://schemas.openxmlformats.org/drawingml/2006/main">
                <a:ext uri="{FF2B5EF4-FFF2-40B4-BE49-F238E27FC236}">
                  <a16:creationId xmlns:a16="http://schemas.microsoft.com/office/drawing/2014/main" id="{7B96DFFF-8A30-4D33-BEDF-DCED28EEA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6C7E8D">
        <w:rPr>
          <w:noProof/>
        </w:rPr>
        <w:drawing>
          <wp:anchor distT="0" distB="0" distL="114300" distR="114300" simplePos="0" relativeHeight="251720704" behindDoc="1" locked="0" layoutInCell="1" allowOverlap="1" wp14:anchorId="0996EE77" wp14:editId="5D84001C">
            <wp:simplePos x="0" y="0"/>
            <wp:positionH relativeFrom="margin">
              <wp:align>left</wp:align>
            </wp:positionH>
            <wp:positionV relativeFrom="paragraph">
              <wp:posOffset>266700</wp:posOffset>
            </wp:positionV>
            <wp:extent cx="2924175" cy="2571750"/>
            <wp:effectExtent l="0" t="0" r="9525" b="0"/>
            <wp:wrapNone/>
            <wp:docPr id="37" name="Chart 37">
              <a:extLst xmlns:a="http://schemas.openxmlformats.org/drawingml/2006/main">
                <a:ext uri="{FF2B5EF4-FFF2-40B4-BE49-F238E27FC236}">
                  <a16:creationId xmlns:a16="http://schemas.microsoft.com/office/drawing/2014/main" id="{00000000-0008-0000-1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EE5BB4" w:rsidRPr="000644AF">
        <w:rPr>
          <w:rFonts w:cstheme="minorHAnsi"/>
        </w:rPr>
        <w:t xml:space="preserve">Figure </w:t>
      </w:r>
      <w:r w:rsidR="00D76E58">
        <w:rPr>
          <w:rFonts w:cstheme="minorHAnsi"/>
        </w:rPr>
        <w:fldChar w:fldCharType="begin"/>
      </w:r>
      <w:r w:rsidR="00D76E58">
        <w:rPr>
          <w:rFonts w:cstheme="minorHAnsi"/>
        </w:rPr>
        <w:instrText xml:space="preserve"> SEQ Figure \* ARABIC </w:instrText>
      </w:r>
      <w:r w:rsidR="00D76E58">
        <w:rPr>
          <w:rFonts w:cstheme="minorHAnsi"/>
        </w:rPr>
        <w:fldChar w:fldCharType="separate"/>
      </w:r>
      <w:r w:rsidR="006B5103">
        <w:rPr>
          <w:rFonts w:cstheme="minorHAnsi"/>
          <w:noProof/>
        </w:rPr>
        <w:t>18</w:t>
      </w:r>
      <w:r w:rsidR="00D76E58">
        <w:rPr>
          <w:rFonts w:cstheme="minorHAnsi"/>
        </w:rPr>
        <w:fldChar w:fldCharType="end"/>
      </w:r>
      <w:r w:rsidR="00EE5BB4" w:rsidRPr="00C510FB">
        <w:rPr>
          <w:rFonts w:cstheme="minorHAnsi"/>
          <w:lang w:val="ka-GE"/>
        </w:rPr>
        <w:t xml:space="preserve">: </w:t>
      </w:r>
      <w:r w:rsidR="00EE5BB4" w:rsidRPr="00C510FB">
        <w:rPr>
          <w:rFonts w:cstheme="minorHAnsi"/>
        </w:rPr>
        <w:t xml:space="preserve">Distribution of </w:t>
      </w:r>
      <w:r w:rsidR="00F11557">
        <w:rPr>
          <w:rFonts w:cstheme="minorHAnsi"/>
        </w:rPr>
        <w:t>r</w:t>
      </w:r>
      <w:r w:rsidR="00EE5BB4" w:rsidRPr="00C510FB">
        <w:rPr>
          <w:rFonts w:cstheme="minorHAnsi"/>
        </w:rPr>
        <w:t>oofless</w:t>
      </w:r>
      <w:r w:rsidR="00D34144">
        <w:rPr>
          <w:rFonts w:cstheme="minorHAnsi"/>
          <w:lang w:val="ka-GE"/>
        </w:rPr>
        <w:t xml:space="preserve"> </w:t>
      </w:r>
      <w:r w:rsidR="00F11557">
        <w:rPr>
          <w:rFonts w:cstheme="minorHAnsi"/>
        </w:rPr>
        <w:t>h</w:t>
      </w:r>
      <w:r w:rsidR="00D34144">
        <w:rPr>
          <w:rFonts w:cstheme="minorHAnsi"/>
        </w:rPr>
        <w:t>ouseholds</w:t>
      </w:r>
      <w:r w:rsidR="00B32501">
        <w:rPr>
          <w:rFonts w:cstheme="minorHAnsi"/>
        </w:rPr>
        <w:t xml:space="preserve"> and </w:t>
      </w:r>
      <w:r w:rsidR="00F11557">
        <w:rPr>
          <w:rFonts w:cstheme="minorHAnsi"/>
        </w:rPr>
        <w:t>i</w:t>
      </w:r>
      <w:r w:rsidR="00B32501">
        <w:rPr>
          <w:rFonts w:cstheme="minorHAnsi"/>
        </w:rPr>
        <w:t>ndividuals</w:t>
      </w:r>
      <w:r w:rsidR="004128DF">
        <w:rPr>
          <w:rFonts w:cstheme="minorHAnsi"/>
        </w:rPr>
        <w:t xml:space="preserve"> </w:t>
      </w:r>
      <w:r w:rsidR="00F11557">
        <w:rPr>
          <w:rFonts w:cstheme="minorHAnsi"/>
        </w:rPr>
        <w:t>a</w:t>
      </w:r>
      <w:r w:rsidR="00EE5BB4" w:rsidRPr="00C510FB">
        <w:rPr>
          <w:rFonts w:cstheme="minorHAnsi"/>
        </w:rPr>
        <w:t xml:space="preserve">mong </w:t>
      </w:r>
      <w:r w:rsidR="00F11557">
        <w:rPr>
          <w:rFonts w:cstheme="minorHAnsi"/>
        </w:rPr>
        <w:t>m</w:t>
      </w:r>
      <w:r w:rsidR="00EE5BB4" w:rsidRPr="00C510FB">
        <w:rPr>
          <w:rFonts w:cstheme="minorHAnsi"/>
        </w:rPr>
        <w:t>unicipalities</w:t>
      </w:r>
      <w:r w:rsidR="00E06C4F">
        <w:rPr>
          <w:rFonts w:cstheme="minorHAnsi"/>
        </w:rPr>
        <w:t xml:space="preserve"> (</w:t>
      </w:r>
      <w:r w:rsidR="00F11557">
        <w:rPr>
          <w:rFonts w:cstheme="minorHAnsi"/>
        </w:rPr>
        <w:t xml:space="preserve">data for </w:t>
      </w:r>
      <w:r w:rsidR="00E06C4F">
        <w:rPr>
          <w:rFonts w:cstheme="minorHAnsi"/>
        </w:rPr>
        <w:t>Tbilisi not available</w:t>
      </w:r>
      <w:r w:rsidR="00F11557">
        <w:rPr>
          <w:rFonts w:cstheme="minorHAnsi"/>
        </w:rPr>
        <w:t xml:space="preserve"> yet</w:t>
      </w:r>
      <w:r w:rsidR="00E06C4F">
        <w:rPr>
          <w:rFonts w:cstheme="minorHAnsi"/>
        </w:rPr>
        <w:t>)</w:t>
      </w:r>
    </w:p>
    <w:p w14:paraId="0D410FDE" w14:textId="1E25FE6A" w:rsidR="00181FF5" w:rsidRDefault="00181FF5" w:rsidP="00976D0B">
      <w:pPr>
        <w:jc w:val="both"/>
        <w:rPr>
          <w:rFonts w:cstheme="minorHAnsi"/>
        </w:rPr>
      </w:pPr>
    </w:p>
    <w:p w14:paraId="641AA01F" w14:textId="55512A06" w:rsidR="00A2181E" w:rsidRDefault="00A2181E" w:rsidP="00976D0B">
      <w:pPr>
        <w:jc w:val="both"/>
        <w:rPr>
          <w:rFonts w:cstheme="minorHAnsi"/>
        </w:rPr>
      </w:pPr>
    </w:p>
    <w:p w14:paraId="69E292E0" w14:textId="77777777" w:rsidR="00694FEE" w:rsidRDefault="00694FEE" w:rsidP="00976D0B">
      <w:pPr>
        <w:jc w:val="both"/>
        <w:rPr>
          <w:i/>
          <w:iCs/>
          <w:color w:val="44546A" w:themeColor="text2"/>
          <w:sz w:val="18"/>
          <w:szCs w:val="18"/>
        </w:rPr>
      </w:pPr>
    </w:p>
    <w:p w14:paraId="34299848" w14:textId="77777777" w:rsidR="00694FEE" w:rsidRDefault="00694FEE" w:rsidP="00976D0B">
      <w:pPr>
        <w:jc w:val="both"/>
        <w:rPr>
          <w:i/>
          <w:iCs/>
          <w:color w:val="44546A" w:themeColor="text2"/>
          <w:sz w:val="18"/>
          <w:szCs w:val="18"/>
        </w:rPr>
      </w:pPr>
    </w:p>
    <w:p w14:paraId="3AC3D421" w14:textId="77777777" w:rsidR="00694FEE" w:rsidRDefault="00694FEE" w:rsidP="00976D0B">
      <w:pPr>
        <w:jc w:val="both"/>
        <w:rPr>
          <w:i/>
          <w:iCs/>
          <w:color w:val="44546A" w:themeColor="text2"/>
          <w:sz w:val="18"/>
          <w:szCs w:val="18"/>
        </w:rPr>
      </w:pPr>
    </w:p>
    <w:p w14:paraId="05ADC4E4" w14:textId="77777777" w:rsidR="00694FEE" w:rsidRDefault="00694FEE" w:rsidP="00976D0B">
      <w:pPr>
        <w:jc w:val="both"/>
        <w:rPr>
          <w:i/>
          <w:iCs/>
          <w:color w:val="44546A" w:themeColor="text2"/>
          <w:sz w:val="18"/>
          <w:szCs w:val="18"/>
        </w:rPr>
      </w:pPr>
    </w:p>
    <w:p w14:paraId="76671C91" w14:textId="77777777" w:rsidR="00694FEE" w:rsidRDefault="00694FEE" w:rsidP="00976D0B">
      <w:pPr>
        <w:jc w:val="both"/>
        <w:rPr>
          <w:i/>
          <w:iCs/>
          <w:color w:val="44546A" w:themeColor="text2"/>
          <w:sz w:val="18"/>
          <w:szCs w:val="18"/>
        </w:rPr>
      </w:pPr>
    </w:p>
    <w:p w14:paraId="6CBFDA4A" w14:textId="77777777" w:rsidR="00694FEE" w:rsidRDefault="00694FEE" w:rsidP="00976D0B">
      <w:pPr>
        <w:jc w:val="both"/>
        <w:rPr>
          <w:i/>
          <w:iCs/>
          <w:color w:val="44546A" w:themeColor="text2"/>
          <w:sz w:val="18"/>
          <w:szCs w:val="18"/>
        </w:rPr>
      </w:pPr>
    </w:p>
    <w:p w14:paraId="17262D37" w14:textId="77777777" w:rsidR="00694FEE" w:rsidRDefault="00694FEE" w:rsidP="00976D0B">
      <w:pPr>
        <w:jc w:val="both"/>
        <w:rPr>
          <w:i/>
          <w:iCs/>
          <w:color w:val="44546A" w:themeColor="text2"/>
          <w:sz w:val="18"/>
          <w:szCs w:val="18"/>
        </w:rPr>
      </w:pPr>
    </w:p>
    <w:p w14:paraId="2EA152D9" w14:textId="77777777" w:rsidR="00694FEE" w:rsidRDefault="00694FEE" w:rsidP="00976D0B">
      <w:pPr>
        <w:jc w:val="both"/>
        <w:rPr>
          <w:i/>
          <w:iCs/>
          <w:color w:val="44546A" w:themeColor="text2"/>
          <w:sz w:val="18"/>
          <w:szCs w:val="18"/>
        </w:rPr>
      </w:pPr>
    </w:p>
    <w:p w14:paraId="40B7E540" w14:textId="3E9C9985" w:rsidR="00694FEE" w:rsidRDefault="006C7E8D" w:rsidP="00976D0B">
      <w:pPr>
        <w:jc w:val="both"/>
        <w:rPr>
          <w:rFonts w:cstheme="minorHAnsi"/>
        </w:rPr>
      </w:pPr>
      <w:r w:rsidRPr="00C510FB">
        <w:rPr>
          <w:i/>
          <w:iCs/>
          <w:color w:val="44546A" w:themeColor="text2"/>
          <w:sz w:val="18"/>
          <w:szCs w:val="18"/>
        </w:rPr>
        <w:t xml:space="preserve">Source: </w:t>
      </w:r>
      <w:r w:rsidR="004360B9">
        <w:rPr>
          <w:i/>
          <w:iCs/>
          <w:color w:val="44546A" w:themeColor="text2"/>
          <w:sz w:val="18"/>
          <w:szCs w:val="18"/>
        </w:rPr>
        <w:t xml:space="preserve">Local </w:t>
      </w:r>
      <w:r w:rsidRPr="00C510FB">
        <w:rPr>
          <w:i/>
          <w:iCs/>
          <w:color w:val="44546A" w:themeColor="text2"/>
          <w:sz w:val="18"/>
          <w:szCs w:val="18"/>
        </w:rPr>
        <w:t>Municipalities</w:t>
      </w:r>
    </w:p>
    <w:p w14:paraId="246EA1EB" w14:textId="77777777" w:rsidR="00E526A4" w:rsidRDefault="00E526A4" w:rsidP="00976D0B">
      <w:pPr>
        <w:jc w:val="both"/>
        <w:rPr>
          <w:rFonts w:cstheme="minorHAnsi"/>
        </w:rPr>
      </w:pPr>
    </w:p>
    <w:p w14:paraId="55AB82C2" w14:textId="3CAF1969" w:rsidR="00AF15BC" w:rsidRDefault="00AF15BC" w:rsidP="00976D0B">
      <w:pPr>
        <w:jc w:val="both"/>
        <w:rPr>
          <w:rFonts w:cstheme="minorHAnsi"/>
        </w:rPr>
      </w:pPr>
      <w:r>
        <w:rPr>
          <w:rFonts w:cstheme="minorHAnsi"/>
        </w:rPr>
        <w:t>Assuming an average household size of</w:t>
      </w:r>
      <w:r w:rsidR="00A66CBA">
        <w:rPr>
          <w:rFonts w:cstheme="minorHAnsi"/>
        </w:rPr>
        <w:t xml:space="preserve"> 3.5 </w:t>
      </w:r>
      <w:r>
        <w:rPr>
          <w:rFonts w:cstheme="minorHAnsi"/>
        </w:rPr>
        <w:t>the estimated number of roofless individuals</w:t>
      </w:r>
      <w:r w:rsidR="005100C9">
        <w:rPr>
          <w:rFonts w:cstheme="minorHAnsi"/>
        </w:rPr>
        <w:t xml:space="preserve"> in the country would be</w:t>
      </w:r>
      <w:r w:rsidR="00A66CBA">
        <w:rPr>
          <w:rFonts w:cstheme="minorHAnsi"/>
        </w:rPr>
        <w:t xml:space="preserve"> 5152</w:t>
      </w:r>
      <w:r w:rsidR="005100C9">
        <w:rPr>
          <w:rFonts w:cstheme="minorHAnsi"/>
        </w:rPr>
        <w:t xml:space="preserve"> (</w:t>
      </w:r>
      <w:r w:rsidR="00A66CBA">
        <w:rPr>
          <w:rFonts w:cstheme="minorHAnsi"/>
        </w:rPr>
        <w:t xml:space="preserve">approximately 0.14 </w:t>
      </w:r>
      <w:r w:rsidR="005100C9">
        <w:rPr>
          <w:rFonts w:cstheme="minorHAnsi"/>
        </w:rPr>
        <w:t xml:space="preserve">% of </w:t>
      </w:r>
      <w:r w:rsidR="00DE3EC8">
        <w:rPr>
          <w:rFonts w:cstheme="minorHAnsi"/>
        </w:rPr>
        <w:t xml:space="preserve">the total </w:t>
      </w:r>
      <w:r w:rsidR="005100C9">
        <w:rPr>
          <w:rFonts w:cstheme="minorHAnsi"/>
        </w:rPr>
        <w:t>populatio</w:t>
      </w:r>
      <w:r w:rsidR="00A66CBA">
        <w:rPr>
          <w:rFonts w:cstheme="minorHAnsi"/>
        </w:rPr>
        <w:t>n</w:t>
      </w:r>
      <w:r w:rsidR="005100C9">
        <w:rPr>
          <w:rFonts w:cstheme="minorHAnsi"/>
        </w:rPr>
        <w:t>)</w:t>
      </w:r>
      <w:r w:rsidR="00275221">
        <w:rPr>
          <w:rFonts w:cstheme="minorHAnsi"/>
        </w:rPr>
        <w:t xml:space="preserve">. </w:t>
      </w:r>
      <w:r w:rsidR="00CE38E8">
        <w:rPr>
          <w:rFonts w:cstheme="minorHAnsi"/>
        </w:rPr>
        <w:t xml:space="preserve">It is important to highlight, however, that this number is likely to be larger, as at this stage we have no data for Tbilisi. </w:t>
      </w:r>
      <w:r w:rsidR="00275221">
        <w:rPr>
          <w:rFonts w:cstheme="minorHAnsi"/>
        </w:rPr>
        <w:t xml:space="preserve">Distribution of homeless people estimated with the aforementioned methodology are depicted below in Table </w:t>
      </w:r>
      <w:r w:rsidR="00DE3EC8">
        <w:rPr>
          <w:rFonts w:cstheme="minorHAnsi"/>
        </w:rPr>
        <w:t>4</w:t>
      </w:r>
      <w:r w:rsidR="00275221">
        <w:rPr>
          <w:rFonts w:cstheme="minorHAnsi"/>
        </w:rPr>
        <w:t>.</w:t>
      </w:r>
    </w:p>
    <w:p w14:paraId="19D281C4" w14:textId="7059BA7F" w:rsidR="0023289B" w:rsidRDefault="0023289B" w:rsidP="0023289B">
      <w:pPr>
        <w:pStyle w:val="Caption"/>
        <w:rPr>
          <w:rFonts w:cstheme="minorHAnsi"/>
        </w:rPr>
      </w:pPr>
      <w:r>
        <w:t xml:space="preserve">Table </w:t>
      </w:r>
      <w:r w:rsidR="009C48A0">
        <w:rPr>
          <w:noProof/>
        </w:rPr>
        <w:fldChar w:fldCharType="begin"/>
      </w:r>
      <w:r w:rsidR="009C48A0">
        <w:rPr>
          <w:noProof/>
        </w:rPr>
        <w:instrText xml:space="preserve"> SEQ Table \* ARABIC </w:instrText>
      </w:r>
      <w:r w:rsidR="009C48A0">
        <w:rPr>
          <w:noProof/>
        </w:rPr>
        <w:fldChar w:fldCharType="separate"/>
      </w:r>
      <w:r w:rsidR="008F3E6B">
        <w:rPr>
          <w:noProof/>
        </w:rPr>
        <w:t>4</w:t>
      </w:r>
      <w:r w:rsidR="009C48A0">
        <w:rPr>
          <w:noProof/>
        </w:rPr>
        <w:fldChar w:fldCharType="end"/>
      </w:r>
      <w:r>
        <w:t xml:space="preserve">: Distribution of </w:t>
      </w:r>
      <w:r w:rsidR="00F11557">
        <w:t>r</w:t>
      </w:r>
      <w:r>
        <w:t xml:space="preserve">oofless </w:t>
      </w:r>
      <w:r w:rsidR="00F11557">
        <w:t>i</w:t>
      </w:r>
      <w:r>
        <w:t xml:space="preserve">ndividuals </w:t>
      </w:r>
      <w:r w:rsidR="00F11557">
        <w:t>a</w:t>
      </w:r>
      <w:r>
        <w:t xml:space="preserve">ccording to </w:t>
      </w:r>
      <w:r w:rsidR="00F11557">
        <w:t>m</w:t>
      </w:r>
      <w:r>
        <w:t xml:space="preserve">unicipalities </w:t>
      </w:r>
      <w:r w:rsidR="00593D82">
        <w:t>(</w:t>
      </w:r>
      <w:r w:rsidR="00F11557">
        <w:rPr>
          <w:rFonts w:cstheme="minorHAnsi"/>
        </w:rPr>
        <w:t>data for Tbilisi not available yet)</w:t>
      </w:r>
    </w:p>
    <w:tbl>
      <w:tblPr>
        <w:tblStyle w:val="GridTable1Light-Accent1"/>
        <w:tblW w:w="9296" w:type="dxa"/>
        <w:tblLook w:val="04A0" w:firstRow="1" w:lastRow="0" w:firstColumn="1" w:lastColumn="0" w:noHBand="0" w:noVBand="1"/>
      </w:tblPr>
      <w:tblGrid>
        <w:gridCol w:w="6489"/>
        <w:gridCol w:w="2807"/>
      </w:tblGrid>
      <w:tr w:rsidR="0023289B" w:rsidRPr="0023289B" w14:paraId="30954F2A" w14:textId="77777777" w:rsidTr="008711CE">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489" w:type="dxa"/>
            <w:shd w:val="clear" w:color="auto" w:fill="002060"/>
            <w:noWrap/>
            <w:vAlign w:val="center"/>
            <w:hideMark/>
          </w:tcPr>
          <w:p w14:paraId="7C2ED889" w14:textId="66B13812" w:rsidR="0023289B" w:rsidRPr="008711CE" w:rsidRDefault="0023289B" w:rsidP="008711CE">
            <w:pPr>
              <w:jc w:val="center"/>
              <w:rPr>
                <w:rFonts w:ascii="Calibri" w:eastAsia="Times New Roman" w:hAnsi="Calibri" w:cs="Calibri"/>
                <w:color w:val="FFFFFF" w:themeColor="background1"/>
              </w:rPr>
            </w:pPr>
            <w:r w:rsidRPr="008711CE">
              <w:rPr>
                <w:rFonts w:ascii="Calibri" w:eastAsia="Times New Roman" w:hAnsi="Calibri" w:cs="Calibri"/>
                <w:color w:val="FFFFFF" w:themeColor="background1"/>
              </w:rPr>
              <w:t>Municipalities</w:t>
            </w:r>
          </w:p>
        </w:tc>
        <w:tc>
          <w:tcPr>
            <w:tcW w:w="2807" w:type="dxa"/>
            <w:shd w:val="clear" w:color="auto" w:fill="002060"/>
            <w:noWrap/>
            <w:vAlign w:val="center"/>
            <w:hideMark/>
          </w:tcPr>
          <w:p w14:paraId="2C360CC9" w14:textId="77777777" w:rsidR="0023289B" w:rsidRPr="008711CE" w:rsidRDefault="0023289B" w:rsidP="008711C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8711CE">
              <w:rPr>
                <w:rFonts w:ascii="Calibri" w:eastAsia="Times New Roman" w:hAnsi="Calibri" w:cs="Calibri"/>
                <w:color w:val="FFFFFF" w:themeColor="background1"/>
              </w:rPr>
              <w:t>Shares</w:t>
            </w:r>
          </w:p>
        </w:tc>
      </w:tr>
      <w:tr w:rsidR="0023289B" w:rsidRPr="0023289B" w14:paraId="3A0FF490"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6B0AD76C" w14:textId="77777777" w:rsidR="0023289B" w:rsidRPr="009C75E6" w:rsidRDefault="0023289B" w:rsidP="0023289B">
            <w:pPr>
              <w:jc w:val="center"/>
              <w:rPr>
                <w:rFonts w:ascii="Calibri" w:eastAsia="Times New Roman" w:hAnsi="Calibri" w:cs="Calibri"/>
                <w:b w:val="0"/>
                <w:color w:val="000000"/>
              </w:rPr>
            </w:pPr>
            <w:proofErr w:type="spellStart"/>
            <w:r w:rsidRPr="009C75E6">
              <w:rPr>
                <w:rFonts w:ascii="Calibri" w:eastAsia="Times New Roman" w:hAnsi="Calibri" w:cs="Calibri"/>
                <w:b w:val="0"/>
                <w:color w:val="000000"/>
              </w:rPr>
              <w:t>Mestia</w:t>
            </w:r>
            <w:proofErr w:type="spellEnd"/>
          </w:p>
        </w:tc>
        <w:tc>
          <w:tcPr>
            <w:tcW w:w="2807" w:type="dxa"/>
            <w:noWrap/>
            <w:hideMark/>
          </w:tcPr>
          <w:p w14:paraId="19F729EC"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62.4%</w:t>
            </w:r>
          </w:p>
        </w:tc>
      </w:tr>
      <w:tr w:rsidR="0023289B" w:rsidRPr="0023289B" w14:paraId="1ECA5632"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11260A23" w14:textId="77777777" w:rsidR="0023289B" w:rsidRPr="009C75E6" w:rsidRDefault="0023289B" w:rsidP="0023289B">
            <w:pPr>
              <w:jc w:val="center"/>
              <w:rPr>
                <w:rFonts w:ascii="Calibri" w:eastAsia="Times New Roman" w:hAnsi="Calibri" w:cs="Calibri"/>
                <w:b w:val="0"/>
                <w:color w:val="000000"/>
              </w:rPr>
            </w:pPr>
            <w:r w:rsidRPr="009C75E6">
              <w:rPr>
                <w:rFonts w:ascii="Calibri" w:eastAsia="Times New Roman" w:hAnsi="Calibri" w:cs="Calibri"/>
                <w:b w:val="0"/>
                <w:color w:val="000000"/>
              </w:rPr>
              <w:t>Kutaisi</w:t>
            </w:r>
          </w:p>
        </w:tc>
        <w:tc>
          <w:tcPr>
            <w:tcW w:w="2807" w:type="dxa"/>
            <w:noWrap/>
            <w:hideMark/>
          </w:tcPr>
          <w:p w14:paraId="7B5FA1AD" w14:textId="181D1EF2"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16.</w:t>
            </w:r>
            <w:r w:rsidR="008F3B44">
              <w:rPr>
                <w:rFonts w:ascii="Calibri" w:eastAsia="Times New Roman" w:hAnsi="Calibri" w:cs="Calibri"/>
                <w:color w:val="000000"/>
              </w:rPr>
              <w:t>4</w:t>
            </w:r>
            <w:r w:rsidRPr="0023289B">
              <w:rPr>
                <w:rFonts w:ascii="Calibri" w:eastAsia="Times New Roman" w:hAnsi="Calibri" w:cs="Calibri"/>
                <w:color w:val="000000"/>
              </w:rPr>
              <w:t>%</w:t>
            </w:r>
          </w:p>
        </w:tc>
      </w:tr>
      <w:tr w:rsidR="0023289B" w:rsidRPr="0023289B" w14:paraId="0A4043E8"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535988D1" w14:textId="03F9EAFA" w:rsidR="0023289B" w:rsidRPr="009C75E6" w:rsidRDefault="0023289B" w:rsidP="0023289B">
            <w:pPr>
              <w:jc w:val="center"/>
              <w:rPr>
                <w:rFonts w:ascii="Calibri" w:eastAsia="Times New Roman" w:hAnsi="Calibri" w:cs="Calibri"/>
                <w:b w:val="0"/>
                <w:color w:val="000000"/>
              </w:rPr>
            </w:pPr>
            <w:proofErr w:type="spellStart"/>
            <w:r w:rsidRPr="009C75E6">
              <w:rPr>
                <w:rFonts w:ascii="Calibri" w:eastAsia="Times New Roman" w:hAnsi="Calibri" w:cs="Calibri"/>
                <w:b w:val="0"/>
                <w:color w:val="000000"/>
              </w:rPr>
              <w:t>Khashuri</w:t>
            </w:r>
            <w:proofErr w:type="spellEnd"/>
            <w:r w:rsidRPr="009C75E6">
              <w:rPr>
                <w:rFonts w:ascii="Calibri" w:eastAsia="Times New Roman" w:hAnsi="Calibri" w:cs="Calibri"/>
                <w:b w:val="0"/>
                <w:color w:val="000000"/>
              </w:rPr>
              <w:t xml:space="preserve"> </w:t>
            </w:r>
          </w:p>
        </w:tc>
        <w:tc>
          <w:tcPr>
            <w:tcW w:w="2807" w:type="dxa"/>
            <w:noWrap/>
            <w:hideMark/>
          </w:tcPr>
          <w:p w14:paraId="2CE28CCC"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6.9%</w:t>
            </w:r>
          </w:p>
        </w:tc>
      </w:tr>
      <w:tr w:rsidR="0023289B" w:rsidRPr="0023289B" w14:paraId="40D49066"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5E79CDEE" w14:textId="25B82FD2" w:rsidR="0023289B" w:rsidRPr="009C75E6" w:rsidRDefault="0023289B" w:rsidP="0023289B">
            <w:pPr>
              <w:jc w:val="center"/>
              <w:rPr>
                <w:rFonts w:ascii="Calibri" w:eastAsia="Times New Roman" w:hAnsi="Calibri" w:cs="Calibri"/>
                <w:b w:val="0"/>
                <w:color w:val="000000"/>
              </w:rPr>
            </w:pPr>
            <w:r w:rsidRPr="009C75E6">
              <w:rPr>
                <w:rFonts w:ascii="Calibri" w:eastAsia="Times New Roman" w:hAnsi="Calibri" w:cs="Calibri"/>
                <w:b w:val="0"/>
                <w:color w:val="000000"/>
              </w:rPr>
              <w:t xml:space="preserve">Marneuli </w:t>
            </w:r>
          </w:p>
        </w:tc>
        <w:tc>
          <w:tcPr>
            <w:tcW w:w="2807" w:type="dxa"/>
            <w:noWrap/>
            <w:hideMark/>
          </w:tcPr>
          <w:p w14:paraId="01DE1B93"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4.6%</w:t>
            </w:r>
          </w:p>
        </w:tc>
      </w:tr>
      <w:tr w:rsidR="0023289B" w:rsidRPr="0023289B" w14:paraId="78E06EEE"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35B46329" w14:textId="260F4B34" w:rsidR="0023289B" w:rsidRPr="009C75E6" w:rsidRDefault="0023289B" w:rsidP="0023289B">
            <w:pPr>
              <w:jc w:val="center"/>
              <w:rPr>
                <w:rFonts w:ascii="Calibri" w:eastAsia="Times New Roman" w:hAnsi="Calibri" w:cs="Calibri"/>
                <w:b w:val="0"/>
                <w:color w:val="000000"/>
              </w:rPr>
            </w:pPr>
            <w:r w:rsidRPr="009C75E6">
              <w:rPr>
                <w:rFonts w:ascii="Calibri" w:eastAsia="Times New Roman" w:hAnsi="Calibri" w:cs="Calibri"/>
                <w:b w:val="0"/>
                <w:color w:val="000000"/>
              </w:rPr>
              <w:t xml:space="preserve">Rustavi </w:t>
            </w:r>
          </w:p>
        </w:tc>
        <w:tc>
          <w:tcPr>
            <w:tcW w:w="2807" w:type="dxa"/>
            <w:noWrap/>
            <w:hideMark/>
          </w:tcPr>
          <w:p w14:paraId="644CFF06"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4.4%</w:t>
            </w:r>
          </w:p>
        </w:tc>
      </w:tr>
      <w:tr w:rsidR="0023289B" w:rsidRPr="0023289B" w14:paraId="6572C2CE"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550C93ED" w14:textId="77777777" w:rsidR="0023289B" w:rsidRPr="009C75E6" w:rsidRDefault="0023289B" w:rsidP="0023289B">
            <w:pPr>
              <w:jc w:val="center"/>
              <w:rPr>
                <w:rFonts w:ascii="Calibri" w:eastAsia="Times New Roman" w:hAnsi="Calibri" w:cs="Calibri"/>
                <w:b w:val="0"/>
                <w:color w:val="000000"/>
              </w:rPr>
            </w:pPr>
            <w:proofErr w:type="spellStart"/>
            <w:r w:rsidRPr="009C75E6">
              <w:rPr>
                <w:rFonts w:ascii="Calibri" w:eastAsia="Times New Roman" w:hAnsi="Calibri" w:cs="Calibri"/>
                <w:b w:val="0"/>
                <w:color w:val="000000"/>
              </w:rPr>
              <w:t>Gurjaani</w:t>
            </w:r>
            <w:proofErr w:type="spellEnd"/>
          </w:p>
        </w:tc>
        <w:tc>
          <w:tcPr>
            <w:tcW w:w="2807" w:type="dxa"/>
            <w:noWrap/>
            <w:hideMark/>
          </w:tcPr>
          <w:p w14:paraId="5E93C17D"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3.0%</w:t>
            </w:r>
          </w:p>
        </w:tc>
      </w:tr>
      <w:tr w:rsidR="0023289B" w:rsidRPr="0023289B" w14:paraId="304DF3D0"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7EA85656" w14:textId="33C4E168" w:rsidR="0023289B" w:rsidRPr="009C75E6" w:rsidRDefault="0023289B" w:rsidP="0023289B">
            <w:pPr>
              <w:jc w:val="center"/>
              <w:rPr>
                <w:rFonts w:ascii="Calibri" w:eastAsia="Times New Roman" w:hAnsi="Calibri" w:cs="Calibri"/>
                <w:b w:val="0"/>
                <w:color w:val="000000"/>
              </w:rPr>
            </w:pPr>
            <w:proofErr w:type="spellStart"/>
            <w:r w:rsidRPr="009C75E6">
              <w:rPr>
                <w:rFonts w:ascii="Calibri" w:eastAsia="Times New Roman" w:hAnsi="Calibri" w:cs="Calibri"/>
                <w:b w:val="0"/>
                <w:color w:val="000000"/>
              </w:rPr>
              <w:t>Poti</w:t>
            </w:r>
            <w:proofErr w:type="spellEnd"/>
            <w:r w:rsidRPr="009C75E6">
              <w:rPr>
                <w:rFonts w:ascii="Calibri" w:eastAsia="Times New Roman" w:hAnsi="Calibri" w:cs="Calibri"/>
                <w:b w:val="0"/>
                <w:color w:val="000000"/>
              </w:rPr>
              <w:t xml:space="preserve"> </w:t>
            </w:r>
          </w:p>
        </w:tc>
        <w:tc>
          <w:tcPr>
            <w:tcW w:w="2807" w:type="dxa"/>
            <w:noWrap/>
            <w:hideMark/>
          </w:tcPr>
          <w:p w14:paraId="1B052AF7"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1.4%</w:t>
            </w:r>
          </w:p>
        </w:tc>
      </w:tr>
      <w:tr w:rsidR="0023289B" w:rsidRPr="0023289B" w14:paraId="279CF30A"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398F413D" w14:textId="2308329E" w:rsidR="0023289B" w:rsidRPr="009C75E6" w:rsidRDefault="0023289B" w:rsidP="0023289B">
            <w:pPr>
              <w:jc w:val="center"/>
              <w:rPr>
                <w:rFonts w:ascii="Calibri" w:eastAsia="Times New Roman" w:hAnsi="Calibri" w:cs="Calibri"/>
                <w:b w:val="0"/>
                <w:color w:val="000000"/>
              </w:rPr>
            </w:pPr>
            <w:proofErr w:type="spellStart"/>
            <w:r w:rsidRPr="009C75E6">
              <w:rPr>
                <w:rFonts w:ascii="Calibri" w:eastAsia="Times New Roman" w:hAnsi="Calibri" w:cs="Calibri"/>
                <w:b w:val="0"/>
                <w:color w:val="000000"/>
              </w:rPr>
              <w:t>Lagodekhi</w:t>
            </w:r>
            <w:proofErr w:type="spellEnd"/>
            <w:r w:rsidRPr="009C75E6">
              <w:rPr>
                <w:rFonts w:ascii="Calibri" w:eastAsia="Times New Roman" w:hAnsi="Calibri" w:cs="Calibri"/>
                <w:b w:val="0"/>
                <w:color w:val="000000"/>
              </w:rPr>
              <w:t xml:space="preserve"> </w:t>
            </w:r>
          </w:p>
        </w:tc>
        <w:tc>
          <w:tcPr>
            <w:tcW w:w="2807" w:type="dxa"/>
            <w:noWrap/>
            <w:hideMark/>
          </w:tcPr>
          <w:p w14:paraId="47C6905C"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0.4%</w:t>
            </w:r>
          </w:p>
        </w:tc>
      </w:tr>
      <w:tr w:rsidR="0023289B" w:rsidRPr="0023289B" w14:paraId="549E634D"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4B248366" w14:textId="77777777" w:rsidR="0023289B" w:rsidRPr="009C75E6" w:rsidRDefault="0023289B" w:rsidP="0023289B">
            <w:pPr>
              <w:jc w:val="center"/>
              <w:rPr>
                <w:rFonts w:ascii="Calibri" w:eastAsia="Times New Roman" w:hAnsi="Calibri" w:cs="Calibri"/>
                <w:b w:val="0"/>
                <w:color w:val="000000"/>
              </w:rPr>
            </w:pPr>
            <w:proofErr w:type="spellStart"/>
            <w:r w:rsidRPr="009C75E6">
              <w:rPr>
                <w:rFonts w:ascii="Calibri" w:eastAsia="Times New Roman" w:hAnsi="Calibri" w:cs="Calibri"/>
                <w:b w:val="0"/>
                <w:color w:val="000000"/>
              </w:rPr>
              <w:t>Lentekhi</w:t>
            </w:r>
            <w:proofErr w:type="spellEnd"/>
          </w:p>
        </w:tc>
        <w:tc>
          <w:tcPr>
            <w:tcW w:w="2807" w:type="dxa"/>
            <w:noWrap/>
            <w:hideMark/>
          </w:tcPr>
          <w:p w14:paraId="52D1C5CE"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0.3%</w:t>
            </w:r>
          </w:p>
        </w:tc>
      </w:tr>
      <w:tr w:rsidR="0023289B" w:rsidRPr="0023289B" w14:paraId="645DF953" w14:textId="77777777" w:rsidTr="00454C26">
        <w:trPr>
          <w:trHeight w:val="390"/>
        </w:trPr>
        <w:tc>
          <w:tcPr>
            <w:cnfStyle w:val="001000000000" w:firstRow="0" w:lastRow="0" w:firstColumn="1" w:lastColumn="0" w:oddVBand="0" w:evenVBand="0" w:oddHBand="0" w:evenHBand="0" w:firstRowFirstColumn="0" w:firstRowLastColumn="0" w:lastRowFirstColumn="0" w:lastRowLastColumn="0"/>
            <w:tcW w:w="6489" w:type="dxa"/>
            <w:noWrap/>
            <w:hideMark/>
          </w:tcPr>
          <w:p w14:paraId="5B54574A" w14:textId="0C8A9717" w:rsidR="0023289B" w:rsidRPr="009C75E6" w:rsidRDefault="0023289B" w:rsidP="0023289B">
            <w:pPr>
              <w:jc w:val="center"/>
              <w:rPr>
                <w:rFonts w:ascii="Calibri" w:eastAsia="Times New Roman" w:hAnsi="Calibri" w:cs="Calibri"/>
                <w:b w:val="0"/>
                <w:color w:val="000000"/>
              </w:rPr>
            </w:pPr>
            <w:proofErr w:type="spellStart"/>
            <w:r w:rsidRPr="009C75E6">
              <w:rPr>
                <w:rFonts w:ascii="Calibri" w:eastAsia="Times New Roman" w:hAnsi="Calibri" w:cs="Calibri"/>
                <w:b w:val="0"/>
                <w:color w:val="000000"/>
              </w:rPr>
              <w:t>Kharagauli</w:t>
            </w:r>
            <w:proofErr w:type="spellEnd"/>
            <w:r w:rsidRPr="009C75E6">
              <w:rPr>
                <w:rFonts w:ascii="Calibri" w:eastAsia="Times New Roman" w:hAnsi="Calibri" w:cs="Calibri"/>
                <w:b w:val="0"/>
                <w:color w:val="000000"/>
              </w:rPr>
              <w:t xml:space="preserve"> </w:t>
            </w:r>
          </w:p>
        </w:tc>
        <w:tc>
          <w:tcPr>
            <w:tcW w:w="2807" w:type="dxa"/>
            <w:noWrap/>
            <w:hideMark/>
          </w:tcPr>
          <w:p w14:paraId="4DA59550" w14:textId="77777777" w:rsidR="0023289B" w:rsidRPr="0023289B" w:rsidRDefault="0023289B" w:rsidP="002328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23289B">
              <w:rPr>
                <w:rFonts w:ascii="Calibri" w:eastAsia="Times New Roman" w:hAnsi="Calibri" w:cs="Calibri"/>
                <w:color w:val="000000"/>
              </w:rPr>
              <w:t>0.2%</w:t>
            </w:r>
          </w:p>
        </w:tc>
      </w:tr>
    </w:tbl>
    <w:p w14:paraId="0B31853A" w14:textId="271B0EDA" w:rsidR="00FC1C5D" w:rsidRPr="009E6455" w:rsidRDefault="006B1DDE" w:rsidP="00976D0B">
      <w:pPr>
        <w:jc w:val="both"/>
        <w:rPr>
          <w:rFonts w:cstheme="minorHAnsi"/>
        </w:rPr>
      </w:pPr>
      <w:r w:rsidRPr="00C510FB">
        <w:rPr>
          <w:i/>
          <w:iCs/>
          <w:color w:val="44546A" w:themeColor="text2"/>
          <w:sz w:val="18"/>
          <w:szCs w:val="18"/>
        </w:rPr>
        <w:t xml:space="preserve">Source: </w:t>
      </w:r>
      <w:r w:rsidR="004360B9">
        <w:rPr>
          <w:i/>
          <w:iCs/>
          <w:color w:val="44546A" w:themeColor="text2"/>
          <w:sz w:val="18"/>
          <w:szCs w:val="18"/>
        </w:rPr>
        <w:t xml:space="preserve">Local </w:t>
      </w:r>
      <w:r w:rsidRPr="00C510FB">
        <w:rPr>
          <w:i/>
          <w:iCs/>
          <w:color w:val="44546A" w:themeColor="text2"/>
          <w:sz w:val="18"/>
          <w:szCs w:val="18"/>
        </w:rPr>
        <w:t>Municipalities</w:t>
      </w:r>
    </w:p>
    <w:p w14:paraId="068D9E47" w14:textId="7B320F20" w:rsidR="00082663" w:rsidRPr="006066AB" w:rsidRDefault="00082663" w:rsidP="006066AB">
      <w:pPr>
        <w:jc w:val="both"/>
        <w:rPr>
          <w:b/>
          <w:bCs/>
        </w:rPr>
      </w:pPr>
      <w:r w:rsidRPr="006066AB">
        <w:rPr>
          <w:b/>
          <w:bCs/>
        </w:rPr>
        <w:t>Homeless</w:t>
      </w:r>
    </w:p>
    <w:p w14:paraId="01FDACA4" w14:textId="6F18DA83" w:rsidR="00082663" w:rsidRPr="00427EB2" w:rsidRDefault="00082663" w:rsidP="00976D0B">
      <w:pPr>
        <w:jc w:val="both"/>
      </w:pPr>
      <w:r>
        <w:t xml:space="preserve">This category includes </w:t>
      </w:r>
      <w:r w:rsidR="0015491A">
        <w:t xml:space="preserve">individuals </w:t>
      </w:r>
      <w:r>
        <w:t xml:space="preserve">who live in </w:t>
      </w:r>
      <w:r w:rsidRPr="00427EB2">
        <w:t>homeless hostel, women shelter accommodation, temporary accommodation</w:t>
      </w:r>
      <w:r w:rsidR="0015491A" w:rsidRPr="00427EB2">
        <w:t>s</w:t>
      </w:r>
      <w:r w:rsidRPr="00427EB2">
        <w:t xml:space="preserve">/reception centers, </w:t>
      </w:r>
      <w:r w:rsidR="0015491A" w:rsidRPr="00427EB2">
        <w:t>migrant worker accommodations, penal, medical and children’s institutions</w:t>
      </w:r>
      <w:r w:rsidR="00DE3EC8">
        <w:t>.</w:t>
      </w:r>
      <w:r w:rsidR="0015491A" w:rsidRPr="00427EB2">
        <w:t xml:space="preserve"> In addition</w:t>
      </w:r>
      <w:r w:rsidR="00FF597A">
        <w:t>, this category includes:</w:t>
      </w:r>
      <w:r w:rsidR="0015491A" w:rsidRPr="00427EB2">
        <w:t xml:space="preserve"> homeless elder people, or elders who were formerly homeless and are receiving supported accommodation</w:t>
      </w:r>
      <w:r w:rsidR="00DE3EC8">
        <w:t>.</w:t>
      </w:r>
    </w:p>
    <w:p w14:paraId="043C1168" w14:textId="2783B84C" w:rsidR="00A52288" w:rsidRDefault="00A52288" w:rsidP="00976D0B">
      <w:pPr>
        <w:jc w:val="both"/>
      </w:pPr>
      <w:r w:rsidRPr="00427EB2">
        <w:t>According to the available information</w:t>
      </w:r>
      <w:r w:rsidR="007437E8">
        <w:t>,</w:t>
      </w:r>
      <w:r w:rsidRPr="00427EB2">
        <w:t xml:space="preserve"> there do not exist any homeless hostels in Georgia</w:t>
      </w:r>
      <w:r w:rsidR="00DE3EC8">
        <w:t>.</w:t>
      </w:r>
    </w:p>
    <w:p w14:paraId="0F746E78" w14:textId="7D942DDB" w:rsidR="00A52288" w:rsidRDefault="00A52288" w:rsidP="00976D0B">
      <w:pPr>
        <w:jc w:val="both"/>
      </w:pPr>
      <w:r>
        <w:t xml:space="preserve">As for </w:t>
      </w:r>
      <w:r w:rsidRPr="006066AB">
        <w:rPr>
          <w:b/>
          <w:bCs/>
          <w:i/>
          <w:iCs/>
        </w:rPr>
        <w:t>people who live in temporary accommodations</w:t>
      </w:r>
      <w:r w:rsidR="00F52F47" w:rsidRPr="006066AB">
        <w:rPr>
          <w:b/>
          <w:bCs/>
          <w:i/>
          <w:iCs/>
        </w:rPr>
        <w:t>/ reception centers</w:t>
      </w:r>
      <w:r>
        <w:t>, there are several forms offered by municipalities, such as renting houses, providing so called living spac</w:t>
      </w:r>
      <w:r w:rsidR="00F52F47">
        <w:t>es,</w:t>
      </w:r>
      <w:r>
        <w:t xml:space="preserve"> shelters</w:t>
      </w:r>
      <w:r w:rsidR="00D3454B">
        <w:t xml:space="preserve"> and social houses</w:t>
      </w:r>
      <w:r w:rsidR="003E0E70">
        <w:t>.</w:t>
      </w:r>
    </w:p>
    <w:p w14:paraId="729BE704" w14:textId="7F1696A8" w:rsidR="007E51F6" w:rsidRDefault="00F52F47" w:rsidP="00976D0B">
      <w:pPr>
        <w:jc w:val="both"/>
      </w:pPr>
      <w:r>
        <w:t>Based on the up-to date municipal</w:t>
      </w:r>
      <w:r w:rsidR="0010531E">
        <w:rPr>
          <w:rStyle w:val="FootnoteReference"/>
        </w:rPr>
        <w:footnoteReference w:id="28"/>
      </w:r>
      <w:r>
        <w:t xml:space="preserve"> level data</w:t>
      </w:r>
      <w:r w:rsidR="00840F80">
        <w:t xml:space="preserve"> </w:t>
      </w:r>
      <w:r w:rsidR="00A52809">
        <w:t>5</w:t>
      </w:r>
      <w:r w:rsidR="00D973EE">
        <w:t>35</w:t>
      </w:r>
      <w:r w:rsidR="00D42603">
        <w:t xml:space="preserve"> household</w:t>
      </w:r>
      <w:r w:rsidR="00694FEE">
        <w:t>s</w:t>
      </w:r>
      <w:r w:rsidR="005C28A9">
        <w:rPr>
          <w:lang w:val="ka-GE"/>
        </w:rPr>
        <w:t xml:space="preserve"> </w:t>
      </w:r>
      <w:r w:rsidR="005C28A9" w:rsidRPr="00C510FB">
        <w:rPr>
          <w:rFonts w:cstheme="minorHAnsi"/>
        </w:rPr>
        <w:t>(</w:t>
      </w:r>
      <w:r w:rsidR="005C28A9">
        <w:rPr>
          <w:rFonts w:cstheme="minorHAnsi"/>
          <w:lang w:val="ka-GE"/>
        </w:rPr>
        <w:t>0</w:t>
      </w:r>
      <w:r w:rsidR="005C28A9">
        <w:rPr>
          <w:rFonts w:cstheme="minorHAnsi"/>
        </w:rPr>
        <w:t>.07</w:t>
      </w:r>
      <w:r w:rsidR="005C28A9">
        <w:rPr>
          <w:rFonts w:cstheme="minorHAnsi"/>
          <w:lang w:val="ka-GE"/>
        </w:rPr>
        <w:t xml:space="preserve">% </w:t>
      </w:r>
      <w:r w:rsidR="005C28A9" w:rsidRPr="00C510FB">
        <w:rPr>
          <w:rFonts w:cstheme="minorHAnsi"/>
        </w:rPr>
        <w:t>of total households in Georgia)</w:t>
      </w:r>
      <w:r w:rsidR="00185C7C">
        <w:t xml:space="preserve"> </w:t>
      </w:r>
      <w:r w:rsidR="00D42603">
        <w:t xml:space="preserve">and </w:t>
      </w:r>
      <w:r w:rsidR="00D973EE">
        <w:t>1</w:t>
      </w:r>
      <w:r w:rsidR="003D74BE">
        <w:rPr>
          <w:rFonts w:ascii="Sylfaen" w:hAnsi="Sylfaen"/>
          <w:lang w:val="ka-GE"/>
        </w:rPr>
        <w:t>,</w:t>
      </w:r>
      <w:r w:rsidR="00D973EE">
        <w:t xml:space="preserve">526 </w:t>
      </w:r>
      <w:r w:rsidR="00840F80">
        <w:t xml:space="preserve"> </w:t>
      </w:r>
      <w:r w:rsidR="00D42603">
        <w:t>individual</w:t>
      </w:r>
      <w:r w:rsidR="00185C7C">
        <w:t xml:space="preserve"> </w:t>
      </w:r>
      <w:r w:rsidR="00D42603">
        <w:t>beneficiaries</w:t>
      </w:r>
      <w:r w:rsidR="005C28A9">
        <w:rPr>
          <w:lang w:val="ka-GE"/>
        </w:rPr>
        <w:t xml:space="preserve"> </w:t>
      </w:r>
      <w:r w:rsidR="005C28A9" w:rsidRPr="00C510FB">
        <w:rPr>
          <w:rFonts w:cstheme="minorHAnsi"/>
        </w:rPr>
        <w:t>(</w:t>
      </w:r>
      <w:r w:rsidR="005C28A9">
        <w:rPr>
          <w:rFonts w:cstheme="minorHAnsi"/>
        </w:rPr>
        <w:t xml:space="preserve">0.019% </w:t>
      </w:r>
      <w:r w:rsidR="005C28A9" w:rsidRPr="00C510FB">
        <w:rPr>
          <w:rFonts w:cstheme="minorHAnsi"/>
        </w:rPr>
        <w:t xml:space="preserve">of the total population) </w:t>
      </w:r>
      <w:r w:rsidR="00085A99">
        <w:t>were identified living in temporary accommodations</w:t>
      </w:r>
      <w:r w:rsidR="00085A99">
        <w:rPr>
          <w:rStyle w:val="FootnoteReference"/>
        </w:rPr>
        <w:footnoteReference w:id="29"/>
      </w:r>
      <w:r w:rsidR="00085A99">
        <w:t xml:space="preserve"> </w:t>
      </w:r>
      <w:r w:rsidR="00EE5BB4">
        <w:t xml:space="preserve">As it can be seen on Figure </w:t>
      </w:r>
      <w:r w:rsidR="00503BE2">
        <w:t>19</w:t>
      </w:r>
      <w:r w:rsidR="004B0098">
        <w:t>, 4</w:t>
      </w:r>
      <w:r w:rsidR="009E07EC">
        <w:t>0.3</w:t>
      </w:r>
      <w:r w:rsidR="00085A99">
        <w:t>% of households</w:t>
      </w:r>
      <w:r w:rsidR="00A73E4C">
        <w:t xml:space="preserve"> in temporary accommodations</w:t>
      </w:r>
      <w:r w:rsidR="004B0098">
        <w:t xml:space="preserve"> live in rented houses provided by municipalities, 3</w:t>
      </w:r>
      <w:r w:rsidR="009E07EC">
        <w:t>5.2</w:t>
      </w:r>
      <w:r w:rsidR="004B0098">
        <w:t>% in social houses, 1</w:t>
      </w:r>
      <w:r w:rsidR="009E07EC">
        <w:t>5.2</w:t>
      </w:r>
      <w:r w:rsidR="004B0098">
        <w:t xml:space="preserve"> % in shelters and </w:t>
      </w:r>
      <w:r w:rsidR="009E07EC">
        <w:t>9.3</w:t>
      </w:r>
      <w:r w:rsidR="004B0098">
        <w:t>% in not clearly defined so called living spaces</w:t>
      </w:r>
      <w:r w:rsidR="00503BE2">
        <w:t>. As for individuals,</w:t>
      </w:r>
      <w:r w:rsidR="004B0098">
        <w:t xml:space="preserve"> </w:t>
      </w:r>
      <w:r w:rsidR="009E07EC">
        <w:t>28.9</w:t>
      </w:r>
      <w:r w:rsidR="00085A99">
        <w:t xml:space="preserve">% of </w:t>
      </w:r>
      <w:r w:rsidR="00503BE2">
        <w:t xml:space="preserve">them </w:t>
      </w:r>
      <w:r w:rsidR="00085A99">
        <w:t xml:space="preserve">live in social houses, </w:t>
      </w:r>
      <w:r w:rsidR="009E07EC">
        <w:t>3</w:t>
      </w:r>
      <w:r w:rsidR="00085A99">
        <w:t>2</w:t>
      </w:r>
      <w:r w:rsidR="009E07EC">
        <w:t>.4</w:t>
      </w:r>
      <w:r w:rsidR="00085A99">
        <w:t xml:space="preserve">% </w:t>
      </w:r>
      <w:r w:rsidR="00085A99">
        <w:lastRenderedPageBreak/>
        <w:t>in houses rented for ben</w:t>
      </w:r>
      <w:r w:rsidR="004B0098">
        <w:t xml:space="preserve">eficiaries by the </w:t>
      </w:r>
      <w:r w:rsidR="0010531E">
        <w:t>municipalities</w:t>
      </w:r>
      <w:r w:rsidR="00085A99">
        <w:t>, 2</w:t>
      </w:r>
      <w:r w:rsidR="009E07EC">
        <w:t>5.9</w:t>
      </w:r>
      <w:r w:rsidR="00085A99">
        <w:t xml:space="preserve">% </w:t>
      </w:r>
      <w:r w:rsidR="009E07EC">
        <w:t xml:space="preserve">in shelters, while </w:t>
      </w:r>
      <w:r w:rsidR="00085A99">
        <w:t>the lowest share</w:t>
      </w:r>
      <w:r w:rsidR="009E07EC">
        <w:t xml:space="preserve"> 3%</w:t>
      </w:r>
      <w:r w:rsidR="00085A99">
        <w:t xml:space="preserve"> come to so called living spaces</w:t>
      </w:r>
      <w:r w:rsidR="00503BE2">
        <w:t>.</w:t>
      </w:r>
    </w:p>
    <w:p w14:paraId="1A551E9A" w14:textId="338D3528" w:rsidR="00085A99" w:rsidRDefault="00131366" w:rsidP="00976D0B">
      <w:pPr>
        <w:pStyle w:val="Caption"/>
        <w:jc w:val="both"/>
      </w:pPr>
      <w:r>
        <w:rPr>
          <w:noProof/>
        </w:rPr>
        <w:drawing>
          <wp:anchor distT="0" distB="0" distL="114300" distR="114300" simplePos="0" relativeHeight="251721728" behindDoc="1" locked="0" layoutInCell="1" allowOverlap="1" wp14:anchorId="7D53026C" wp14:editId="4E02724F">
            <wp:simplePos x="0" y="0"/>
            <wp:positionH relativeFrom="margin">
              <wp:align>left</wp:align>
            </wp:positionH>
            <wp:positionV relativeFrom="paragraph">
              <wp:posOffset>268935</wp:posOffset>
            </wp:positionV>
            <wp:extent cx="2867025" cy="2712415"/>
            <wp:effectExtent l="0" t="0" r="9525" b="12065"/>
            <wp:wrapNone/>
            <wp:docPr id="40" name="Chart 40">
              <a:extLst xmlns:a="http://schemas.openxmlformats.org/drawingml/2006/main">
                <a:ext uri="{FF2B5EF4-FFF2-40B4-BE49-F238E27FC236}">
                  <a16:creationId xmlns:a16="http://schemas.microsoft.com/office/drawing/2014/main" id="{00000000-0008-0000-1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085A99">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19</w:t>
      </w:r>
      <w:r w:rsidR="006C3BD6">
        <w:rPr>
          <w:noProof/>
        </w:rPr>
        <w:fldChar w:fldCharType="end"/>
      </w:r>
      <w:r w:rsidR="00085A99">
        <w:t xml:space="preserve">: Distribution of </w:t>
      </w:r>
      <w:r w:rsidR="00F11557">
        <w:t>h</w:t>
      </w:r>
      <w:r w:rsidR="00D53B66">
        <w:t xml:space="preserve">omeless </w:t>
      </w:r>
      <w:r w:rsidR="00F11557">
        <w:t>h</w:t>
      </w:r>
      <w:r w:rsidR="00D53B66">
        <w:t>ouseholds</w:t>
      </w:r>
      <w:r>
        <w:t xml:space="preserve"> and </w:t>
      </w:r>
      <w:r w:rsidR="00F11557">
        <w:t>i</w:t>
      </w:r>
      <w:r>
        <w:t xml:space="preserve">ndividuals </w:t>
      </w:r>
      <w:r w:rsidR="00085A99">
        <w:t xml:space="preserve">in </w:t>
      </w:r>
      <w:r w:rsidR="00F11557">
        <w:t>t</w:t>
      </w:r>
      <w:r w:rsidR="00085A99">
        <w:t xml:space="preserve">emporary </w:t>
      </w:r>
      <w:r w:rsidR="00F11557">
        <w:t>a</w:t>
      </w:r>
      <w:r w:rsidR="00085A99">
        <w:t>ccommodations</w:t>
      </w:r>
    </w:p>
    <w:p w14:paraId="5D9C1119" w14:textId="770C6B9C" w:rsidR="00085A99" w:rsidRDefault="00131366" w:rsidP="00976D0B">
      <w:pPr>
        <w:jc w:val="both"/>
      </w:pPr>
      <w:r>
        <w:rPr>
          <w:noProof/>
        </w:rPr>
        <w:drawing>
          <wp:anchor distT="0" distB="0" distL="114300" distR="114300" simplePos="0" relativeHeight="251722752" behindDoc="1" locked="0" layoutInCell="1" allowOverlap="1" wp14:anchorId="0AFD15B5" wp14:editId="1215DEF4">
            <wp:simplePos x="0" y="0"/>
            <wp:positionH relativeFrom="margin">
              <wp:align>right</wp:align>
            </wp:positionH>
            <wp:positionV relativeFrom="paragraph">
              <wp:posOffset>6985</wp:posOffset>
            </wp:positionV>
            <wp:extent cx="2933700" cy="2705100"/>
            <wp:effectExtent l="0" t="0" r="0" b="0"/>
            <wp:wrapNone/>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13C99157" w14:textId="77777777" w:rsidR="00131366" w:rsidRDefault="00131366" w:rsidP="00976D0B">
      <w:pPr>
        <w:jc w:val="both"/>
        <w:rPr>
          <w:i/>
          <w:iCs/>
          <w:color w:val="44546A" w:themeColor="text2"/>
          <w:sz w:val="18"/>
          <w:szCs w:val="18"/>
        </w:rPr>
      </w:pPr>
    </w:p>
    <w:p w14:paraId="36D96330" w14:textId="77777777" w:rsidR="00131366" w:rsidRDefault="00131366" w:rsidP="00976D0B">
      <w:pPr>
        <w:jc w:val="both"/>
        <w:rPr>
          <w:i/>
          <w:iCs/>
          <w:color w:val="44546A" w:themeColor="text2"/>
          <w:sz w:val="18"/>
          <w:szCs w:val="18"/>
        </w:rPr>
      </w:pPr>
    </w:p>
    <w:p w14:paraId="4CBF0533" w14:textId="77777777" w:rsidR="00131366" w:rsidRDefault="00131366" w:rsidP="00976D0B">
      <w:pPr>
        <w:jc w:val="both"/>
        <w:rPr>
          <w:i/>
          <w:iCs/>
          <w:color w:val="44546A" w:themeColor="text2"/>
          <w:sz w:val="18"/>
          <w:szCs w:val="18"/>
        </w:rPr>
      </w:pPr>
    </w:p>
    <w:p w14:paraId="57374A6C" w14:textId="77777777" w:rsidR="00131366" w:rsidRDefault="00131366" w:rsidP="00976D0B">
      <w:pPr>
        <w:jc w:val="both"/>
        <w:rPr>
          <w:i/>
          <w:iCs/>
          <w:color w:val="44546A" w:themeColor="text2"/>
          <w:sz w:val="18"/>
          <w:szCs w:val="18"/>
        </w:rPr>
      </w:pPr>
    </w:p>
    <w:p w14:paraId="7F2EE35A" w14:textId="77777777" w:rsidR="00131366" w:rsidRDefault="00131366" w:rsidP="00976D0B">
      <w:pPr>
        <w:jc w:val="both"/>
        <w:rPr>
          <w:i/>
          <w:iCs/>
          <w:color w:val="44546A" w:themeColor="text2"/>
          <w:sz w:val="18"/>
          <w:szCs w:val="18"/>
        </w:rPr>
      </w:pPr>
    </w:p>
    <w:p w14:paraId="44D4F6E5" w14:textId="77777777" w:rsidR="00131366" w:rsidRDefault="00131366" w:rsidP="00976D0B">
      <w:pPr>
        <w:jc w:val="both"/>
        <w:rPr>
          <w:i/>
          <w:iCs/>
          <w:color w:val="44546A" w:themeColor="text2"/>
          <w:sz w:val="18"/>
          <w:szCs w:val="18"/>
        </w:rPr>
      </w:pPr>
    </w:p>
    <w:p w14:paraId="39108B21" w14:textId="77777777" w:rsidR="00131366" w:rsidRDefault="00131366" w:rsidP="00976D0B">
      <w:pPr>
        <w:jc w:val="both"/>
        <w:rPr>
          <w:i/>
          <w:iCs/>
          <w:color w:val="44546A" w:themeColor="text2"/>
          <w:sz w:val="18"/>
          <w:szCs w:val="18"/>
        </w:rPr>
      </w:pPr>
    </w:p>
    <w:p w14:paraId="4AB645F5" w14:textId="77777777" w:rsidR="00131366" w:rsidRDefault="00131366" w:rsidP="00976D0B">
      <w:pPr>
        <w:jc w:val="both"/>
        <w:rPr>
          <w:i/>
          <w:iCs/>
          <w:color w:val="44546A" w:themeColor="text2"/>
          <w:sz w:val="18"/>
          <w:szCs w:val="18"/>
        </w:rPr>
      </w:pPr>
    </w:p>
    <w:p w14:paraId="4DA6A118" w14:textId="77777777" w:rsidR="00131366" w:rsidRDefault="00131366" w:rsidP="00976D0B">
      <w:pPr>
        <w:jc w:val="both"/>
        <w:rPr>
          <w:i/>
          <w:iCs/>
          <w:color w:val="44546A" w:themeColor="text2"/>
          <w:sz w:val="18"/>
          <w:szCs w:val="18"/>
        </w:rPr>
      </w:pPr>
    </w:p>
    <w:p w14:paraId="0C7EEE70" w14:textId="77777777" w:rsidR="00131366" w:rsidRDefault="00131366" w:rsidP="003A66C5">
      <w:pPr>
        <w:spacing w:after="0"/>
        <w:jc w:val="right"/>
        <w:rPr>
          <w:i/>
          <w:iCs/>
          <w:color w:val="44546A" w:themeColor="text2"/>
          <w:sz w:val="18"/>
          <w:szCs w:val="18"/>
        </w:rPr>
      </w:pPr>
    </w:p>
    <w:p w14:paraId="53FAA9B2" w14:textId="1D3C454D" w:rsidR="00181FF5" w:rsidRDefault="00181FF5" w:rsidP="00976D0B">
      <w:pPr>
        <w:jc w:val="both"/>
        <w:rPr>
          <w:i/>
          <w:iCs/>
          <w:color w:val="44546A" w:themeColor="text2"/>
          <w:sz w:val="18"/>
          <w:szCs w:val="18"/>
        </w:rPr>
      </w:pPr>
      <w:r w:rsidRPr="00C510FB">
        <w:rPr>
          <w:i/>
          <w:iCs/>
          <w:color w:val="44546A" w:themeColor="text2"/>
          <w:sz w:val="18"/>
          <w:szCs w:val="18"/>
        </w:rPr>
        <w:t xml:space="preserve">Source: </w:t>
      </w:r>
      <w:r w:rsidR="004360B9">
        <w:rPr>
          <w:i/>
          <w:iCs/>
          <w:color w:val="44546A" w:themeColor="text2"/>
          <w:sz w:val="18"/>
          <w:szCs w:val="18"/>
        </w:rPr>
        <w:t xml:space="preserve">Local </w:t>
      </w:r>
      <w:r w:rsidRPr="00C510FB">
        <w:rPr>
          <w:i/>
          <w:iCs/>
          <w:color w:val="44546A" w:themeColor="text2"/>
          <w:sz w:val="18"/>
          <w:szCs w:val="18"/>
        </w:rPr>
        <w:t>Municipalities</w:t>
      </w:r>
    </w:p>
    <w:p w14:paraId="2C3B624E" w14:textId="77777777" w:rsidR="003A66C5" w:rsidRPr="00C510FB" w:rsidRDefault="003A66C5" w:rsidP="00976D0B">
      <w:pPr>
        <w:jc w:val="both"/>
        <w:rPr>
          <w:i/>
          <w:iCs/>
          <w:color w:val="44546A" w:themeColor="text2"/>
          <w:sz w:val="18"/>
          <w:szCs w:val="18"/>
        </w:rPr>
      </w:pPr>
    </w:p>
    <w:p w14:paraId="79DD834D" w14:textId="12DBB641" w:rsidR="00AC52BB" w:rsidRDefault="004B26FC" w:rsidP="00976D0B">
      <w:pPr>
        <w:jc w:val="both"/>
      </w:pPr>
      <w:r>
        <w:t>D</w:t>
      </w:r>
      <w:r w:rsidR="004B0098">
        <w:t xml:space="preserve">istribution of </w:t>
      </w:r>
      <w:r w:rsidR="000402EC">
        <w:t>beneficiar</w:t>
      </w:r>
      <w:r>
        <w:t xml:space="preserve">y households and individuals </w:t>
      </w:r>
      <w:r w:rsidR="004B0098">
        <w:t>in temporary accommodations according to municipalities</w:t>
      </w:r>
      <w:r>
        <w:t xml:space="preserve"> can be seen in Figure 2</w:t>
      </w:r>
      <w:r w:rsidR="002702A9">
        <w:t>0</w:t>
      </w:r>
      <w:r>
        <w:t>.</w:t>
      </w:r>
    </w:p>
    <w:p w14:paraId="44378913" w14:textId="55EBA255" w:rsidR="00D42603" w:rsidRDefault="004B26FC" w:rsidP="00D74D8C">
      <w:pPr>
        <w:pStyle w:val="Caption"/>
      </w:pPr>
      <w:r>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20</w:t>
      </w:r>
      <w:r w:rsidR="00D656F6">
        <w:rPr>
          <w:noProof/>
        </w:rPr>
        <w:fldChar w:fldCharType="end"/>
      </w:r>
      <w:r w:rsidR="00D42603">
        <w:t xml:space="preserve">: </w:t>
      </w:r>
      <w:r w:rsidR="00D34144">
        <w:t>Distribution</w:t>
      </w:r>
      <w:r w:rsidR="00D42603">
        <w:t xml:space="preserve"> of </w:t>
      </w:r>
      <w:r w:rsidR="00F11557">
        <w:t>h</w:t>
      </w:r>
      <w:r w:rsidR="0023289B">
        <w:t xml:space="preserve">omeless </w:t>
      </w:r>
      <w:r w:rsidR="00F11557">
        <w:t>h</w:t>
      </w:r>
      <w:r w:rsidR="00D42603">
        <w:t>ouseholds</w:t>
      </w:r>
      <w:r w:rsidR="00C91DD4">
        <w:t xml:space="preserve"> and </w:t>
      </w:r>
      <w:r w:rsidR="00F11557">
        <w:t>i</w:t>
      </w:r>
      <w:r w:rsidR="00C91DD4">
        <w:t xml:space="preserve">ndividuals </w:t>
      </w:r>
      <w:r w:rsidR="00F11557">
        <w:t>a</w:t>
      </w:r>
      <w:r w:rsidR="00D42603">
        <w:t xml:space="preserve">ccording to </w:t>
      </w:r>
      <w:r w:rsidR="00F11557">
        <w:t>m</w:t>
      </w:r>
      <w:r w:rsidR="00D42603">
        <w:t>unicipalities</w:t>
      </w:r>
    </w:p>
    <w:p w14:paraId="6FC168C3" w14:textId="77777777" w:rsidR="00CA592A" w:rsidRDefault="008460E7" w:rsidP="003A66C5">
      <w:pPr>
        <w:tabs>
          <w:tab w:val="left" w:pos="6480"/>
          <w:tab w:val="left" w:pos="7635"/>
        </w:tabs>
        <w:spacing w:after="0"/>
        <w:rPr>
          <w:i/>
          <w:iCs/>
          <w:color w:val="44546A" w:themeColor="text2"/>
          <w:sz w:val="18"/>
          <w:szCs w:val="18"/>
        </w:rPr>
      </w:pPr>
      <w:r>
        <w:rPr>
          <w:noProof/>
        </w:rPr>
        <w:drawing>
          <wp:anchor distT="0" distB="0" distL="114300" distR="114300" simplePos="0" relativeHeight="251730944" behindDoc="1" locked="0" layoutInCell="1" allowOverlap="1" wp14:anchorId="49E1FB44" wp14:editId="2F1CE5FA">
            <wp:simplePos x="0" y="0"/>
            <wp:positionH relativeFrom="margin">
              <wp:posOffset>3286125</wp:posOffset>
            </wp:positionH>
            <wp:positionV relativeFrom="paragraph">
              <wp:posOffset>40005</wp:posOffset>
            </wp:positionV>
            <wp:extent cx="3143250" cy="3276600"/>
            <wp:effectExtent l="0" t="0" r="0" b="0"/>
            <wp:wrapNone/>
            <wp:docPr id="53" name="Chart 53">
              <a:extLst xmlns:a="http://schemas.openxmlformats.org/drawingml/2006/main">
                <a:ext uri="{FF2B5EF4-FFF2-40B4-BE49-F238E27FC236}">
                  <a16:creationId xmlns:a16="http://schemas.microsoft.com/office/drawing/2014/main" id="{DC20572B-1EDB-49D1-B2EF-A6A8C3A38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noProof/>
        </w:rPr>
        <w:drawing>
          <wp:inline distT="0" distB="0" distL="0" distR="0" wp14:anchorId="30331845" wp14:editId="443E9588">
            <wp:extent cx="3114675" cy="3286125"/>
            <wp:effectExtent l="0" t="0" r="9525" b="9525"/>
            <wp:docPr id="51" name="Chart 51">
              <a:extLst xmlns:a="http://schemas.openxmlformats.org/drawingml/2006/main">
                <a:ext uri="{FF2B5EF4-FFF2-40B4-BE49-F238E27FC236}">
                  <a16:creationId xmlns:a16="http://schemas.microsoft.com/office/drawing/2014/main" id="{A1651899-78BD-4D6E-B1CE-C6755F1DFD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301F29" w14:textId="5BB95366" w:rsidR="00892D5E" w:rsidRPr="00CA592A" w:rsidRDefault="00181FF5" w:rsidP="00CA592A">
      <w:pPr>
        <w:tabs>
          <w:tab w:val="left" w:pos="6480"/>
          <w:tab w:val="left" w:pos="7635"/>
        </w:tabs>
      </w:pPr>
      <w:r w:rsidRPr="00414DE6">
        <w:rPr>
          <w:i/>
          <w:iCs/>
          <w:color w:val="44546A" w:themeColor="text2"/>
          <w:sz w:val="18"/>
          <w:szCs w:val="18"/>
        </w:rPr>
        <w:t xml:space="preserve">Source: </w:t>
      </w:r>
      <w:r w:rsidR="004360B9">
        <w:rPr>
          <w:i/>
          <w:iCs/>
          <w:color w:val="44546A" w:themeColor="text2"/>
          <w:sz w:val="18"/>
          <w:szCs w:val="18"/>
        </w:rPr>
        <w:t xml:space="preserve">Local </w:t>
      </w:r>
      <w:r w:rsidRPr="00414DE6">
        <w:rPr>
          <w:i/>
          <w:iCs/>
          <w:color w:val="44546A" w:themeColor="text2"/>
          <w:sz w:val="18"/>
          <w:szCs w:val="18"/>
        </w:rPr>
        <w:t>Municipalities</w:t>
      </w:r>
    </w:p>
    <w:p w14:paraId="28A0997C" w14:textId="3C1B8138" w:rsidR="0023289B" w:rsidRPr="004D20F0" w:rsidRDefault="0023289B" w:rsidP="00976D0B">
      <w:pPr>
        <w:jc w:val="both"/>
      </w:pPr>
      <w:r w:rsidRPr="004D20F0">
        <w:lastRenderedPageBreak/>
        <w:t xml:space="preserve">Furthermore, assuming the average size of households in Georgia, homeless individuals from the observed municipalities are distributed accordingly (Table </w:t>
      </w:r>
      <w:r w:rsidR="002702A9">
        <w:t>5</w:t>
      </w:r>
      <w:r w:rsidRPr="004D20F0">
        <w:t>):</w:t>
      </w:r>
    </w:p>
    <w:p w14:paraId="2D2F9A89" w14:textId="359D79C7" w:rsidR="0023289B" w:rsidRDefault="0023289B" w:rsidP="0023289B">
      <w:pPr>
        <w:pStyle w:val="Caption"/>
        <w:rPr>
          <w:i w:val="0"/>
          <w:iCs w:val="0"/>
        </w:rPr>
      </w:pPr>
      <w:r>
        <w:t xml:space="preserve">Table </w:t>
      </w:r>
      <w:r w:rsidR="009C48A0">
        <w:rPr>
          <w:noProof/>
        </w:rPr>
        <w:fldChar w:fldCharType="begin"/>
      </w:r>
      <w:r w:rsidR="009C48A0">
        <w:rPr>
          <w:noProof/>
        </w:rPr>
        <w:instrText xml:space="preserve"> SEQ Table \* ARABIC </w:instrText>
      </w:r>
      <w:r w:rsidR="009C48A0">
        <w:rPr>
          <w:noProof/>
        </w:rPr>
        <w:fldChar w:fldCharType="separate"/>
      </w:r>
      <w:r w:rsidR="008F3E6B">
        <w:rPr>
          <w:noProof/>
        </w:rPr>
        <w:t>5</w:t>
      </w:r>
      <w:r w:rsidR="009C48A0">
        <w:rPr>
          <w:noProof/>
        </w:rPr>
        <w:fldChar w:fldCharType="end"/>
      </w:r>
      <w:r>
        <w:t xml:space="preserve"> : Distribution of </w:t>
      </w:r>
      <w:r w:rsidR="00F11557">
        <w:t>h</w:t>
      </w:r>
      <w:r>
        <w:t xml:space="preserve">omeless </w:t>
      </w:r>
      <w:r w:rsidR="00F11557">
        <w:t>i</w:t>
      </w:r>
      <w:r>
        <w:t xml:space="preserve">ndividuals </w:t>
      </w:r>
      <w:r w:rsidR="00F11557">
        <w:t>a</w:t>
      </w:r>
      <w:r>
        <w:t xml:space="preserve">ccording to </w:t>
      </w:r>
      <w:r w:rsidR="00F11557">
        <w:t>m</w:t>
      </w:r>
      <w:r>
        <w:t>unicipalities</w:t>
      </w:r>
      <w:r w:rsidR="004360B9">
        <w:t xml:space="preserve"> (</w:t>
      </w:r>
      <w:r w:rsidR="004360B9">
        <w:rPr>
          <w:rFonts w:cstheme="minorHAnsi"/>
        </w:rPr>
        <w:t>data for Tbilisi not available yet)</w:t>
      </w:r>
    </w:p>
    <w:tbl>
      <w:tblPr>
        <w:tblStyle w:val="GridTable1Light-Accent1"/>
        <w:tblW w:w="8922" w:type="dxa"/>
        <w:tblLook w:val="04A0" w:firstRow="1" w:lastRow="0" w:firstColumn="1" w:lastColumn="0" w:noHBand="0" w:noVBand="1"/>
      </w:tblPr>
      <w:tblGrid>
        <w:gridCol w:w="6374"/>
        <w:gridCol w:w="2548"/>
      </w:tblGrid>
      <w:tr w:rsidR="0023289B" w:rsidRPr="0023289B" w14:paraId="07D7F4E2" w14:textId="77777777" w:rsidTr="00473F78">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6374" w:type="dxa"/>
            <w:shd w:val="clear" w:color="auto" w:fill="002060"/>
            <w:noWrap/>
            <w:vAlign w:val="center"/>
            <w:hideMark/>
          </w:tcPr>
          <w:p w14:paraId="1E971479" w14:textId="77777777" w:rsidR="0023289B" w:rsidRPr="00473F78" w:rsidRDefault="0023289B" w:rsidP="00473F78">
            <w:pPr>
              <w:jc w:val="center"/>
              <w:rPr>
                <w:rFonts w:ascii="Calibri" w:eastAsia="Times New Roman" w:hAnsi="Calibri" w:cs="Calibri"/>
                <w:bCs w:val="0"/>
                <w:color w:val="FFFFFF" w:themeColor="background1"/>
                <w:sz w:val="20"/>
                <w:szCs w:val="20"/>
              </w:rPr>
            </w:pPr>
            <w:r w:rsidRPr="00473F78">
              <w:rPr>
                <w:rFonts w:ascii="Calibri" w:eastAsia="Times New Roman" w:hAnsi="Calibri" w:cs="Calibri"/>
                <w:bCs w:val="0"/>
                <w:color w:val="FFFFFF" w:themeColor="background1"/>
                <w:sz w:val="20"/>
                <w:szCs w:val="20"/>
              </w:rPr>
              <w:t>Municipalities</w:t>
            </w:r>
          </w:p>
        </w:tc>
        <w:tc>
          <w:tcPr>
            <w:tcW w:w="2548" w:type="dxa"/>
            <w:shd w:val="clear" w:color="auto" w:fill="002060"/>
            <w:noWrap/>
            <w:vAlign w:val="center"/>
            <w:hideMark/>
          </w:tcPr>
          <w:p w14:paraId="24F937A1" w14:textId="3CF8EC03" w:rsidR="0023289B" w:rsidRPr="00473F78" w:rsidRDefault="0023289B" w:rsidP="00473F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themeColor="background1"/>
                <w:sz w:val="20"/>
                <w:szCs w:val="20"/>
              </w:rPr>
            </w:pPr>
            <w:r w:rsidRPr="00473F78">
              <w:rPr>
                <w:rFonts w:ascii="Calibri" w:eastAsia="Times New Roman" w:hAnsi="Calibri" w:cs="Calibri"/>
                <w:bCs w:val="0"/>
                <w:color w:val="FFFFFF" w:themeColor="background1"/>
                <w:sz w:val="20"/>
                <w:szCs w:val="20"/>
              </w:rPr>
              <w:t>Share</w:t>
            </w:r>
            <w:r w:rsidR="009C75E6" w:rsidRPr="00473F78">
              <w:rPr>
                <w:rFonts w:ascii="Calibri" w:eastAsia="Times New Roman" w:hAnsi="Calibri" w:cs="Calibri"/>
                <w:bCs w:val="0"/>
                <w:color w:val="FFFFFF" w:themeColor="background1"/>
                <w:sz w:val="20"/>
                <w:szCs w:val="20"/>
              </w:rPr>
              <w:t xml:space="preserve"> of Homeless Individuals</w:t>
            </w:r>
          </w:p>
        </w:tc>
      </w:tr>
      <w:tr w:rsidR="00D0340D" w:rsidRPr="0023289B" w14:paraId="4580C507"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02DA29F8" w14:textId="3EF52A39"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Samtredia</w:t>
            </w:r>
            <w:proofErr w:type="spellEnd"/>
            <w:r w:rsidRPr="00D0340D">
              <w:rPr>
                <w:rFonts w:cstheme="minorHAnsi"/>
                <w:b w:val="0"/>
                <w:sz w:val="20"/>
                <w:szCs w:val="20"/>
              </w:rPr>
              <w:t xml:space="preserve">  </w:t>
            </w:r>
          </w:p>
        </w:tc>
        <w:tc>
          <w:tcPr>
            <w:tcW w:w="2548" w:type="dxa"/>
            <w:noWrap/>
            <w:vAlign w:val="bottom"/>
          </w:tcPr>
          <w:p w14:paraId="0688B47D" w14:textId="3BEA59B8"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13.0%</w:t>
            </w:r>
          </w:p>
        </w:tc>
      </w:tr>
      <w:tr w:rsidR="00D0340D" w:rsidRPr="0023289B" w14:paraId="1A0CD7D8"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78136F0D" w14:textId="5FC9CDD3"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Ozurgeti  </w:t>
            </w:r>
          </w:p>
        </w:tc>
        <w:tc>
          <w:tcPr>
            <w:tcW w:w="2548" w:type="dxa"/>
            <w:noWrap/>
            <w:vAlign w:val="bottom"/>
          </w:tcPr>
          <w:p w14:paraId="1C984E9E" w14:textId="2880B7F2"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11.3%</w:t>
            </w:r>
          </w:p>
        </w:tc>
      </w:tr>
      <w:tr w:rsidR="00D0340D" w:rsidRPr="0023289B" w14:paraId="2D15A745"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79C14824" w14:textId="3DDBA728"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Zugdidi  </w:t>
            </w:r>
          </w:p>
        </w:tc>
        <w:tc>
          <w:tcPr>
            <w:tcW w:w="2548" w:type="dxa"/>
            <w:noWrap/>
            <w:vAlign w:val="bottom"/>
          </w:tcPr>
          <w:p w14:paraId="06F982A5" w14:textId="6D1D790E"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10.5%</w:t>
            </w:r>
          </w:p>
        </w:tc>
      </w:tr>
      <w:tr w:rsidR="00D0340D" w:rsidRPr="0023289B" w14:paraId="1CFD7849"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32BEC5CD" w14:textId="0E522CE4"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Batumi  </w:t>
            </w:r>
          </w:p>
        </w:tc>
        <w:tc>
          <w:tcPr>
            <w:tcW w:w="2548" w:type="dxa"/>
            <w:noWrap/>
            <w:vAlign w:val="bottom"/>
          </w:tcPr>
          <w:p w14:paraId="5BB72B1A" w14:textId="1EBA0C7E"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9.9%</w:t>
            </w:r>
          </w:p>
        </w:tc>
      </w:tr>
      <w:tr w:rsidR="00D0340D" w:rsidRPr="0023289B" w14:paraId="7364D162"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42FC5B51" w14:textId="2CE2D635"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Kutaisi  </w:t>
            </w:r>
          </w:p>
        </w:tc>
        <w:tc>
          <w:tcPr>
            <w:tcW w:w="2548" w:type="dxa"/>
            <w:noWrap/>
            <w:vAlign w:val="bottom"/>
          </w:tcPr>
          <w:p w14:paraId="66480140" w14:textId="627E01BB"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8.9%</w:t>
            </w:r>
          </w:p>
        </w:tc>
      </w:tr>
      <w:tr w:rsidR="00D0340D" w:rsidRPr="0023289B" w14:paraId="5A3FC2C9"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7DC19455" w14:textId="66C7272D"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Bolnisi  </w:t>
            </w:r>
          </w:p>
        </w:tc>
        <w:tc>
          <w:tcPr>
            <w:tcW w:w="2548" w:type="dxa"/>
            <w:noWrap/>
            <w:vAlign w:val="bottom"/>
          </w:tcPr>
          <w:p w14:paraId="06648B46" w14:textId="17155979"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6.2%</w:t>
            </w:r>
          </w:p>
        </w:tc>
      </w:tr>
      <w:tr w:rsidR="00D0340D" w:rsidRPr="0023289B" w14:paraId="762FDE3A"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5B20885D" w14:textId="303963FD"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Sagarejo</w:t>
            </w:r>
            <w:proofErr w:type="spellEnd"/>
            <w:r w:rsidRPr="00D0340D">
              <w:rPr>
                <w:rFonts w:cstheme="minorHAnsi"/>
                <w:b w:val="0"/>
                <w:sz w:val="20"/>
                <w:szCs w:val="20"/>
              </w:rPr>
              <w:t xml:space="preserve">  </w:t>
            </w:r>
          </w:p>
        </w:tc>
        <w:tc>
          <w:tcPr>
            <w:tcW w:w="2548" w:type="dxa"/>
            <w:noWrap/>
            <w:vAlign w:val="bottom"/>
          </w:tcPr>
          <w:p w14:paraId="0A1C2E7B" w14:textId="29163812"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6.2%</w:t>
            </w:r>
          </w:p>
        </w:tc>
      </w:tr>
      <w:tr w:rsidR="00D0340D" w:rsidRPr="0023289B" w14:paraId="26EFBCB3"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256D4418" w14:textId="1973A5D0"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Gori  </w:t>
            </w:r>
          </w:p>
        </w:tc>
        <w:tc>
          <w:tcPr>
            <w:tcW w:w="2548" w:type="dxa"/>
            <w:noWrap/>
            <w:vAlign w:val="bottom"/>
          </w:tcPr>
          <w:p w14:paraId="6BDA0B48" w14:textId="5471DE75"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6.2%</w:t>
            </w:r>
          </w:p>
        </w:tc>
      </w:tr>
      <w:tr w:rsidR="00D0340D" w:rsidRPr="0023289B" w14:paraId="642BEBE9"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5626D619" w14:textId="7491F2EB"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Lanchkhuti</w:t>
            </w:r>
            <w:proofErr w:type="spellEnd"/>
            <w:r w:rsidRPr="00D0340D">
              <w:rPr>
                <w:rFonts w:cstheme="minorHAnsi"/>
                <w:b w:val="0"/>
                <w:sz w:val="20"/>
                <w:szCs w:val="20"/>
              </w:rPr>
              <w:t xml:space="preserve">  </w:t>
            </w:r>
          </w:p>
        </w:tc>
        <w:tc>
          <w:tcPr>
            <w:tcW w:w="2548" w:type="dxa"/>
            <w:noWrap/>
            <w:vAlign w:val="bottom"/>
          </w:tcPr>
          <w:p w14:paraId="2AF06A54" w14:textId="2F701921"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5.0%</w:t>
            </w:r>
          </w:p>
        </w:tc>
      </w:tr>
      <w:tr w:rsidR="00D0340D" w:rsidRPr="0023289B" w14:paraId="19E2E9A2"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5D8F6E68" w14:textId="7719315F"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Bagdati</w:t>
            </w:r>
            <w:proofErr w:type="spellEnd"/>
            <w:r w:rsidRPr="00D0340D">
              <w:rPr>
                <w:rFonts w:cstheme="minorHAnsi"/>
                <w:b w:val="0"/>
                <w:sz w:val="20"/>
                <w:szCs w:val="20"/>
              </w:rPr>
              <w:t xml:space="preserve">  </w:t>
            </w:r>
          </w:p>
        </w:tc>
        <w:tc>
          <w:tcPr>
            <w:tcW w:w="2548" w:type="dxa"/>
            <w:noWrap/>
            <w:vAlign w:val="bottom"/>
          </w:tcPr>
          <w:p w14:paraId="628B6D09" w14:textId="7A80CCAB"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3.0%</w:t>
            </w:r>
          </w:p>
        </w:tc>
      </w:tr>
      <w:tr w:rsidR="00D0340D" w:rsidRPr="0023289B" w14:paraId="2598880A"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3129ACE4" w14:textId="275740EB"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Gurjaani</w:t>
            </w:r>
            <w:proofErr w:type="spellEnd"/>
            <w:r w:rsidRPr="00D0340D">
              <w:rPr>
                <w:rFonts w:cstheme="minorHAnsi"/>
                <w:b w:val="0"/>
                <w:sz w:val="20"/>
                <w:szCs w:val="20"/>
              </w:rPr>
              <w:t xml:space="preserve">  </w:t>
            </w:r>
          </w:p>
        </w:tc>
        <w:tc>
          <w:tcPr>
            <w:tcW w:w="2548" w:type="dxa"/>
            <w:noWrap/>
            <w:vAlign w:val="bottom"/>
          </w:tcPr>
          <w:p w14:paraId="26DA73C8" w14:textId="3A38B97A"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2.3%</w:t>
            </w:r>
          </w:p>
        </w:tc>
      </w:tr>
      <w:tr w:rsidR="00D0340D" w:rsidRPr="0023289B" w14:paraId="414B73D6"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67A7ACF0" w14:textId="2B8A7986"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Dedoflistskharo</w:t>
            </w:r>
            <w:proofErr w:type="spellEnd"/>
            <w:r w:rsidRPr="00D0340D">
              <w:rPr>
                <w:rFonts w:cstheme="minorHAnsi"/>
                <w:b w:val="0"/>
                <w:sz w:val="20"/>
                <w:szCs w:val="20"/>
              </w:rPr>
              <w:t xml:space="preserve">  </w:t>
            </w:r>
          </w:p>
        </w:tc>
        <w:tc>
          <w:tcPr>
            <w:tcW w:w="2548" w:type="dxa"/>
            <w:noWrap/>
            <w:vAlign w:val="bottom"/>
          </w:tcPr>
          <w:p w14:paraId="26A27411" w14:textId="2D3052D1"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2.3%</w:t>
            </w:r>
          </w:p>
        </w:tc>
      </w:tr>
      <w:tr w:rsidR="00D0340D" w:rsidRPr="0023289B" w14:paraId="418951A9"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06A7B369" w14:textId="09992C97"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Zestafoni</w:t>
            </w:r>
            <w:proofErr w:type="spellEnd"/>
            <w:r w:rsidRPr="00D0340D">
              <w:rPr>
                <w:rFonts w:cstheme="minorHAnsi"/>
                <w:b w:val="0"/>
                <w:sz w:val="20"/>
                <w:szCs w:val="20"/>
              </w:rPr>
              <w:t xml:space="preserve">  </w:t>
            </w:r>
          </w:p>
        </w:tc>
        <w:tc>
          <w:tcPr>
            <w:tcW w:w="2548" w:type="dxa"/>
            <w:noWrap/>
            <w:vAlign w:val="bottom"/>
          </w:tcPr>
          <w:p w14:paraId="6A9A6E60" w14:textId="31E5D912"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2.2%</w:t>
            </w:r>
          </w:p>
        </w:tc>
      </w:tr>
      <w:tr w:rsidR="00D0340D" w:rsidRPr="0023289B" w14:paraId="006C94EC"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4C0E92BE" w14:textId="27BF2335"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Telavi  </w:t>
            </w:r>
          </w:p>
        </w:tc>
        <w:tc>
          <w:tcPr>
            <w:tcW w:w="2548" w:type="dxa"/>
            <w:noWrap/>
            <w:vAlign w:val="bottom"/>
          </w:tcPr>
          <w:p w14:paraId="66204E66" w14:textId="59C54368"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2.2%</w:t>
            </w:r>
          </w:p>
        </w:tc>
      </w:tr>
      <w:tr w:rsidR="00D0340D" w:rsidRPr="0023289B" w14:paraId="48FAB75F"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6099CA7E" w14:textId="75D4EDF5"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Khashuri</w:t>
            </w:r>
            <w:proofErr w:type="spellEnd"/>
            <w:r w:rsidRPr="00D0340D">
              <w:rPr>
                <w:rFonts w:cstheme="minorHAnsi"/>
                <w:b w:val="0"/>
                <w:sz w:val="20"/>
                <w:szCs w:val="20"/>
              </w:rPr>
              <w:t xml:space="preserve">  </w:t>
            </w:r>
          </w:p>
        </w:tc>
        <w:tc>
          <w:tcPr>
            <w:tcW w:w="2548" w:type="dxa"/>
            <w:noWrap/>
            <w:vAlign w:val="bottom"/>
          </w:tcPr>
          <w:p w14:paraId="06FA3CCA" w14:textId="7FB7CBA3"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2.1%</w:t>
            </w:r>
          </w:p>
        </w:tc>
      </w:tr>
      <w:tr w:rsidR="00D0340D" w:rsidRPr="0023289B" w14:paraId="6C8A8F66"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555994DF" w14:textId="67195723"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Tskhaltubo</w:t>
            </w:r>
            <w:proofErr w:type="spellEnd"/>
            <w:r w:rsidRPr="00D0340D">
              <w:rPr>
                <w:rFonts w:cstheme="minorHAnsi"/>
                <w:b w:val="0"/>
                <w:sz w:val="20"/>
                <w:szCs w:val="20"/>
              </w:rPr>
              <w:t xml:space="preserve">  </w:t>
            </w:r>
          </w:p>
        </w:tc>
        <w:tc>
          <w:tcPr>
            <w:tcW w:w="2548" w:type="dxa"/>
            <w:noWrap/>
            <w:vAlign w:val="bottom"/>
          </w:tcPr>
          <w:p w14:paraId="68B11549" w14:textId="490C2AC5"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1.9%</w:t>
            </w:r>
          </w:p>
        </w:tc>
      </w:tr>
      <w:tr w:rsidR="00D0340D" w:rsidRPr="0023289B" w14:paraId="17FAC5CD"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1AAC1BE4" w14:textId="34E3180A"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Dmanisi</w:t>
            </w:r>
            <w:proofErr w:type="spellEnd"/>
            <w:r w:rsidRPr="00D0340D">
              <w:rPr>
                <w:rFonts w:cstheme="minorHAnsi"/>
                <w:b w:val="0"/>
                <w:sz w:val="20"/>
                <w:szCs w:val="20"/>
              </w:rPr>
              <w:t xml:space="preserve">  </w:t>
            </w:r>
          </w:p>
        </w:tc>
        <w:tc>
          <w:tcPr>
            <w:tcW w:w="2548" w:type="dxa"/>
            <w:noWrap/>
            <w:vAlign w:val="bottom"/>
          </w:tcPr>
          <w:p w14:paraId="57B6B997" w14:textId="72D19976"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1.7%</w:t>
            </w:r>
          </w:p>
        </w:tc>
      </w:tr>
      <w:tr w:rsidR="00D0340D" w:rsidRPr="0023289B" w14:paraId="1BFC25E5"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0A830B30" w14:textId="25271C70"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Sighnaghi</w:t>
            </w:r>
            <w:proofErr w:type="spellEnd"/>
            <w:r w:rsidRPr="00D0340D">
              <w:rPr>
                <w:rFonts w:cstheme="minorHAnsi"/>
                <w:b w:val="0"/>
                <w:sz w:val="20"/>
                <w:szCs w:val="20"/>
              </w:rPr>
              <w:t xml:space="preserve">  </w:t>
            </w:r>
          </w:p>
        </w:tc>
        <w:tc>
          <w:tcPr>
            <w:tcW w:w="2548" w:type="dxa"/>
            <w:noWrap/>
            <w:vAlign w:val="bottom"/>
          </w:tcPr>
          <w:p w14:paraId="6050EF60" w14:textId="6DF93229"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1.5%</w:t>
            </w:r>
          </w:p>
        </w:tc>
      </w:tr>
      <w:tr w:rsidR="00D0340D" w:rsidRPr="0023289B" w14:paraId="26723E32"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33468ADF" w14:textId="450DBF5E"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Senaki</w:t>
            </w:r>
            <w:proofErr w:type="spellEnd"/>
            <w:r w:rsidRPr="00D0340D">
              <w:rPr>
                <w:rFonts w:cstheme="minorHAnsi"/>
                <w:b w:val="0"/>
                <w:sz w:val="20"/>
                <w:szCs w:val="20"/>
              </w:rPr>
              <w:t xml:space="preserve">  </w:t>
            </w:r>
          </w:p>
        </w:tc>
        <w:tc>
          <w:tcPr>
            <w:tcW w:w="2548" w:type="dxa"/>
            <w:noWrap/>
            <w:vAlign w:val="bottom"/>
          </w:tcPr>
          <w:p w14:paraId="344A6E32" w14:textId="0C063720"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0.9%</w:t>
            </w:r>
          </w:p>
        </w:tc>
      </w:tr>
      <w:tr w:rsidR="00D0340D" w:rsidRPr="0023289B" w14:paraId="02466ED7"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07C8C954" w14:textId="5462CD23"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Chkorotskhu</w:t>
            </w:r>
            <w:proofErr w:type="spellEnd"/>
            <w:r w:rsidRPr="00D0340D">
              <w:rPr>
                <w:rFonts w:cstheme="minorHAnsi"/>
                <w:b w:val="0"/>
                <w:sz w:val="20"/>
                <w:szCs w:val="20"/>
              </w:rPr>
              <w:t xml:space="preserve">  </w:t>
            </w:r>
          </w:p>
        </w:tc>
        <w:tc>
          <w:tcPr>
            <w:tcW w:w="2548" w:type="dxa"/>
            <w:noWrap/>
            <w:vAlign w:val="bottom"/>
          </w:tcPr>
          <w:p w14:paraId="3CE041BB" w14:textId="657D6D36"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0.8%</w:t>
            </w:r>
          </w:p>
        </w:tc>
      </w:tr>
      <w:tr w:rsidR="00D0340D" w:rsidRPr="0023289B" w14:paraId="2CC82CC2"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6316E1A8" w14:textId="4A21B8DD"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Khoni</w:t>
            </w:r>
            <w:proofErr w:type="spellEnd"/>
            <w:r w:rsidRPr="00D0340D">
              <w:rPr>
                <w:rFonts w:cstheme="minorHAnsi"/>
                <w:b w:val="0"/>
                <w:sz w:val="20"/>
                <w:szCs w:val="20"/>
              </w:rPr>
              <w:t xml:space="preserve">  </w:t>
            </w:r>
          </w:p>
        </w:tc>
        <w:tc>
          <w:tcPr>
            <w:tcW w:w="2548" w:type="dxa"/>
            <w:noWrap/>
            <w:vAlign w:val="bottom"/>
          </w:tcPr>
          <w:p w14:paraId="7FDBC2AC" w14:textId="17D39F5D"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0.6%</w:t>
            </w:r>
          </w:p>
        </w:tc>
      </w:tr>
      <w:tr w:rsidR="00D0340D" w:rsidRPr="0023289B" w14:paraId="3AAB12FE"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1669D416" w14:textId="3089DA6B"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Sachkhere</w:t>
            </w:r>
            <w:proofErr w:type="spellEnd"/>
            <w:r w:rsidRPr="00D0340D">
              <w:rPr>
                <w:rFonts w:cstheme="minorHAnsi"/>
                <w:b w:val="0"/>
                <w:sz w:val="20"/>
                <w:szCs w:val="20"/>
              </w:rPr>
              <w:t xml:space="preserve">  </w:t>
            </w:r>
          </w:p>
        </w:tc>
        <w:tc>
          <w:tcPr>
            <w:tcW w:w="2548" w:type="dxa"/>
            <w:noWrap/>
            <w:vAlign w:val="bottom"/>
          </w:tcPr>
          <w:p w14:paraId="74FA2003" w14:textId="2C957818"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0.5%</w:t>
            </w:r>
          </w:p>
        </w:tc>
      </w:tr>
      <w:tr w:rsidR="00D0340D" w:rsidRPr="0023289B" w14:paraId="0C3F1CDD"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5A6B2EA7" w14:textId="426109D4"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Martvili</w:t>
            </w:r>
            <w:proofErr w:type="spellEnd"/>
            <w:r w:rsidRPr="00D0340D">
              <w:rPr>
                <w:rFonts w:cstheme="minorHAnsi"/>
                <w:b w:val="0"/>
                <w:sz w:val="20"/>
                <w:szCs w:val="20"/>
              </w:rPr>
              <w:t xml:space="preserve">  </w:t>
            </w:r>
          </w:p>
        </w:tc>
        <w:tc>
          <w:tcPr>
            <w:tcW w:w="2548" w:type="dxa"/>
            <w:noWrap/>
            <w:vAlign w:val="bottom"/>
          </w:tcPr>
          <w:p w14:paraId="5CE9B12E" w14:textId="7D2D0B3B"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0.4%</w:t>
            </w:r>
          </w:p>
        </w:tc>
      </w:tr>
      <w:tr w:rsidR="00D0340D" w:rsidRPr="0023289B" w14:paraId="6F81FC31"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6C42F405" w14:textId="13FF4AF9"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Akhalkalaki  </w:t>
            </w:r>
          </w:p>
        </w:tc>
        <w:tc>
          <w:tcPr>
            <w:tcW w:w="2548" w:type="dxa"/>
            <w:noWrap/>
            <w:vAlign w:val="bottom"/>
          </w:tcPr>
          <w:p w14:paraId="5F984453" w14:textId="4414C075"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0.2%</w:t>
            </w:r>
          </w:p>
        </w:tc>
      </w:tr>
      <w:tr w:rsidR="00D0340D" w:rsidRPr="0023289B" w14:paraId="035DDC71"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68B4CE0C" w14:textId="4DACBECE" w:rsidR="00D0340D" w:rsidRPr="00D0340D" w:rsidRDefault="00D0340D" w:rsidP="00D0340D">
            <w:pPr>
              <w:jc w:val="center"/>
              <w:rPr>
                <w:rFonts w:eastAsia="Times New Roman" w:cstheme="minorHAnsi"/>
                <w:b w:val="0"/>
                <w:color w:val="000000"/>
              </w:rPr>
            </w:pPr>
            <w:r w:rsidRPr="00D0340D">
              <w:rPr>
                <w:rFonts w:cstheme="minorHAnsi"/>
                <w:b w:val="0"/>
                <w:sz w:val="20"/>
                <w:szCs w:val="20"/>
              </w:rPr>
              <w:t xml:space="preserve">Oni  </w:t>
            </w:r>
          </w:p>
        </w:tc>
        <w:tc>
          <w:tcPr>
            <w:tcW w:w="2548" w:type="dxa"/>
            <w:noWrap/>
            <w:vAlign w:val="bottom"/>
          </w:tcPr>
          <w:p w14:paraId="7B519213" w14:textId="6B28233D"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0.1%</w:t>
            </w:r>
          </w:p>
        </w:tc>
      </w:tr>
      <w:tr w:rsidR="00D0340D" w:rsidRPr="0023289B" w14:paraId="6AB5B4DC"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42DE8024" w14:textId="3D1A91B6"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Tetritskaro</w:t>
            </w:r>
            <w:proofErr w:type="spellEnd"/>
            <w:r w:rsidRPr="00D0340D">
              <w:rPr>
                <w:rFonts w:cstheme="minorHAnsi"/>
                <w:b w:val="0"/>
                <w:sz w:val="20"/>
                <w:szCs w:val="20"/>
              </w:rPr>
              <w:t xml:space="preserve">  </w:t>
            </w:r>
          </w:p>
        </w:tc>
        <w:tc>
          <w:tcPr>
            <w:tcW w:w="2548" w:type="dxa"/>
            <w:noWrap/>
            <w:vAlign w:val="bottom"/>
          </w:tcPr>
          <w:p w14:paraId="6CE6BB8B" w14:textId="7DDCDA16"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0.1%</w:t>
            </w:r>
          </w:p>
        </w:tc>
      </w:tr>
      <w:tr w:rsidR="00D0340D" w:rsidRPr="0023289B" w14:paraId="7E6747D6" w14:textId="77777777" w:rsidTr="003F564F">
        <w:trPr>
          <w:trHeight w:val="227"/>
        </w:trPr>
        <w:tc>
          <w:tcPr>
            <w:cnfStyle w:val="001000000000" w:firstRow="0" w:lastRow="0" w:firstColumn="1" w:lastColumn="0" w:oddVBand="0" w:evenVBand="0" w:oddHBand="0" w:evenHBand="0" w:firstRowFirstColumn="0" w:firstRowLastColumn="0" w:lastRowFirstColumn="0" w:lastRowLastColumn="0"/>
            <w:tcW w:w="6374" w:type="dxa"/>
            <w:noWrap/>
            <w:vAlign w:val="center"/>
            <w:hideMark/>
          </w:tcPr>
          <w:p w14:paraId="57E85561" w14:textId="32F7284C" w:rsidR="00D0340D" w:rsidRPr="00D0340D" w:rsidRDefault="00D0340D" w:rsidP="00D0340D">
            <w:pPr>
              <w:jc w:val="center"/>
              <w:rPr>
                <w:rFonts w:eastAsia="Times New Roman" w:cstheme="minorHAnsi"/>
                <w:b w:val="0"/>
                <w:color w:val="000000"/>
              </w:rPr>
            </w:pPr>
            <w:proofErr w:type="spellStart"/>
            <w:r w:rsidRPr="00D0340D">
              <w:rPr>
                <w:rFonts w:cstheme="minorHAnsi"/>
                <w:b w:val="0"/>
                <w:sz w:val="20"/>
                <w:szCs w:val="20"/>
              </w:rPr>
              <w:t>Kharagauli</w:t>
            </w:r>
            <w:proofErr w:type="spellEnd"/>
            <w:r w:rsidRPr="00D0340D">
              <w:rPr>
                <w:rFonts w:cstheme="minorHAnsi"/>
                <w:b w:val="0"/>
                <w:sz w:val="20"/>
                <w:szCs w:val="20"/>
              </w:rPr>
              <w:t xml:space="preserve">  </w:t>
            </w:r>
          </w:p>
        </w:tc>
        <w:tc>
          <w:tcPr>
            <w:tcW w:w="2548" w:type="dxa"/>
            <w:noWrap/>
            <w:vAlign w:val="bottom"/>
          </w:tcPr>
          <w:p w14:paraId="072054F1" w14:textId="1CA772CF" w:rsidR="00D0340D" w:rsidRPr="0023289B" w:rsidRDefault="00D0340D" w:rsidP="00D0340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hAnsi="Calibri" w:cs="Calibri"/>
                <w:color w:val="000000"/>
              </w:rPr>
              <w:t>0.0%</w:t>
            </w:r>
          </w:p>
        </w:tc>
      </w:tr>
    </w:tbl>
    <w:p w14:paraId="3F8D9D5F" w14:textId="49FCA89E" w:rsidR="00AC52BB" w:rsidRPr="009E6455" w:rsidRDefault="006B1DDE" w:rsidP="00976D0B">
      <w:pPr>
        <w:jc w:val="both"/>
        <w:rPr>
          <w:rFonts w:cstheme="minorHAnsi"/>
        </w:rPr>
      </w:pPr>
      <w:r w:rsidRPr="00C510FB">
        <w:rPr>
          <w:i/>
          <w:iCs/>
          <w:color w:val="44546A" w:themeColor="text2"/>
          <w:sz w:val="18"/>
          <w:szCs w:val="18"/>
        </w:rPr>
        <w:t xml:space="preserve">Source: </w:t>
      </w:r>
      <w:r w:rsidR="004360B9">
        <w:rPr>
          <w:i/>
          <w:iCs/>
          <w:color w:val="44546A" w:themeColor="text2"/>
          <w:sz w:val="18"/>
          <w:szCs w:val="18"/>
        </w:rPr>
        <w:t xml:space="preserve">Local </w:t>
      </w:r>
      <w:r w:rsidRPr="00C510FB">
        <w:rPr>
          <w:i/>
          <w:iCs/>
          <w:color w:val="44546A" w:themeColor="text2"/>
          <w:sz w:val="18"/>
          <w:szCs w:val="18"/>
        </w:rPr>
        <w:t>Municipalities</w:t>
      </w:r>
    </w:p>
    <w:p w14:paraId="507EB7C3" w14:textId="45ED49F0" w:rsidR="003874DF" w:rsidRPr="00D34144" w:rsidRDefault="00B67373" w:rsidP="00976D0B">
      <w:pPr>
        <w:jc w:val="both"/>
      </w:pPr>
      <w:r>
        <w:t>The group of internal migrants includes both</w:t>
      </w:r>
      <w:r w:rsidR="003874DF">
        <w:t xml:space="preserve"> internally displaced people</w:t>
      </w:r>
      <w:r w:rsidR="00D34144">
        <w:t xml:space="preserve"> and eco</w:t>
      </w:r>
      <w:r w:rsidR="008A3C77">
        <w:t>-</w:t>
      </w:r>
      <w:r w:rsidR="00D34144">
        <w:t>migrants</w:t>
      </w:r>
      <w:r w:rsidR="002702A9">
        <w:t>.</w:t>
      </w:r>
      <w:r w:rsidR="00D34144">
        <w:t xml:space="preserve"> </w:t>
      </w:r>
    </w:p>
    <w:p w14:paraId="48AC441B" w14:textId="6A173EC5" w:rsidR="00F70B54" w:rsidRDefault="004330B2" w:rsidP="00976D0B">
      <w:pPr>
        <w:jc w:val="both"/>
        <w:rPr>
          <w:rFonts w:cstheme="minorHAnsi"/>
        </w:rPr>
      </w:pPr>
      <w:r w:rsidRPr="00C510FB">
        <w:rPr>
          <w:rFonts w:cstheme="minorHAnsi"/>
        </w:rPr>
        <w:t>According to the</w:t>
      </w:r>
      <w:r w:rsidR="00840F80">
        <w:rPr>
          <w:rFonts w:cstheme="minorHAnsi"/>
        </w:rPr>
        <w:t xml:space="preserve"> </w:t>
      </w:r>
      <w:r w:rsidRPr="00C510FB">
        <w:rPr>
          <w:rFonts w:cstheme="minorHAnsi"/>
        </w:rPr>
        <w:t xml:space="preserve"> data</w:t>
      </w:r>
      <w:r w:rsidR="00D34144">
        <w:rPr>
          <w:rFonts w:cstheme="minorHAnsi"/>
        </w:rPr>
        <w:t xml:space="preserve"> provided by</w:t>
      </w:r>
      <w:r w:rsidR="00F16C12">
        <w:rPr>
          <w:rFonts w:cstheme="minorHAnsi"/>
        </w:rPr>
        <w:t xml:space="preserve"> </w:t>
      </w:r>
      <w:r w:rsidR="00F16C12" w:rsidRPr="00840F80">
        <w:rPr>
          <w:rFonts w:cstheme="minorHAnsi"/>
        </w:rPr>
        <w:t xml:space="preserve">Ministry of Internally Displaced Persons from the Occupied Territories, </w:t>
      </w:r>
      <w:proofErr w:type="spellStart"/>
      <w:r w:rsidR="00F16C12" w:rsidRPr="00840F80">
        <w:rPr>
          <w:rFonts w:cstheme="minorHAnsi"/>
        </w:rPr>
        <w:t>Labour</w:t>
      </w:r>
      <w:proofErr w:type="spellEnd"/>
      <w:r w:rsidR="00F16C12" w:rsidRPr="00840F80">
        <w:rPr>
          <w:rFonts w:cstheme="minorHAnsi"/>
        </w:rPr>
        <w:t>, Health and Social Affairs of Georgia</w:t>
      </w:r>
      <w:r w:rsidR="00840F80">
        <w:rPr>
          <w:rFonts w:cstheme="minorHAnsi"/>
        </w:rPr>
        <w:t>,</w:t>
      </w:r>
      <w:r w:rsidRPr="00C510FB">
        <w:rPr>
          <w:rFonts w:cstheme="minorHAnsi"/>
        </w:rPr>
        <w:t xml:space="preserve"> there </w:t>
      </w:r>
      <w:r w:rsidR="00F16C12">
        <w:rPr>
          <w:rFonts w:cstheme="minorHAnsi"/>
        </w:rPr>
        <w:t>were</w:t>
      </w:r>
      <w:r w:rsidRPr="00C510FB">
        <w:rPr>
          <w:rFonts w:cstheme="minorHAnsi"/>
        </w:rPr>
        <w:t xml:space="preserve"> overall </w:t>
      </w:r>
      <w:r w:rsidR="00F16C12">
        <w:rPr>
          <w:rFonts w:cstheme="minorHAnsi"/>
        </w:rPr>
        <w:t>5</w:t>
      </w:r>
      <w:r w:rsidR="008A3C77">
        <w:rPr>
          <w:rFonts w:cstheme="minorHAnsi"/>
        </w:rPr>
        <w:t>,</w:t>
      </w:r>
      <w:r w:rsidR="00F16C12">
        <w:rPr>
          <w:rFonts w:cstheme="minorHAnsi"/>
        </w:rPr>
        <w:t xml:space="preserve">457 </w:t>
      </w:r>
      <w:r w:rsidR="00F16C12" w:rsidRPr="00C510FB" w:rsidDel="00751374">
        <w:rPr>
          <w:rFonts w:cstheme="minorHAnsi"/>
        </w:rPr>
        <w:t xml:space="preserve"> </w:t>
      </w:r>
      <w:r w:rsidRPr="006066AB">
        <w:rPr>
          <w:rFonts w:cstheme="minorHAnsi"/>
          <w:b/>
          <w:bCs/>
          <w:i/>
          <w:iCs/>
        </w:rPr>
        <w:t>eco-migrant families</w:t>
      </w:r>
      <w:r w:rsidR="00F16C12">
        <w:rPr>
          <w:rFonts w:cstheme="minorHAnsi"/>
        </w:rPr>
        <w:t xml:space="preserve"> in 2018, </w:t>
      </w:r>
      <w:r w:rsidRPr="00C510FB">
        <w:rPr>
          <w:rFonts w:cstheme="minorHAnsi"/>
        </w:rPr>
        <w:t xml:space="preserve"> which represent</w:t>
      </w:r>
      <w:r w:rsidR="00751374">
        <w:rPr>
          <w:rFonts w:cstheme="minorHAnsi"/>
        </w:rPr>
        <w:t xml:space="preserve"> </w:t>
      </w:r>
      <w:r w:rsidR="00F16C12">
        <w:rPr>
          <w:rFonts w:cstheme="minorHAnsi"/>
        </w:rPr>
        <w:t xml:space="preserve"> 0</w:t>
      </w:r>
      <w:r w:rsidR="004D176A">
        <w:rPr>
          <w:rFonts w:cstheme="minorHAnsi"/>
        </w:rPr>
        <w:t>.</w:t>
      </w:r>
      <w:r w:rsidR="00F16C12">
        <w:rPr>
          <w:rFonts w:cstheme="minorHAnsi"/>
        </w:rPr>
        <w:t xml:space="preserve">5% </w:t>
      </w:r>
      <w:r w:rsidRPr="00C510FB">
        <w:rPr>
          <w:rFonts w:cstheme="minorHAnsi"/>
        </w:rPr>
        <w:t>of the total number of households</w:t>
      </w:r>
      <w:r w:rsidR="00185C7C" w:rsidRPr="00C510FB">
        <w:rPr>
          <w:rFonts w:cstheme="minorHAnsi"/>
        </w:rPr>
        <w:t xml:space="preserve"> in Georgia</w:t>
      </w:r>
      <w:r w:rsidR="002702A9">
        <w:rPr>
          <w:rFonts w:cstheme="minorHAnsi"/>
        </w:rPr>
        <w:t>.</w:t>
      </w:r>
      <w:r w:rsidR="00D34144">
        <w:rPr>
          <w:rStyle w:val="FootnoteReference"/>
          <w:rFonts w:cstheme="minorHAnsi"/>
        </w:rPr>
        <w:footnoteReference w:id="30"/>
      </w:r>
      <w:r w:rsidR="00751374">
        <w:rPr>
          <w:rFonts w:cstheme="minorHAnsi"/>
        </w:rPr>
        <w:t xml:space="preserve"> </w:t>
      </w:r>
      <w:r w:rsidR="00F16C12">
        <w:rPr>
          <w:rFonts w:cstheme="minorHAnsi"/>
        </w:rPr>
        <w:t>Even though, the total cumulative number of registered eco-migrant families is increasing over years, it</w:t>
      </w:r>
      <w:r w:rsidR="00751374">
        <w:rPr>
          <w:rFonts w:cstheme="minorHAnsi"/>
        </w:rPr>
        <w:t xml:space="preserve"> </w:t>
      </w:r>
      <w:r w:rsidR="00F16C12">
        <w:rPr>
          <w:rFonts w:cstheme="minorHAnsi"/>
        </w:rPr>
        <w:t>is obvious</w:t>
      </w:r>
      <w:r w:rsidR="00751374">
        <w:rPr>
          <w:rFonts w:cstheme="minorHAnsi"/>
        </w:rPr>
        <w:t xml:space="preserve"> from Figure </w:t>
      </w:r>
      <w:r w:rsidR="002702A9">
        <w:rPr>
          <w:rFonts w:cstheme="minorHAnsi"/>
        </w:rPr>
        <w:t>21</w:t>
      </w:r>
      <w:r w:rsidR="00751374">
        <w:rPr>
          <w:rFonts w:cstheme="minorHAnsi"/>
        </w:rPr>
        <w:t xml:space="preserve"> that the number </w:t>
      </w:r>
      <w:r w:rsidR="009C75E6">
        <w:rPr>
          <w:rFonts w:cstheme="minorHAnsi"/>
        </w:rPr>
        <w:t xml:space="preserve"> </w:t>
      </w:r>
      <w:r w:rsidR="00751374">
        <w:rPr>
          <w:rFonts w:cstheme="minorHAnsi"/>
        </w:rPr>
        <w:t xml:space="preserve">of eco-migrant families applying for accommodation is decreasing over </w:t>
      </w:r>
      <w:r w:rsidR="00642DA0">
        <w:rPr>
          <w:rFonts w:cstheme="minorHAnsi"/>
        </w:rPr>
        <w:t>the same observation period</w:t>
      </w:r>
      <w:r w:rsidR="002702A9">
        <w:rPr>
          <w:rFonts w:cstheme="minorHAnsi"/>
        </w:rPr>
        <w:t>.</w:t>
      </w:r>
    </w:p>
    <w:p w14:paraId="18CFF8D1" w14:textId="77777777" w:rsidR="004076AD" w:rsidRDefault="004076AD" w:rsidP="00976D0B">
      <w:pPr>
        <w:jc w:val="both"/>
        <w:rPr>
          <w:rFonts w:cstheme="minorHAnsi"/>
        </w:rPr>
      </w:pPr>
    </w:p>
    <w:p w14:paraId="74B7BA3B" w14:textId="400A9F69" w:rsidR="004330B2" w:rsidRDefault="00F70B54" w:rsidP="00976D0B">
      <w:pPr>
        <w:pStyle w:val="Caption"/>
        <w:jc w:val="both"/>
      </w:pPr>
      <w:r>
        <w:lastRenderedPageBreak/>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21</w:t>
      </w:r>
      <w:r w:rsidR="006C3BD6">
        <w:rPr>
          <w:noProof/>
        </w:rPr>
        <w:fldChar w:fldCharType="end"/>
      </w:r>
      <w:r>
        <w:t xml:space="preserve">: The </w:t>
      </w:r>
      <w:r w:rsidR="00751374">
        <w:t xml:space="preserve">number of </w:t>
      </w:r>
      <w:r w:rsidR="004360B9">
        <w:t>e</w:t>
      </w:r>
      <w:r w:rsidR="00751374">
        <w:t>co-migrant families refereeing to the ministry for accommodation each year</w:t>
      </w:r>
      <w:r w:rsidR="00751374">
        <w:rPr>
          <w:rStyle w:val="FootnoteReference"/>
        </w:rPr>
        <w:footnoteReference w:id="31"/>
      </w:r>
    </w:p>
    <w:p w14:paraId="78BF07DD" w14:textId="09D7B0D9" w:rsidR="00840F80" w:rsidRDefault="00751374" w:rsidP="00984F28">
      <w:pPr>
        <w:spacing w:after="0"/>
        <w:jc w:val="both"/>
        <w:rPr>
          <w:rFonts w:cstheme="minorHAnsi"/>
          <w:b/>
          <w:color w:val="FF0000"/>
        </w:rPr>
      </w:pPr>
      <w:r>
        <w:rPr>
          <w:noProof/>
        </w:rPr>
        <w:drawing>
          <wp:inline distT="0" distB="0" distL="0" distR="0" wp14:anchorId="3D924583" wp14:editId="02B4194E">
            <wp:extent cx="5762625" cy="2362200"/>
            <wp:effectExtent l="0" t="0" r="9525" b="0"/>
            <wp:docPr id="46" name="Chart 46">
              <a:extLst xmlns:a="http://schemas.openxmlformats.org/drawingml/2006/main">
                <a:ext uri="{FF2B5EF4-FFF2-40B4-BE49-F238E27FC236}">
                  <a16:creationId xmlns:a16="http://schemas.microsoft.com/office/drawing/2014/main" id="{E137EC37-9837-4E99-A838-834D01DF0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8DED8D" w14:textId="12E13125" w:rsidR="003874DF" w:rsidRDefault="005D4A8D" w:rsidP="00976D0B">
      <w:pPr>
        <w:jc w:val="both"/>
        <w:rPr>
          <w:i/>
          <w:iCs/>
          <w:color w:val="44546A" w:themeColor="text2"/>
          <w:sz w:val="18"/>
          <w:szCs w:val="18"/>
        </w:rPr>
      </w:pPr>
      <w:r w:rsidRPr="00414DE6">
        <w:rPr>
          <w:i/>
          <w:iCs/>
          <w:color w:val="44546A" w:themeColor="text2"/>
          <w:sz w:val="18"/>
          <w:szCs w:val="18"/>
        </w:rPr>
        <w:t>Source:</w:t>
      </w:r>
      <w:r w:rsidR="00642DA0">
        <w:rPr>
          <w:i/>
          <w:iCs/>
          <w:color w:val="44546A" w:themeColor="text2"/>
          <w:sz w:val="18"/>
          <w:szCs w:val="18"/>
        </w:rPr>
        <w:t xml:space="preserve"> </w:t>
      </w:r>
      <w:proofErr w:type="spellStart"/>
      <w:r w:rsidR="00473F78">
        <w:rPr>
          <w:i/>
          <w:iCs/>
          <w:color w:val="44546A" w:themeColor="text2"/>
          <w:sz w:val="18"/>
          <w:szCs w:val="18"/>
        </w:rPr>
        <w:t>MoLSHA</w:t>
      </w:r>
      <w:proofErr w:type="spellEnd"/>
    </w:p>
    <w:p w14:paraId="54BF87F8" w14:textId="34181999" w:rsidR="00083474" w:rsidRDefault="00F70B54" w:rsidP="00976D0B">
      <w:pPr>
        <w:jc w:val="both"/>
        <w:rPr>
          <w:rFonts w:cstheme="minorHAnsi"/>
        </w:rPr>
      </w:pPr>
      <w:r>
        <w:rPr>
          <w:rFonts w:cstheme="minorHAnsi"/>
        </w:rPr>
        <w:t>Looking</w:t>
      </w:r>
      <w:r w:rsidR="00840F80">
        <w:rPr>
          <w:rFonts w:cstheme="minorHAnsi"/>
        </w:rPr>
        <w:t xml:space="preserve"> at t</w:t>
      </w:r>
      <w:r w:rsidR="00840F80" w:rsidRPr="00840F80">
        <w:rPr>
          <w:rFonts w:cstheme="minorHAnsi"/>
        </w:rPr>
        <w:t xml:space="preserve">he most vulnerable groups </w:t>
      </w:r>
      <w:r w:rsidR="00B5456B">
        <w:rPr>
          <w:rFonts w:cstheme="minorHAnsi"/>
        </w:rPr>
        <w:t xml:space="preserve">among </w:t>
      </w:r>
      <w:r w:rsidR="00B5456B" w:rsidRPr="006066AB">
        <w:rPr>
          <w:rFonts w:cstheme="minorHAnsi"/>
          <w:b/>
          <w:bCs/>
          <w:i/>
          <w:iCs/>
        </w:rPr>
        <w:t xml:space="preserve">the </w:t>
      </w:r>
      <w:r w:rsidR="00840F80" w:rsidRPr="006066AB">
        <w:rPr>
          <w:rFonts w:cstheme="minorHAnsi"/>
          <w:b/>
          <w:bCs/>
          <w:i/>
          <w:iCs/>
        </w:rPr>
        <w:t>internally displaced people</w:t>
      </w:r>
      <w:r>
        <w:rPr>
          <w:rFonts w:cstheme="minorHAnsi"/>
        </w:rPr>
        <w:t xml:space="preserve">, </w:t>
      </w:r>
      <w:r w:rsidR="00840F80" w:rsidRPr="00840F80">
        <w:rPr>
          <w:rFonts w:cstheme="minorHAnsi"/>
        </w:rPr>
        <w:t>those who get the social assistance over year</w:t>
      </w:r>
      <w:r>
        <w:rPr>
          <w:rFonts w:cstheme="minorHAnsi"/>
        </w:rPr>
        <w:t>s</w:t>
      </w:r>
      <w:r w:rsidR="00840F80" w:rsidRPr="00840F80">
        <w:rPr>
          <w:rFonts w:cstheme="minorHAnsi"/>
        </w:rPr>
        <w:t xml:space="preserve"> and the ones who still live in collective centers and do not have their own accommodation</w:t>
      </w:r>
      <w:r>
        <w:rPr>
          <w:rFonts w:cstheme="minorHAnsi"/>
        </w:rPr>
        <w:t>s, it can be seen that the number</w:t>
      </w:r>
      <w:r w:rsidR="000B1B7E">
        <w:rPr>
          <w:rFonts w:cstheme="minorHAnsi"/>
        </w:rPr>
        <w:t>s</w:t>
      </w:r>
      <w:r>
        <w:rPr>
          <w:rFonts w:cstheme="minorHAnsi"/>
        </w:rPr>
        <w:t xml:space="preserve"> </w:t>
      </w:r>
      <w:r w:rsidR="000B1B7E">
        <w:rPr>
          <w:rFonts w:cstheme="minorHAnsi"/>
        </w:rPr>
        <w:t>are</w:t>
      </w:r>
      <w:r>
        <w:rPr>
          <w:rFonts w:cstheme="minorHAnsi"/>
        </w:rPr>
        <w:t xml:space="preserve"> decreasing over the observed period </w:t>
      </w:r>
      <w:r w:rsidR="00C02A72">
        <w:rPr>
          <w:rFonts w:cstheme="minorHAnsi"/>
        </w:rPr>
        <w:t>(Figure</w:t>
      </w:r>
      <w:r w:rsidR="000B1B7E">
        <w:rPr>
          <w:rFonts w:cstheme="minorHAnsi"/>
        </w:rPr>
        <w:t>s</w:t>
      </w:r>
      <w:r w:rsidR="00C02A72">
        <w:rPr>
          <w:rFonts w:cstheme="minorHAnsi"/>
        </w:rPr>
        <w:t xml:space="preserve"> </w:t>
      </w:r>
      <w:r w:rsidR="00D55177">
        <w:rPr>
          <w:rFonts w:cstheme="minorHAnsi"/>
        </w:rPr>
        <w:t>2</w:t>
      </w:r>
      <w:r w:rsidR="002702A9">
        <w:rPr>
          <w:rFonts w:cstheme="minorHAnsi"/>
        </w:rPr>
        <w:t>2</w:t>
      </w:r>
      <w:r w:rsidR="000B1B7E">
        <w:rPr>
          <w:rFonts w:cstheme="minorHAnsi"/>
        </w:rPr>
        <w:t xml:space="preserve"> and </w:t>
      </w:r>
      <w:r w:rsidR="00D55177">
        <w:rPr>
          <w:rFonts w:cstheme="minorHAnsi"/>
        </w:rPr>
        <w:t>2</w:t>
      </w:r>
      <w:r w:rsidR="002702A9">
        <w:rPr>
          <w:rFonts w:cstheme="minorHAnsi"/>
        </w:rPr>
        <w:t>3</w:t>
      </w:r>
      <w:r w:rsidR="00C02A72">
        <w:rPr>
          <w:rFonts w:cstheme="minorHAnsi"/>
        </w:rPr>
        <w:t>)</w:t>
      </w:r>
      <w:r w:rsidR="00E12507">
        <w:rPr>
          <w:rFonts w:cstheme="minorHAnsi"/>
        </w:rPr>
        <w:t>.</w:t>
      </w:r>
      <w:r w:rsidR="00A96C8C">
        <w:rPr>
          <w:rFonts w:cstheme="minorHAnsi"/>
        </w:rPr>
        <w:t xml:space="preserve"> The decline in the number of</w:t>
      </w:r>
      <w:r>
        <w:rPr>
          <w:rFonts w:cstheme="minorHAnsi"/>
        </w:rPr>
        <w:t xml:space="preserve"> families living in compact settlement</w:t>
      </w:r>
      <w:r w:rsidR="00A96C8C">
        <w:rPr>
          <w:rFonts w:cstheme="minorHAnsi"/>
        </w:rPr>
        <w:t xml:space="preserve"> is</w:t>
      </w:r>
      <w:r w:rsidR="00CE0C5B">
        <w:rPr>
          <w:rFonts w:cstheme="minorHAnsi"/>
        </w:rPr>
        <w:t xml:space="preserve"> most likely </w:t>
      </w:r>
      <w:r>
        <w:rPr>
          <w:rFonts w:cstheme="minorHAnsi"/>
        </w:rPr>
        <w:t xml:space="preserve">due to multiple state programs which </w:t>
      </w:r>
      <w:r w:rsidR="00A96C8C">
        <w:rPr>
          <w:rFonts w:cstheme="minorHAnsi"/>
        </w:rPr>
        <w:t xml:space="preserve">have been </w:t>
      </w:r>
      <w:r>
        <w:rPr>
          <w:rFonts w:cstheme="minorHAnsi"/>
        </w:rPr>
        <w:t>address</w:t>
      </w:r>
      <w:r w:rsidR="00A96C8C">
        <w:rPr>
          <w:rFonts w:cstheme="minorHAnsi"/>
        </w:rPr>
        <w:t>ing</w:t>
      </w:r>
      <w:r>
        <w:rPr>
          <w:rFonts w:cstheme="minorHAnsi"/>
        </w:rPr>
        <w:t xml:space="preserve"> IDPs’ accommodation issues over years</w:t>
      </w:r>
      <w:r w:rsidR="007A0171">
        <w:rPr>
          <w:rFonts w:cstheme="minorHAnsi"/>
        </w:rPr>
        <w:t>.</w:t>
      </w:r>
      <w:r w:rsidR="00E12507">
        <w:rPr>
          <w:rFonts w:cstheme="minorHAnsi"/>
        </w:rPr>
        <w:t xml:space="preserve"> While the number of households remained high in 2013, we have a reason to believe that a picture might be significantly different now, as the efforts to address IDPs accommodation issues have continued since then.</w:t>
      </w:r>
    </w:p>
    <w:p w14:paraId="151F0651" w14:textId="17E70534" w:rsidR="00F70B54" w:rsidRPr="00454C26" w:rsidRDefault="00F70B54" w:rsidP="00454C26">
      <w:pPr>
        <w:pStyle w:val="Caption"/>
        <w:jc w:val="both"/>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22</w:t>
      </w:r>
      <w:r w:rsidR="009E6455">
        <w:rPr>
          <w:noProof/>
        </w:rPr>
        <w:fldChar w:fldCharType="end"/>
      </w:r>
      <w:r>
        <w:t>: The number of IDP families receiving social assistance</w:t>
      </w:r>
    </w:p>
    <w:p w14:paraId="787EC991" w14:textId="08D6C530" w:rsidR="00F70B54" w:rsidRDefault="00751374" w:rsidP="00984F28">
      <w:pPr>
        <w:spacing w:after="0"/>
        <w:jc w:val="both"/>
        <w:rPr>
          <w:rFonts w:cstheme="minorHAnsi"/>
        </w:rPr>
      </w:pPr>
      <w:r w:rsidRPr="00751374">
        <w:rPr>
          <w:noProof/>
        </w:rPr>
        <w:t xml:space="preserve"> </w:t>
      </w:r>
      <w:r>
        <w:rPr>
          <w:noProof/>
        </w:rPr>
        <w:drawing>
          <wp:inline distT="0" distB="0" distL="0" distR="0" wp14:anchorId="6C5FA25C" wp14:editId="6FA48F87">
            <wp:extent cx="5715000" cy="2705100"/>
            <wp:effectExtent l="0" t="0" r="0" b="0"/>
            <wp:docPr id="43" name="Chart 43">
              <a:extLst xmlns:a="http://schemas.openxmlformats.org/drawingml/2006/main">
                <a:ext uri="{FF2B5EF4-FFF2-40B4-BE49-F238E27FC236}">
                  <a16:creationId xmlns:a16="http://schemas.microsoft.com/office/drawing/2014/main" id="{0B4069E2-2F51-4F36-ACF7-ABBEC0827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D6F57B" w14:textId="70D23A32" w:rsidR="00F70B54" w:rsidRDefault="00F70B54" w:rsidP="00976D0B">
      <w:pPr>
        <w:jc w:val="both"/>
        <w:rPr>
          <w:i/>
          <w:iCs/>
          <w:color w:val="44546A" w:themeColor="text2"/>
          <w:sz w:val="18"/>
          <w:szCs w:val="18"/>
        </w:rPr>
      </w:pPr>
      <w:r w:rsidRPr="00414DE6">
        <w:rPr>
          <w:i/>
          <w:iCs/>
          <w:color w:val="44546A" w:themeColor="text2"/>
          <w:sz w:val="18"/>
          <w:szCs w:val="18"/>
        </w:rPr>
        <w:t xml:space="preserve">Source: </w:t>
      </w:r>
      <w:r w:rsidR="00473F78">
        <w:rPr>
          <w:i/>
          <w:iCs/>
          <w:color w:val="44546A" w:themeColor="text2"/>
          <w:sz w:val="18"/>
          <w:szCs w:val="18"/>
        </w:rPr>
        <w:t>SSA</w:t>
      </w:r>
    </w:p>
    <w:p w14:paraId="298BFDF8" w14:textId="77777777" w:rsidR="00984F28" w:rsidRDefault="00984F28" w:rsidP="00976D0B">
      <w:pPr>
        <w:jc w:val="both"/>
        <w:rPr>
          <w:i/>
          <w:iCs/>
          <w:color w:val="44546A" w:themeColor="text2"/>
          <w:sz w:val="18"/>
          <w:szCs w:val="18"/>
        </w:rPr>
      </w:pPr>
    </w:p>
    <w:p w14:paraId="1F0E50B2" w14:textId="0F21D1D3" w:rsidR="00F70B54" w:rsidRDefault="00F70B54" w:rsidP="00976D0B">
      <w:pPr>
        <w:pStyle w:val="Caption"/>
        <w:jc w:val="both"/>
      </w:pPr>
      <w:r>
        <w:lastRenderedPageBreak/>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23</w:t>
      </w:r>
      <w:r w:rsidR="006C3BD6">
        <w:rPr>
          <w:noProof/>
        </w:rPr>
        <w:fldChar w:fldCharType="end"/>
      </w:r>
      <w:r>
        <w:t>: The number of families living in compact settlement</w:t>
      </w:r>
      <w:r w:rsidR="002E21DB">
        <w:t>s</w:t>
      </w:r>
    </w:p>
    <w:p w14:paraId="5CB5DC1A" w14:textId="0954C655" w:rsidR="00F70B54" w:rsidRDefault="00751374" w:rsidP="00984F28">
      <w:pPr>
        <w:spacing w:after="0"/>
        <w:jc w:val="both"/>
        <w:rPr>
          <w:i/>
          <w:iCs/>
          <w:color w:val="44546A" w:themeColor="text2"/>
          <w:sz w:val="18"/>
          <w:szCs w:val="18"/>
        </w:rPr>
      </w:pPr>
      <w:r>
        <w:rPr>
          <w:noProof/>
        </w:rPr>
        <w:drawing>
          <wp:inline distT="0" distB="0" distL="0" distR="0" wp14:anchorId="1C5A5670" wp14:editId="1B0475D6">
            <wp:extent cx="5800725" cy="2809875"/>
            <wp:effectExtent l="0" t="0" r="9525" b="9525"/>
            <wp:docPr id="44" name="Chart 44">
              <a:extLst xmlns:a="http://schemas.openxmlformats.org/drawingml/2006/main">
                <a:ext uri="{FF2B5EF4-FFF2-40B4-BE49-F238E27FC236}">
                  <a16:creationId xmlns:a16="http://schemas.microsoft.com/office/drawing/2014/main" id="{CF21D5D1-BE0C-4929-A300-86E761A6D6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36C558" w14:textId="1C1C6E53" w:rsidR="00AA67D3" w:rsidRPr="00454C26" w:rsidRDefault="00F70B54" w:rsidP="00454C26">
      <w:pPr>
        <w:jc w:val="both"/>
        <w:rPr>
          <w:i/>
          <w:iCs/>
          <w:color w:val="44546A" w:themeColor="text2"/>
          <w:sz w:val="18"/>
          <w:szCs w:val="18"/>
        </w:rPr>
      </w:pPr>
      <w:r w:rsidRPr="00454C26">
        <w:rPr>
          <w:i/>
          <w:iCs/>
          <w:color w:val="44546A" w:themeColor="text2"/>
          <w:sz w:val="18"/>
          <w:szCs w:val="18"/>
        </w:rPr>
        <w:t>Sou</w:t>
      </w:r>
      <w:r w:rsidR="00984F28">
        <w:rPr>
          <w:i/>
          <w:iCs/>
          <w:color w:val="44546A" w:themeColor="text2"/>
          <w:sz w:val="18"/>
          <w:szCs w:val="18"/>
        </w:rPr>
        <w:t xml:space="preserve">rce: </w:t>
      </w:r>
      <w:r w:rsidR="00473F78">
        <w:rPr>
          <w:i/>
          <w:iCs/>
          <w:color w:val="44546A" w:themeColor="text2"/>
          <w:sz w:val="18"/>
          <w:szCs w:val="18"/>
        </w:rPr>
        <w:t>SSA</w:t>
      </w:r>
      <w:r w:rsidR="00984F28">
        <w:rPr>
          <w:i/>
          <w:iCs/>
          <w:color w:val="44546A" w:themeColor="text2"/>
          <w:sz w:val="18"/>
          <w:szCs w:val="18"/>
        </w:rPr>
        <w:t xml:space="preserve"> </w:t>
      </w:r>
    </w:p>
    <w:p w14:paraId="3C47AE2D" w14:textId="1249D0B5" w:rsidR="00083474" w:rsidRPr="003F564F" w:rsidRDefault="00226191" w:rsidP="003F564F">
      <w:pPr>
        <w:pStyle w:val="Caption"/>
        <w:jc w:val="both"/>
        <w:rPr>
          <w:rFonts w:cstheme="minorHAnsi"/>
          <w:i w:val="0"/>
          <w:iCs w:val="0"/>
          <w:color w:val="auto"/>
          <w:sz w:val="22"/>
          <w:szCs w:val="22"/>
        </w:rPr>
      </w:pPr>
      <w:r w:rsidRPr="00CE0C5B">
        <w:rPr>
          <w:rFonts w:cstheme="minorHAnsi"/>
          <w:i w:val="0"/>
          <w:iCs w:val="0"/>
          <w:color w:val="auto"/>
          <w:sz w:val="22"/>
          <w:szCs w:val="22"/>
        </w:rPr>
        <w:t xml:space="preserve">The next group entering these categories are </w:t>
      </w:r>
      <w:r w:rsidRPr="006066AB">
        <w:rPr>
          <w:rFonts w:cstheme="minorHAnsi"/>
          <w:b/>
          <w:bCs/>
          <w:color w:val="auto"/>
          <w:sz w:val="22"/>
          <w:szCs w:val="22"/>
        </w:rPr>
        <w:t>children, who live in children houses</w:t>
      </w:r>
      <w:r w:rsidRPr="00CE0C5B">
        <w:rPr>
          <w:rFonts w:cstheme="minorHAnsi"/>
          <w:i w:val="0"/>
          <w:iCs w:val="0"/>
          <w:color w:val="auto"/>
          <w:sz w:val="22"/>
          <w:szCs w:val="22"/>
        </w:rPr>
        <w:t xml:space="preserve">, </w:t>
      </w:r>
      <w:r>
        <w:rPr>
          <w:rFonts w:cstheme="minorHAnsi"/>
          <w:i w:val="0"/>
          <w:iCs w:val="0"/>
          <w:color w:val="auto"/>
          <w:sz w:val="22"/>
          <w:szCs w:val="22"/>
        </w:rPr>
        <w:t>Figure 2</w:t>
      </w:r>
      <w:r w:rsidR="002702A9">
        <w:rPr>
          <w:rFonts w:cstheme="minorHAnsi"/>
          <w:i w:val="0"/>
          <w:iCs w:val="0"/>
          <w:color w:val="auto"/>
          <w:sz w:val="22"/>
          <w:szCs w:val="22"/>
        </w:rPr>
        <w:t>4</w:t>
      </w:r>
      <w:r>
        <w:rPr>
          <w:rFonts w:cstheme="minorHAnsi"/>
          <w:i w:val="0"/>
          <w:iCs w:val="0"/>
          <w:color w:val="auto"/>
          <w:sz w:val="22"/>
          <w:szCs w:val="22"/>
        </w:rPr>
        <w:t xml:space="preserve"> </w:t>
      </w:r>
      <w:r w:rsidR="002702A9">
        <w:rPr>
          <w:rFonts w:cstheme="minorHAnsi"/>
          <w:i w:val="0"/>
          <w:iCs w:val="0"/>
          <w:color w:val="auto"/>
          <w:sz w:val="22"/>
          <w:szCs w:val="22"/>
        </w:rPr>
        <w:t xml:space="preserve">shows </w:t>
      </w:r>
      <w:r w:rsidRPr="00CE0C5B">
        <w:rPr>
          <w:rFonts w:cstheme="minorHAnsi"/>
          <w:i w:val="0"/>
          <w:iCs w:val="0"/>
          <w:color w:val="auto"/>
          <w:sz w:val="22"/>
          <w:szCs w:val="22"/>
        </w:rPr>
        <w:t>that the number of beneficiaries in the following institutions are declining over years, due to the existed state policies supporting alternative form</w:t>
      </w:r>
      <w:r>
        <w:rPr>
          <w:rFonts w:cstheme="minorHAnsi"/>
          <w:i w:val="0"/>
          <w:iCs w:val="0"/>
          <w:color w:val="auto"/>
          <w:sz w:val="22"/>
          <w:szCs w:val="22"/>
        </w:rPr>
        <w:t>s</w:t>
      </w:r>
      <w:r w:rsidRPr="00CE0C5B">
        <w:rPr>
          <w:rFonts w:cstheme="minorHAnsi"/>
          <w:i w:val="0"/>
          <w:iCs w:val="0"/>
          <w:color w:val="auto"/>
          <w:sz w:val="22"/>
          <w:szCs w:val="22"/>
        </w:rPr>
        <w:t xml:space="preserve"> of children </w:t>
      </w:r>
      <w:r w:rsidR="00FE17B6" w:rsidRPr="00CE0C5B">
        <w:rPr>
          <w:rFonts w:cstheme="minorHAnsi"/>
          <w:i w:val="0"/>
          <w:iCs w:val="0"/>
          <w:color w:val="auto"/>
          <w:sz w:val="22"/>
          <w:szCs w:val="22"/>
        </w:rPr>
        <w:t>care.</w:t>
      </w:r>
    </w:p>
    <w:p w14:paraId="4733B6A6" w14:textId="26480C9A" w:rsidR="00CE0C5B" w:rsidRPr="00CE0C5B" w:rsidRDefault="00CE0C5B" w:rsidP="00976D0B">
      <w:pPr>
        <w:pStyle w:val="Caption"/>
        <w:jc w:val="both"/>
        <w:rPr>
          <w:rFonts w:cstheme="minorHAnsi"/>
          <w:color w:val="auto"/>
          <w:sz w:val="22"/>
          <w:szCs w:val="22"/>
        </w:rPr>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24</w:t>
      </w:r>
      <w:r w:rsidR="006C3BD6">
        <w:rPr>
          <w:noProof/>
        </w:rPr>
        <w:fldChar w:fldCharType="end"/>
      </w:r>
      <w:r>
        <w:t>: The number of children living in children houses</w:t>
      </w:r>
    </w:p>
    <w:p w14:paraId="4DBEF2A6" w14:textId="773C76E6" w:rsidR="00CE0C5B" w:rsidRDefault="00751374" w:rsidP="00B018E1">
      <w:pPr>
        <w:spacing w:after="0"/>
        <w:jc w:val="both"/>
        <w:rPr>
          <w:rFonts w:cstheme="minorHAnsi"/>
        </w:rPr>
      </w:pPr>
      <w:r>
        <w:rPr>
          <w:noProof/>
        </w:rPr>
        <w:drawing>
          <wp:inline distT="0" distB="0" distL="0" distR="0" wp14:anchorId="1FF72777" wp14:editId="4ACC2877">
            <wp:extent cx="5800725" cy="2743200"/>
            <wp:effectExtent l="0" t="0" r="9525" b="0"/>
            <wp:docPr id="27" name="Chart 27">
              <a:extLst xmlns:a="http://schemas.openxmlformats.org/drawingml/2006/main">
                <a:ext uri="{FF2B5EF4-FFF2-40B4-BE49-F238E27FC236}">
                  <a16:creationId xmlns:a16="http://schemas.microsoft.com/office/drawing/2014/main" id="{5490BBF8-E247-40E1-9963-BEC9275CD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9901D7" w14:textId="63F764F1" w:rsidR="00C02A72" w:rsidRDefault="0041763E" w:rsidP="00976D0B">
      <w:pPr>
        <w:jc w:val="both"/>
        <w:rPr>
          <w:i/>
          <w:iCs/>
          <w:color w:val="44546A" w:themeColor="text2"/>
          <w:sz w:val="18"/>
          <w:szCs w:val="18"/>
        </w:rPr>
      </w:pPr>
      <w:r w:rsidRPr="00414DE6">
        <w:rPr>
          <w:i/>
          <w:iCs/>
          <w:color w:val="44546A" w:themeColor="text2"/>
          <w:sz w:val="18"/>
          <w:szCs w:val="18"/>
        </w:rPr>
        <w:t xml:space="preserve">Source: </w:t>
      </w:r>
      <w:r w:rsidR="00473F78" w:rsidRPr="00473F78">
        <w:rPr>
          <w:i/>
          <w:iCs/>
          <w:color w:val="44546A" w:themeColor="text2"/>
          <w:sz w:val="18"/>
          <w:szCs w:val="18"/>
        </w:rPr>
        <w:t>ATIP Fund</w:t>
      </w:r>
    </w:p>
    <w:p w14:paraId="61E149F6" w14:textId="71CD3AA9" w:rsidR="00163982" w:rsidRDefault="00163982" w:rsidP="00976D0B">
      <w:pPr>
        <w:jc w:val="both"/>
        <w:rPr>
          <w:rFonts w:cstheme="minorHAnsi"/>
        </w:rPr>
      </w:pPr>
      <w:r w:rsidRPr="00454C26">
        <w:rPr>
          <w:rFonts w:cstheme="minorHAnsi"/>
        </w:rPr>
        <w:t xml:space="preserve">Having talked to some of stakeholders, it appeared that they consider </w:t>
      </w:r>
      <w:r w:rsidRPr="00454C26">
        <w:rPr>
          <w:rFonts w:cstheme="minorHAnsi"/>
          <w:b/>
          <w:i/>
        </w:rPr>
        <w:t>children offered for adoption</w:t>
      </w:r>
      <w:r w:rsidRPr="00454C26">
        <w:rPr>
          <w:rFonts w:cstheme="minorHAnsi"/>
        </w:rPr>
        <w:t xml:space="preserve"> to be one of the most vulnerable groups exposed to the risk of homelessness</w:t>
      </w:r>
      <w:r w:rsidRPr="00454C26">
        <w:rPr>
          <w:rFonts w:cstheme="minorHAnsi"/>
          <w:b/>
          <w:i/>
        </w:rPr>
        <w:t xml:space="preserve">, especially </w:t>
      </w:r>
      <w:r w:rsidR="005C6868" w:rsidRPr="00454C26">
        <w:rPr>
          <w:rFonts w:cstheme="minorHAnsi"/>
          <w:b/>
          <w:i/>
        </w:rPr>
        <w:t xml:space="preserve">the ones </w:t>
      </w:r>
      <w:r w:rsidRPr="00454C26">
        <w:rPr>
          <w:rFonts w:cstheme="minorHAnsi"/>
          <w:b/>
          <w:i/>
        </w:rPr>
        <w:t>from 16-18 age group</w:t>
      </w:r>
      <w:r w:rsidRPr="00454C26">
        <w:rPr>
          <w:rFonts w:cstheme="minorHAnsi"/>
        </w:rPr>
        <w:t xml:space="preserve">. According to SSA data, starting from 2013 only </w:t>
      </w:r>
      <w:r w:rsidR="00581CD8" w:rsidRPr="00454C26">
        <w:rPr>
          <w:rFonts w:cstheme="minorHAnsi"/>
        </w:rPr>
        <w:t>negligible number of th</w:t>
      </w:r>
      <w:r w:rsidR="002702A9">
        <w:rPr>
          <w:rFonts w:cstheme="minorHAnsi"/>
        </w:rPr>
        <w:t>ese</w:t>
      </w:r>
      <w:r w:rsidR="00581CD8" w:rsidRPr="00454C26">
        <w:rPr>
          <w:rFonts w:cstheme="minorHAnsi"/>
        </w:rPr>
        <w:t xml:space="preserve"> children got adopted, meaning that the rest of them remained ownerless</w:t>
      </w:r>
      <w:r w:rsidR="002702A9">
        <w:rPr>
          <w:rFonts w:cstheme="minorHAnsi"/>
        </w:rPr>
        <w:t xml:space="preserve"> (Figure 25)</w:t>
      </w:r>
      <w:r w:rsidR="00581CD8" w:rsidRPr="00454C26">
        <w:rPr>
          <w:rFonts w:cstheme="minorHAnsi"/>
        </w:rPr>
        <w:t xml:space="preserve">. </w:t>
      </w:r>
    </w:p>
    <w:p w14:paraId="69506CDD" w14:textId="77777777" w:rsidR="004076AD" w:rsidRPr="00454C26" w:rsidRDefault="004076AD" w:rsidP="00976D0B">
      <w:pPr>
        <w:jc w:val="both"/>
        <w:rPr>
          <w:rFonts w:cstheme="minorHAnsi"/>
        </w:rPr>
      </w:pPr>
    </w:p>
    <w:p w14:paraId="063BCE50" w14:textId="642E3304" w:rsidR="00581CD8" w:rsidRDefault="00581CD8" w:rsidP="00454C26">
      <w:pPr>
        <w:pStyle w:val="Caption"/>
        <w:rPr>
          <w:iCs w:val="0"/>
        </w:rPr>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25</w:t>
      </w:r>
      <w:r w:rsidR="009E6455">
        <w:rPr>
          <w:noProof/>
        </w:rPr>
        <w:fldChar w:fldCharType="end"/>
      </w:r>
      <w:r>
        <w:t xml:space="preserve">: The number of </w:t>
      </w:r>
      <w:r w:rsidR="005C6868">
        <w:t>16-18-year-old</w:t>
      </w:r>
      <w:r>
        <w:t xml:space="preserve"> </w:t>
      </w:r>
      <w:r w:rsidR="005C6868">
        <w:t xml:space="preserve">ownerless </w:t>
      </w:r>
      <w:r>
        <w:t xml:space="preserve">children </w:t>
      </w:r>
    </w:p>
    <w:p w14:paraId="00D09209" w14:textId="24F1C38D" w:rsidR="00163982" w:rsidRDefault="00581CD8" w:rsidP="00B018E1">
      <w:pPr>
        <w:spacing w:after="0"/>
        <w:jc w:val="both"/>
        <w:rPr>
          <w:iCs/>
          <w:color w:val="44546A" w:themeColor="text2"/>
          <w:sz w:val="18"/>
          <w:szCs w:val="18"/>
        </w:rPr>
      </w:pPr>
      <w:r>
        <w:rPr>
          <w:noProof/>
        </w:rPr>
        <w:drawing>
          <wp:inline distT="0" distB="0" distL="0" distR="0" wp14:anchorId="6B7336F0" wp14:editId="29E76B0C">
            <wp:extent cx="5800725" cy="3038475"/>
            <wp:effectExtent l="0" t="0" r="9525" b="9525"/>
            <wp:docPr id="114" name="Chart 114">
              <a:extLst xmlns:a="http://schemas.openxmlformats.org/drawingml/2006/main">
                <a:ext uri="{FF2B5EF4-FFF2-40B4-BE49-F238E27FC236}">
                  <a16:creationId xmlns:a16="http://schemas.microsoft.com/office/drawing/2014/main" id="{DAFED5B2-B816-41C4-A211-821CB04C6B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9E7AB79" w14:textId="7096C563" w:rsidR="00083474" w:rsidRPr="00083474" w:rsidRDefault="00083474" w:rsidP="00976D0B">
      <w:pPr>
        <w:jc w:val="both"/>
        <w:rPr>
          <w:i/>
          <w:iCs/>
          <w:color w:val="44546A" w:themeColor="text2"/>
          <w:sz w:val="18"/>
          <w:szCs w:val="18"/>
        </w:rPr>
      </w:pPr>
      <w:r w:rsidRPr="00083474">
        <w:rPr>
          <w:i/>
          <w:iCs/>
          <w:color w:val="44546A" w:themeColor="text2"/>
          <w:sz w:val="18"/>
          <w:szCs w:val="18"/>
        </w:rPr>
        <w:t xml:space="preserve">Source: </w:t>
      </w:r>
      <w:r w:rsidR="00473F78">
        <w:rPr>
          <w:i/>
          <w:iCs/>
          <w:color w:val="44546A" w:themeColor="text2"/>
          <w:sz w:val="18"/>
          <w:szCs w:val="18"/>
        </w:rPr>
        <w:t>SSA</w:t>
      </w:r>
    </w:p>
    <w:p w14:paraId="065F4F3D" w14:textId="236AE6BC" w:rsidR="00CE0C5B" w:rsidRPr="00840F80" w:rsidRDefault="00C02A72" w:rsidP="00976D0B">
      <w:pPr>
        <w:jc w:val="both"/>
        <w:rPr>
          <w:rFonts w:cstheme="minorHAnsi"/>
        </w:rPr>
      </w:pPr>
      <w:r>
        <w:rPr>
          <w:rFonts w:cstheme="minorHAnsi"/>
        </w:rPr>
        <w:t xml:space="preserve">The next in the category are </w:t>
      </w:r>
      <w:r w:rsidRPr="00B018E1">
        <w:rPr>
          <w:rFonts w:cstheme="minorHAnsi"/>
          <w:b/>
        </w:rPr>
        <w:t>people with disabilities</w:t>
      </w:r>
      <w:r w:rsidR="007A0171">
        <w:rPr>
          <w:rFonts w:cstheme="minorHAnsi"/>
        </w:rPr>
        <w:t>.</w:t>
      </w:r>
      <w:r w:rsidR="0041763E">
        <w:rPr>
          <w:rFonts w:cstheme="minorHAnsi"/>
        </w:rPr>
        <w:t xml:space="preserve"> </w:t>
      </w:r>
      <w:r w:rsidR="006C0927">
        <w:rPr>
          <w:rFonts w:cstheme="minorHAnsi"/>
        </w:rPr>
        <w:t xml:space="preserve">There does not seem to be a clear trend characterizing the last </w:t>
      </w:r>
      <w:r w:rsidR="00107A27">
        <w:rPr>
          <w:rFonts w:cstheme="minorHAnsi"/>
        </w:rPr>
        <w:t>8 years</w:t>
      </w:r>
      <w:r w:rsidR="00473F78">
        <w:rPr>
          <w:rFonts w:cstheme="minorHAnsi"/>
        </w:rPr>
        <w:t xml:space="preserve"> ATIP F</w:t>
      </w:r>
      <w:r w:rsidR="007A0171">
        <w:rPr>
          <w:rFonts w:cstheme="minorHAnsi"/>
        </w:rPr>
        <w:t>und administered houses</w:t>
      </w:r>
      <w:r w:rsidR="00107A27">
        <w:rPr>
          <w:rFonts w:cstheme="minorHAnsi"/>
        </w:rPr>
        <w:t xml:space="preserve"> (</w:t>
      </w:r>
      <w:r w:rsidR="0041763E">
        <w:rPr>
          <w:rFonts w:cstheme="minorHAnsi"/>
        </w:rPr>
        <w:t xml:space="preserve">Figure </w:t>
      </w:r>
      <w:r w:rsidR="00CB4060">
        <w:rPr>
          <w:rFonts w:cstheme="minorHAnsi"/>
        </w:rPr>
        <w:t>26</w:t>
      </w:r>
      <w:r w:rsidR="00107A27">
        <w:rPr>
          <w:rFonts w:cstheme="minorHAnsi"/>
        </w:rPr>
        <w:t>)</w:t>
      </w:r>
      <w:r w:rsidR="007A0171">
        <w:rPr>
          <w:rFonts w:cstheme="minorHAnsi"/>
        </w:rPr>
        <w:t xml:space="preserve">, however the number of beneficiaries </w:t>
      </w:r>
      <w:r w:rsidR="0054139F">
        <w:rPr>
          <w:rFonts w:cstheme="minorHAnsi"/>
        </w:rPr>
        <w:t>is</w:t>
      </w:r>
      <w:r w:rsidR="007A0171">
        <w:rPr>
          <w:rFonts w:cstheme="minorHAnsi"/>
        </w:rPr>
        <w:t xml:space="preserve"> increasing substantially in community organizations</w:t>
      </w:r>
      <w:r w:rsidR="00CB4060">
        <w:rPr>
          <w:rFonts w:cstheme="minorHAnsi"/>
        </w:rPr>
        <w:t xml:space="preserve"> (Figure 27)</w:t>
      </w:r>
      <w:r w:rsidR="007A0171">
        <w:rPr>
          <w:rFonts w:cstheme="minorHAnsi"/>
        </w:rPr>
        <w:t>.</w:t>
      </w:r>
      <w:r w:rsidR="00107A27">
        <w:rPr>
          <w:rFonts w:cstheme="minorHAnsi"/>
        </w:rPr>
        <w:t xml:space="preserve"> </w:t>
      </w:r>
    </w:p>
    <w:p w14:paraId="7C1FA7BB" w14:textId="03469115" w:rsidR="007A0171" w:rsidRDefault="009522B1" w:rsidP="00976D0B">
      <w:pPr>
        <w:pStyle w:val="Caption"/>
        <w:jc w:val="both"/>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26</w:t>
      </w:r>
      <w:r w:rsidR="006C3BD6">
        <w:rPr>
          <w:noProof/>
        </w:rPr>
        <w:fldChar w:fldCharType="end"/>
      </w:r>
      <w:r>
        <w:t xml:space="preserve">: The number of </w:t>
      </w:r>
      <w:r w:rsidR="0041763E">
        <w:t xml:space="preserve">beneficiaries in </w:t>
      </w:r>
      <w:r>
        <w:t xml:space="preserve">for </w:t>
      </w:r>
      <w:r w:rsidR="002E21DB">
        <w:t>c</w:t>
      </w:r>
      <w:r>
        <w:t>hildren</w:t>
      </w:r>
      <w:r w:rsidR="00CE0C5B">
        <w:t xml:space="preserve"> and </w:t>
      </w:r>
      <w:r w:rsidR="00083474">
        <w:t>adults’</w:t>
      </w:r>
      <w:r w:rsidR="00CE0C5B">
        <w:t xml:space="preserve"> </w:t>
      </w:r>
      <w:r w:rsidR="0041763E">
        <w:t xml:space="preserve">houses </w:t>
      </w:r>
      <w:r>
        <w:t>with disabilities</w:t>
      </w:r>
    </w:p>
    <w:p w14:paraId="64F81957" w14:textId="62DAA3B9" w:rsidR="000745BD" w:rsidRDefault="00960A52" w:rsidP="00B018E1">
      <w:pPr>
        <w:pStyle w:val="Caption"/>
        <w:spacing w:after="0"/>
        <w:jc w:val="both"/>
      </w:pPr>
      <w:r>
        <w:rPr>
          <w:noProof/>
        </w:rPr>
        <w:drawing>
          <wp:inline distT="0" distB="0" distL="0" distR="0" wp14:anchorId="78C7E983" wp14:editId="21C0A689">
            <wp:extent cx="5829300" cy="2785745"/>
            <wp:effectExtent l="0" t="0" r="0" b="14605"/>
            <wp:docPr id="16" name="Chart 1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31053AE" w14:textId="3958810A" w:rsidR="002702A9" w:rsidRDefault="008A624B" w:rsidP="00454C26">
      <w:pPr>
        <w:rPr>
          <w:i/>
          <w:iCs/>
          <w:color w:val="44546A" w:themeColor="text2"/>
          <w:sz w:val="18"/>
          <w:szCs w:val="18"/>
        </w:rPr>
      </w:pPr>
      <w:r w:rsidRPr="00414DE6">
        <w:rPr>
          <w:i/>
          <w:iCs/>
          <w:color w:val="44546A" w:themeColor="text2"/>
          <w:sz w:val="18"/>
          <w:szCs w:val="18"/>
        </w:rPr>
        <w:t xml:space="preserve">Source: </w:t>
      </w:r>
      <w:r w:rsidR="00473F78" w:rsidRPr="00473F78">
        <w:rPr>
          <w:i/>
          <w:iCs/>
          <w:color w:val="44546A" w:themeColor="text2"/>
          <w:sz w:val="18"/>
          <w:szCs w:val="18"/>
        </w:rPr>
        <w:t>ATIP Fund</w:t>
      </w:r>
    </w:p>
    <w:p w14:paraId="0D8B9477" w14:textId="2884B094" w:rsidR="00B018E1" w:rsidRDefault="00B018E1" w:rsidP="00454C26">
      <w:pPr>
        <w:rPr>
          <w:i/>
          <w:iCs/>
          <w:color w:val="44546A" w:themeColor="text2"/>
          <w:sz w:val="18"/>
          <w:szCs w:val="18"/>
        </w:rPr>
      </w:pPr>
    </w:p>
    <w:p w14:paraId="0576DAD6" w14:textId="799840B5" w:rsidR="00B018E1" w:rsidRDefault="00B018E1" w:rsidP="00454C26"/>
    <w:p w14:paraId="60F76580" w14:textId="77777777" w:rsidR="004076AD" w:rsidRPr="00454C26" w:rsidRDefault="004076AD" w:rsidP="00454C26"/>
    <w:p w14:paraId="702B628D" w14:textId="11A602A8" w:rsidR="007A0171" w:rsidRDefault="007A0171" w:rsidP="00D74D8C">
      <w:pPr>
        <w:pStyle w:val="Caption"/>
      </w:pPr>
      <w:r>
        <w:lastRenderedPageBreak/>
        <w:t xml:space="preserve">Figure </w:t>
      </w:r>
      <w:r w:rsidR="00D656F6">
        <w:rPr>
          <w:noProof/>
        </w:rPr>
        <w:fldChar w:fldCharType="begin"/>
      </w:r>
      <w:r w:rsidR="00D656F6">
        <w:rPr>
          <w:noProof/>
        </w:rPr>
        <w:instrText xml:space="preserve"> SEQ Figure \* ARABIC </w:instrText>
      </w:r>
      <w:r w:rsidR="00D656F6">
        <w:rPr>
          <w:noProof/>
        </w:rPr>
        <w:fldChar w:fldCharType="separate"/>
      </w:r>
      <w:r w:rsidR="006B5103">
        <w:rPr>
          <w:noProof/>
        </w:rPr>
        <w:t>27</w:t>
      </w:r>
      <w:r w:rsidR="00D656F6">
        <w:rPr>
          <w:noProof/>
        </w:rPr>
        <w:fldChar w:fldCharType="end"/>
      </w:r>
      <w:r>
        <w:t xml:space="preserve">: Number of </w:t>
      </w:r>
      <w:r w:rsidR="002E21DB">
        <w:t>d</w:t>
      </w:r>
      <w:r>
        <w:t xml:space="preserve">isabled </w:t>
      </w:r>
      <w:r w:rsidR="002E21DB">
        <w:t>p</w:t>
      </w:r>
      <w:r>
        <w:t xml:space="preserve">eople in </w:t>
      </w:r>
      <w:r w:rsidR="002E21DB">
        <w:t>c</w:t>
      </w:r>
      <w:r>
        <w:t xml:space="preserve">ommunity </w:t>
      </w:r>
      <w:r w:rsidR="002E21DB">
        <w:t>o</w:t>
      </w:r>
      <w:r>
        <w:t>rganizations</w:t>
      </w:r>
    </w:p>
    <w:p w14:paraId="614A7522" w14:textId="1AAFDFED" w:rsidR="007A0171" w:rsidRDefault="007A0171" w:rsidP="00B018E1">
      <w:pPr>
        <w:spacing w:after="0"/>
        <w:jc w:val="both"/>
        <w:rPr>
          <w:i/>
          <w:iCs/>
          <w:color w:val="44546A" w:themeColor="text2"/>
          <w:sz w:val="18"/>
          <w:szCs w:val="18"/>
        </w:rPr>
      </w:pPr>
      <w:r>
        <w:rPr>
          <w:noProof/>
        </w:rPr>
        <w:drawing>
          <wp:inline distT="0" distB="0" distL="0" distR="0" wp14:anchorId="682E3780" wp14:editId="65ED5366">
            <wp:extent cx="5762625" cy="2743200"/>
            <wp:effectExtent l="0" t="0" r="9525" b="0"/>
            <wp:docPr id="36" name="Chart 36">
              <a:extLst xmlns:a="http://schemas.openxmlformats.org/drawingml/2006/main">
                <a:ext uri="{FF2B5EF4-FFF2-40B4-BE49-F238E27FC236}">
                  <a16:creationId xmlns:a16="http://schemas.microsoft.com/office/drawing/2014/main" id="{CA335494-3D75-4D49-8771-76BC4830C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CC4A8A" w14:textId="339441C9" w:rsidR="007A0171" w:rsidRDefault="007A0171" w:rsidP="00976D0B">
      <w:pPr>
        <w:jc w:val="both"/>
        <w:rPr>
          <w:i/>
          <w:iCs/>
          <w:color w:val="44546A" w:themeColor="text2"/>
          <w:sz w:val="18"/>
          <w:szCs w:val="18"/>
        </w:rPr>
      </w:pPr>
      <w:r>
        <w:rPr>
          <w:i/>
          <w:iCs/>
          <w:color w:val="44546A" w:themeColor="text2"/>
          <w:sz w:val="18"/>
          <w:szCs w:val="18"/>
        </w:rPr>
        <w:t>Source</w:t>
      </w:r>
      <w:r w:rsidR="00473F78">
        <w:rPr>
          <w:i/>
          <w:iCs/>
          <w:color w:val="44546A" w:themeColor="text2"/>
          <w:sz w:val="18"/>
          <w:szCs w:val="18"/>
        </w:rPr>
        <w:t xml:space="preserve">: </w:t>
      </w:r>
      <w:proofErr w:type="spellStart"/>
      <w:r>
        <w:rPr>
          <w:i/>
          <w:iCs/>
          <w:color w:val="44546A" w:themeColor="text2"/>
          <w:sz w:val="18"/>
          <w:szCs w:val="18"/>
        </w:rPr>
        <w:t>M</w:t>
      </w:r>
      <w:r w:rsidR="00083474">
        <w:rPr>
          <w:i/>
          <w:iCs/>
          <w:color w:val="44546A" w:themeColor="text2"/>
          <w:sz w:val="18"/>
          <w:szCs w:val="18"/>
        </w:rPr>
        <w:t>o</w:t>
      </w:r>
      <w:r>
        <w:rPr>
          <w:i/>
          <w:iCs/>
          <w:color w:val="44546A" w:themeColor="text2"/>
          <w:sz w:val="18"/>
          <w:szCs w:val="18"/>
        </w:rPr>
        <w:t>LSHA</w:t>
      </w:r>
      <w:proofErr w:type="spellEnd"/>
    </w:p>
    <w:p w14:paraId="28EC3A45" w14:textId="3E060ADB" w:rsidR="00843912" w:rsidRPr="005359D0" w:rsidRDefault="00495B10" w:rsidP="00976D0B">
      <w:pPr>
        <w:jc w:val="both"/>
        <w:rPr>
          <w:rFonts w:cstheme="minorHAnsi"/>
        </w:rPr>
      </w:pPr>
      <w:r w:rsidRPr="00495B10">
        <w:rPr>
          <w:rFonts w:cstheme="minorHAnsi"/>
        </w:rPr>
        <w:t xml:space="preserve">As for the number of beneficiaries in </w:t>
      </w:r>
      <w:r w:rsidRPr="006066AB">
        <w:rPr>
          <w:rFonts w:cstheme="minorHAnsi"/>
          <w:b/>
          <w:bCs/>
          <w:i/>
          <w:iCs/>
        </w:rPr>
        <w:t xml:space="preserve">elderly houses and community </w:t>
      </w:r>
      <w:r w:rsidR="00083474" w:rsidRPr="006066AB">
        <w:rPr>
          <w:rFonts w:cstheme="minorHAnsi"/>
          <w:b/>
          <w:bCs/>
          <w:i/>
          <w:iCs/>
        </w:rPr>
        <w:t>organizations</w:t>
      </w:r>
      <w:r w:rsidR="00083474">
        <w:rPr>
          <w:rFonts w:cstheme="minorHAnsi"/>
          <w:b/>
          <w:bCs/>
          <w:i/>
          <w:iCs/>
        </w:rPr>
        <w:t xml:space="preserve">, </w:t>
      </w:r>
      <w:r w:rsidR="004360B9">
        <w:rPr>
          <w:rFonts w:cstheme="minorHAnsi"/>
        </w:rPr>
        <w:t>i</w:t>
      </w:r>
      <w:r w:rsidR="00083474" w:rsidRPr="00495B10">
        <w:rPr>
          <w:rFonts w:cstheme="minorHAnsi"/>
        </w:rPr>
        <w:t>t</w:t>
      </w:r>
      <w:r w:rsidRPr="00495B10">
        <w:rPr>
          <w:rFonts w:cstheme="minorHAnsi"/>
        </w:rPr>
        <w:t xml:space="preserve"> can be seen</w:t>
      </w:r>
      <w:r>
        <w:rPr>
          <w:rFonts w:cstheme="minorHAnsi"/>
        </w:rPr>
        <w:t xml:space="preserve"> in Figure</w:t>
      </w:r>
      <w:r w:rsidR="004E09CD">
        <w:rPr>
          <w:rFonts w:cstheme="minorHAnsi"/>
        </w:rPr>
        <w:t xml:space="preserve"> </w:t>
      </w:r>
      <w:r w:rsidR="004360B9">
        <w:rPr>
          <w:rFonts w:cstheme="minorHAnsi"/>
        </w:rPr>
        <w:t>28 that</w:t>
      </w:r>
      <w:r w:rsidRPr="00495B10">
        <w:rPr>
          <w:rFonts w:cstheme="minorHAnsi"/>
        </w:rPr>
        <w:t xml:space="preserve"> </w:t>
      </w:r>
      <w:r w:rsidR="00D73774">
        <w:rPr>
          <w:rFonts w:cstheme="minorHAnsi"/>
        </w:rPr>
        <w:t xml:space="preserve">the </w:t>
      </w:r>
      <w:r w:rsidRPr="00C510FB">
        <w:rPr>
          <w:rFonts w:cstheme="minorHAnsi"/>
        </w:rPr>
        <w:t xml:space="preserve">number of beneficiaries of the </w:t>
      </w:r>
      <w:r w:rsidR="006B38AF">
        <w:rPr>
          <w:rFonts w:cstheme="minorHAnsi"/>
        </w:rPr>
        <w:t xml:space="preserve">two </w:t>
      </w:r>
      <w:r w:rsidR="009D13A4">
        <w:rPr>
          <w:rFonts w:cstheme="minorHAnsi"/>
        </w:rPr>
        <w:t xml:space="preserve">existing </w:t>
      </w:r>
      <w:r w:rsidRPr="00C510FB">
        <w:rPr>
          <w:rFonts w:cstheme="minorHAnsi"/>
        </w:rPr>
        <w:t>Boarding Houses for Elderly people</w:t>
      </w:r>
      <w:r w:rsidR="009D13A4">
        <w:rPr>
          <w:rFonts w:cstheme="minorHAnsi"/>
        </w:rPr>
        <w:t xml:space="preserve"> (one in Tbilisi and one in Kutaisi)</w:t>
      </w:r>
      <w:r w:rsidRPr="00C510FB">
        <w:rPr>
          <w:rFonts w:cstheme="minorHAnsi"/>
        </w:rPr>
        <w:t xml:space="preserve"> is decreasing over the years</w:t>
      </w:r>
      <w:r w:rsidR="00CD3B20">
        <w:rPr>
          <w:rFonts w:cstheme="minorHAnsi"/>
        </w:rPr>
        <w:t xml:space="preserve"> (Figure 28)</w:t>
      </w:r>
      <w:r w:rsidR="008A5B96">
        <w:rPr>
          <w:rFonts w:cstheme="minorHAnsi"/>
        </w:rPr>
        <w:t>.</w:t>
      </w:r>
      <w:r w:rsidR="006C0CBD">
        <w:rPr>
          <w:rFonts w:cstheme="minorHAnsi"/>
        </w:rPr>
        <w:t xml:space="preserve"> According t</w:t>
      </w:r>
      <w:r w:rsidR="008A5B96">
        <w:rPr>
          <w:rFonts w:cstheme="minorHAnsi"/>
        </w:rPr>
        <w:t xml:space="preserve">o the representatives of </w:t>
      </w:r>
      <w:proofErr w:type="spellStart"/>
      <w:r w:rsidR="008A5B96">
        <w:rPr>
          <w:rFonts w:cstheme="minorHAnsi"/>
        </w:rPr>
        <w:t>M</w:t>
      </w:r>
      <w:r w:rsidR="004360B9">
        <w:rPr>
          <w:rFonts w:cstheme="minorHAnsi"/>
        </w:rPr>
        <w:t>o</w:t>
      </w:r>
      <w:r w:rsidR="008A5B96">
        <w:rPr>
          <w:rFonts w:cstheme="minorHAnsi"/>
        </w:rPr>
        <w:t>LSHA</w:t>
      </w:r>
      <w:proofErr w:type="spellEnd"/>
      <w:r w:rsidR="008A5B96">
        <w:rPr>
          <w:rFonts w:cstheme="minorHAnsi"/>
        </w:rPr>
        <w:t xml:space="preserve">, </w:t>
      </w:r>
      <w:r w:rsidR="006C0CBD">
        <w:rPr>
          <w:rFonts w:cstheme="minorHAnsi"/>
        </w:rPr>
        <w:t>this is due to</w:t>
      </w:r>
      <w:r w:rsidR="006C0CBD" w:rsidRPr="00C510FB">
        <w:rPr>
          <w:rFonts w:cstheme="minorHAnsi"/>
        </w:rPr>
        <w:t xml:space="preserve"> the</w:t>
      </w:r>
      <w:r w:rsidR="006C0CBD">
        <w:rPr>
          <w:rFonts w:cstheme="minorHAnsi"/>
        </w:rPr>
        <w:t xml:space="preserve"> fact that </w:t>
      </w:r>
      <w:r w:rsidR="00D73774">
        <w:rPr>
          <w:rFonts w:cstheme="minorHAnsi"/>
        </w:rPr>
        <w:t xml:space="preserve">the </w:t>
      </w:r>
      <w:r w:rsidR="006C0CBD" w:rsidRPr="00C510FB">
        <w:rPr>
          <w:rFonts w:cstheme="minorHAnsi"/>
        </w:rPr>
        <w:t>lack of f</w:t>
      </w:r>
      <w:r w:rsidR="00D73774">
        <w:rPr>
          <w:rFonts w:cstheme="minorHAnsi"/>
        </w:rPr>
        <w:t>unds</w:t>
      </w:r>
      <w:r w:rsidR="006C0CBD" w:rsidRPr="00C510FB">
        <w:rPr>
          <w:rFonts w:cstheme="minorHAnsi"/>
        </w:rPr>
        <w:t xml:space="preserve"> </w:t>
      </w:r>
      <w:r w:rsidR="006C0CBD">
        <w:rPr>
          <w:rFonts w:cstheme="minorHAnsi"/>
        </w:rPr>
        <w:t>is limit</w:t>
      </w:r>
      <w:r w:rsidR="00D73774">
        <w:rPr>
          <w:rFonts w:cstheme="minorHAnsi"/>
        </w:rPr>
        <w:t xml:space="preserve">ing the </w:t>
      </w:r>
      <w:r w:rsidR="006C0CBD" w:rsidRPr="00C510FB">
        <w:rPr>
          <w:rFonts w:cstheme="minorHAnsi"/>
        </w:rPr>
        <w:t>accept</w:t>
      </w:r>
      <w:r w:rsidR="00D73774">
        <w:rPr>
          <w:rFonts w:cstheme="minorHAnsi"/>
        </w:rPr>
        <w:t xml:space="preserve">ance of potential </w:t>
      </w:r>
      <w:r w:rsidR="006C0CBD" w:rsidRPr="00C510FB">
        <w:rPr>
          <w:rFonts w:cstheme="minorHAnsi"/>
        </w:rPr>
        <w:t>beneficiaries</w:t>
      </w:r>
      <w:r w:rsidR="00CD3B20">
        <w:rPr>
          <w:rFonts w:cstheme="minorHAnsi"/>
        </w:rPr>
        <w:t>.</w:t>
      </w:r>
    </w:p>
    <w:p w14:paraId="2D252836" w14:textId="62EF3680" w:rsidR="00843912" w:rsidRDefault="00495B10" w:rsidP="00976D0B">
      <w:pPr>
        <w:pStyle w:val="Caption"/>
        <w:jc w:val="both"/>
        <w:rPr>
          <w:rFonts w:cstheme="minorHAnsi"/>
          <w:i w:val="0"/>
          <w:iCs w:val="0"/>
          <w:color w:val="auto"/>
          <w:sz w:val="22"/>
          <w:szCs w:val="22"/>
        </w:rPr>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28</w:t>
      </w:r>
      <w:r w:rsidR="006C3BD6">
        <w:rPr>
          <w:noProof/>
        </w:rPr>
        <w:fldChar w:fldCharType="end"/>
      </w:r>
      <w:r>
        <w:t xml:space="preserve"> </w:t>
      </w:r>
      <w:r>
        <w:rPr>
          <w:rFonts w:cstheme="minorHAnsi"/>
          <w:i w:val="0"/>
          <w:iCs w:val="0"/>
          <w:color w:val="auto"/>
          <w:sz w:val="22"/>
          <w:szCs w:val="22"/>
        </w:rPr>
        <w:t xml:space="preserve">: </w:t>
      </w:r>
      <w:r w:rsidRPr="00495B10">
        <w:t xml:space="preserve">Number of </w:t>
      </w:r>
      <w:r w:rsidR="00083474">
        <w:t>b</w:t>
      </w:r>
      <w:r w:rsidRPr="00495B10">
        <w:t xml:space="preserve">eneficiaries in Tbilisi and Kutaisi </w:t>
      </w:r>
      <w:r w:rsidR="00083474">
        <w:t>b</w:t>
      </w:r>
      <w:r w:rsidRPr="00495B10">
        <w:t>oarding</w:t>
      </w:r>
      <w:r w:rsidR="00083474">
        <w:t xml:space="preserve"> h</w:t>
      </w:r>
      <w:r w:rsidRPr="00495B10">
        <w:t xml:space="preserve">ouses for </w:t>
      </w:r>
      <w:r w:rsidR="00083474">
        <w:t>e</w:t>
      </w:r>
      <w:r w:rsidRPr="00495B10">
        <w:t>lderly people</w:t>
      </w:r>
      <w:r>
        <w:rPr>
          <w:rFonts w:cstheme="minorHAnsi"/>
          <w:i w:val="0"/>
          <w:iCs w:val="0"/>
          <w:color w:val="auto"/>
          <w:sz w:val="22"/>
          <w:szCs w:val="22"/>
        </w:rPr>
        <w:t xml:space="preserve"> </w:t>
      </w:r>
      <w:r w:rsidR="00843912" w:rsidRPr="00C510FB">
        <w:rPr>
          <w:rFonts w:cstheme="minorHAnsi"/>
          <w:i w:val="0"/>
          <w:iCs w:val="0"/>
          <w:color w:val="auto"/>
          <w:sz w:val="22"/>
          <w:szCs w:val="22"/>
        </w:rPr>
        <w:t xml:space="preserve"> </w:t>
      </w:r>
    </w:p>
    <w:p w14:paraId="449381EE" w14:textId="26F357B4" w:rsidR="00843912" w:rsidRDefault="00495B10" w:rsidP="00966A6F">
      <w:pPr>
        <w:spacing w:after="0"/>
        <w:jc w:val="both"/>
        <w:rPr>
          <w:i/>
          <w:iCs/>
          <w:color w:val="44546A" w:themeColor="text2"/>
          <w:sz w:val="18"/>
          <w:szCs w:val="18"/>
        </w:rPr>
      </w:pPr>
      <w:r>
        <w:rPr>
          <w:noProof/>
        </w:rPr>
        <w:drawing>
          <wp:inline distT="0" distB="0" distL="0" distR="0" wp14:anchorId="1F94FA2F" wp14:editId="7FCDEDBC">
            <wp:extent cx="5819775" cy="3038475"/>
            <wp:effectExtent l="0" t="0" r="9525" b="9525"/>
            <wp:docPr id="71" name="Chart 7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843912" w:rsidRPr="0029516D">
        <w:rPr>
          <w:i/>
          <w:iCs/>
          <w:color w:val="44546A" w:themeColor="text2"/>
          <w:sz w:val="18"/>
          <w:szCs w:val="18"/>
        </w:rPr>
        <w:t xml:space="preserve">Source: </w:t>
      </w:r>
      <w:hyperlink r:id="rId46" w:history="1">
        <w:r w:rsidR="00473F78">
          <w:rPr>
            <w:i/>
            <w:iCs/>
            <w:color w:val="44546A" w:themeColor="text2"/>
            <w:sz w:val="18"/>
            <w:szCs w:val="18"/>
          </w:rPr>
          <w:t>ATIP</w:t>
        </w:r>
      </w:hyperlink>
      <w:r w:rsidR="00473F78">
        <w:rPr>
          <w:i/>
          <w:iCs/>
          <w:color w:val="44546A" w:themeColor="text2"/>
          <w:sz w:val="18"/>
          <w:szCs w:val="18"/>
        </w:rPr>
        <w:t xml:space="preserve"> Fund</w:t>
      </w:r>
      <w:r w:rsidR="00966A6F">
        <w:rPr>
          <w:i/>
          <w:iCs/>
          <w:color w:val="44546A" w:themeColor="text2"/>
          <w:sz w:val="18"/>
          <w:szCs w:val="18"/>
        </w:rPr>
        <w:t xml:space="preserve"> </w:t>
      </w:r>
    </w:p>
    <w:p w14:paraId="19399706" w14:textId="77777777" w:rsidR="00966A6F" w:rsidRPr="008A624B" w:rsidRDefault="00966A6F" w:rsidP="00966A6F">
      <w:pPr>
        <w:spacing w:after="0"/>
        <w:jc w:val="both"/>
        <w:rPr>
          <w:i/>
          <w:iCs/>
          <w:color w:val="44546A" w:themeColor="text2"/>
          <w:sz w:val="18"/>
          <w:szCs w:val="18"/>
        </w:rPr>
      </w:pPr>
    </w:p>
    <w:p w14:paraId="69EC5097" w14:textId="472E6CBB" w:rsidR="00843912" w:rsidRPr="00C510FB" w:rsidRDefault="00843912" w:rsidP="00976D0B">
      <w:pPr>
        <w:jc w:val="both"/>
        <w:rPr>
          <w:rFonts w:cstheme="minorHAnsi"/>
        </w:rPr>
      </w:pPr>
      <w:r w:rsidRPr="00C510FB">
        <w:rPr>
          <w:rFonts w:cstheme="minorHAnsi"/>
        </w:rPr>
        <w:t xml:space="preserve">In </w:t>
      </w:r>
      <w:r w:rsidR="005359D0" w:rsidRPr="00C510FB">
        <w:rPr>
          <w:rFonts w:cstheme="minorHAnsi"/>
        </w:rPr>
        <w:t>addition to</w:t>
      </w:r>
      <w:r w:rsidRPr="00C510FB">
        <w:rPr>
          <w:rFonts w:cstheme="minorHAnsi"/>
        </w:rPr>
        <w:t xml:space="preserve"> the big boarding houses</w:t>
      </w:r>
      <w:r w:rsidR="005359D0">
        <w:rPr>
          <w:rFonts w:cstheme="minorHAnsi"/>
        </w:rPr>
        <w:t>, as it was mentioned above,</w:t>
      </w:r>
      <w:r w:rsidR="005359D0" w:rsidRPr="00C510FB">
        <w:rPr>
          <w:rFonts w:cstheme="minorHAnsi"/>
        </w:rPr>
        <w:t xml:space="preserve"> </w:t>
      </w:r>
      <w:r w:rsidRPr="00C510FB">
        <w:rPr>
          <w:rFonts w:cstheme="minorHAnsi"/>
        </w:rPr>
        <w:t>there are community organizations for elderly people that are functioning under the supervisio</w:t>
      </w:r>
      <w:r w:rsidR="00966A6F">
        <w:rPr>
          <w:rFonts w:cstheme="minorHAnsi"/>
        </w:rPr>
        <w:t xml:space="preserve">n of Social Service Agency </w:t>
      </w:r>
      <w:r w:rsidRPr="00C510FB">
        <w:rPr>
          <w:rFonts w:cstheme="minorHAnsi"/>
        </w:rPr>
        <w:t xml:space="preserve">since </w:t>
      </w:r>
      <w:r w:rsidR="00FE17B6" w:rsidRPr="00C510FB">
        <w:rPr>
          <w:rFonts w:cstheme="minorHAnsi"/>
        </w:rPr>
        <w:t xml:space="preserve">2012 </w:t>
      </w:r>
      <w:r w:rsidR="00FE17B6">
        <w:rPr>
          <w:rFonts w:cstheme="minorHAnsi"/>
        </w:rPr>
        <w:t>the</w:t>
      </w:r>
      <w:r w:rsidR="005359D0">
        <w:rPr>
          <w:rFonts w:cstheme="minorHAnsi"/>
        </w:rPr>
        <w:t xml:space="preserve"> </w:t>
      </w:r>
      <w:r w:rsidR="005359D0">
        <w:rPr>
          <w:rFonts w:cstheme="minorHAnsi"/>
        </w:rPr>
        <w:lastRenderedPageBreak/>
        <w:t xml:space="preserve">number of elderly people in the community organizations </w:t>
      </w:r>
      <w:r w:rsidR="00E57522">
        <w:rPr>
          <w:rFonts w:cstheme="minorHAnsi"/>
        </w:rPr>
        <w:t xml:space="preserve">has been </w:t>
      </w:r>
      <w:r w:rsidR="005359D0">
        <w:rPr>
          <w:rFonts w:cstheme="minorHAnsi"/>
        </w:rPr>
        <w:t xml:space="preserve">increasing </w:t>
      </w:r>
      <w:r w:rsidR="00E57522">
        <w:rPr>
          <w:rFonts w:cstheme="minorHAnsi"/>
        </w:rPr>
        <w:t>significantly since 2012</w:t>
      </w:r>
      <w:r w:rsidR="005359D0">
        <w:rPr>
          <w:rFonts w:cstheme="minorHAnsi"/>
        </w:rPr>
        <w:t xml:space="preserve">, </w:t>
      </w:r>
      <w:r w:rsidR="005C2A94">
        <w:rPr>
          <w:rFonts w:cstheme="minorHAnsi"/>
        </w:rPr>
        <w:t xml:space="preserve">with the number </w:t>
      </w:r>
      <w:r w:rsidR="00D93C0C">
        <w:rPr>
          <w:rFonts w:cstheme="minorHAnsi"/>
        </w:rPr>
        <w:t>stabilizing after 2016</w:t>
      </w:r>
      <w:r w:rsidR="00CD3B20">
        <w:rPr>
          <w:rFonts w:cstheme="minorHAnsi"/>
        </w:rPr>
        <w:t xml:space="preserve"> (Figure 29).</w:t>
      </w:r>
    </w:p>
    <w:p w14:paraId="567966CB" w14:textId="3C4E5C4D" w:rsidR="007A0171" w:rsidRDefault="00495B10" w:rsidP="00976D0B">
      <w:pPr>
        <w:pStyle w:val="Caption"/>
        <w:jc w:val="both"/>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29</w:t>
      </w:r>
      <w:r w:rsidR="006C3BD6">
        <w:rPr>
          <w:noProof/>
        </w:rPr>
        <w:fldChar w:fldCharType="end"/>
      </w:r>
      <w:r>
        <w:t>:</w:t>
      </w:r>
      <w:r w:rsidRPr="00495B10">
        <w:t xml:space="preserve"> Number of </w:t>
      </w:r>
      <w:r w:rsidR="00083474">
        <w:t>e</w:t>
      </w:r>
      <w:r w:rsidRPr="00495B10">
        <w:t>lderly</w:t>
      </w:r>
      <w:r w:rsidR="00083474">
        <w:t xml:space="preserve"> b</w:t>
      </w:r>
      <w:r w:rsidRPr="00495B10">
        <w:t>eneficiaries in community organizations for elderly people in Georgia</w:t>
      </w:r>
    </w:p>
    <w:p w14:paraId="0E5F8DB7" w14:textId="0A69523D" w:rsidR="00843912" w:rsidRPr="00C510FB" w:rsidRDefault="005359D0" w:rsidP="00966A6F">
      <w:pPr>
        <w:pStyle w:val="Caption"/>
        <w:spacing w:after="0"/>
        <w:jc w:val="both"/>
      </w:pPr>
      <w:r>
        <w:rPr>
          <w:noProof/>
        </w:rPr>
        <w:drawing>
          <wp:inline distT="0" distB="0" distL="0" distR="0" wp14:anchorId="197EF748" wp14:editId="2010E05F">
            <wp:extent cx="5810250" cy="2038350"/>
            <wp:effectExtent l="0" t="0" r="0" b="0"/>
            <wp:docPr id="72" name="Chart 72">
              <a:extLst xmlns:a="http://schemas.openxmlformats.org/drawingml/2006/main">
                <a:ext uri="{FF2B5EF4-FFF2-40B4-BE49-F238E27FC236}">
                  <a16:creationId xmlns:a16="http://schemas.microsoft.com/office/drawing/2014/main" id="{FA6F9697-79C8-4841-8F8F-29A22A6BF4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CC6CE4" w14:textId="496A47C3" w:rsidR="00843912" w:rsidRPr="0029516D" w:rsidRDefault="00843912" w:rsidP="00976D0B">
      <w:pPr>
        <w:jc w:val="both"/>
        <w:rPr>
          <w:i/>
          <w:iCs/>
          <w:color w:val="44546A" w:themeColor="text2"/>
          <w:sz w:val="18"/>
          <w:szCs w:val="18"/>
        </w:rPr>
      </w:pPr>
      <w:r w:rsidRPr="0029516D">
        <w:rPr>
          <w:i/>
          <w:iCs/>
          <w:color w:val="44546A" w:themeColor="text2"/>
          <w:sz w:val="18"/>
          <w:szCs w:val="18"/>
        </w:rPr>
        <w:t xml:space="preserve">Source: </w:t>
      </w:r>
      <w:proofErr w:type="spellStart"/>
      <w:r w:rsidR="00CA453C">
        <w:rPr>
          <w:i/>
          <w:iCs/>
          <w:color w:val="44546A" w:themeColor="text2"/>
          <w:sz w:val="18"/>
          <w:szCs w:val="18"/>
        </w:rPr>
        <w:t>MoLSHA</w:t>
      </w:r>
      <w:proofErr w:type="spellEnd"/>
      <w:r w:rsidR="00966A6F">
        <w:rPr>
          <w:i/>
          <w:iCs/>
          <w:color w:val="44546A" w:themeColor="text2"/>
          <w:sz w:val="18"/>
          <w:szCs w:val="18"/>
        </w:rPr>
        <w:t xml:space="preserve"> </w:t>
      </w:r>
    </w:p>
    <w:p w14:paraId="67CA87E6" w14:textId="0B1F8B39" w:rsidR="00495B10" w:rsidRDefault="00966A6F" w:rsidP="00976D0B">
      <w:pPr>
        <w:pStyle w:val="ListParagraph"/>
        <w:ind w:left="0"/>
        <w:jc w:val="both"/>
        <w:rPr>
          <w:rFonts w:cstheme="minorHAnsi"/>
        </w:rPr>
      </w:pPr>
      <w:r>
        <w:rPr>
          <w:rFonts w:cstheme="minorHAnsi"/>
        </w:rPr>
        <w:t>Last, but not l</w:t>
      </w:r>
      <w:r w:rsidR="005359D0">
        <w:rPr>
          <w:rFonts w:cstheme="minorHAnsi"/>
        </w:rPr>
        <w:t xml:space="preserve">east important subcategory are the </w:t>
      </w:r>
      <w:r w:rsidR="005359D0" w:rsidRPr="006066AB">
        <w:rPr>
          <w:rFonts w:cstheme="minorHAnsi"/>
          <w:b/>
          <w:bCs/>
          <w:i/>
          <w:iCs/>
        </w:rPr>
        <w:t>people who are under the threat of domestic violence</w:t>
      </w:r>
      <w:r w:rsidR="005359D0">
        <w:rPr>
          <w:rFonts w:cstheme="minorHAnsi"/>
        </w:rPr>
        <w:t>, which might be also exposed to the risk of housing exclusion</w:t>
      </w:r>
      <w:r w:rsidR="00C82E2A">
        <w:rPr>
          <w:rFonts w:cstheme="minorHAnsi"/>
        </w:rPr>
        <w:t>.</w:t>
      </w:r>
      <w:r w:rsidR="005359D0">
        <w:rPr>
          <w:rFonts w:cstheme="minorHAnsi"/>
        </w:rPr>
        <w:t xml:space="preserve"> Looking at the data, </w:t>
      </w:r>
      <w:r w:rsidR="00C82E2A">
        <w:rPr>
          <w:rFonts w:cstheme="minorHAnsi"/>
        </w:rPr>
        <w:t xml:space="preserve">it is evident that </w:t>
      </w:r>
      <w:r w:rsidR="007E4A05">
        <w:rPr>
          <w:rFonts w:cstheme="minorHAnsi"/>
        </w:rPr>
        <w:t>the problem is</w:t>
      </w:r>
      <w:r w:rsidR="00080B8E">
        <w:rPr>
          <w:rFonts w:cstheme="minorHAnsi"/>
        </w:rPr>
        <w:t xml:space="preserve"> apparently</w:t>
      </w:r>
      <w:r w:rsidR="007E4A05">
        <w:rPr>
          <w:rFonts w:cstheme="minorHAnsi"/>
        </w:rPr>
        <w:t xml:space="preserve"> becoming more or more severe</w:t>
      </w:r>
      <w:r w:rsidR="00080B8E">
        <w:rPr>
          <w:rStyle w:val="FootnoteReference"/>
          <w:rFonts w:cstheme="minorHAnsi"/>
        </w:rPr>
        <w:footnoteReference w:id="32"/>
      </w:r>
      <w:r w:rsidR="007E4A05">
        <w:rPr>
          <w:rFonts w:cstheme="minorHAnsi"/>
        </w:rPr>
        <w:t>,</w:t>
      </w:r>
      <w:r w:rsidR="00080B8E">
        <w:rPr>
          <w:rFonts w:cstheme="minorHAnsi"/>
        </w:rPr>
        <w:t xml:space="preserve"> and</w:t>
      </w:r>
      <w:r w:rsidR="007E4A05">
        <w:rPr>
          <w:rFonts w:cstheme="minorHAnsi"/>
        </w:rPr>
        <w:t xml:space="preserve"> needs to be addressed in all vulnerable categories, adults, children and dependent people</w:t>
      </w:r>
      <w:r w:rsidR="000B2DD5">
        <w:rPr>
          <w:rFonts w:cstheme="minorHAnsi"/>
        </w:rPr>
        <w:t xml:space="preserve"> (Figure 30).</w:t>
      </w:r>
    </w:p>
    <w:p w14:paraId="5FCC7A37" w14:textId="6E159219" w:rsidR="00495B10" w:rsidRPr="00C510FB" w:rsidRDefault="00495B10" w:rsidP="00976D0B">
      <w:pPr>
        <w:pStyle w:val="Caption"/>
        <w:jc w:val="both"/>
        <w:rPr>
          <w:rFonts w:cstheme="minorHAnsi"/>
          <w:b/>
          <w:color w:val="FF0000"/>
        </w:rPr>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30</w:t>
      </w:r>
      <w:r w:rsidR="006C3BD6">
        <w:rPr>
          <w:noProof/>
        </w:rPr>
        <w:fldChar w:fldCharType="end"/>
      </w:r>
      <w:r>
        <w:rPr>
          <w:lang w:val="ka-GE"/>
        </w:rPr>
        <w:t xml:space="preserve">: </w:t>
      </w:r>
      <w:r>
        <w:t>The number of beneficiaries in domestic violence centers (</w:t>
      </w:r>
      <w:r w:rsidR="00C82E2A">
        <w:t>24-hour</w:t>
      </w:r>
      <w:r>
        <w:t xml:space="preserve"> shelters)</w:t>
      </w:r>
    </w:p>
    <w:p w14:paraId="42796CE4" w14:textId="0C752533" w:rsidR="00495B10" w:rsidRDefault="00F140C0" w:rsidP="00966A6F">
      <w:pPr>
        <w:pStyle w:val="ListParagraph"/>
        <w:spacing w:after="0"/>
        <w:ind w:left="0"/>
        <w:jc w:val="both"/>
        <w:rPr>
          <w:rFonts w:cstheme="minorHAnsi"/>
          <w:b/>
          <w:i/>
          <w:color w:val="FF0000"/>
        </w:rPr>
      </w:pPr>
      <w:r w:rsidRPr="00F140C0">
        <w:rPr>
          <w:noProof/>
        </w:rPr>
        <w:t xml:space="preserve"> </w:t>
      </w:r>
      <w:r>
        <w:rPr>
          <w:noProof/>
        </w:rPr>
        <w:drawing>
          <wp:inline distT="0" distB="0" distL="0" distR="0" wp14:anchorId="7004A17F" wp14:editId="7E236D1E">
            <wp:extent cx="5705475" cy="2505075"/>
            <wp:effectExtent l="0" t="0" r="9525" b="9525"/>
            <wp:docPr id="25" name="Chart 25">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BC4F793" w14:textId="1BC45FE3" w:rsidR="00843912" w:rsidRDefault="00495B10" w:rsidP="00D74D8C">
      <w:pPr>
        <w:jc w:val="both"/>
        <w:rPr>
          <w:i/>
          <w:iCs/>
          <w:color w:val="44546A" w:themeColor="text2"/>
          <w:sz w:val="18"/>
          <w:szCs w:val="18"/>
        </w:rPr>
      </w:pPr>
      <w:r w:rsidRPr="00414DE6">
        <w:rPr>
          <w:i/>
          <w:iCs/>
          <w:color w:val="44546A" w:themeColor="text2"/>
          <w:sz w:val="18"/>
          <w:szCs w:val="18"/>
        </w:rPr>
        <w:t xml:space="preserve">Source: </w:t>
      </w:r>
      <w:hyperlink r:id="rId49" w:history="1">
        <w:r w:rsidR="00CA453C">
          <w:rPr>
            <w:i/>
            <w:iCs/>
            <w:color w:val="44546A" w:themeColor="text2"/>
            <w:sz w:val="18"/>
            <w:szCs w:val="18"/>
          </w:rPr>
          <w:t>ATIP</w:t>
        </w:r>
      </w:hyperlink>
      <w:r w:rsidR="00CA453C">
        <w:rPr>
          <w:i/>
          <w:iCs/>
          <w:color w:val="44546A" w:themeColor="text2"/>
          <w:sz w:val="18"/>
          <w:szCs w:val="18"/>
        </w:rPr>
        <w:t xml:space="preserve"> Fund</w:t>
      </w:r>
    </w:p>
    <w:p w14:paraId="576A0AF2" w14:textId="54E0E3E1" w:rsidR="00966A6F" w:rsidRDefault="00966A6F" w:rsidP="00D74D8C">
      <w:pPr>
        <w:jc w:val="both"/>
        <w:rPr>
          <w:rFonts w:cstheme="minorHAnsi"/>
        </w:rPr>
      </w:pPr>
    </w:p>
    <w:p w14:paraId="52931623" w14:textId="391A336F" w:rsidR="00CA453C" w:rsidRDefault="00CA453C" w:rsidP="00D74D8C">
      <w:pPr>
        <w:jc w:val="both"/>
        <w:rPr>
          <w:rFonts w:cstheme="minorHAnsi"/>
        </w:rPr>
      </w:pPr>
    </w:p>
    <w:p w14:paraId="3D34081C" w14:textId="77777777" w:rsidR="004076AD" w:rsidRPr="00694FEE" w:rsidRDefault="004076AD" w:rsidP="00D74D8C">
      <w:pPr>
        <w:jc w:val="both"/>
        <w:rPr>
          <w:rFonts w:cstheme="minorHAnsi"/>
        </w:rPr>
      </w:pPr>
    </w:p>
    <w:p w14:paraId="24561EBD" w14:textId="77777777" w:rsidR="005A32A5" w:rsidRDefault="005A32A5" w:rsidP="005A32A5">
      <w:pPr>
        <w:jc w:val="both"/>
      </w:pPr>
      <w:r w:rsidRPr="006066AB">
        <w:rPr>
          <w:b/>
          <w:bCs/>
        </w:rPr>
        <w:lastRenderedPageBreak/>
        <w:t>People Living in Insecure Housing</w:t>
      </w:r>
    </w:p>
    <w:p w14:paraId="2BEBD117" w14:textId="057644EA" w:rsidR="00082663" w:rsidRDefault="00082663" w:rsidP="00976D0B">
      <w:pPr>
        <w:jc w:val="both"/>
      </w:pPr>
      <w:r>
        <w:t xml:space="preserve">Considering the lack of available information about the duration of stays of each individual in a household and the fact that doubling-up is still quite </w:t>
      </w:r>
      <w:r w:rsidR="00636DEB">
        <w:t xml:space="preserve">a </w:t>
      </w:r>
      <w:r>
        <w:t>common phenomen</w:t>
      </w:r>
      <w:r w:rsidR="0034153B">
        <w:t>on</w:t>
      </w:r>
      <w:r>
        <w:t xml:space="preserve"> in Georgia, for the purpose</w:t>
      </w:r>
      <w:r w:rsidR="002B2B19">
        <w:t xml:space="preserve"> of this study the rules set by the </w:t>
      </w:r>
      <w:r>
        <w:t>inheritance law</w:t>
      </w:r>
      <w:r w:rsidR="00746F08">
        <w:rPr>
          <w:lang w:val="ka-GE"/>
        </w:rPr>
        <w:t xml:space="preserve"> </w:t>
      </w:r>
      <w:r w:rsidR="00746F08">
        <w:t>were referred</w:t>
      </w:r>
      <w:r>
        <w:t xml:space="preserve"> for distinguishing </w:t>
      </w:r>
      <w:r w:rsidRPr="00B66D18">
        <w:rPr>
          <w:b/>
          <w:bCs/>
          <w:i/>
          <w:iCs/>
        </w:rPr>
        <w:t>doubled-up families</w:t>
      </w:r>
      <w:r w:rsidR="006216B1">
        <w:t>.</w:t>
      </w:r>
      <w:r>
        <w:t xml:space="preserve"> This subcategory includes the households where people with </w:t>
      </w:r>
      <w:r w:rsidR="002B2B19">
        <w:t>a “</w:t>
      </w:r>
      <w:r>
        <w:t>distant</w:t>
      </w:r>
      <w:r w:rsidR="002B2B19">
        <w:t>”</w:t>
      </w:r>
      <w:r>
        <w:t xml:space="preserve"> relation status live together</w:t>
      </w:r>
      <w:r w:rsidR="006216B1">
        <w:t>.</w:t>
      </w:r>
      <w:r>
        <w:t xml:space="preserve"> The distant relatives were reckoned to be more than second class heirs, non-heirs and non-relatives of the head of household</w:t>
      </w:r>
      <w:r w:rsidR="00C82E2A">
        <w:t>.</w:t>
      </w:r>
      <w:r>
        <w:t xml:space="preserve"> </w:t>
      </w:r>
      <w:r w:rsidR="00410062">
        <w:t>U</w:t>
      </w:r>
      <w:r>
        <w:t>nder these categories came uncle, aunt, their children, other relatives and non-relatives of the head of the household or his/her spouse</w:t>
      </w:r>
      <w:r w:rsidR="006216B1">
        <w:t>.</w:t>
      </w:r>
      <w:r>
        <w:t xml:space="preserve"> </w:t>
      </w:r>
      <w:r w:rsidR="000C65FF">
        <w:t xml:space="preserve">We were able to identify </w:t>
      </w:r>
      <w:r w:rsidR="00337DC1">
        <w:t>such individuals from our</w:t>
      </w:r>
      <w:r w:rsidR="000C65FF">
        <w:t xml:space="preserve"> main data source</w:t>
      </w:r>
      <w:r w:rsidR="00337DC1">
        <w:t xml:space="preserve">, </w:t>
      </w:r>
      <w:r w:rsidR="000C65FF">
        <w:t>the Household Database Survey</w:t>
      </w:r>
      <w:r w:rsidR="006216B1">
        <w:t>.</w:t>
      </w:r>
    </w:p>
    <w:p w14:paraId="43D38936" w14:textId="5EE983BA" w:rsidR="00083474" w:rsidRPr="00393C5D" w:rsidRDefault="00082663" w:rsidP="00976D0B">
      <w:pPr>
        <w:jc w:val="both"/>
      </w:pPr>
      <w:r>
        <w:t xml:space="preserve">Looking at the twelve </w:t>
      </w:r>
      <w:r w:rsidR="007E4A05">
        <w:t>-</w:t>
      </w:r>
      <w:r>
        <w:t>year data coming from</w:t>
      </w:r>
      <w:r w:rsidR="00854EB2">
        <w:t xml:space="preserve"> the</w:t>
      </w:r>
      <w:r>
        <w:t xml:space="preserve"> Household Survey Database, it can be seen that</w:t>
      </w:r>
      <w:r w:rsidR="0002007F">
        <w:t>, over the long term</w:t>
      </w:r>
      <w:r>
        <w:t xml:space="preserve"> the indicator </w:t>
      </w:r>
      <w:r w:rsidR="00813176">
        <w:t>follow</w:t>
      </w:r>
      <w:r w:rsidR="00393C5D">
        <w:t>ed</w:t>
      </w:r>
      <w:r w:rsidR="00813176">
        <w:t xml:space="preserve"> an</w:t>
      </w:r>
      <w:r>
        <w:t xml:space="preserve"> upward trend</w:t>
      </w:r>
      <w:r w:rsidR="00FA66C2">
        <w:t xml:space="preserve"> both in </w:t>
      </w:r>
      <w:r w:rsidR="006B1DDE">
        <w:t>u</w:t>
      </w:r>
      <w:r w:rsidR="0021680A">
        <w:t>rban</w:t>
      </w:r>
      <w:r w:rsidR="00FA66C2">
        <w:t xml:space="preserve"> and </w:t>
      </w:r>
      <w:r w:rsidR="006B1DDE">
        <w:t>r</w:t>
      </w:r>
      <w:r w:rsidR="0021680A">
        <w:t>ural</w:t>
      </w:r>
      <w:r w:rsidR="00FA66C2">
        <w:t xml:space="preserve"> areas (Figure </w:t>
      </w:r>
      <w:r w:rsidR="00DD3A27">
        <w:t>31</w:t>
      </w:r>
      <w:r w:rsidR="00FA66C2">
        <w:t>)</w:t>
      </w:r>
      <w:r w:rsidR="006216B1">
        <w:t>.</w:t>
      </w:r>
      <w:r>
        <w:t xml:space="preserve"> </w:t>
      </w:r>
      <w:r w:rsidR="008A624B">
        <w:t>T</w:t>
      </w:r>
      <w:r>
        <w:t xml:space="preserve">he indicator </w:t>
      </w:r>
      <w:r w:rsidR="008A624B">
        <w:t>for households</w:t>
      </w:r>
      <w:r w:rsidR="00C14743">
        <w:t xml:space="preserve"> </w:t>
      </w:r>
      <w:r>
        <w:t>varie</w:t>
      </w:r>
      <w:r w:rsidR="00393C5D">
        <w:t>d</w:t>
      </w:r>
      <w:r>
        <w:t xml:space="preserve"> between 2</w:t>
      </w:r>
      <w:r w:rsidR="00321448">
        <w:t>.</w:t>
      </w:r>
      <w:r>
        <w:t xml:space="preserve">6% and 5% </w:t>
      </w:r>
      <w:r w:rsidR="00C14743">
        <w:t>over years</w:t>
      </w:r>
      <w:r>
        <w:t xml:space="preserve"> for </w:t>
      </w:r>
      <w:r w:rsidR="0021680A">
        <w:t>urban</w:t>
      </w:r>
      <w:r>
        <w:t xml:space="preserve"> areas while in </w:t>
      </w:r>
      <w:r w:rsidR="0021680A">
        <w:t>rural</w:t>
      </w:r>
      <w:r>
        <w:t xml:space="preserve"> areas it </w:t>
      </w:r>
      <w:r w:rsidR="00393C5D">
        <w:t>was</w:t>
      </w:r>
      <w:r>
        <w:t xml:space="preserve"> between 1</w:t>
      </w:r>
      <w:r w:rsidR="00321448">
        <w:t>.</w:t>
      </w:r>
      <w:r>
        <w:t>3% and 5</w:t>
      </w:r>
      <w:r w:rsidR="00321448">
        <w:t>.</w:t>
      </w:r>
      <w:r>
        <w:t>5</w:t>
      </w:r>
      <w:r w:rsidR="00393C5D">
        <w:t>%.</w:t>
      </w:r>
      <w:r w:rsidR="00393C5D">
        <w:rPr>
          <w:lang w:val="ka-GE"/>
        </w:rPr>
        <w:t xml:space="preserve"> </w:t>
      </w:r>
      <w:r>
        <w:t xml:space="preserve">As for the share in total sample at the latest year, in 2018 on average 5% of the </w:t>
      </w:r>
      <w:r w:rsidR="00560BEE">
        <w:t>households live</w:t>
      </w:r>
      <w:r>
        <w:t xml:space="preserve"> doubled up</w:t>
      </w:r>
      <w:r w:rsidR="00C14743">
        <w:t xml:space="preserve"> in </w:t>
      </w:r>
      <w:r w:rsidR="0021680A">
        <w:t>urban</w:t>
      </w:r>
      <w:r w:rsidR="00C14743">
        <w:t xml:space="preserve"> areas, while for </w:t>
      </w:r>
      <w:r w:rsidR="0021680A">
        <w:t>rural</w:t>
      </w:r>
      <w:r w:rsidR="00C14743">
        <w:t xml:space="preserve"> it is 5</w:t>
      </w:r>
      <w:r w:rsidR="000B2DD5">
        <w:t>.</w:t>
      </w:r>
      <w:r w:rsidR="00C14743">
        <w:t>5%</w:t>
      </w:r>
      <w:r w:rsidR="00083474">
        <w:t>.</w:t>
      </w:r>
    </w:p>
    <w:p w14:paraId="403E2390" w14:textId="15AB1C7E" w:rsidR="004C6D8D" w:rsidRDefault="005C251D" w:rsidP="004C6D8D">
      <w:pPr>
        <w:pStyle w:val="Caption"/>
      </w:pPr>
      <w:r>
        <w:rPr>
          <w:noProof/>
        </w:rPr>
        <w:drawing>
          <wp:anchor distT="0" distB="0" distL="114300" distR="114300" simplePos="0" relativeHeight="251680768" behindDoc="1" locked="0" layoutInCell="1" allowOverlap="1" wp14:anchorId="2A3CE54E" wp14:editId="7C514604">
            <wp:simplePos x="0" y="0"/>
            <wp:positionH relativeFrom="column">
              <wp:posOffset>2847975</wp:posOffset>
            </wp:positionH>
            <wp:positionV relativeFrom="paragraph">
              <wp:posOffset>205104</wp:posOffset>
            </wp:positionV>
            <wp:extent cx="2867025" cy="2238375"/>
            <wp:effectExtent l="0" t="0" r="9525" b="9525"/>
            <wp:wrapNone/>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0C38DA20" wp14:editId="7DE7EA7C">
            <wp:simplePos x="0" y="0"/>
            <wp:positionH relativeFrom="margin">
              <wp:posOffset>0</wp:posOffset>
            </wp:positionH>
            <wp:positionV relativeFrom="paragraph">
              <wp:posOffset>207010</wp:posOffset>
            </wp:positionV>
            <wp:extent cx="2838450" cy="2228850"/>
            <wp:effectExtent l="0" t="0" r="0" b="0"/>
            <wp:wrapNone/>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082663">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31</w:t>
      </w:r>
      <w:r w:rsidR="006C3BD6">
        <w:rPr>
          <w:noProof/>
        </w:rPr>
        <w:fldChar w:fldCharType="end"/>
      </w:r>
      <w:r w:rsidR="00082663">
        <w:t xml:space="preserve">: </w:t>
      </w:r>
      <w:r w:rsidR="000A6CC2">
        <w:t xml:space="preserve">The share of doubled up households in </w:t>
      </w:r>
      <w:r w:rsidR="004C6D8D">
        <w:t xml:space="preserve">urban and rural areas </w:t>
      </w:r>
    </w:p>
    <w:p w14:paraId="5BF3506B" w14:textId="2C4FF420" w:rsidR="00082663" w:rsidRDefault="00082663" w:rsidP="00976D0B">
      <w:pPr>
        <w:pStyle w:val="Caption"/>
        <w:jc w:val="both"/>
      </w:pPr>
    </w:p>
    <w:p w14:paraId="2060F9FB" w14:textId="04935508" w:rsidR="00082663" w:rsidRDefault="00082663" w:rsidP="00393C5D">
      <w:pPr>
        <w:jc w:val="center"/>
      </w:pPr>
    </w:p>
    <w:p w14:paraId="2331D672" w14:textId="77777777" w:rsidR="00E719AE" w:rsidRDefault="00E719AE" w:rsidP="00393C5D">
      <w:pPr>
        <w:jc w:val="center"/>
      </w:pPr>
    </w:p>
    <w:p w14:paraId="4362D53F" w14:textId="77777777" w:rsidR="00082663" w:rsidRDefault="00082663" w:rsidP="00D74D8C">
      <w:pPr>
        <w:jc w:val="center"/>
      </w:pPr>
    </w:p>
    <w:p w14:paraId="27BBFD6A" w14:textId="77777777" w:rsidR="005C251D" w:rsidRDefault="005C251D" w:rsidP="00976D0B">
      <w:pPr>
        <w:jc w:val="both"/>
        <w:rPr>
          <w:i/>
          <w:iCs/>
          <w:color w:val="44546A" w:themeColor="text2"/>
          <w:sz w:val="18"/>
          <w:szCs w:val="18"/>
        </w:rPr>
      </w:pPr>
    </w:p>
    <w:p w14:paraId="71F59409" w14:textId="77777777" w:rsidR="005C251D" w:rsidRDefault="005C251D" w:rsidP="00976D0B">
      <w:pPr>
        <w:jc w:val="both"/>
        <w:rPr>
          <w:i/>
          <w:iCs/>
          <w:color w:val="44546A" w:themeColor="text2"/>
          <w:sz w:val="18"/>
          <w:szCs w:val="18"/>
        </w:rPr>
      </w:pPr>
    </w:p>
    <w:p w14:paraId="753D2260" w14:textId="658BC806" w:rsidR="005C251D" w:rsidRDefault="00415C4E" w:rsidP="00415C4E">
      <w:pPr>
        <w:tabs>
          <w:tab w:val="left" w:pos="3000"/>
        </w:tabs>
        <w:jc w:val="both"/>
        <w:rPr>
          <w:i/>
          <w:iCs/>
          <w:color w:val="44546A" w:themeColor="text2"/>
          <w:sz w:val="18"/>
          <w:szCs w:val="18"/>
        </w:rPr>
      </w:pPr>
      <w:r>
        <w:rPr>
          <w:i/>
          <w:iCs/>
          <w:color w:val="44546A" w:themeColor="text2"/>
          <w:sz w:val="18"/>
          <w:szCs w:val="18"/>
        </w:rPr>
        <w:tab/>
      </w:r>
    </w:p>
    <w:p w14:paraId="301E1D92" w14:textId="77777777" w:rsidR="005C251D" w:rsidRDefault="005C251D" w:rsidP="00976D0B">
      <w:pPr>
        <w:jc w:val="both"/>
        <w:rPr>
          <w:i/>
          <w:iCs/>
          <w:color w:val="44546A" w:themeColor="text2"/>
          <w:sz w:val="18"/>
          <w:szCs w:val="18"/>
        </w:rPr>
      </w:pPr>
    </w:p>
    <w:p w14:paraId="63C92DCA" w14:textId="03A607B6" w:rsidR="00614DBF" w:rsidRDefault="00CA453C" w:rsidP="00614DBF">
      <w:pPr>
        <w:spacing w:before="240"/>
        <w:jc w:val="both"/>
        <w:rPr>
          <w:i/>
          <w:iCs/>
          <w:color w:val="44546A" w:themeColor="text2"/>
          <w:sz w:val="18"/>
          <w:szCs w:val="18"/>
        </w:rPr>
      </w:pPr>
      <w:r>
        <w:rPr>
          <w:i/>
          <w:iCs/>
          <w:color w:val="44546A" w:themeColor="text2"/>
          <w:sz w:val="18"/>
          <w:szCs w:val="18"/>
        </w:rPr>
        <w:t>Source:</w:t>
      </w:r>
      <w:r w:rsidR="008A624B">
        <w:rPr>
          <w:i/>
          <w:iCs/>
          <w:color w:val="44546A" w:themeColor="text2"/>
          <w:sz w:val="18"/>
          <w:szCs w:val="18"/>
        </w:rPr>
        <w:t xml:space="preserve"> I</w:t>
      </w:r>
      <w:r w:rsidR="00614DBF">
        <w:rPr>
          <w:i/>
          <w:iCs/>
          <w:color w:val="44546A" w:themeColor="text2"/>
          <w:sz w:val="18"/>
          <w:szCs w:val="18"/>
        </w:rPr>
        <w:t xml:space="preserve">ntegrated Household Survey </w:t>
      </w:r>
    </w:p>
    <w:p w14:paraId="72ACB258" w14:textId="2B973B42" w:rsidR="000745BD" w:rsidRPr="009F70F6" w:rsidRDefault="00932EED" w:rsidP="00976D0B">
      <w:pPr>
        <w:jc w:val="both"/>
      </w:pPr>
      <w:r>
        <w:t xml:space="preserve">Doubling-up, as it is defined by the given methodology, </w:t>
      </w:r>
      <w:r w:rsidR="009F70F6">
        <w:t>is quite common phenomena in the Georgian context, deriving from the cultural factors lots of people tolerate with living with their distant relatives</w:t>
      </w:r>
      <w:r w:rsidR="00560BEE">
        <w:t>.</w:t>
      </w:r>
      <w:r>
        <w:t xml:space="preserve"> Consequently, a decision to be doubled-up</w:t>
      </w:r>
      <w:r w:rsidR="009F70F6">
        <w:t xml:space="preserve"> might not be necessarily </w:t>
      </w:r>
      <w:r>
        <w:t xml:space="preserve">caused by </w:t>
      </w:r>
      <w:r w:rsidR="009F70F6">
        <w:t>unaffordability</w:t>
      </w:r>
      <w:r>
        <w:t xml:space="preserve"> problem</w:t>
      </w:r>
      <w:r w:rsidR="00750843">
        <w:t>.</w:t>
      </w:r>
      <w:r>
        <w:t xml:space="preserve"> As a result</w:t>
      </w:r>
      <w:r w:rsidR="009F70F6">
        <w:t xml:space="preserve">, defining </w:t>
      </w:r>
      <w:r w:rsidR="003E2D23">
        <w:t xml:space="preserve">all of </w:t>
      </w:r>
      <w:r w:rsidR="009F70F6">
        <w:t>those families</w:t>
      </w:r>
      <w:r>
        <w:t xml:space="preserve"> </w:t>
      </w:r>
      <w:r w:rsidR="009F70F6">
        <w:t>as vulnerable</w:t>
      </w:r>
      <w:r>
        <w:t xml:space="preserve"> </w:t>
      </w:r>
      <w:r w:rsidR="009F70F6">
        <w:t>groups</w:t>
      </w:r>
      <w:r w:rsidR="003E2D23">
        <w:t xml:space="preserve"> </w:t>
      </w:r>
      <w:r w:rsidR="009F70F6">
        <w:t>might</w:t>
      </w:r>
      <w:r w:rsidR="00C27377">
        <w:t xml:space="preserve"> lead to the</w:t>
      </w:r>
      <w:r w:rsidR="009F70F6">
        <w:t xml:space="preserve"> </w:t>
      </w:r>
      <w:r w:rsidR="00FA66C2">
        <w:t>misrepresent</w:t>
      </w:r>
      <w:r w:rsidR="00C27377">
        <w:t>ation of</w:t>
      </w:r>
      <w:r w:rsidR="00FA66C2">
        <w:t xml:space="preserve"> </w:t>
      </w:r>
      <w:r w:rsidR="009F70F6">
        <w:t xml:space="preserve">the </w:t>
      </w:r>
      <w:r>
        <w:t>scale of the housing exclusion problem in Georgia</w:t>
      </w:r>
      <w:r w:rsidR="00560BEE">
        <w:t>.</w:t>
      </w:r>
      <w:r>
        <w:t xml:space="preserve"> </w:t>
      </w:r>
      <w:r w:rsidR="000768C0">
        <w:t xml:space="preserve">Unfortunately, given </w:t>
      </w:r>
      <w:r w:rsidR="00AE5FC0">
        <w:t xml:space="preserve">limitation of </w:t>
      </w:r>
      <w:r w:rsidR="000768C0">
        <w:t>the available data it</w:t>
      </w:r>
      <w:r w:rsidR="00622646">
        <w:t xml:space="preserve"> </w:t>
      </w:r>
      <w:r w:rsidR="000768C0">
        <w:t xml:space="preserve">is impossible to determine the real motives </w:t>
      </w:r>
      <w:r w:rsidR="00AE5FC0">
        <w:t xml:space="preserve">leading to the </w:t>
      </w:r>
      <w:r w:rsidR="000768C0">
        <w:t xml:space="preserve">doubled-up </w:t>
      </w:r>
      <w:r w:rsidR="00AE5FC0">
        <w:t>phenomenon</w:t>
      </w:r>
      <w:r w:rsidR="00865F3B">
        <w:t xml:space="preserve"> and</w:t>
      </w:r>
      <w:r w:rsidR="00CB3AF0">
        <w:t xml:space="preserve">, correspondingly, it is hard to </w:t>
      </w:r>
      <w:r w:rsidR="00865F3B">
        <w:t>establish whether (and to what extent)</w:t>
      </w:r>
      <w:r w:rsidR="00CB3AF0">
        <w:t xml:space="preserve"> the problem needs to be addressed with help of government </w:t>
      </w:r>
      <w:r w:rsidR="00560BEE">
        <w:t>intervention.</w:t>
      </w:r>
    </w:p>
    <w:p w14:paraId="3E460B46" w14:textId="0C5C6AF0" w:rsidR="00082663" w:rsidRDefault="00082663" w:rsidP="00976D0B">
      <w:pPr>
        <w:jc w:val="both"/>
        <w:rPr>
          <w:rFonts w:cstheme="minorHAnsi"/>
        </w:rPr>
      </w:pPr>
      <w:r>
        <w:t xml:space="preserve">As it has been already mentioned, in </w:t>
      </w:r>
      <w:r w:rsidR="00712FA6">
        <w:t xml:space="preserve">the </w:t>
      </w:r>
      <w:r w:rsidR="00CB3AF0">
        <w:t xml:space="preserve">insecure housing </w:t>
      </w:r>
      <w:r>
        <w:t xml:space="preserve">subcategory also </w:t>
      </w:r>
      <w:r w:rsidR="009455F8">
        <w:t xml:space="preserve">enter </w:t>
      </w:r>
      <w:r w:rsidRPr="006066AB">
        <w:rPr>
          <w:b/>
          <w:bCs/>
          <w:i/>
          <w:iCs/>
        </w:rPr>
        <w:t>households who are illegal (sub) tenants and</w:t>
      </w:r>
      <w:r w:rsidR="00712FA6">
        <w:rPr>
          <w:b/>
          <w:bCs/>
          <w:i/>
          <w:iCs/>
        </w:rPr>
        <w:t>/or</w:t>
      </w:r>
      <w:r w:rsidRPr="006066AB">
        <w:rPr>
          <w:b/>
          <w:bCs/>
          <w:i/>
          <w:iCs/>
        </w:rPr>
        <w:t xml:space="preserve"> own land </w:t>
      </w:r>
      <w:r w:rsidR="00005342" w:rsidRPr="006066AB">
        <w:rPr>
          <w:b/>
          <w:bCs/>
          <w:i/>
          <w:iCs/>
        </w:rPr>
        <w:t>illegally</w:t>
      </w:r>
      <w:r w:rsidR="00005342">
        <w:rPr>
          <w:b/>
          <w:bCs/>
          <w:i/>
          <w:iCs/>
        </w:rPr>
        <w:t xml:space="preserve">. </w:t>
      </w:r>
      <w:r w:rsidR="004C3BCA">
        <w:t xml:space="preserve">The </w:t>
      </w:r>
      <w:r>
        <w:rPr>
          <w:rFonts w:cstheme="minorHAnsi"/>
        </w:rPr>
        <w:t xml:space="preserve">National Agency of State Property has provided the </w:t>
      </w:r>
      <w:r w:rsidRPr="002C2E90">
        <w:rPr>
          <w:rFonts w:cstheme="minorHAnsi"/>
        </w:rPr>
        <w:t>latest data</w:t>
      </w:r>
      <w:r w:rsidR="004C3BCA">
        <w:rPr>
          <w:rStyle w:val="FootnoteReference"/>
          <w:rFonts w:cstheme="minorHAnsi"/>
        </w:rPr>
        <w:t xml:space="preserve"> </w:t>
      </w:r>
      <w:r w:rsidR="004C3BCA">
        <w:rPr>
          <w:rFonts w:cstheme="minorHAnsi"/>
        </w:rPr>
        <w:t xml:space="preserve">(June 2019) </w:t>
      </w:r>
      <w:r>
        <w:rPr>
          <w:rFonts w:cstheme="minorHAnsi"/>
        </w:rPr>
        <w:t xml:space="preserve">about the </w:t>
      </w:r>
      <w:r w:rsidR="0028738D">
        <w:rPr>
          <w:rFonts w:cstheme="minorHAnsi"/>
        </w:rPr>
        <w:t xml:space="preserve">identified </w:t>
      </w:r>
      <w:r>
        <w:rPr>
          <w:rFonts w:cstheme="minorHAnsi"/>
        </w:rPr>
        <w:t>illegal tenants</w:t>
      </w:r>
      <w:r w:rsidR="0028738D">
        <w:rPr>
          <w:rFonts w:cstheme="minorHAnsi"/>
        </w:rPr>
        <w:t xml:space="preserve">, </w:t>
      </w:r>
      <w:r w:rsidR="0075701D">
        <w:rPr>
          <w:rFonts w:cstheme="minorHAnsi"/>
        </w:rPr>
        <w:t xml:space="preserve">amounting to </w:t>
      </w:r>
      <w:r w:rsidRPr="002C2E90">
        <w:rPr>
          <w:rFonts w:cstheme="minorHAnsi"/>
        </w:rPr>
        <w:t>95 households (</w:t>
      </w:r>
      <w:r w:rsidR="0075701D">
        <w:rPr>
          <w:rFonts w:cstheme="minorHAnsi"/>
        </w:rPr>
        <w:t>for a</w:t>
      </w:r>
      <w:r w:rsidRPr="002C2E90">
        <w:rPr>
          <w:rFonts w:cstheme="minorHAnsi"/>
        </w:rPr>
        <w:t xml:space="preserve"> total 169 individuals) </w:t>
      </w:r>
      <w:r w:rsidR="0075701D">
        <w:rPr>
          <w:rFonts w:cstheme="minorHAnsi"/>
        </w:rPr>
        <w:t>They</w:t>
      </w:r>
      <w:r>
        <w:rPr>
          <w:rFonts w:cstheme="minorHAnsi"/>
        </w:rPr>
        <w:t xml:space="preserve"> represent up to 0</w:t>
      </w:r>
      <w:r w:rsidR="000B2DD5">
        <w:rPr>
          <w:rFonts w:cstheme="minorHAnsi"/>
        </w:rPr>
        <w:t>.</w:t>
      </w:r>
      <w:r>
        <w:rPr>
          <w:rFonts w:cstheme="minorHAnsi"/>
        </w:rPr>
        <w:t>009% of the total number of households</w:t>
      </w:r>
      <w:r>
        <w:rPr>
          <w:rStyle w:val="FootnoteReference"/>
          <w:rFonts w:cstheme="minorHAnsi"/>
        </w:rPr>
        <w:footnoteReference w:id="33"/>
      </w:r>
      <w:r>
        <w:rPr>
          <w:rFonts w:cstheme="minorHAnsi"/>
        </w:rPr>
        <w:t xml:space="preserve"> in Georgia (up to 0</w:t>
      </w:r>
      <w:r w:rsidR="000B2DD5">
        <w:rPr>
          <w:rFonts w:cstheme="minorHAnsi"/>
        </w:rPr>
        <w:t>.</w:t>
      </w:r>
      <w:r>
        <w:rPr>
          <w:rFonts w:cstheme="minorHAnsi"/>
        </w:rPr>
        <w:t xml:space="preserve">0045% </w:t>
      </w:r>
      <w:r>
        <w:rPr>
          <w:rFonts w:cstheme="minorHAnsi"/>
        </w:rPr>
        <w:lastRenderedPageBreak/>
        <w:t>of total population)</w:t>
      </w:r>
      <w:r w:rsidR="00750843">
        <w:rPr>
          <w:rFonts w:cstheme="minorHAnsi"/>
        </w:rPr>
        <w:t>.</w:t>
      </w:r>
      <w:r>
        <w:rPr>
          <w:rFonts w:cstheme="minorHAnsi"/>
        </w:rPr>
        <w:t xml:space="preserve"> </w:t>
      </w:r>
      <w:r w:rsidR="000F15D3">
        <w:rPr>
          <w:rFonts w:cstheme="minorHAnsi"/>
        </w:rPr>
        <w:t xml:space="preserve">When </w:t>
      </w:r>
      <w:r>
        <w:rPr>
          <w:rFonts w:cstheme="minorHAnsi"/>
        </w:rPr>
        <w:t xml:space="preserve">the agency </w:t>
      </w:r>
      <w:r w:rsidR="00AB0357">
        <w:rPr>
          <w:rFonts w:cstheme="minorHAnsi"/>
        </w:rPr>
        <w:t xml:space="preserve">was asked </w:t>
      </w:r>
      <w:r>
        <w:rPr>
          <w:rFonts w:cstheme="minorHAnsi"/>
        </w:rPr>
        <w:t xml:space="preserve">about time trend of the </w:t>
      </w:r>
      <w:r w:rsidR="00BB6043">
        <w:rPr>
          <w:rFonts w:cstheme="minorHAnsi"/>
        </w:rPr>
        <w:t xml:space="preserve">phenomenon, the answer was </w:t>
      </w:r>
      <w:r>
        <w:rPr>
          <w:rFonts w:cstheme="minorHAnsi"/>
        </w:rPr>
        <w:t xml:space="preserve">that the conditions of these households and individuals have not changed much over </w:t>
      </w:r>
      <w:r w:rsidR="00BB6043">
        <w:rPr>
          <w:rFonts w:cstheme="minorHAnsi"/>
        </w:rPr>
        <w:t xml:space="preserve">the </w:t>
      </w:r>
      <w:r>
        <w:rPr>
          <w:rFonts w:cstheme="minorHAnsi"/>
        </w:rPr>
        <w:t>years, but they could not provide exact numbers for the chosen period</w:t>
      </w:r>
      <w:r w:rsidR="00560BEE">
        <w:rPr>
          <w:rFonts w:cstheme="minorHAnsi"/>
        </w:rPr>
        <w:t>.</w:t>
      </w:r>
      <w:r w:rsidR="00CB3AF0">
        <w:rPr>
          <w:rFonts w:cstheme="minorHAnsi"/>
        </w:rPr>
        <w:t xml:space="preserve"> </w:t>
      </w:r>
    </w:p>
    <w:p w14:paraId="202B61A9" w14:textId="7CBA6776" w:rsidR="00082663" w:rsidRPr="007E4A05" w:rsidRDefault="00082663" w:rsidP="00976D0B">
      <w:pPr>
        <w:jc w:val="both"/>
        <w:rPr>
          <w:rFonts w:cstheme="minorHAnsi"/>
        </w:rPr>
      </w:pPr>
      <w:r>
        <w:rPr>
          <w:rFonts w:cstheme="minorHAnsi"/>
        </w:rPr>
        <w:t xml:space="preserve">In insecure category also include </w:t>
      </w:r>
      <w:r w:rsidRPr="006066AB">
        <w:rPr>
          <w:rFonts w:cstheme="minorHAnsi"/>
          <w:b/>
          <w:bCs/>
          <w:i/>
          <w:iCs/>
        </w:rPr>
        <w:t>people living under the threat of eviction</w:t>
      </w:r>
      <w:r>
        <w:rPr>
          <w:rFonts w:cstheme="minorHAnsi"/>
        </w:rPr>
        <w:t>, these are households to whom legal orders are enforced or re-posses</w:t>
      </w:r>
      <w:r w:rsidR="00DE4581">
        <w:rPr>
          <w:rFonts w:cstheme="minorHAnsi"/>
        </w:rPr>
        <w:t>s</w:t>
      </w:r>
      <w:r>
        <w:rPr>
          <w:rFonts w:cstheme="minorHAnsi"/>
        </w:rPr>
        <w:t>ed</w:t>
      </w:r>
      <w:r w:rsidR="00AB25EE">
        <w:rPr>
          <w:rFonts w:cstheme="minorHAnsi"/>
        </w:rPr>
        <w:t>.</w:t>
      </w:r>
      <w:r>
        <w:rPr>
          <w:rFonts w:cstheme="minorHAnsi"/>
        </w:rPr>
        <w:t xml:space="preserve"> </w:t>
      </w:r>
      <w:r w:rsidR="00407BCB">
        <w:rPr>
          <w:rFonts w:cstheme="minorHAnsi"/>
        </w:rPr>
        <w:t>In this case,</w:t>
      </w:r>
      <w:r w:rsidR="00C02A72">
        <w:rPr>
          <w:rFonts w:cstheme="minorHAnsi"/>
        </w:rPr>
        <w:t xml:space="preserve"> data </w:t>
      </w:r>
      <w:r w:rsidR="00407BCB">
        <w:rPr>
          <w:rFonts w:cstheme="minorHAnsi"/>
        </w:rPr>
        <w:t xml:space="preserve">were </w:t>
      </w:r>
      <w:r w:rsidR="00DE4581">
        <w:rPr>
          <w:rFonts w:cstheme="minorHAnsi"/>
        </w:rPr>
        <w:t>requested to</w:t>
      </w:r>
      <w:r w:rsidR="00C02A72">
        <w:rPr>
          <w:rFonts w:cstheme="minorHAnsi"/>
        </w:rPr>
        <w:t xml:space="preserve"> </w:t>
      </w:r>
      <w:r w:rsidR="00407BCB">
        <w:rPr>
          <w:rFonts w:cstheme="minorHAnsi"/>
        </w:rPr>
        <w:t xml:space="preserve">the </w:t>
      </w:r>
      <w:r>
        <w:rPr>
          <w:rFonts w:cstheme="minorHAnsi"/>
        </w:rPr>
        <w:t>National Bureau of Enforcement</w:t>
      </w:r>
      <w:r w:rsidR="00DE4581">
        <w:rPr>
          <w:rFonts w:cstheme="minorHAnsi"/>
        </w:rPr>
        <w:t xml:space="preserve"> Unfortunately, </w:t>
      </w:r>
      <w:r w:rsidR="007D3DFD">
        <w:rPr>
          <w:rFonts w:cstheme="minorHAnsi"/>
        </w:rPr>
        <w:t xml:space="preserve">unfortunately, the information about </w:t>
      </w:r>
      <w:r w:rsidR="00C02A72" w:rsidRPr="007E4A05">
        <w:rPr>
          <w:rFonts w:cstheme="minorHAnsi"/>
        </w:rPr>
        <w:t>the exact number of people</w:t>
      </w:r>
      <w:r w:rsidR="007E4A05" w:rsidRPr="007E4A05">
        <w:rPr>
          <w:rFonts w:cstheme="minorHAnsi"/>
        </w:rPr>
        <w:t xml:space="preserve"> or families, who have been evicted from their houses due to different reasons</w:t>
      </w:r>
      <w:r w:rsidR="007E4A05">
        <w:rPr>
          <w:rFonts w:cstheme="minorHAnsi"/>
        </w:rPr>
        <w:t xml:space="preserve"> over </w:t>
      </w:r>
      <w:r w:rsidR="00DE4581">
        <w:rPr>
          <w:rFonts w:cstheme="minorHAnsi"/>
        </w:rPr>
        <w:t xml:space="preserve">the </w:t>
      </w:r>
      <w:r w:rsidR="007E4A05">
        <w:rPr>
          <w:rFonts w:cstheme="minorHAnsi"/>
        </w:rPr>
        <w:t>years</w:t>
      </w:r>
      <w:r w:rsidR="007D3DFD">
        <w:rPr>
          <w:rFonts w:cstheme="minorHAnsi"/>
        </w:rPr>
        <w:t xml:space="preserve"> was not available for the study</w:t>
      </w:r>
      <w:r w:rsidR="00AB25EE">
        <w:rPr>
          <w:rFonts w:cstheme="minorHAnsi"/>
        </w:rPr>
        <w:t>.</w:t>
      </w:r>
    </w:p>
    <w:p w14:paraId="3B4E5315" w14:textId="252FD2C8" w:rsidR="00082663" w:rsidRDefault="00082663" w:rsidP="00976D0B">
      <w:pPr>
        <w:jc w:val="both"/>
        <w:rPr>
          <w:rFonts w:cstheme="minorHAnsi"/>
        </w:rPr>
      </w:pPr>
      <w:r>
        <w:rPr>
          <w:rFonts w:cstheme="minorHAnsi"/>
        </w:rPr>
        <w:t xml:space="preserve">In addition to that, this category might also include </w:t>
      </w:r>
      <w:r w:rsidRPr="006066AB">
        <w:rPr>
          <w:rFonts w:cstheme="minorHAnsi"/>
          <w:b/>
          <w:bCs/>
          <w:i/>
          <w:iCs/>
        </w:rPr>
        <w:t>people who suffer the problem of unaffordable housing and may be perceived as vulnerable and insecure</w:t>
      </w:r>
      <w:r w:rsidR="00560BEE">
        <w:rPr>
          <w:rFonts w:cstheme="minorHAnsi"/>
          <w:b/>
          <w:bCs/>
          <w:i/>
          <w:iCs/>
        </w:rPr>
        <w:t>.</w:t>
      </w:r>
      <w:r w:rsidR="00012027">
        <w:rPr>
          <w:rFonts w:cstheme="minorHAnsi"/>
        </w:rPr>
        <w:t xml:space="preserve"> </w:t>
      </w:r>
      <w:r w:rsidR="00263CBE">
        <w:rPr>
          <w:rFonts w:cstheme="minorHAnsi"/>
        </w:rPr>
        <w:t xml:space="preserve">As here the emphasis </w:t>
      </w:r>
      <w:r w:rsidR="00A967E0">
        <w:rPr>
          <w:rFonts w:cstheme="minorHAnsi"/>
        </w:rPr>
        <w:t xml:space="preserve">of </w:t>
      </w:r>
      <w:r w:rsidR="005A6B1F">
        <w:rPr>
          <w:rFonts w:cstheme="minorHAnsi"/>
        </w:rPr>
        <w:t>the</w:t>
      </w:r>
      <w:r w:rsidR="00A967E0">
        <w:rPr>
          <w:rFonts w:cstheme="minorHAnsi"/>
        </w:rPr>
        <w:t xml:space="preserve"> analysis </w:t>
      </w:r>
      <w:r w:rsidR="00263CBE">
        <w:rPr>
          <w:rFonts w:cstheme="minorHAnsi"/>
        </w:rPr>
        <w:t xml:space="preserve">is mostly on the probability of becoming housing excluded, </w:t>
      </w:r>
      <w:r w:rsidR="00EF750A">
        <w:rPr>
          <w:rFonts w:cstheme="minorHAnsi"/>
        </w:rPr>
        <w:t xml:space="preserve">the </w:t>
      </w:r>
      <w:r w:rsidR="00F60CAA">
        <w:rPr>
          <w:rFonts w:cstheme="minorHAnsi"/>
        </w:rPr>
        <w:t>study focused</w:t>
      </w:r>
      <w:r w:rsidR="00A967E0">
        <w:rPr>
          <w:rFonts w:cstheme="minorHAnsi"/>
        </w:rPr>
        <w:t xml:space="preserve"> analysis on </w:t>
      </w:r>
      <w:r w:rsidR="00263CBE">
        <w:rPr>
          <w:rFonts w:cstheme="minorHAnsi"/>
        </w:rPr>
        <w:t>rent-to-income and housing cost-to-income ratios</w:t>
      </w:r>
      <w:r w:rsidR="00560BEE">
        <w:rPr>
          <w:rFonts w:cstheme="minorHAnsi"/>
        </w:rPr>
        <w:t>. A</w:t>
      </w:r>
      <w:r w:rsidR="00DF425F">
        <w:rPr>
          <w:rFonts w:cstheme="minorHAnsi"/>
        </w:rPr>
        <w:t>ccording to</w:t>
      </w:r>
      <w:r w:rsidR="00560BEE">
        <w:rPr>
          <w:rFonts w:cstheme="minorHAnsi"/>
        </w:rPr>
        <w:t xml:space="preserve"> aforementioned</w:t>
      </w:r>
      <w:r w:rsidR="00263CBE">
        <w:rPr>
          <w:rFonts w:cstheme="minorHAnsi"/>
        </w:rPr>
        <w:t xml:space="preserve"> UN habitat</w:t>
      </w:r>
      <w:r w:rsidR="00560BEE">
        <w:rPr>
          <w:rFonts w:cstheme="minorHAnsi"/>
        </w:rPr>
        <w:t xml:space="preserve"> methodology</w:t>
      </w:r>
      <w:r w:rsidR="00DD1962">
        <w:rPr>
          <w:rFonts w:cstheme="minorHAnsi"/>
        </w:rPr>
        <w:t>, housing unaffordability is revealed</w:t>
      </w:r>
      <w:r w:rsidR="00263CBE">
        <w:rPr>
          <w:rFonts w:cstheme="minorHAnsi"/>
        </w:rPr>
        <w:t xml:space="preserve"> </w:t>
      </w:r>
      <w:r w:rsidR="00DD1962">
        <w:rPr>
          <w:rFonts w:cstheme="minorHAnsi"/>
        </w:rPr>
        <w:t>when</w:t>
      </w:r>
      <w:r w:rsidR="00263CBE">
        <w:rPr>
          <w:rFonts w:cstheme="minorHAnsi"/>
        </w:rPr>
        <w:t xml:space="preserve"> </w:t>
      </w:r>
      <w:r w:rsidR="006424CF">
        <w:rPr>
          <w:rFonts w:cstheme="minorHAnsi"/>
        </w:rPr>
        <w:t xml:space="preserve">a </w:t>
      </w:r>
      <w:r w:rsidR="00DD1962">
        <w:rPr>
          <w:rFonts w:cstheme="minorHAnsi"/>
        </w:rPr>
        <w:t>household</w:t>
      </w:r>
      <w:r w:rsidR="00263CBE">
        <w:rPr>
          <w:rFonts w:cstheme="minorHAnsi"/>
        </w:rPr>
        <w:t xml:space="preserve"> </w:t>
      </w:r>
      <w:r>
        <w:rPr>
          <w:rFonts w:cstheme="minorHAnsi"/>
        </w:rPr>
        <w:t>pay</w:t>
      </w:r>
      <w:r w:rsidR="006424CF">
        <w:rPr>
          <w:rFonts w:cstheme="minorHAnsi"/>
        </w:rPr>
        <w:t>s</w:t>
      </w:r>
      <w:r>
        <w:rPr>
          <w:rFonts w:cstheme="minorHAnsi"/>
        </w:rPr>
        <w:t xml:space="preserve"> more than 30% of </w:t>
      </w:r>
      <w:r w:rsidR="006424CF">
        <w:rPr>
          <w:rFonts w:cstheme="minorHAnsi"/>
        </w:rPr>
        <w:t>its</w:t>
      </w:r>
      <w:r>
        <w:rPr>
          <w:rFonts w:cstheme="minorHAnsi"/>
        </w:rPr>
        <w:t xml:space="preserve"> income </w:t>
      </w:r>
      <w:r w:rsidR="00DD1962">
        <w:rPr>
          <w:rFonts w:cstheme="minorHAnsi"/>
        </w:rPr>
        <w:t>for</w:t>
      </w:r>
      <w:r>
        <w:rPr>
          <w:rFonts w:cstheme="minorHAnsi"/>
        </w:rPr>
        <w:t xml:space="preserve"> rent</w:t>
      </w:r>
      <w:r w:rsidR="00DD1962">
        <w:rPr>
          <w:rFonts w:cstheme="minorHAnsi"/>
        </w:rPr>
        <w:t xml:space="preserve"> </w:t>
      </w:r>
      <w:r w:rsidR="00012027">
        <w:rPr>
          <w:rFonts w:cstheme="minorHAnsi"/>
        </w:rPr>
        <w:t xml:space="preserve">or </w:t>
      </w:r>
      <w:r w:rsidR="00DD1962">
        <w:rPr>
          <w:rFonts w:cstheme="minorHAnsi"/>
        </w:rPr>
        <w:t>for</w:t>
      </w:r>
      <w:r w:rsidR="00012027">
        <w:rPr>
          <w:rFonts w:cstheme="minorHAnsi"/>
        </w:rPr>
        <w:t xml:space="preserve"> </w:t>
      </w:r>
      <w:r w:rsidR="00263CBE">
        <w:rPr>
          <w:rFonts w:cstheme="minorHAnsi"/>
        </w:rPr>
        <w:t>rent</w:t>
      </w:r>
      <w:r w:rsidR="00F801E5">
        <w:rPr>
          <w:rFonts w:cstheme="minorHAnsi"/>
        </w:rPr>
        <w:t xml:space="preserve"> payments</w:t>
      </w:r>
      <w:r w:rsidR="00263CBE">
        <w:rPr>
          <w:rFonts w:cstheme="minorHAnsi"/>
        </w:rPr>
        <w:t xml:space="preserve"> along </w:t>
      </w:r>
      <w:r w:rsidR="00012027">
        <w:rPr>
          <w:rFonts w:cstheme="minorHAnsi"/>
        </w:rPr>
        <w:t xml:space="preserve">with utility </w:t>
      </w:r>
      <w:r w:rsidR="00DD1962">
        <w:rPr>
          <w:rFonts w:cstheme="minorHAnsi"/>
        </w:rPr>
        <w:t>expenditures</w:t>
      </w:r>
      <w:r w:rsidR="00AB25EE">
        <w:rPr>
          <w:rFonts w:cstheme="minorHAnsi"/>
        </w:rPr>
        <w:t>.</w:t>
      </w:r>
    </w:p>
    <w:p w14:paraId="7CE1DE1D" w14:textId="5C12D3B4" w:rsidR="00083474" w:rsidRDefault="00D92987" w:rsidP="00083474">
      <w:pPr>
        <w:jc w:val="both"/>
        <w:rPr>
          <w:rFonts w:cstheme="minorHAnsi"/>
        </w:rPr>
      </w:pPr>
      <w:r>
        <w:rPr>
          <w:rFonts w:cstheme="minorHAnsi"/>
        </w:rPr>
        <w:t xml:space="preserve">Before moving to the analysis of </w:t>
      </w:r>
      <w:r w:rsidR="00505025">
        <w:rPr>
          <w:rFonts w:cstheme="minorHAnsi"/>
        </w:rPr>
        <w:t>un</w:t>
      </w:r>
      <w:r w:rsidR="005D668A">
        <w:rPr>
          <w:rFonts w:cstheme="minorHAnsi"/>
        </w:rPr>
        <w:t>affordability indicators,</w:t>
      </w:r>
      <w:r w:rsidR="00082663" w:rsidRPr="00E40767">
        <w:rPr>
          <w:rFonts w:cstheme="minorHAnsi"/>
        </w:rPr>
        <w:t xml:space="preserve"> it is worth analyzing the trend</w:t>
      </w:r>
      <w:r w:rsidR="0047582A">
        <w:rPr>
          <w:rFonts w:cstheme="minorHAnsi"/>
        </w:rPr>
        <w:t>s characterizing the rental market</w:t>
      </w:r>
      <w:r w:rsidR="00082663" w:rsidRPr="00E40767">
        <w:rPr>
          <w:rFonts w:cstheme="minorHAnsi"/>
        </w:rPr>
        <w:t xml:space="preserve"> over </w:t>
      </w:r>
      <w:r w:rsidR="0047582A">
        <w:rPr>
          <w:rFonts w:cstheme="minorHAnsi"/>
        </w:rPr>
        <w:t xml:space="preserve">the last </w:t>
      </w:r>
      <w:r w:rsidR="00082663" w:rsidRPr="00E40767">
        <w:rPr>
          <w:rFonts w:cstheme="minorHAnsi"/>
        </w:rPr>
        <w:t>years</w:t>
      </w:r>
      <w:r w:rsidR="0047582A">
        <w:rPr>
          <w:rFonts w:cstheme="minorHAnsi"/>
        </w:rPr>
        <w:t>,</w:t>
      </w:r>
      <w:r w:rsidR="00082663" w:rsidRPr="00E40767">
        <w:rPr>
          <w:rFonts w:cstheme="minorHAnsi"/>
        </w:rPr>
        <w:t xml:space="preserve"> </w:t>
      </w:r>
      <w:r w:rsidR="005D668A">
        <w:rPr>
          <w:rFonts w:cstheme="minorHAnsi"/>
        </w:rPr>
        <w:t>to obtain a better</w:t>
      </w:r>
      <w:r w:rsidR="0047582A">
        <w:rPr>
          <w:rFonts w:cstheme="minorHAnsi"/>
        </w:rPr>
        <w:t xml:space="preserve"> </w:t>
      </w:r>
      <w:r w:rsidR="00082663">
        <w:rPr>
          <w:rFonts w:cstheme="minorHAnsi"/>
        </w:rPr>
        <w:t>picture of the problem severity</w:t>
      </w:r>
      <w:r w:rsidR="00C207AF">
        <w:rPr>
          <w:rFonts w:cstheme="minorHAnsi"/>
        </w:rPr>
        <w:t>.</w:t>
      </w:r>
      <w:r w:rsidR="00082663">
        <w:rPr>
          <w:rFonts w:cstheme="minorHAnsi"/>
        </w:rPr>
        <w:t xml:space="preserve"> Looking at Figure </w:t>
      </w:r>
      <w:r w:rsidR="00136694">
        <w:rPr>
          <w:rFonts w:cstheme="minorHAnsi"/>
        </w:rPr>
        <w:t>32</w:t>
      </w:r>
      <w:r w:rsidR="00082663">
        <w:rPr>
          <w:rFonts w:cstheme="minorHAnsi"/>
        </w:rPr>
        <w:t>, it can be noticed that the trend is upward sloping</w:t>
      </w:r>
      <w:r w:rsidR="00C14743">
        <w:rPr>
          <w:rFonts w:cstheme="minorHAnsi"/>
        </w:rPr>
        <w:t xml:space="preserve"> for </w:t>
      </w:r>
      <w:r w:rsidR="0021680A">
        <w:rPr>
          <w:rFonts w:cstheme="minorHAnsi"/>
        </w:rPr>
        <w:t>urban</w:t>
      </w:r>
      <w:r w:rsidR="00C14743">
        <w:rPr>
          <w:rFonts w:cstheme="minorHAnsi"/>
        </w:rPr>
        <w:t xml:space="preserve"> areas, while </w:t>
      </w:r>
      <w:r w:rsidR="00944C68">
        <w:rPr>
          <w:rFonts w:cstheme="minorHAnsi"/>
        </w:rPr>
        <w:t>it</w:t>
      </w:r>
      <w:r w:rsidR="00C14743">
        <w:rPr>
          <w:rFonts w:cstheme="minorHAnsi"/>
        </w:rPr>
        <w:t xml:space="preserve"> is more or less flat for </w:t>
      </w:r>
      <w:r w:rsidR="0021680A">
        <w:rPr>
          <w:rFonts w:cstheme="minorHAnsi"/>
        </w:rPr>
        <w:t>rural</w:t>
      </w:r>
      <w:r w:rsidR="0047582A">
        <w:rPr>
          <w:rFonts w:cstheme="minorHAnsi"/>
        </w:rPr>
        <w:t xml:space="preserve"> areas</w:t>
      </w:r>
      <w:r w:rsidR="00082663">
        <w:rPr>
          <w:rFonts w:cstheme="minorHAnsi"/>
        </w:rPr>
        <w:t xml:space="preserve"> </w:t>
      </w:r>
      <w:r w:rsidR="008A624B">
        <w:rPr>
          <w:rFonts w:cstheme="minorHAnsi"/>
        </w:rPr>
        <w:t>T</w:t>
      </w:r>
      <w:r w:rsidR="00082663">
        <w:rPr>
          <w:rFonts w:cstheme="minorHAnsi"/>
        </w:rPr>
        <w:t>he share of households who rent</w:t>
      </w:r>
      <w:r w:rsidR="00944C68">
        <w:rPr>
          <w:rFonts w:cstheme="minorHAnsi"/>
        </w:rPr>
        <w:t>ed</w:t>
      </w:r>
      <w:r w:rsidR="00082663">
        <w:rPr>
          <w:rFonts w:cstheme="minorHAnsi"/>
        </w:rPr>
        <w:t xml:space="preserve"> houses </w:t>
      </w:r>
      <w:r w:rsidR="00944C68">
        <w:rPr>
          <w:rFonts w:cstheme="minorHAnsi"/>
        </w:rPr>
        <w:t xml:space="preserve">in </w:t>
      </w:r>
      <w:r w:rsidR="0021680A">
        <w:rPr>
          <w:rFonts w:cstheme="minorHAnsi"/>
        </w:rPr>
        <w:t>urban</w:t>
      </w:r>
      <w:r w:rsidR="00082663">
        <w:rPr>
          <w:rFonts w:cstheme="minorHAnsi"/>
        </w:rPr>
        <w:t xml:space="preserve"> areas over years varie</w:t>
      </w:r>
      <w:r w:rsidR="00E92ADB">
        <w:rPr>
          <w:rFonts w:cstheme="minorHAnsi"/>
        </w:rPr>
        <w:t>d</w:t>
      </w:r>
      <w:r w:rsidR="00082663">
        <w:rPr>
          <w:rFonts w:cstheme="minorHAnsi"/>
        </w:rPr>
        <w:t xml:space="preserve"> between 3</w:t>
      </w:r>
      <w:r w:rsidR="006216B1">
        <w:rPr>
          <w:rFonts w:cstheme="minorHAnsi"/>
        </w:rPr>
        <w:t>.</w:t>
      </w:r>
      <w:r w:rsidR="00082663">
        <w:rPr>
          <w:rFonts w:cstheme="minorHAnsi"/>
        </w:rPr>
        <w:t xml:space="preserve">1% </w:t>
      </w:r>
      <w:r w:rsidR="008A624B">
        <w:rPr>
          <w:rFonts w:cstheme="minorHAnsi"/>
        </w:rPr>
        <w:t xml:space="preserve">and </w:t>
      </w:r>
      <w:r w:rsidR="00082663">
        <w:rPr>
          <w:rFonts w:cstheme="minorHAnsi"/>
        </w:rPr>
        <w:t>5</w:t>
      </w:r>
      <w:r w:rsidR="006216B1">
        <w:rPr>
          <w:rFonts w:cstheme="minorHAnsi"/>
        </w:rPr>
        <w:t>.</w:t>
      </w:r>
      <w:r w:rsidR="00082663">
        <w:rPr>
          <w:rFonts w:cstheme="minorHAnsi"/>
        </w:rPr>
        <w:t xml:space="preserve">1%, while the same indicators for </w:t>
      </w:r>
      <w:r w:rsidR="0021680A">
        <w:rPr>
          <w:rFonts w:cstheme="minorHAnsi"/>
        </w:rPr>
        <w:t>rural</w:t>
      </w:r>
      <w:r w:rsidR="00082663">
        <w:rPr>
          <w:rFonts w:cstheme="minorHAnsi"/>
        </w:rPr>
        <w:t xml:space="preserve"> areas range</w:t>
      </w:r>
      <w:r w:rsidR="00E92ADB">
        <w:rPr>
          <w:rFonts w:cstheme="minorHAnsi"/>
        </w:rPr>
        <w:t>d</w:t>
      </w:r>
      <w:r w:rsidR="00082663">
        <w:rPr>
          <w:rFonts w:cstheme="minorHAnsi"/>
        </w:rPr>
        <w:t xml:space="preserve"> between 0</w:t>
      </w:r>
      <w:r w:rsidR="006216B1">
        <w:rPr>
          <w:rFonts w:cstheme="minorHAnsi"/>
        </w:rPr>
        <w:t>.</w:t>
      </w:r>
      <w:r w:rsidR="00082663">
        <w:rPr>
          <w:rFonts w:cstheme="minorHAnsi"/>
        </w:rPr>
        <w:t>04</w:t>
      </w:r>
      <w:r w:rsidR="00083474">
        <w:rPr>
          <w:rFonts w:cstheme="minorHAnsi"/>
        </w:rPr>
        <w:t>% and</w:t>
      </w:r>
      <w:r w:rsidR="008A624B">
        <w:rPr>
          <w:rFonts w:cstheme="minorHAnsi"/>
        </w:rPr>
        <w:t xml:space="preserve"> </w:t>
      </w:r>
      <w:r w:rsidR="00082663">
        <w:rPr>
          <w:rFonts w:cstheme="minorHAnsi"/>
        </w:rPr>
        <w:t>0</w:t>
      </w:r>
      <w:r w:rsidR="006216B1">
        <w:rPr>
          <w:rFonts w:cstheme="minorHAnsi"/>
        </w:rPr>
        <w:t>.</w:t>
      </w:r>
      <w:r w:rsidR="00082663">
        <w:rPr>
          <w:rFonts w:cstheme="minorHAnsi"/>
        </w:rPr>
        <w:t>24%</w:t>
      </w:r>
      <w:r w:rsidR="00C207AF">
        <w:rPr>
          <w:rFonts w:cstheme="minorHAnsi"/>
        </w:rPr>
        <w:t>.</w:t>
      </w:r>
      <w:r w:rsidR="00082663">
        <w:rPr>
          <w:rFonts w:cstheme="minorHAnsi"/>
        </w:rPr>
        <w:t xml:space="preserve"> In 2018, 5</w:t>
      </w:r>
      <w:r w:rsidR="006216B1">
        <w:rPr>
          <w:rFonts w:cstheme="minorHAnsi"/>
        </w:rPr>
        <w:t>.</w:t>
      </w:r>
      <w:r w:rsidR="00082663">
        <w:rPr>
          <w:rFonts w:cstheme="minorHAnsi"/>
        </w:rPr>
        <w:t xml:space="preserve">1% of </w:t>
      </w:r>
      <w:r w:rsidR="0021680A">
        <w:rPr>
          <w:rFonts w:cstheme="minorHAnsi"/>
        </w:rPr>
        <w:t>urban</w:t>
      </w:r>
      <w:r w:rsidR="00082663">
        <w:rPr>
          <w:rFonts w:cstheme="minorHAnsi"/>
        </w:rPr>
        <w:t xml:space="preserve"> households and 0</w:t>
      </w:r>
      <w:r w:rsidR="006216B1">
        <w:rPr>
          <w:rFonts w:cstheme="minorHAnsi"/>
        </w:rPr>
        <w:t>.</w:t>
      </w:r>
      <w:r w:rsidR="00082663">
        <w:rPr>
          <w:rFonts w:cstheme="minorHAnsi"/>
        </w:rPr>
        <w:t xml:space="preserve">202% of </w:t>
      </w:r>
      <w:r w:rsidR="0021680A">
        <w:rPr>
          <w:rFonts w:cstheme="minorHAnsi"/>
        </w:rPr>
        <w:t>rural</w:t>
      </w:r>
      <w:r w:rsidR="00082663">
        <w:rPr>
          <w:rFonts w:cstheme="minorHAnsi"/>
        </w:rPr>
        <w:t xml:space="preserve"> households rented their houses</w:t>
      </w:r>
      <w:r w:rsidR="00AB25EE">
        <w:rPr>
          <w:rFonts w:cstheme="minorHAnsi"/>
        </w:rPr>
        <w:t>.</w:t>
      </w:r>
      <w:r w:rsidR="001116C4">
        <w:rPr>
          <w:rFonts w:cstheme="minorHAnsi"/>
        </w:rPr>
        <w:t xml:space="preserve"> </w:t>
      </w:r>
    </w:p>
    <w:p w14:paraId="1E9A71C5" w14:textId="62AF7FC8" w:rsidR="00082663" w:rsidRPr="00083474" w:rsidRDefault="00F60CAA" w:rsidP="00F60CAA">
      <w:pPr>
        <w:spacing w:after="0"/>
        <w:jc w:val="both"/>
        <w:rPr>
          <w:i/>
          <w:iCs/>
          <w:color w:val="44546A" w:themeColor="text2"/>
          <w:sz w:val="18"/>
          <w:szCs w:val="18"/>
        </w:rPr>
      </w:pPr>
      <w:r>
        <w:rPr>
          <w:noProof/>
        </w:rPr>
        <w:drawing>
          <wp:anchor distT="0" distB="0" distL="114300" distR="114300" simplePos="0" relativeHeight="251662336" behindDoc="1" locked="0" layoutInCell="1" allowOverlap="1" wp14:anchorId="27E429A0" wp14:editId="72A14525">
            <wp:simplePos x="0" y="0"/>
            <wp:positionH relativeFrom="margin">
              <wp:posOffset>2875915</wp:posOffset>
            </wp:positionH>
            <wp:positionV relativeFrom="paragraph">
              <wp:posOffset>237008</wp:posOffset>
            </wp:positionV>
            <wp:extent cx="2981325" cy="2029460"/>
            <wp:effectExtent l="0" t="0" r="9525" b="889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082663" w:rsidRPr="00083474">
        <w:rPr>
          <w:i/>
          <w:iCs/>
          <w:color w:val="44546A" w:themeColor="text2"/>
          <w:sz w:val="18"/>
          <w:szCs w:val="18"/>
        </w:rPr>
        <w:t xml:space="preserve">Figure </w:t>
      </w:r>
      <w:r w:rsidR="006C3BD6" w:rsidRPr="00083474">
        <w:rPr>
          <w:i/>
          <w:iCs/>
          <w:color w:val="44546A" w:themeColor="text2"/>
          <w:sz w:val="18"/>
          <w:szCs w:val="18"/>
        </w:rPr>
        <w:fldChar w:fldCharType="begin"/>
      </w:r>
      <w:r w:rsidR="006C3BD6" w:rsidRPr="00083474">
        <w:rPr>
          <w:i/>
          <w:iCs/>
          <w:color w:val="44546A" w:themeColor="text2"/>
          <w:sz w:val="18"/>
          <w:szCs w:val="18"/>
        </w:rPr>
        <w:instrText xml:space="preserve"> SEQ Figure \* ARABIC </w:instrText>
      </w:r>
      <w:r w:rsidR="006C3BD6" w:rsidRPr="00083474">
        <w:rPr>
          <w:i/>
          <w:iCs/>
          <w:color w:val="44546A" w:themeColor="text2"/>
          <w:sz w:val="18"/>
          <w:szCs w:val="18"/>
        </w:rPr>
        <w:fldChar w:fldCharType="separate"/>
      </w:r>
      <w:r w:rsidR="006B5103" w:rsidRPr="00083474">
        <w:rPr>
          <w:i/>
          <w:iCs/>
          <w:color w:val="44546A" w:themeColor="text2"/>
          <w:sz w:val="18"/>
          <w:szCs w:val="18"/>
        </w:rPr>
        <w:t>32</w:t>
      </w:r>
      <w:r w:rsidR="006C3BD6" w:rsidRPr="00083474">
        <w:rPr>
          <w:i/>
          <w:iCs/>
          <w:color w:val="44546A" w:themeColor="text2"/>
          <w:sz w:val="18"/>
          <w:szCs w:val="18"/>
        </w:rPr>
        <w:fldChar w:fldCharType="end"/>
      </w:r>
      <w:r w:rsidR="00082663" w:rsidRPr="00083474">
        <w:rPr>
          <w:i/>
          <w:iCs/>
          <w:color w:val="44546A" w:themeColor="text2"/>
          <w:sz w:val="18"/>
          <w:szCs w:val="18"/>
        </w:rPr>
        <w:t xml:space="preserve">: The share of households who rent houses in </w:t>
      </w:r>
      <w:r w:rsidR="00AA5768" w:rsidRPr="00083474">
        <w:rPr>
          <w:i/>
          <w:iCs/>
          <w:color w:val="44546A" w:themeColor="text2"/>
          <w:sz w:val="18"/>
          <w:szCs w:val="18"/>
        </w:rPr>
        <w:t xml:space="preserve">urban and rural areas </w:t>
      </w:r>
    </w:p>
    <w:p w14:paraId="0BEFC00C" w14:textId="1C9EE788" w:rsidR="008C3A8A" w:rsidRPr="00F60CAA" w:rsidRDefault="00083474" w:rsidP="008C3A8A">
      <w:pPr>
        <w:tabs>
          <w:tab w:val="left" w:pos="5172"/>
        </w:tabs>
        <w:spacing w:after="0"/>
        <w:jc w:val="both"/>
        <w:rPr>
          <w:rFonts w:cstheme="minorHAnsi"/>
        </w:rPr>
      </w:pPr>
      <w:r>
        <w:rPr>
          <w:noProof/>
        </w:rPr>
        <w:drawing>
          <wp:anchor distT="0" distB="0" distL="114300" distR="114300" simplePos="0" relativeHeight="251661312" behindDoc="1" locked="0" layoutInCell="1" allowOverlap="1" wp14:anchorId="4153BEB0" wp14:editId="2A4DFF7F">
            <wp:simplePos x="0" y="0"/>
            <wp:positionH relativeFrom="margin">
              <wp:align>left</wp:align>
            </wp:positionH>
            <wp:positionV relativeFrom="paragraph">
              <wp:posOffset>80010</wp:posOffset>
            </wp:positionV>
            <wp:extent cx="2867025" cy="2028825"/>
            <wp:effectExtent l="0" t="0" r="9525"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F60CAA">
        <w:rPr>
          <w:i/>
          <w:iCs/>
          <w:color w:val="44546A" w:themeColor="text2"/>
          <w:sz w:val="18"/>
          <w:szCs w:val="18"/>
        </w:rPr>
        <w:t xml:space="preserve">Source: </w:t>
      </w:r>
      <w:r w:rsidR="008A624B">
        <w:rPr>
          <w:i/>
          <w:iCs/>
          <w:color w:val="44546A" w:themeColor="text2"/>
          <w:sz w:val="18"/>
          <w:szCs w:val="18"/>
        </w:rPr>
        <w:t>I</w:t>
      </w:r>
      <w:r w:rsidR="00F60CAA">
        <w:rPr>
          <w:i/>
          <w:iCs/>
          <w:color w:val="44546A" w:themeColor="text2"/>
          <w:sz w:val="18"/>
          <w:szCs w:val="18"/>
        </w:rPr>
        <w:t xml:space="preserve">ntegrated Household Survey </w:t>
      </w:r>
    </w:p>
    <w:p w14:paraId="7D0622DC" w14:textId="70A1D831" w:rsidR="003A754D" w:rsidRDefault="00082663" w:rsidP="008C3A8A">
      <w:pPr>
        <w:tabs>
          <w:tab w:val="left" w:pos="5172"/>
        </w:tabs>
        <w:spacing w:after="0"/>
        <w:jc w:val="both"/>
        <w:rPr>
          <w:rFonts w:cstheme="minorHAnsi"/>
        </w:rPr>
      </w:pPr>
      <w:r>
        <w:rPr>
          <w:rFonts w:cstheme="minorHAnsi"/>
        </w:rPr>
        <w:tab/>
      </w:r>
    </w:p>
    <w:p w14:paraId="27A79D75" w14:textId="44C53543" w:rsidR="00622646" w:rsidRDefault="001D7A93" w:rsidP="00976D0B">
      <w:pPr>
        <w:jc w:val="both"/>
        <w:rPr>
          <w:rFonts w:cstheme="minorHAnsi"/>
        </w:rPr>
      </w:pPr>
      <w:r>
        <w:rPr>
          <w:rFonts w:cstheme="minorHAnsi"/>
        </w:rPr>
        <w:t>H</w:t>
      </w:r>
      <w:r w:rsidR="00184B54">
        <w:rPr>
          <w:rFonts w:cstheme="minorHAnsi"/>
        </w:rPr>
        <w:t>ouse</w:t>
      </w:r>
      <w:r w:rsidR="00622646">
        <w:rPr>
          <w:rFonts w:cstheme="minorHAnsi"/>
        </w:rPr>
        <w:t xml:space="preserve"> renting </w:t>
      </w:r>
      <w:r>
        <w:rPr>
          <w:rFonts w:cstheme="minorHAnsi"/>
        </w:rPr>
        <w:t xml:space="preserve">appears to have </w:t>
      </w:r>
      <w:r w:rsidR="00622646">
        <w:rPr>
          <w:rFonts w:cstheme="minorHAnsi"/>
        </w:rPr>
        <w:t>becom</w:t>
      </w:r>
      <w:r>
        <w:rPr>
          <w:rFonts w:cstheme="minorHAnsi"/>
        </w:rPr>
        <w:t>e</w:t>
      </w:r>
      <w:r w:rsidR="00622646">
        <w:rPr>
          <w:rFonts w:cstheme="minorHAnsi"/>
        </w:rPr>
        <w:t xml:space="preserve"> </w:t>
      </w:r>
      <w:r w:rsidR="00184B54">
        <w:rPr>
          <w:rFonts w:cstheme="minorHAnsi"/>
        </w:rPr>
        <w:t>increasingly</w:t>
      </w:r>
      <w:r w:rsidR="00622646">
        <w:rPr>
          <w:rFonts w:cstheme="minorHAnsi"/>
        </w:rPr>
        <w:t xml:space="preserve"> </w:t>
      </w:r>
      <w:r w:rsidR="006253C7">
        <w:rPr>
          <w:rFonts w:cstheme="minorHAnsi"/>
        </w:rPr>
        <w:t xml:space="preserve">popular </w:t>
      </w:r>
      <w:r w:rsidR="00622646">
        <w:rPr>
          <w:rFonts w:cstheme="minorHAnsi"/>
        </w:rPr>
        <w:t>in Georgia</w:t>
      </w:r>
      <w:r>
        <w:rPr>
          <w:rFonts w:cstheme="minorHAnsi"/>
        </w:rPr>
        <w:t xml:space="preserve">n </w:t>
      </w:r>
      <w:r w:rsidR="0021680A">
        <w:rPr>
          <w:rFonts w:cstheme="minorHAnsi"/>
        </w:rPr>
        <w:t>urban</w:t>
      </w:r>
      <w:r>
        <w:rPr>
          <w:rFonts w:cstheme="minorHAnsi"/>
        </w:rPr>
        <w:t xml:space="preserve"> areas</w:t>
      </w:r>
      <w:r w:rsidR="00C207AF">
        <w:rPr>
          <w:rFonts w:cstheme="minorHAnsi"/>
        </w:rPr>
        <w:t>.</w:t>
      </w:r>
      <w:r w:rsidR="007B6630">
        <w:rPr>
          <w:rFonts w:cstheme="minorHAnsi"/>
        </w:rPr>
        <w:t xml:space="preserve"> Therefore, it is important to analyze how</w:t>
      </w:r>
      <w:r w:rsidR="002A088C">
        <w:rPr>
          <w:rFonts w:cstheme="minorHAnsi"/>
        </w:rPr>
        <w:t xml:space="preserve"> the rental prices have been evolving over the years</w:t>
      </w:r>
      <w:r w:rsidR="00C207AF">
        <w:rPr>
          <w:rFonts w:cstheme="minorHAnsi"/>
        </w:rPr>
        <w:t>.</w:t>
      </w:r>
      <w:r w:rsidR="006253C7">
        <w:rPr>
          <w:rFonts w:cstheme="minorHAnsi"/>
        </w:rPr>
        <w:t xml:space="preserve"> </w:t>
      </w:r>
    </w:p>
    <w:p w14:paraId="60342F56" w14:textId="57D7B608" w:rsidR="00083474" w:rsidRDefault="00E2085E" w:rsidP="00976D0B">
      <w:pPr>
        <w:jc w:val="both"/>
        <w:rPr>
          <w:rFonts w:cstheme="minorHAnsi"/>
        </w:rPr>
      </w:pPr>
      <w:r>
        <w:rPr>
          <w:rFonts w:cstheme="minorHAnsi"/>
        </w:rPr>
        <w:t>According to the first definition</w:t>
      </w:r>
      <w:r w:rsidDel="00E2085E">
        <w:rPr>
          <w:rFonts w:cstheme="minorHAnsi"/>
        </w:rPr>
        <w:t xml:space="preserve"> </w:t>
      </w:r>
      <w:r>
        <w:rPr>
          <w:rFonts w:cstheme="minorHAnsi"/>
        </w:rPr>
        <w:t xml:space="preserve">of </w:t>
      </w:r>
      <w:r w:rsidR="009155F8">
        <w:rPr>
          <w:rFonts w:cstheme="minorHAnsi"/>
        </w:rPr>
        <w:t>affordability</w:t>
      </w:r>
      <w:r w:rsidR="005D668A">
        <w:rPr>
          <w:rFonts w:cstheme="minorHAnsi"/>
        </w:rPr>
        <w:t xml:space="preserve"> (rent</w:t>
      </w:r>
      <w:r w:rsidR="00957B0C">
        <w:rPr>
          <w:rFonts w:cstheme="minorHAnsi"/>
        </w:rPr>
        <w:t>/income ration greater than 30%)</w:t>
      </w:r>
      <w:r w:rsidR="009155F8">
        <w:rPr>
          <w:rFonts w:cstheme="minorHAnsi"/>
        </w:rPr>
        <w:t xml:space="preserve">, we cannot identify a specific </w:t>
      </w:r>
      <w:r w:rsidR="00082663">
        <w:rPr>
          <w:rFonts w:cstheme="minorHAnsi"/>
        </w:rPr>
        <w:t xml:space="preserve">trend of unaffordability in </w:t>
      </w:r>
      <w:r w:rsidR="0021680A">
        <w:rPr>
          <w:rFonts w:cstheme="minorHAnsi"/>
        </w:rPr>
        <w:t>urban</w:t>
      </w:r>
      <w:r w:rsidR="00082663">
        <w:rPr>
          <w:rFonts w:cstheme="minorHAnsi"/>
        </w:rPr>
        <w:t xml:space="preserve"> areas</w:t>
      </w:r>
      <w:r w:rsidR="00C207AF">
        <w:rPr>
          <w:rFonts w:cstheme="minorHAnsi"/>
        </w:rPr>
        <w:t>.</w:t>
      </w:r>
      <w:r w:rsidR="00957B0C">
        <w:rPr>
          <w:rFonts w:cstheme="minorHAnsi"/>
        </w:rPr>
        <w:t xml:space="preserve"> The share of households </w:t>
      </w:r>
      <w:r w:rsidR="00362D83">
        <w:rPr>
          <w:rFonts w:cstheme="minorHAnsi"/>
        </w:rPr>
        <w:t>whose rent/income ratio exceed</w:t>
      </w:r>
      <w:r w:rsidR="000A19BB">
        <w:rPr>
          <w:rFonts w:cstheme="minorHAnsi"/>
        </w:rPr>
        <w:t>ed</w:t>
      </w:r>
      <w:r w:rsidR="00362D83">
        <w:rPr>
          <w:rFonts w:cstheme="minorHAnsi"/>
        </w:rPr>
        <w:t xml:space="preserve"> the threshold</w:t>
      </w:r>
      <w:r w:rsidR="00082663">
        <w:rPr>
          <w:rFonts w:cstheme="minorHAnsi"/>
        </w:rPr>
        <w:t xml:space="preserve"> varie</w:t>
      </w:r>
      <w:r w:rsidR="000D0D32">
        <w:rPr>
          <w:rFonts w:cstheme="minorHAnsi"/>
        </w:rPr>
        <w:t>d</w:t>
      </w:r>
      <w:r w:rsidR="00082663">
        <w:rPr>
          <w:rFonts w:cstheme="minorHAnsi"/>
        </w:rPr>
        <w:t xml:space="preserve"> </w:t>
      </w:r>
      <w:r w:rsidR="00C14743">
        <w:rPr>
          <w:rFonts w:cstheme="minorHAnsi"/>
        </w:rPr>
        <w:t xml:space="preserve">over the observed period </w:t>
      </w:r>
      <w:r w:rsidR="00082663">
        <w:rPr>
          <w:rFonts w:cstheme="minorHAnsi"/>
        </w:rPr>
        <w:t>between 1</w:t>
      </w:r>
      <w:r w:rsidR="00713248">
        <w:rPr>
          <w:rFonts w:cstheme="minorHAnsi"/>
        </w:rPr>
        <w:t>.</w:t>
      </w:r>
      <w:r w:rsidR="00082663">
        <w:rPr>
          <w:rFonts w:cstheme="minorHAnsi"/>
        </w:rPr>
        <w:t>6% and 3</w:t>
      </w:r>
      <w:r w:rsidR="00713248">
        <w:rPr>
          <w:rFonts w:cstheme="minorHAnsi"/>
        </w:rPr>
        <w:t>.</w:t>
      </w:r>
      <w:r w:rsidR="00082663">
        <w:rPr>
          <w:rFonts w:cstheme="minorHAnsi"/>
        </w:rPr>
        <w:t xml:space="preserve">2% of the total number of </w:t>
      </w:r>
      <w:r w:rsidR="00C207AF">
        <w:rPr>
          <w:rFonts w:cstheme="minorHAnsi"/>
        </w:rPr>
        <w:t xml:space="preserve">investigated </w:t>
      </w:r>
      <w:r w:rsidR="00082663">
        <w:rPr>
          <w:rFonts w:cstheme="minorHAnsi"/>
        </w:rPr>
        <w:t>households</w:t>
      </w:r>
      <w:r w:rsidR="00C207AF">
        <w:rPr>
          <w:rFonts w:cstheme="minorHAnsi"/>
        </w:rPr>
        <w:t>.</w:t>
      </w:r>
      <w:r w:rsidR="00082663">
        <w:rPr>
          <w:rFonts w:cstheme="minorHAnsi"/>
        </w:rPr>
        <w:t xml:space="preserve"> As for </w:t>
      </w:r>
      <w:r w:rsidR="0021680A">
        <w:rPr>
          <w:rFonts w:cstheme="minorHAnsi"/>
        </w:rPr>
        <w:t>rural</w:t>
      </w:r>
      <w:r w:rsidR="00082663">
        <w:rPr>
          <w:rFonts w:cstheme="minorHAnsi"/>
        </w:rPr>
        <w:t xml:space="preserve"> areas, the </w:t>
      </w:r>
      <w:r w:rsidR="00CB45B2">
        <w:rPr>
          <w:rFonts w:cstheme="minorHAnsi"/>
        </w:rPr>
        <w:t>share of households leaving in</w:t>
      </w:r>
      <w:r w:rsidR="001F39F5">
        <w:rPr>
          <w:rFonts w:cstheme="minorHAnsi"/>
        </w:rPr>
        <w:t xml:space="preserve"> a situation characterized by unaffordability of housing </w:t>
      </w:r>
      <w:r w:rsidR="0032169D">
        <w:rPr>
          <w:rFonts w:cstheme="minorHAnsi"/>
        </w:rPr>
        <w:t>was</w:t>
      </w:r>
      <w:r w:rsidR="001F39F5">
        <w:rPr>
          <w:rFonts w:cstheme="minorHAnsi"/>
        </w:rPr>
        <w:t xml:space="preserve"> much lower to begin with</w:t>
      </w:r>
      <w:r w:rsidR="00CB45B2">
        <w:rPr>
          <w:rFonts w:cstheme="minorHAnsi"/>
        </w:rPr>
        <w:t xml:space="preserve"> </w:t>
      </w:r>
      <w:r w:rsidR="001F39F5">
        <w:rPr>
          <w:rFonts w:cstheme="minorHAnsi"/>
        </w:rPr>
        <w:t>(0</w:t>
      </w:r>
      <w:r w:rsidR="00713248">
        <w:rPr>
          <w:rFonts w:cstheme="minorHAnsi"/>
        </w:rPr>
        <w:t>.</w:t>
      </w:r>
      <w:r w:rsidR="001F39F5">
        <w:rPr>
          <w:rFonts w:cstheme="minorHAnsi"/>
        </w:rPr>
        <w:t xml:space="preserve">7% of the households) and </w:t>
      </w:r>
      <w:r w:rsidR="001F39F5">
        <w:rPr>
          <w:rFonts w:cstheme="minorHAnsi"/>
        </w:rPr>
        <w:lastRenderedPageBreak/>
        <w:t>decline</w:t>
      </w:r>
      <w:r w:rsidR="000D0D32">
        <w:rPr>
          <w:rFonts w:cstheme="minorHAnsi"/>
        </w:rPr>
        <w:t>d</w:t>
      </w:r>
      <w:r w:rsidR="001F39F5">
        <w:rPr>
          <w:rFonts w:cstheme="minorHAnsi"/>
        </w:rPr>
        <w:t xml:space="preserve"> with time </w:t>
      </w:r>
      <w:r w:rsidR="00082663">
        <w:rPr>
          <w:rFonts w:cstheme="minorHAnsi"/>
        </w:rPr>
        <w:t xml:space="preserve">(Figure </w:t>
      </w:r>
      <w:r w:rsidR="00136694">
        <w:rPr>
          <w:rFonts w:cstheme="minorHAnsi"/>
        </w:rPr>
        <w:t>33</w:t>
      </w:r>
      <w:r w:rsidR="00082663">
        <w:rPr>
          <w:rFonts w:cstheme="minorHAnsi"/>
        </w:rPr>
        <w:t>)</w:t>
      </w:r>
      <w:r w:rsidR="00A07D82">
        <w:rPr>
          <w:rFonts w:cstheme="minorHAnsi"/>
        </w:rPr>
        <w:t>.</w:t>
      </w:r>
      <w:r w:rsidR="00082663">
        <w:rPr>
          <w:rFonts w:cstheme="minorHAnsi"/>
        </w:rPr>
        <w:t xml:space="preserve"> In 2018, </w:t>
      </w:r>
      <w:r w:rsidR="00E53D81">
        <w:rPr>
          <w:rFonts w:cstheme="minorHAnsi"/>
        </w:rPr>
        <w:t>the share of households in condition of housing</w:t>
      </w:r>
      <w:r w:rsidR="00082663">
        <w:rPr>
          <w:rFonts w:cstheme="minorHAnsi"/>
        </w:rPr>
        <w:t xml:space="preserve"> unaffordability </w:t>
      </w:r>
      <w:r w:rsidR="000D0D32">
        <w:rPr>
          <w:rFonts w:cstheme="minorHAnsi"/>
        </w:rPr>
        <w:t>was</w:t>
      </w:r>
      <w:r w:rsidR="00082663">
        <w:rPr>
          <w:rFonts w:cstheme="minorHAnsi"/>
        </w:rPr>
        <w:t xml:space="preserve"> 2</w:t>
      </w:r>
      <w:r w:rsidR="00713248">
        <w:rPr>
          <w:rFonts w:cstheme="minorHAnsi"/>
        </w:rPr>
        <w:t>.</w:t>
      </w:r>
      <w:r w:rsidR="00082663">
        <w:rPr>
          <w:rFonts w:cstheme="minorHAnsi"/>
        </w:rPr>
        <w:t xml:space="preserve">6% for </w:t>
      </w:r>
      <w:r w:rsidR="0021680A">
        <w:rPr>
          <w:rFonts w:cstheme="minorHAnsi"/>
        </w:rPr>
        <w:t>urban</w:t>
      </w:r>
      <w:r w:rsidR="00082663">
        <w:rPr>
          <w:rFonts w:cstheme="minorHAnsi"/>
        </w:rPr>
        <w:t xml:space="preserve"> areas, </w:t>
      </w:r>
      <w:r w:rsidR="00E53D81">
        <w:rPr>
          <w:rFonts w:cstheme="minorHAnsi"/>
        </w:rPr>
        <w:t xml:space="preserve">and less than 1% </w:t>
      </w:r>
      <w:r w:rsidR="00082663">
        <w:rPr>
          <w:rFonts w:cstheme="minorHAnsi"/>
        </w:rPr>
        <w:t xml:space="preserve">for </w:t>
      </w:r>
      <w:r w:rsidR="0021680A">
        <w:rPr>
          <w:rFonts w:cstheme="minorHAnsi"/>
        </w:rPr>
        <w:t>rural</w:t>
      </w:r>
      <w:r w:rsidR="00082663">
        <w:rPr>
          <w:rFonts w:cstheme="minorHAnsi"/>
        </w:rPr>
        <w:t xml:space="preserve"> areas</w:t>
      </w:r>
      <w:r w:rsidR="00A07D82">
        <w:rPr>
          <w:rFonts w:cstheme="minorHAnsi"/>
        </w:rPr>
        <w:t>.</w:t>
      </w:r>
    </w:p>
    <w:p w14:paraId="2FB9057E" w14:textId="3AC6C878" w:rsidR="00082663" w:rsidRPr="00454C26" w:rsidRDefault="00E71820" w:rsidP="00501A83">
      <w:pPr>
        <w:pStyle w:val="Caption"/>
      </w:pPr>
      <w:r>
        <w:rPr>
          <w:noProof/>
        </w:rPr>
        <w:drawing>
          <wp:anchor distT="0" distB="0" distL="114300" distR="114300" simplePos="0" relativeHeight="251660288" behindDoc="1" locked="0" layoutInCell="1" allowOverlap="1" wp14:anchorId="4905FC25" wp14:editId="24257964">
            <wp:simplePos x="0" y="0"/>
            <wp:positionH relativeFrom="column">
              <wp:posOffset>2845613</wp:posOffset>
            </wp:positionH>
            <wp:positionV relativeFrom="paragraph">
              <wp:posOffset>151892</wp:posOffset>
            </wp:positionV>
            <wp:extent cx="3067050" cy="2135505"/>
            <wp:effectExtent l="0" t="0" r="0" b="1714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F60CAA">
        <w:rPr>
          <w:noProof/>
        </w:rPr>
        <w:drawing>
          <wp:anchor distT="0" distB="0" distL="114300" distR="114300" simplePos="0" relativeHeight="251659264" behindDoc="1" locked="0" layoutInCell="1" allowOverlap="1" wp14:anchorId="71DC194E" wp14:editId="29AAAFB0">
            <wp:simplePos x="0" y="0"/>
            <wp:positionH relativeFrom="margin">
              <wp:align>left</wp:align>
            </wp:positionH>
            <wp:positionV relativeFrom="paragraph">
              <wp:posOffset>151892</wp:posOffset>
            </wp:positionV>
            <wp:extent cx="2867025" cy="2136038"/>
            <wp:effectExtent l="0" t="0" r="9525" b="17145"/>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082663">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33</w:t>
      </w:r>
      <w:r w:rsidR="006C3BD6">
        <w:rPr>
          <w:noProof/>
        </w:rPr>
        <w:fldChar w:fldCharType="end"/>
      </w:r>
      <w:r w:rsidR="00082663">
        <w:t xml:space="preserve">: </w:t>
      </w:r>
      <w:r w:rsidR="00AC52BB">
        <w:t>The share of households exceeding the affordability threshold (rent/income) in</w:t>
      </w:r>
      <w:r w:rsidR="00AA5768" w:rsidRPr="00AA5768">
        <w:t xml:space="preserve"> </w:t>
      </w:r>
      <w:r w:rsidR="00AA5768">
        <w:t xml:space="preserve">urban and rural areas </w:t>
      </w:r>
    </w:p>
    <w:p w14:paraId="6814747C" w14:textId="7C27D909" w:rsidR="00082663" w:rsidRDefault="00082663" w:rsidP="00083474">
      <w:pPr>
        <w:spacing w:after="0"/>
        <w:jc w:val="both"/>
        <w:rPr>
          <w:rFonts w:cstheme="minorHAnsi"/>
        </w:rPr>
      </w:pPr>
    </w:p>
    <w:p w14:paraId="73C59E59" w14:textId="77777777" w:rsidR="00082663" w:rsidRDefault="00082663" w:rsidP="00083474">
      <w:pPr>
        <w:spacing w:after="0"/>
        <w:jc w:val="both"/>
        <w:rPr>
          <w:rFonts w:cstheme="minorHAnsi"/>
        </w:rPr>
      </w:pPr>
    </w:p>
    <w:p w14:paraId="7F58AC59" w14:textId="77777777" w:rsidR="00082663" w:rsidRDefault="00082663" w:rsidP="00083474">
      <w:pPr>
        <w:spacing w:after="0"/>
        <w:jc w:val="both"/>
        <w:rPr>
          <w:rFonts w:cstheme="minorHAnsi"/>
        </w:rPr>
      </w:pPr>
    </w:p>
    <w:p w14:paraId="07D8C174" w14:textId="77777777" w:rsidR="00082663" w:rsidRDefault="00082663" w:rsidP="00083474">
      <w:pPr>
        <w:spacing w:after="0"/>
        <w:jc w:val="both"/>
        <w:rPr>
          <w:rFonts w:cstheme="minorHAnsi"/>
        </w:rPr>
      </w:pPr>
    </w:p>
    <w:p w14:paraId="21824101" w14:textId="3FE99655" w:rsidR="00082663" w:rsidRDefault="00082663" w:rsidP="00083474">
      <w:pPr>
        <w:spacing w:after="0"/>
        <w:jc w:val="both"/>
        <w:rPr>
          <w:rFonts w:cstheme="minorHAnsi"/>
        </w:rPr>
      </w:pPr>
    </w:p>
    <w:p w14:paraId="7F39195C" w14:textId="4C8EE07F" w:rsidR="00207929" w:rsidRDefault="00207929" w:rsidP="00083474">
      <w:pPr>
        <w:spacing w:after="0"/>
        <w:jc w:val="both"/>
        <w:rPr>
          <w:rFonts w:cstheme="minorHAnsi"/>
        </w:rPr>
      </w:pPr>
    </w:p>
    <w:p w14:paraId="554EE880" w14:textId="4F3A5030" w:rsidR="00207929" w:rsidRDefault="00207929" w:rsidP="00083474">
      <w:pPr>
        <w:spacing w:after="0"/>
        <w:jc w:val="both"/>
        <w:rPr>
          <w:rFonts w:cstheme="minorHAnsi"/>
        </w:rPr>
      </w:pPr>
    </w:p>
    <w:p w14:paraId="1121C498" w14:textId="2D616752" w:rsidR="00083474" w:rsidRDefault="00D84CCB" w:rsidP="00D84CCB">
      <w:pPr>
        <w:tabs>
          <w:tab w:val="left" w:pos="3348"/>
        </w:tabs>
        <w:jc w:val="both"/>
        <w:rPr>
          <w:i/>
          <w:iCs/>
          <w:color w:val="44546A" w:themeColor="text2"/>
          <w:sz w:val="18"/>
          <w:szCs w:val="18"/>
        </w:rPr>
      </w:pPr>
      <w:r>
        <w:rPr>
          <w:i/>
          <w:iCs/>
          <w:color w:val="44546A" w:themeColor="text2"/>
          <w:sz w:val="18"/>
          <w:szCs w:val="18"/>
        </w:rPr>
        <w:tab/>
      </w:r>
    </w:p>
    <w:p w14:paraId="570D6377" w14:textId="77777777" w:rsidR="00083474" w:rsidRDefault="00083474" w:rsidP="00976D0B">
      <w:pPr>
        <w:jc w:val="both"/>
        <w:rPr>
          <w:i/>
          <w:iCs/>
          <w:color w:val="44546A" w:themeColor="text2"/>
          <w:sz w:val="18"/>
          <w:szCs w:val="18"/>
        </w:rPr>
      </w:pPr>
    </w:p>
    <w:p w14:paraId="1EFC0D5B" w14:textId="77777777" w:rsidR="00083474" w:rsidRDefault="00083474" w:rsidP="00976D0B">
      <w:pPr>
        <w:jc w:val="both"/>
        <w:rPr>
          <w:i/>
          <w:iCs/>
          <w:color w:val="44546A" w:themeColor="text2"/>
          <w:sz w:val="18"/>
          <w:szCs w:val="18"/>
        </w:rPr>
      </w:pPr>
    </w:p>
    <w:p w14:paraId="58EC152E" w14:textId="0A0F4115" w:rsidR="00550994" w:rsidRDefault="00F60CAA" w:rsidP="00976D0B">
      <w:pPr>
        <w:jc w:val="both"/>
        <w:rPr>
          <w:i/>
          <w:iCs/>
          <w:color w:val="44546A" w:themeColor="text2"/>
          <w:sz w:val="18"/>
          <w:szCs w:val="18"/>
        </w:rPr>
      </w:pPr>
      <w:r>
        <w:rPr>
          <w:i/>
          <w:iCs/>
          <w:color w:val="44546A" w:themeColor="text2"/>
          <w:sz w:val="18"/>
          <w:szCs w:val="18"/>
        </w:rPr>
        <w:t>Source:</w:t>
      </w:r>
      <w:r w:rsidR="0029516D">
        <w:rPr>
          <w:i/>
          <w:iCs/>
          <w:color w:val="44546A" w:themeColor="text2"/>
          <w:sz w:val="18"/>
          <w:szCs w:val="18"/>
        </w:rPr>
        <w:t xml:space="preserve"> I</w:t>
      </w:r>
      <w:r w:rsidR="00E71820">
        <w:rPr>
          <w:i/>
          <w:iCs/>
          <w:color w:val="44546A" w:themeColor="text2"/>
          <w:sz w:val="18"/>
          <w:szCs w:val="18"/>
        </w:rPr>
        <w:t xml:space="preserve">ntegrated Household Survey </w:t>
      </w:r>
    </w:p>
    <w:p w14:paraId="1D04903E" w14:textId="32FCAD0B" w:rsidR="00082663" w:rsidRDefault="00550994" w:rsidP="00976D0B">
      <w:pPr>
        <w:jc w:val="both"/>
        <w:rPr>
          <w:rFonts w:cstheme="minorHAnsi"/>
        </w:rPr>
      </w:pPr>
      <w:r>
        <w:rPr>
          <w:rFonts w:cstheme="minorHAnsi"/>
        </w:rPr>
        <w:t>The</w:t>
      </w:r>
      <w:r w:rsidR="00C17330">
        <w:rPr>
          <w:rFonts w:cstheme="minorHAnsi"/>
        </w:rPr>
        <w:t xml:space="preserve">refore, according to this indicator, </w:t>
      </w:r>
      <w:r>
        <w:rPr>
          <w:rFonts w:cstheme="minorHAnsi"/>
        </w:rPr>
        <w:t xml:space="preserve">renting unaffordability does not seem a severe problem either </w:t>
      </w:r>
      <w:r w:rsidR="00C17330">
        <w:rPr>
          <w:rFonts w:cstheme="minorHAnsi"/>
        </w:rPr>
        <w:t>among</w:t>
      </w:r>
      <w:r>
        <w:rPr>
          <w:rFonts w:cstheme="minorHAnsi"/>
        </w:rPr>
        <w:t xml:space="preserve"> </w:t>
      </w:r>
      <w:r w:rsidR="0021680A">
        <w:rPr>
          <w:rFonts w:cstheme="minorHAnsi"/>
        </w:rPr>
        <w:t>rural</w:t>
      </w:r>
      <w:r>
        <w:rPr>
          <w:rFonts w:cstheme="minorHAnsi"/>
        </w:rPr>
        <w:t xml:space="preserve"> or </w:t>
      </w:r>
      <w:r w:rsidR="000852AB">
        <w:rPr>
          <w:rFonts w:cstheme="minorHAnsi"/>
        </w:rPr>
        <w:t xml:space="preserve">among the </w:t>
      </w:r>
      <w:r w:rsidR="0021680A">
        <w:rPr>
          <w:rFonts w:cstheme="minorHAnsi"/>
        </w:rPr>
        <w:t>urban</w:t>
      </w:r>
      <w:r>
        <w:rPr>
          <w:rFonts w:cstheme="minorHAnsi"/>
        </w:rPr>
        <w:t xml:space="preserve"> population</w:t>
      </w:r>
      <w:r w:rsidR="000852AB">
        <w:rPr>
          <w:rFonts w:cstheme="minorHAnsi"/>
        </w:rPr>
        <w:t>, as</w:t>
      </w:r>
      <w:r>
        <w:rPr>
          <w:rFonts w:cstheme="minorHAnsi"/>
        </w:rPr>
        <w:t xml:space="preserve"> the share of households suffering the problem of unaffordability is quite low</w:t>
      </w:r>
      <w:r w:rsidR="00C207AF">
        <w:rPr>
          <w:rFonts w:cstheme="minorHAnsi"/>
        </w:rPr>
        <w:t>.</w:t>
      </w:r>
      <w:r>
        <w:rPr>
          <w:rFonts w:cstheme="minorHAnsi"/>
        </w:rPr>
        <w:t xml:space="preserve"> </w:t>
      </w:r>
    </w:p>
    <w:p w14:paraId="4609EAF9" w14:textId="77777777" w:rsidR="00626B5B" w:rsidRDefault="00413577" w:rsidP="00976D0B">
      <w:pPr>
        <w:jc w:val="both"/>
        <w:rPr>
          <w:rFonts w:cstheme="minorHAnsi"/>
        </w:rPr>
      </w:pPr>
      <w:r>
        <w:rPr>
          <w:rFonts w:cstheme="minorHAnsi"/>
        </w:rPr>
        <w:t>Trends in</w:t>
      </w:r>
      <w:r w:rsidR="00082663">
        <w:rPr>
          <w:rFonts w:cstheme="minorHAnsi"/>
        </w:rPr>
        <w:t xml:space="preserve"> renting prices</w:t>
      </w:r>
      <w:r>
        <w:rPr>
          <w:rFonts w:cstheme="minorHAnsi"/>
        </w:rPr>
        <w:t xml:space="preserve">, however, might provide just a partial </w:t>
      </w:r>
      <w:r w:rsidR="00082663">
        <w:rPr>
          <w:rFonts w:cstheme="minorHAnsi"/>
        </w:rPr>
        <w:t>picture of unaffordability, as</w:t>
      </w:r>
      <w:r w:rsidR="0095309C">
        <w:rPr>
          <w:rFonts w:cstheme="minorHAnsi"/>
        </w:rPr>
        <w:t xml:space="preserve">: </w:t>
      </w:r>
    </w:p>
    <w:p w14:paraId="68768D7B" w14:textId="77777777" w:rsidR="00626B5B" w:rsidRDefault="00413577" w:rsidP="00454C26">
      <w:pPr>
        <w:pStyle w:val="ListParagraph"/>
        <w:numPr>
          <w:ilvl w:val="0"/>
          <w:numId w:val="19"/>
        </w:numPr>
        <w:jc w:val="both"/>
        <w:rPr>
          <w:rFonts w:cstheme="minorHAnsi"/>
        </w:rPr>
      </w:pPr>
      <w:r w:rsidRPr="00610BE1">
        <w:rPr>
          <w:rFonts w:cstheme="minorHAnsi"/>
        </w:rPr>
        <w:t>house affordability (</w:t>
      </w:r>
      <w:r w:rsidR="008B73F0" w:rsidRPr="00610BE1">
        <w:rPr>
          <w:rFonts w:cstheme="minorHAnsi"/>
        </w:rPr>
        <w:t>in a broader sense) depends</w:t>
      </w:r>
      <w:r w:rsidR="00B50949" w:rsidRPr="00CF01FB">
        <w:rPr>
          <w:rFonts w:cstheme="minorHAnsi"/>
        </w:rPr>
        <w:t xml:space="preserve"> fro</w:t>
      </w:r>
      <w:r w:rsidR="0095309C" w:rsidRPr="006066AB">
        <w:rPr>
          <w:rFonts w:cstheme="minorHAnsi"/>
        </w:rPr>
        <w:t>m</w:t>
      </w:r>
      <w:r w:rsidR="008B73F0" w:rsidRPr="006066AB">
        <w:rPr>
          <w:rFonts w:cstheme="minorHAnsi"/>
        </w:rPr>
        <w:t xml:space="preserve"> more than just the rental costs</w:t>
      </w:r>
      <w:r w:rsidR="002D25D9" w:rsidRPr="006066AB">
        <w:rPr>
          <w:rFonts w:cstheme="minorHAnsi"/>
        </w:rPr>
        <w:t xml:space="preserve">; </w:t>
      </w:r>
    </w:p>
    <w:p w14:paraId="58BA9F15" w14:textId="7B1C7391" w:rsidR="00626B5B" w:rsidRDefault="002D25D9" w:rsidP="00454C26">
      <w:pPr>
        <w:pStyle w:val="ListParagraph"/>
        <w:numPr>
          <w:ilvl w:val="0"/>
          <w:numId w:val="19"/>
        </w:numPr>
        <w:jc w:val="both"/>
        <w:rPr>
          <w:rFonts w:cstheme="minorHAnsi"/>
        </w:rPr>
      </w:pPr>
      <w:r w:rsidRPr="00610BE1">
        <w:rPr>
          <w:rFonts w:cstheme="minorHAnsi"/>
        </w:rPr>
        <w:t>the fraction of households l</w:t>
      </w:r>
      <w:r w:rsidR="00571023">
        <w:rPr>
          <w:rFonts w:cstheme="minorHAnsi"/>
        </w:rPr>
        <w:t>i</w:t>
      </w:r>
      <w:r w:rsidRPr="00610BE1">
        <w:rPr>
          <w:rFonts w:cstheme="minorHAnsi"/>
        </w:rPr>
        <w:t>ving in a rented house</w:t>
      </w:r>
      <w:r w:rsidR="00EC6AD9" w:rsidRPr="00CF01FB">
        <w:rPr>
          <w:rFonts w:cstheme="minorHAnsi"/>
        </w:rPr>
        <w:t xml:space="preserve"> </w:t>
      </w:r>
      <w:r w:rsidR="00CD0E4F" w:rsidRPr="006066AB">
        <w:rPr>
          <w:rFonts w:cstheme="minorHAnsi"/>
        </w:rPr>
        <w:t>is relatively small</w:t>
      </w:r>
      <w:r w:rsidR="00C207AF">
        <w:rPr>
          <w:rFonts w:cstheme="minorHAnsi"/>
        </w:rPr>
        <w:t>.</w:t>
      </w:r>
      <w:r w:rsidR="0038146B">
        <w:rPr>
          <w:rStyle w:val="FootnoteReference"/>
          <w:rFonts w:cstheme="minorHAnsi"/>
        </w:rPr>
        <w:footnoteReference w:id="34"/>
      </w:r>
      <w:r w:rsidR="008B73F0" w:rsidRPr="00610BE1">
        <w:rPr>
          <w:rFonts w:cstheme="minorHAnsi"/>
        </w:rPr>
        <w:t xml:space="preserve"> </w:t>
      </w:r>
    </w:p>
    <w:p w14:paraId="531E5BEF" w14:textId="397B34B5" w:rsidR="00082663" w:rsidRPr="006066AB" w:rsidRDefault="008B73F0" w:rsidP="00610BE1">
      <w:pPr>
        <w:jc w:val="both"/>
        <w:rPr>
          <w:rFonts w:cstheme="minorHAnsi"/>
        </w:rPr>
      </w:pPr>
      <w:r w:rsidRPr="00610BE1">
        <w:rPr>
          <w:rFonts w:cstheme="minorHAnsi"/>
        </w:rPr>
        <w:t xml:space="preserve">According </w:t>
      </w:r>
      <w:r w:rsidR="00CA453C">
        <w:rPr>
          <w:rFonts w:cstheme="minorHAnsi"/>
        </w:rPr>
        <w:t>UN H</w:t>
      </w:r>
      <w:r w:rsidR="007E4595" w:rsidRPr="00610BE1">
        <w:rPr>
          <w:rFonts w:cstheme="minorHAnsi"/>
        </w:rPr>
        <w:t>abitat</w:t>
      </w:r>
      <w:r w:rsidR="00012027" w:rsidRPr="00CF01FB">
        <w:rPr>
          <w:rFonts w:cstheme="minorHAnsi"/>
        </w:rPr>
        <w:t>,</w:t>
      </w:r>
      <w:r w:rsidRPr="006066AB">
        <w:rPr>
          <w:rFonts w:cstheme="minorHAnsi"/>
        </w:rPr>
        <w:t xml:space="preserve"> </w:t>
      </w:r>
      <w:r w:rsidR="00A254EA" w:rsidRPr="006066AB">
        <w:rPr>
          <w:rFonts w:cstheme="minorHAnsi"/>
        </w:rPr>
        <w:t>a broader definition of housing affordability</w:t>
      </w:r>
      <w:r w:rsidR="00012027" w:rsidRPr="006066AB">
        <w:rPr>
          <w:rFonts w:cstheme="minorHAnsi"/>
        </w:rPr>
        <w:t xml:space="preserve"> expressed by housing related expenditure to income ratio</w:t>
      </w:r>
      <w:r w:rsidR="00A254EA" w:rsidRPr="006066AB">
        <w:rPr>
          <w:rFonts w:cstheme="minorHAnsi"/>
        </w:rPr>
        <w:t xml:space="preserve"> </w:t>
      </w:r>
      <w:r w:rsidR="00012027" w:rsidRPr="006066AB">
        <w:rPr>
          <w:rFonts w:cstheme="minorHAnsi"/>
        </w:rPr>
        <w:t>might</w:t>
      </w:r>
      <w:r w:rsidR="00A254EA" w:rsidRPr="006066AB">
        <w:rPr>
          <w:rFonts w:cstheme="minorHAnsi"/>
        </w:rPr>
        <w:t xml:space="preserve"> include other house-related costs such as the cost of utilities</w:t>
      </w:r>
      <w:r w:rsidR="00A07D82">
        <w:rPr>
          <w:rFonts w:cstheme="minorHAnsi"/>
        </w:rPr>
        <w:t>.</w:t>
      </w:r>
      <w:r w:rsidR="005C4BBF" w:rsidRPr="006066AB">
        <w:rPr>
          <w:rFonts w:cstheme="minorHAnsi"/>
        </w:rPr>
        <w:t xml:space="preserve"> </w:t>
      </w:r>
      <w:r w:rsidR="00F60CAA">
        <w:rPr>
          <w:rFonts w:cstheme="minorHAnsi"/>
        </w:rPr>
        <w:t>Consequently, extended</w:t>
      </w:r>
      <w:r w:rsidR="00CD1FD3">
        <w:rPr>
          <w:rFonts w:cstheme="minorHAnsi"/>
        </w:rPr>
        <w:t xml:space="preserve"> </w:t>
      </w:r>
      <w:r w:rsidR="00505025">
        <w:rPr>
          <w:rFonts w:cstheme="minorHAnsi"/>
        </w:rPr>
        <w:t>un</w:t>
      </w:r>
      <w:r w:rsidR="00CD1FD3">
        <w:rPr>
          <w:rFonts w:cstheme="minorHAnsi"/>
        </w:rPr>
        <w:t>affordability indicator</w:t>
      </w:r>
      <w:r w:rsidR="00051DDF">
        <w:rPr>
          <w:rFonts w:cstheme="minorHAnsi"/>
          <w:lang w:val="ka-GE"/>
        </w:rPr>
        <w:t xml:space="preserve"> </w:t>
      </w:r>
      <w:r w:rsidR="00051DDF">
        <w:rPr>
          <w:rFonts w:cstheme="minorHAnsi"/>
        </w:rPr>
        <w:t>was gained</w:t>
      </w:r>
      <w:r w:rsidR="00CD1FD3">
        <w:rPr>
          <w:rFonts w:cstheme="minorHAnsi"/>
        </w:rPr>
        <w:t>.</w:t>
      </w:r>
    </w:p>
    <w:p w14:paraId="72836C04" w14:textId="4DA6B2DD" w:rsidR="00083474" w:rsidRDefault="004F0A98" w:rsidP="00976D0B">
      <w:pPr>
        <w:jc w:val="both"/>
        <w:rPr>
          <w:rFonts w:cstheme="minorHAnsi"/>
        </w:rPr>
      </w:pPr>
      <w:r>
        <w:rPr>
          <w:rFonts w:cstheme="minorHAnsi"/>
        </w:rPr>
        <w:t>After</w:t>
      </w:r>
      <w:r w:rsidR="00082663">
        <w:rPr>
          <w:rFonts w:cstheme="minorHAnsi"/>
        </w:rPr>
        <w:t xml:space="preserve"> </w:t>
      </w:r>
      <w:r>
        <w:rPr>
          <w:rFonts w:cstheme="minorHAnsi"/>
        </w:rPr>
        <w:t>i</w:t>
      </w:r>
      <w:r w:rsidR="00082663">
        <w:rPr>
          <w:rFonts w:cstheme="minorHAnsi"/>
        </w:rPr>
        <w:t>nclud</w:t>
      </w:r>
      <w:r>
        <w:rPr>
          <w:rFonts w:cstheme="minorHAnsi"/>
        </w:rPr>
        <w:t>ing</w:t>
      </w:r>
      <w:r w:rsidR="00082663">
        <w:rPr>
          <w:rFonts w:cstheme="minorHAnsi"/>
        </w:rPr>
        <w:t xml:space="preserve"> utility costs</w:t>
      </w:r>
      <w:r w:rsidR="00C207AF">
        <w:rPr>
          <w:rFonts w:cstheme="minorHAnsi"/>
        </w:rPr>
        <w:t xml:space="preserve"> and</w:t>
      </w:r>
      <w:r w:rsidR="00164452">
        <w:rPr>
          <w:rFonts w:cstheme="minorHAnsi"/>
        </w:rPr>
        <w:t xml:space="preserve"> add</w:t>
      </w:r>
      <w:r>
        <w:rPr>
          <w:rFonts w:cstheme="minorHAnsi"/>
        </w:rPr>
        <w:t>ing</w:t>
      </w:r>
      <w:r w:rsidR="00164452">
        <w:rPr>
          <w:rFonts w:cstheme="minorHAnsi"/>
        </w:rPr>
        <w:t xml:space="preserve"> them to rental costs,</w:t>
      </w:r>
      <w:r w:rsidR="00082663">
        <w:rPr>
          <w:rFonts w:cstheme="minorHAnsi"/>
        </w:rPr>
        <w:t xml:space="preserve"> </w:t>
      </w:r>
      <w:r w:rsidR="00164452">
        <w:rPr>
          <w:rFonts w:cstheme="minorHAnsi"/>
        </w:rPr>
        <w:t>unsurprisingly, a</w:t>
      </w:r>
      <w:r w:rsidR="00207929">
        <w:rPr>
          <w:rFonts w:cstheme="minorHAnsi"/>
        </w:rPr>
        <w:t xml:space="preserve"> larger share of households come in this category in both </w:t>
      </w:r>
      <w:r w:rsidR="0021680A">
        <w:rPr>
          <w:rFonts w:cstheme="minorHAnsi"/>
        </w:rPr>
        <w:t>urban</w:t>
      </w:r>
      <w:r w:rsidR="0029516D">
        <w:rPr>
          <w:rFonts w:cstheme="minorHAnsi"/>
        </w:rPr>
        <w:t xml:space="preserve"> </w:t>
      </w:r>
      <w:r w:rsidR="00207929">
        <w:rPr>
          <w:rFonts w:cstheme="minorHAnsi"/>
        </w:rPr>
        <w:t xml:space="preserve">and </w:t>
      </w:r>
      <w:r w:rsidR="0021680A">
        <w:rPr>
          <w:rFonts w:cstheme="minorHAnsi"/>
        </w:rPr>
        <w:t>rural</w:t>
      </w:r>
      <w:r w:rsidR="00207929">
        <w:rPr>
          <w:rFonts w:cstheme="minorHAnsi"/>
        </w:rPr>
        <w:t xml:space="preserve"> areas</w:t>
      </w:r>
      <w:r w:rsidR="000351BD">
        <w:rPr>
          <w:rFonts w:cstheme="minorHAnsi"/>
        </w:rPr>
        <w:t>.</w:t>
      </w:r>
      <w:r w:rsidR="007702D5">
        <w:rPr>
          <w:rFonts w:cstheme="minorHAnsi"/>
        </w:rPr>
        <w:t xml:space="preserve"> </w:t>
      </w:r>
      <w:r w:rsidR="00164452">
        <w:rPr>
          <w:rFonts w:cstheme="minorHAnsi"/>
        </w:rPr>
        <w:t>In this case</w:t>
      </w:r>
      <w:r w:rsidR="00DC59E5">
        <w:rPr>
          <w:rFonts w:cstheme="minorHAnsi"/>
        </w:rPr>
        <w:t xml:space="preserve">, however, both in </w:t>
      </w:r>
      <w:r w:rsidR="0021680A">
        <w:rPr>
          <w:rFonts w:cstheme="minorHAnsi"/>
        </w:rPr>
        <w:t>rural</w:t>
      </w:r>
      <w:r w:rsidR="00DC59E5">
        <w:rPr>
          <w:rFonts w:cstheme="minorHAnsi"/>
        </w:rPr>
        <w:t xml:space="preserve"> and </w:t>
      </w:r>
      <w:r w:rsidR="0021680A">
        <w:rPr>
          <w:rFonts w:cstheme="minorHAnsi"/>
        </w:rPr>
        <w:t>urban</w:t>
      </w:r>
      <w:r w:rsidR="00DC59E5">
        <w:rPr>
          <w:rFonts w:cstheme="minorHAnsi"/>
        </w:rPr>
        <w:t xml:space="preserve"> areas</w:t>
      </w:r>
      <w:r w:rsidR="007702D5">
        <w:rPr>
          <w:rFonts w:cstheme="minorHAnsi"/>
        </w:rPr>
        <w:t xml:space="preserve"> the indicators </w:t>
      </w:r>
      <w:r w:rsidR="00DC59E5">
        <w:rPr>
          <w:rFonts w:cstheme="minorHAnsi"/>
        </w:rPr>
        <w:t>follow</w:t>
      </w:r>
      <w:r>
        <w:rPr>
          <w:rFonts w:cstheme="minorHAnsi"/>
        </w:rPr>
        <w:t>ed</w:t>
      </w:r>
      <w:r w:rsidR="00DC59E5">
        <w:rPr>
          <w:rFonts w:cstheme="minorHAnsi"/>
        </w:rPr>
        <w:t xml:space="preserve"> a clearly </w:t>
      </w:r>
      <w:r w:rsidR="00F016CC">
        <w:rPr>
          <w:rFonts w:cstheme="minorHAnsi"/>
        </w:rPr>
        <w:t xml:space="preserve">decreasing </w:t>
      </w:r>
      <w:r w:rsidR="00DC59E5">
        <w:rPr>
          <w:rFonts w:cstheme="minorHAnsi"/>
        </w:rPr>
        <w:t>trend</w:t>
      </w:r>
      <w:r w:rsidR="00C207AF">
        <w:rPr>
          <w:rFonts w:cstheme="minorHAnsi"/>
        </w:rPr>
        <w:t>.</w:t>
      </w:r>
      <w:r w:rsidR="0029516D">
        <w:rPr>
          <w:rFonts w:cstheme="minorHAnsi"/>
        </w:rPr>
        <w:t xml:space="preserve"> </w:t>
      </w:r>
      <w:r w:rsidR="00082663">
        <w:rPr>
          <w:rFonts w:cstheme="minorHAnsi"/>
        </w:rPr>
        <w:t xml:space="preserve">In this case the range of average unaffordability values for households over the observation period for </w:t>
      </w:r>
      <w:r w:rsidR="0021680A">
        <w:rPr>
          <w:rFonts w:cstheme="minorHAnsi"/>
        </w:rPr>
        <w:t>urban</w:t>
      </w:r>
      <w:r w:rsidR="00082663">
        <w:rPr>
          <w:rFonts w:cstheme="minorHAnsi"/>
        </w:rPr>
        <w:t xml:space="preserve"> areas </w:t>
      </w:r>
      <w:r w:rsidR="004477C6">
        <w:rPr>
          <w:rFonts w:cstheme="minorHAnsi"/>
        </w:rPr>
        <w:t>decline</w:t>
      </w:r>
      <w:r>
        <w:rPr>
          <w:rFonts w:cstheme="minorHAnsi"/>
        </w:rPr>
        <w:t>d</w:t>
      </w:r>
      <w:r w:rsidR="004477C6">
        <w:rPr>
          <w:rFonts w:cstheme="minorHAnsi"/>
        </w:rPr>
        <w:t xml:space="preserve"> from 14% to</w:t>
      </w:r>
      <w:r w:rsidR="007E5116">
        <w:rPr>
          <w:rFonts w:cstheme="minorHAnsi"/>
        </w:rPr>
        <w:t xml:space="preserve"> 6</w:t>
      </w:r>
      <w:r w:rsidR="00713248">
        <w:rPr>
          <w:rFonts w:cstheme="minorHAnsi"/>
        </w:rPr>
        <w:t>.</w:t>
      </w:r>
      <w:r w:rsidR="007E5116">
        <w:rPr>
          <w:rFonts w:cstheme="minorHAnsi"/>
        </w:rPr>
        <w:t>7%</w:t>
      </w:r>
      <w:r w:rsidR="00713248">
        <w:rPr>
          <w:rFonts w:cstheme="minorHAnsi"/>
        </w:rPr>
        <w:t xml:space="preserve">, </w:t>
      </w:r>
      <w:r w:rsidR="004477C6">
        <w:rPr>
          <w:rFonts w:cstheme="minorHAnsi"/>
        </w:rPr>
        <w:t>while</w:t>
      </w:r>
      <w:r w:rsidR="00082663">
        <w:rPr>
          <w:rFonts w:cstheme="minorHAnsi"/>
        </w:rPr>
        <w:t xml:space="preserve"> for </w:t>
      </w:r>
      <w:r w:rsidR="0021680A">
        <w:rPr>
          <w:rFonts w:cstheme="minorHAnsi"/>
        </w:rPr>
        <w:t>rural</w:t>
      </w:r>
      <w:r w:rsidR="00082663">
        <w:rPr>
          <w:rFonts w:cstheme="minorHAnsi"/>
        </w:rPr>
        <w:t xml:space="preserve"> areas it </w:t>
      </w:r>
      <w:r w:rsidR="007E5116">
        <w:rPr>
          <w:rFonts w:cstheme="minorHAnsi"/>
        </w:rPr>
        <w:t>goes from</w:t>
      </w:r>
      <w:r w:rsidR="00AC1A13">
        <w:rPr>
          <w:rFonts w:cstheme="minorHAnsi"/>
        </w:rPr>
        <w:t xml:space="preserve"> 8</w:t>
      </w:r>
      <w:r w:rsidR="00713248">
        <w:rPr>
          <w:rFonts w:cstheme="minorHAnsi"/>
        </w:rPr>
        <w:t>.</w:t>
      </w:r>
      <w:r w:rsidR="00AC1A13">
        <w:rPr>
          <w:rFonts w:cstheme="minorHAnsi"/>
        </w:rPr>
        <w:t>1% to 3</w:t>
      </w:r>
      <w:r w:rsidR="00713248">
        <w:rPr>
          <w:rFonts w:cstheme="minorHAnsi"/>
        </w:rPr>
        <w:t>.</w:t>
      </w:r>
      <w:r w:rsidR="00AC1A13">
        <w:rPr>
          <w:rFonts w:cstheme="minorHAnsi"/>
        </w:rPr>
        <w:t xml:space="preserve">6% </w:t>
      </w:r>
      <w:r w:rsidR="00082663">
        <w:rPr>
          <w:rFonts w:cstheme="minorHAnsi"/>
        </w:rPr>
        <w:t xml:space="preserve">(Figure </w:t>
      </w:r>
      <w:r w:rsidR="00713248">
        <w:rPr>
          <w:rFonts w:cstheme="minorHAnsi"/>
        </w:rPr>
        <w:t>34</w:t>
      </w:r>
      <w:r w:rsidR="00082663">
        <w:rPr>
          <w:rFonts w:cstheme="minorHAnsi"/>
        </w:rPr>
        <w:t>)</w:t>
      </w:r>
      <w:r w:rsidR="00A07D82">
        <w:rPr>
          <w:rFonts w:cstheme="minorHAnsi"/>
        </w:rPr>
        <w:t>.</w:t>
      </w:r>
      <w:r w:rsidR="00082663">
        <w:rPr>
          <w:rFonts w:cstheme="minorHAnsi"/>
        </w:rPr>
        <w:t xml:space="preserve"> </w:t>
      </w:r>
    </w:p>
    <w:p w14:paraId="78569623" w14:textId="6B7FADA3" w:rsidR="00915C42" w:rsidRDefault="00915C42" w:rsidP="00976D0B">
      <w:pPr>
        <w:jc w:val="both"/>
        <w:rPr>
          <w:rFonts w:cstheme="minorHAnsi"/>
        </w:rPr>
      </w:pPr>
    </w:p>
    <w:p w14:paraId="1C35296C" w14:textId="6C03CA50" w:rsidR="00E71820" w:rsidRDefault="00E71820" w:rsidP="00976D0B">
      <w:pPr>
        <w:jc w:val="both"/>
        <w:rPr>
          <w:rFonts w:cstheme="minorHAnsi"/>
        </w:rPr>
      </w:pPr>
    </w:p>
    <w:p w14:paraId="68755466" w14:textId="549A1552" w:rsidR="00E71820" w:rsidRDefault="00E71820" w:rsidP="00976D0B">
      <w:pPr>
        <w:jc w:val="both"/>
        <w:rPr>
          <w:rFonts w:cstheme="minorHAnsi"/>
        </w:rPr>
      </w:pPr>
    </w:p>
    <w:p w14:paraId="3630DEEE" w14:textId="77777777" w:rsidR="00E71820" w:rsidRDefault="00E71820" w:rsidP="00976D0B">
      <w:pPr>
        <w:jc w:val="both"/>
        <w:rPr>
          <w:rFonts w:cstheme="minorHAnsi"/>
        </w:rPr>
      </w:pPr>
    </w:p>
    <w:p w14:paraId="790ED17E" w14:textId="77777777" w:rsidR="00915C42" w:rsidRDefault="00915C42" w:rsidP="00976D0B">
      <w:pPr>
        <w:jc w:val="both"/>
        <w:rPr>
          <w:rFonts w:cstheme="minorHAnsi"/>
        </w:rPr>
      </w:pPr>
    </w:p>
    <w:p w14:paraId="45A53D1C" w14:textId="6F83A563" w:rsidR="009C48A0" w:rsidRDefault="00E71820" w:rsidP="00501A83">
      <w:pPr>
        <w:pStyle w:val="Caption"/>
      </w:pPr>
      <w:r>
        <w:rPr>
          <w:noProof/>
        </w:rPr>
        <w:lastRenderedPageBreak/>
        <w:drawing>
          <wp:anchor distT="0" distB="0" distL="114300" distR="114300" simplePos="0" relativeHeight="251664384" behindDoc="1" locked="0" layoutInCell="1" allowOverlap="1" wp14:anchorId="573FFB53" wp14:editId="37C52F9A">
            <wp:simplePos x="0" y="0"/>
            <wp:positionH relativeFrom="margin">
              <wp:align>right</wp:align>
            </wp:positionH>
            <wp:positionV relativeFrom="paragraph">
              <wp:posOffset>298120</wp:posOffset>
            </wp:positionV>
            <wp:extent cx="2895600" cy="2047875"/>
            <wp:effectExtent l="0" t="0" r="0" b="952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290DCA6A" wp14:editId="574B0775">
            <wp:simplePos x="0" y="0"/>
            <wp:positionH relativeFrom="margin">
              <wp:align>left</wp:align>
            </wp:positionH>
            <wp:positionV relativeFrom="paragraph">
              <wp:posOffset>290931</wp:posOffset>
            </wp:positionV>
            <wp:extent cx="2867025" cy="2047875"/>
            <wp:effectExtent l="0" t="0" r="9525"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082663">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34</w:t>
      </w:r>
      <w:r w:rsidR="006C3BD6">
        <w:rPr>
          <w:noProof/>
        </w:rPr>
        <w:fldChar w:fldCharType="end"/>
      </w:r>
      <w:r w:rsidR="00082663">
        <w:t xml:space="preserve">: </w:t>
      </w:r>
      <w:r w:rsidR="00AC52BB">
        <w:t>The share of households exceeding the</w:t>
      </w:r>
      <w:r w:rsidR="00EF1C20">
        <w:t xml:space="preserve"> extended</w:t>
      </w:r>
      <w:r w:rsidR="00AC52BB">
        <w:t xml:space="preserve"> affordability threshold (</w:t>
      </w:r>
      <w:r w:rsidR="008C3A8A">
        <w:t>(</w:t>
      </w:r>
      <w:r w:rsidR="00AC52BB">
        <w:t>rent</w:t>
      </w:r>
      <w:r w:rsidR="00083474">
        <w:t xml:space="preserve"> </w:t>
      </w:r>
      <w:r w:rsidR="00AC52BB">
        <w:t>+</w:t>
      </w:r>
      <w:r w:rsidR="00083474">
        <w:t xml:space="preserve"> </w:t>
      </w:r>
      <w:r w:rsidR="00AC52BB">
        <w:t>expenditure</w:t>
      </w:r>
      <w:r w:rsidR="008C3A8A">
        <w:t>)</w:t>
      </w:r>
      <w:r w:rsidR="00AC52BB">
        <w:t>/income) in</w:t>
      </w:r>
      <w:r w:rsidR="00AA5768" w:rsidRPr="00AA5768">
        <w:t xml:space="preserve"> </w:t>
      </w:r>
      <w:r w:rsidR="00AA5768">
        <w:t xml:space="preserve">urban and rural areas </w:t>
      </w:r>
    </w:p>
    <w:p w14:paraId="01EBF5C6" w14:textId="6283A5FC" w:rsidR="009C48A0" w:rsidRDefault="00082663" w:rsidP="00976D0B">
      <w:pPr>
        <w:pStyle w:val="Caption"/>
        <w:jc w:val="both"/>
      </w:pPr>
      <w:r w:rsidRPr="005A4F19">
        <w:t xml:space="preserve"> </w:t>
      </w:r>
      <w:r>
        <w:t xml:space="preserve"> </w:t>
      </w:r>
    </w:p>
    <w:p w14:paraId="495EBA89" w14:textId="74732F56" w:rsidR="00082663" w:rsidRDefault="00082663" w:rsidP="00976D0B">
      <w:pPr>
        <w:pStyle w:val="Caption"/>
        <w:jc w:val="both"/>
        <w:rPr>
          <w:rFonts w:cstheme="minorHAnsi"/>
        </w:rPr>
      </w:pPr>
      <w:r>
        <w:t xml:space="preserve">                                                                                                                                                                           </w:t>
      </w:r>
    </w:p>
    <w:p w14:paraId="52270750" w14:textId="16782924" w:rsidR="00082663" w:rsidRDefault="00082663" w:rsidP="004A4DBB">
      <w:pPr>
        <w:tabs>
          <w:tab w:val="center" w:pos="4590"/>
        </w:tabs>
        <w:jc w:val="both"/>
        <w:rPr>
          <w:rFonts w:cstheme="minorHAnsi"/>
        </w:rPr>
      </w:pPr>
      <w:r>
        <w:rPr>
          <w:noProof/>
        </w:rPr>
        <w:t xml:space="preserve"> </w:t>
      </w:r>
      <w:r w:rsidR="004A4DBB">
        <w:rPr>
          <w:noProof/>
        </w:rPr>
        <w:tab/>
      </w:r>
    </w:p>
    <w:p w14:paraId="3E507755" w14:textId="77777777" w:rsidR="00082663" w:rsidRDefault="00082663" w:rsidP="00976D0B">
      <w:pPr>
        <w:jc w:val="both"/>
        <w:rPr>
          <w:rFonts w:cstheme="minorHAnsi"/>
        </w:rPr>
      </w:pPr>
    </w:p>
    <w:p w14:paraId="2FFEC79B" w14:textId="4FE64D85" w:rsidR="00082663" w:rsidRDefault="00F016CC" w:rsidP="00976D0B">
      <w:pPr>
        <w:tabs>
          <w:tab w:val="left" w:pos="5295"/>
        </w:tabs>
        <w:jc w:val="both"/>
        <w:rPr>
          <w:rFonts w:cstheme="minorHAnsi"/>
        </w:rPr>
      </w:pPr>
      <w:r>
        <w:rPr>
          <w:rFonts w:cstheme="minorHAnsi"/>
        </w:rPr>
        <w:tab/>
      </w:r>
    </w:p>
    <w:p w14:paraId="5C3C42F9" w14:textId="77777777" w:rsidR="00082663" w:rsidRDefault="00082663" w:rsidP="00D86E55">
      <w:pPr>
        <w:jc w:val="center"/>
        <w:rPr>
          <w:rFonts w:cstheme="minorHAnsi"/>
        </w:rPr>
      </w:pPr>
    </w:p>
    <w:p w14:paraId="0F7FC485" w14:textId="77777777" w:rsidR="00A44ED5" w:rsidRDefault="00A44ED5" w:rsidP="00976D0B">
      <w:pPr>
        <w:jc w:val="both"/>
        <w:rPr>
          <w:rFonts w:cstheme="minorHAnsi"/>
        </w:rPr>
      </w:pPr>
    </w:p>
    <w:p w14:paraId="1E8B9724" w14:textId="38E4B048" w:rsidR="00F016CC" w:rsidRDefault="00E71820" w:rsidP="00976D0B">
      <w:pPr>
        <w:jc w:val="both"/>
        <w:rPr>
          <w:i/>
          <w:iCs/>
          <w:color w:val="44546A" w:themeColor="text2"/>
          <w:sz w:val="18"/>
          <w:szCs w:val="18"/>
        </w:rPr>
      </w:pPr>
      <w:r>
        <w:rPr>
          <w:i/>
          <w:iCs/>
          <w:color w:val="44546A" w:themeColor="text2"/>
          <w:sz w:val="18"/>
          <w:szCs w:val="18"/>
        </w:rPr>
        <w:t xml:space="preserve">Source: </w:t>
      </w:r>
      <w:r w:rsidR="0029516D">
        <w:rPr>
          <w:i/>
          <w:iCs/>
          <w:color w:val="44546A" w:themeColor="text2"/>
          <w:sz w:val="18"/>
          <w:szCs w:val="18"/>
        </w:rPr>
        <w:t>I</w:t>
      </w:r>
      <w:r>
        <w:rPr>
          <w:i/>
          <w:iCs/>
          <w:color w:val="44546A" w:themeColor="text2"/>
          <w:sz w:val="18"/>
          <w:szCs w:val="18"/>
        </w:rPr>
        <w:t xml:space="preserve">ntegrated Household Survey </w:t>
      </w:r>
    </w:p>
    <w:p w14:paraId="3CB344DF" w14:textId="17A7449E" w:rsidR="00F016CC" w:rsidRDefault="00F016CC" w:rsidP="00976D0B">
      <w:pPr>
        <w:jc w:val="both"/>
        <w:rPr>
          <w:rFonts w:cstheme="minorHAnsi"/>
        </w:rPr>
      </w:pPr>
      <w:r>
        <w:rPr>
          <w:rFonts w:cstheme="minorHAnsi"/>
        </w:rPr>
        <w:t>Even though, the unaffordable housing indicator</w:t>
      </w:r>
      <w:r w:rsidR="001B6EF6">
        <w:rPr>
          <w:rFonts w:cstheme="minorHAnsi"/>
        </w:rPr>
        <w:t xml:space="preserve"> on average</w:t>
      </w:r>
      <w:r>
        <w:rPr>
          <w:rFonts w:cstheme="minorHAnsi"/>
        </w:rPr>
        <w:t xml:space="preserve"> has apparently increased </w:t>
      </w:r>
      <w:r w:rsidR="001B6EF6">
        <w:rPr>
          <w:rFonts w:cstheme="minorHAnsi"/>
        </w:rPr>
        <w:t xml:space="preserve">for each year </w:t>
      </w:r>
      <w:r>
        <w:rPr>
          <w:rFonts w:cstheme="minorHAnsi"/>
        </w:rPr>
        <w:t xml:space="preserve">under the second methodology, the </w:t>
      </w:r>
      <w:r w:rsidR="00AC1A13">
        <w:rPr>
          <w:rFonts w:cstheme="minorHAnsi"/>
        </w:rPr>
        <w:t>share of households exposed to housing unaffordability</w:t>
      </w:r>
      <w:r w:rsidR="00ED4E7C">
        <w:rPr>
          <w:rFonts w:cstheme="minorHAnsi"/>
        </w:rPr>
        <w:t xml:space="preserve"> has declined substantially over the years and is relatively </w:t>
      </w:r>
      <w:r w:rsidR="00FA30BC">
        <w:rPr>
          <w:rFonts w:cstheme="minorHAnsi"/>
        </w:rPr>
        <w:t xml:space="preserve">low both in </w:t>
      </w:r>
      <w:r w:rsidR="0021680A">
        <w:rPr>
          <w:rFonts w:cstheme="minorHAnsi"/>
        </w:rPr>
        <w:t>urban</w:t>
      </w:r>
      <w:r w:rsidR="00FA30BC">
        <w:rPr>
          <w:rFonts w:cstheme="minorHAnsi"/>
        </w:rPr>
        <w:t xml:space="preserve"> and </w:t>
      </w:r>
      <w:r w:rsidR="0021680A">
        <w:rPr>
          <w:rFonts w:cstheme="minorHAnsi"/>
        </w:rPr>
        <w:t>rural</w:t>
      </w:r>
      <w:r w:rsidR="00FA30BC">
        <w:rPr>
          <w:rFonts w:cstheme="minorHAnsi"/>
        </w:rPr>
        <w:t xml:space="preserve"> areas</w:t>
      </w:r>
      <w:r w:rsidR="00A07D82">
        <w:rPr>
          <w:rFonts w:cstheme="minorHAnsi"/>
        </w:rPr>
        <w:t>.</w:t>
      </w:r>
      <w:r w:rsidR="00FA30BC">
        <w:rPr>
          <w:rFonts w:cstheme="minorHAnsi"/>
        </w:rPr>
        <w:t xml:space="preserve"> The declining trend indicates also that housing unaffordability</w:t>
      </w:r>
      <w:r w:rsidR="005E7A3E">
        <w:rPr>
          <w:rFonts w:cstheme="minorHAnsi"/>
        </w:rPr>
        <w:t xml:space="preserve"> as measured by this indicator </w:t>
      </w:r>
      <w:r w:rsidR="00BD637C">
        <w:rPr>
          <w:rFonts w:cstheme="minorHAnsi"/>
        </w:rPr>
        <w:t>was</w:t>
      </w:r>
      <w:r w:rsidR="005E7A3E">
        <w:rPr>
          <w:rFonts w:cstheme="minorHAnsi"/>
        </w:rPr>
        <w:t xml:space="preserve"> becoming</w:t>
      </w:r>
      <w:r>
        <w:rPr>
          <w:rFonts w:cstheme="minorHAnsi"/>
        </w:rPr>
        <w:t xml:space="preserve"> less </w:t>
      </w:r>
      <w:r w:rsidR="00D06A0D">
        <w:rPr>
          <w:rFonts w:cstheme="minorHAnsi"/>
        </w:rPr>
        <w:t>prevalent</w:t>
      </w:r>
      <w:r>
        <w:rPr>
          <w:rFonts w:cstheme="minorHAnsi"/>
        </w:rPr>
        <w:t xml:space="preserve"> </w:t>
      </w:r>
      <w:r w:rsidR="002C4D45">
        <w:rPr>
          <w:rFonts w:cstheme="minorHAnsi"/>
        </w:rPr>
        <w:t>with the passing of time</w:t>
      </w:r>
      <w:r w:rsidR="00A07D82">
        <w:rPr>
          <w:rFonts w:cstheme="minorHAnsi"/>
        </w:rPr>
        <w:t>.</w:t>
      </w:r>
    </w:p>
    <w:p w14:paraId="142A1850" w14:textId="381007E2" w:rsidR="00C2029D" w:rsidRDefault="000351BD" w:rsidP="00976D0B">
      <w:pPr>
        <w:jc w:val="both"/>
        <w:rPr>
          <w:rFonts w:cstheme="minorHAnsi"/>
        </w:rPr>
      </w:pPr>
      <w:r>
        <w:rPr>
          <w:rFonts w:cstheme="minorHAnsi"/>
        </w:rPr>
        <w:t>P</w:t>
      </w:r>
      <w:r w:rsidRPr="006066AB">
        <w:rPr>
          <w:rFonts w:cstheme="minorHAnsi"/>
        </w:rPr>
        <w:t xml:space="preserve">eople who rent houses might not represent the only sample suffering </w:t>
      </w:r>
      <w:r>
        <w:rPr>
          <w:rFonts w:cstheme="minorHAnsi"/>
        </w:rPr>
        <w:t xml:space="preserve">from housing </w:t>
      </w:r>
      <w:r w:rsidRPr="00610BE1">
        <w:rPr>
          <w:rFonts w:cstheme="minorHAnsi"/>
        </w:rPr>
        <w:t>unaffordability</w:t>
      </w:r>
      <w:r>
        <w:rPr>
          <w:rFonts w:cstheme="minorHAnsi"/>
        </w:rPr>
        <w:t>.</w:t>
      </w:r>
      <w:r w:rsidRPr="00CF01FB">
        <w:rPr>
          <w:rFonts w:cstheme="minorHAnsi"/>
        </w:rPr>
        <w:t xml:space="preserve"> </w:t>
      </w:r>
      <w:r>
        <w:rPr>
          <w:rFonts w:cstheme="minorHAnsi"/>
        </w:rPr>
        <w:t>For this</w:t>
      </w:r>
      <w:r w:rsidRPr="00610BE1">
        <w:rPr>
          <w:rFonts w:cstheme="minorHAnsi"/>
        </w:rPr>
        <w:t xml:space="preserve"> reason, </w:t>
      </w:r>
      <w:r>
        <w:rPr>
          <w:rFonts w:cstheme="minorHAnsi"/>
        </w:rPr>
        <w:t>a different analysis</w:t>
      </w:r>
      <w:r w:rsidR="00915C42">
        <w:rPr>
          <w:rFonts w:cstheme="minorHAnsi"/>
          <w:lang w:val="ka-GE"/>
        </w:rPr>
        <w:t xml:space="preserve"> </w:t>
      </w:r>
      <w:r w:rsidR="00915C42">
        <w:rPr>
          <w:rFonts w:cstheme="minorHAnsi"/>
        </w:rPr>
        <w:t>was conducted</w:t>
      </w:r>
      <w:r>
        <w:rPr>
          <w:rFonts w:cstheme="minorHAnsi"/>
        </w:rPr>
        <w:t>, developing a</w:t>
      </w:r>
      <w:r w:rsidRPr="00CF01FB">
        <w:rPr>
          <w:rFonts w:cstheme="minorHAnsi"/>
        </w:rPr>
        <w:t xml:space="preserve"> new methodology </w:t>
      </w:r>
      <w:r w:rsidRPr="006066AB">
        <w:rPr>
          <w:rFonts w:cstheme="minorHAnsi"/>
        </w:rPr>
        <w:t>to evaluate affordability for all households with different type of ownership</w:t>
      </w:r>
      <w:r>
        <w:rPr>
          <w:rFonts w:cstheme="minorHAnsi"/>
        </w:rPr>
        <w:t>.</w:t>
      </w:r>
      <w:r w:rsidRPr="006066AB">
        <w:rPr>
          <w:rFonts w:cstheme="minorHAnsi"/>
        </w:rPr>
        <w:t xml:space="preserve"> </w:t>
      </w:r>
      <w:r w:rsidR="009D13A2">
        <w:rPr>
          <w:rFonts w:cstheme="minorHAnsi"/>
        </w:rPr>
        <w:t xml:space="preserve">Specifically, </w:t>
      </w:r>
      <w:r w:rsidR="00053CF5">
        <w:rPr>
          <w:rFonts w:cstheme="minorHAnsi"/>
        </w:rPr>
        <w:t>estimat</w:t>
      </w:r>
      <w:r w:rsidR="00915C42">
        <w:rPr>
          <w:rFonts w:cstheme="minorHAnsi"/>
        </w:rPr>
        <w:t>ing</w:t>
      </w:r>
      <w:r w:rsidR="00053CF5">
        <w:rPr>
          <w:rFonts w:cstheme="minorHAnsi"/>
        </w:rPr>
        <w:t xml:space="preserve"> a third </w:t>
      </w:r>
      <w:r w:rsidR="00082663">
        <w:rPr>
          <w:rFonts w:cstheme="minorHAnsi"/>
        </w:rPr>
        <w:t>unaffordability indicator</w:t>
      </w:r>
      <w:r w:rsidR="00915C42">
        <w:rPr>
          <w:rFonts w:cstheme="minorHAnsi"/>
        </w:rPr>
        <w:t xml:space="preserve"> was decided</w:t>
      </w:r>
      <w:r w:rsidR="00082663">
        <w:rPr>
          <w:rFonts w:cstheme="minorHAnsi"/>
        </w:rPr>
        <w:t xml:space="preserve"> </w:t>
      </w:r>
      <w:r w:rsidR="00053CF5">
        <w:rPr>
          <w:rFonts w:cstheme="minorHAnsi"/>
        </w:rPr>
        <w:t xml:space="preserve">that could be extended to </w:t>
      </w:r>
      <w:r w:rsidR="00082663">
        <w:rPr>
          <w:rFonts w:cstheme="minorHAnsi"/>
        </w:rPr>
        <w:t>household</w:t>
      </w:r>
      <w:r w:rsidR="00D06A0D">
        <w:rPr>
          <w:rFonts w:cstheme="minorHAnsi"/>
        </w:rPr>
        <w:t>s</w:t>
      </w:r>
      <w:r w:rsidR="00082663">
        <w:rPr>
          <w:rFonts w:cstheme="minorHAnsi"/>
        </w:rPr>
        <w:t xml:space="preserve"> </w:t>
      </w:r>
      <w:r w:rsidR="00053CF5">
        <w:rPr>
          <w:rFonts w:cstheme="minorHAnsi"/>
        </w:rPr>
        <w:t xml:space="preserve">that </w:t>
      </w:r>
      <w:r w:rsidR="00DA5BF1">
        <w:rPr>
          <w:rFonts w:cstheme="minorHAnsi"/>
        </w:rPr>
        <w:t>do not rent the place in which they leave</w:t>
      </w:r>
      <w:r w:rsidR="00082663">
        <w:rPr>
          <w:rFonts w:cstheme="minorHAnsi"/>
        </w:rPr>
        <w:t xml:space="preserve"> (ownership, leasing, living without payment)</w:t>
      </w:r>
      <w:r w:rsidR="00A07D82">
        <w:rPr>
          <w:rFonts w:cstheme="minorHAnsi"/>
        </w:rPr>
        <w:t>.</w:t>
      </w:r>
      <w:r w:rsidR="00224D75">
        <w:rPr>
          <w:rFonts w:cstheme="minorHAnsi"/>
        </w:rPr>
        <w:t xml:space="preserve"> For the</w:t>
      </w:r>
      <w:r w:rsidR="00DA5BF1">
        <w:rPr>
          <w:rFonts w:cstheme="minorHAnsi"/>
        </w:rPr>
        <w:t>se</w:t>
      </w:r>
      <w:r w:rsidR="00224D75">
        <w:rPr>
          <w:rFonts w:cstheme="minorHAnsi"/>
        </w:rPr>
        <w:t xml:space="preserve"> households</w:t>
      </w:r>
      <w:r w:rsidR="00DA5BF1">
        <w:rPr>
          <w:rFonts w:cstheme="minorHAnsi"/>
        </w:rPr>
        <w:t xml:space="preserve">, </w:t>
      </w:r>
      <w:r w:rsidR="00BD637C">
        <w:rPr>
          <w:rFonts w:cstheme="minorHAnsi"/>
        </w:rPr>
        <w:t xml:space="preserve">it was decided to </w:t>
      </w:r>
      <w:r w:rsidR="008222A1">
        <w:rPr>
          <w:rFonts w:cstheme="minorHAnsi"/>
        </w:rPr>
        <w:t xml:space="preserve">input </w:t>
      </w:r>
      <w:r w:rsidR="00A44ED5">
        <w:rPr>
          <w:rFonts w:cstheme="minorHAnsi"/>
        </w:rPr>
        <w:t>a</w:t>
      </w:r>
      <w:r w:rsidR="00224D75">
        <w:rPr>
          <w:rFonts w:cstheme="minorHAnsi"/>
        </w:rPr>
        <w:t xml:space="preserve"> hypothetical</w:t>
      </w:r>
      <w:r w:rsidR="00082663">
        <w:rPr>
          <w:rFonts w:cstheme="minorHAnsi"/>
        </w:rPr>
        <w:t xml:space="preserve"> </w:t>
      </w:r>
      <w:r w:rsidR="00224D75">
        <w:rPr>
          <w:rFonts w:cstheme="minorHAnsi"/>
        </w:rPr>
        <w:t>rent</w:t>
      </w:r>
      <w:r w:rsidR="008222A1">
        <w:rPr>
          <w:rFonts w:cstheme="minorHAnsi"/>
        </w:rPr>
        <w:t xml:space="preserve">, taking advantage of the information provided by the households themselves through the </w:t>
      </w:r>
      <w:proofErr w:type="spellStart"/>
      <w:r w:rsidR="00F34779">
        <w:rPr>
          <w:rFonts w:cstheme="minorHAnsi"/>
        </w:rPr>
        <w:t>Geostat</w:t>
      </w:r>
      <w:proofErr w:type="spellEnd"/>
      <w:r w:rsidR="00F34779">
        <w:rPr>
          <w:rFonts w:cstheme="minorHAnsi"/>
        </w:rPr>
        <w:t xml:space="preserve"> </w:t>
      </w:r>
      <w:r w:rsidR="00CA453C">
        <w:rPr>
          <w:rFonts w:cstheme="minorHAnsi"/>
        </w:rPr>
        <w:t xml:space="preserve">Integrated </w:t>
      </w:r>
      <w:r w:rsidR="00F34779">
        <w:rPr>
          <w:rFonts w:cstheme="minorHAnsi"/>
        </w:rPr>
        <w:t>Household Survey</w:t>
      </w:r>
      <w:r w:rsidR="00A44ED5">
        <w:rPr>
          <w:rFonts w:cstheme="minorHAnsi"/>
        </w:rPr>
        <w:t>.</w:t>
      </w:r>
      <w:r w:rsidR="00224D75">
        <w:rPr>
          <w:rFonts w:cstheme="minorHAnsi"/>
        </w:rPr>
        <w:t xml:space="preserve"> The hypothetical</w:t>
      </w:r>
      <w:r w:rsidR="00082663">
        <w:rPr>
          <w:rFonts w:cstheme="minorHAnsi"/>
        </w:rPr>
        <w:t xml:space="preserve"> rent is the value they </w:t>
      </w:r>
      <w:r w:rsidR="00F34779">
        <w:rPr>
          <w:rFonts w:cstheme="minorHAnsi"/>
        </w:rPr>
        <w:t xml:space="preserve">think they </w:t>
      </w:r>
      <w:r w:rsidR="00082663">
        <w:rPr>
          <w:rFonts w:cstheme="minorHAnsi"/>
        </w:rPr>
        <w:t xml:space="preserve">would have paid if they </w:t>
      </w:r>
      <w:r w:rsidR="00F34779">
        <w:rPr>
          <w:rFonts w:cstheme="minorHAnsi"/>
        </w:rPr>
        <w:t xml:space="preserve">had </w:t>
      </w:r>
      <w:r w:rsidR="00082663">
        <w:rPr>
          <w:rFonts w:cstheme="minorHAnsi"/>
        </w:rPr>
        <w:t xml:space="preserve">rented </w:t>
      </w:r>
      <w:r w:rsidR="00224D75">
        <w:rPr>
          <w:rFonts w:cstheme="minorHAnsi"/>
        </w:rPr>
        <w:t>a</w:t>
      </w:r>
      <w:r w:rsidR="00082663">
        <w:rPr>
          <w:rFonts w:cstheme="minorHAnsi"/>
        </w:rPr>
        <w:t xml:space="preserve"> house </w:t>
      </w:r>
      <w:r w:rsidR="00224D75">
        <w:rPr>
          <w:rFonts w:cstheme="minorHAnsi"/>
        </w:rPr>
        <w:t xml:space="preserve">similar to the </w:t>
      </w:r>
      <w:r w:rsidR="00A44ED5">
        <w:rPr>
          <w:rFonts w:cstheme="minorHAnsi"/>
        </w:rPr>
        <w:t>one,</w:t>
      </w:r>
      <w:r w:rsidR="00F34779">
        <w:rPr>
          <w:rFonts w:cstheme="minorHAnsi"/>
        </w:rPr>
        <w:t xml:space="preserve"> t</w:t>
      </w:r>
      <w:r w:rsidR="00082663">
        <w:rPr>
          <w:rFonts w:cstheme="minorHAnsi"/>
        </w:rPr>
        <w:t>hey live in during the survey period</w:t>
      </w:r>
      <w:r w:rsidR="00A07D82">
        <w:rPr>
          <w:rFonts w:cstheme="minorHAnsi"/>
        </w:rPr>
        <w:t>.</w:t>
      </w:r>
      <w:r w:rsidR="00082663">
        <w:rPr>
          <w:rFonts w:cstheme="minorHAnsi"/>
        </w:rPr>
        <w:t xml:space="preserve"> The </w:t>
      </w:r>
      <w:r w:rsidR="00224D75">
        <w:rPr>
          <w:rFonts w:cstheme="minorHAnsi"/>
        </w:rPr>
        <w:t>hypothetical</w:t>
      </w:r>
      <w:r w:rsidR="00082663">
        <w:rPr>
          <w:rFonts w:cstheme="minorHAnsi"/>
        </w:rPr>
        <w:t xml:space="preserve"> rent </w:t>
      </w:r>
      <w:r w:rsidR="00224D75">
        <w:rPr>
          <w:rFonts w:cstheme="minorHAnsi"/>
        </w:rPr>
        <w:t>represents</w:t>
      </w:r>
      <w:r w:rsidR="00082663">
        <w:rPr>
          <w:rFonts w:cstheme="minorHAnsi"/>
        </w:rPr>
        <w:t xml:space="preserve"> an opportunity cost</w:t>
      </w:r>
      <w:r w:rsidR="00C2029D">
        <w:rPr>
          <w:rFonts w:cstheme="minorHAnsi"/>
        </w:rPr>
        <w:t xml:space="preserve"> for the household</w:t>
      </w:r>
      <w:r w:rsidR="00FB543C">
        <w:rPr>
          <w:rFonts w:cstheme="minorHAnsi"/>
        </w:rPr>
        <w:t xml:space="preserve">, </w:t>
      </w:r>
      <w:r w:rsidR="00082663">
        <w:rPr>
          <w:rFonts w:cstheme="minorHAnsi"/>
        </w:rPr>
        <w:t>because they are not renting out the house</w:t>
      </w:r>
      <w:r w:rsidR="00FB543C">
        <w:rPr>
          <w:rFonts w:cstheme="minorHAnsi"/>
        </w:rPr>
        <w:t xml:space="preserve">, and, at the same time, </w:t>
      </w:r>
      <w:r w:rsidR="00C2029D">
        <w:rPr>
          <w:rFonts w:cstheme="minorHAnsi"/>
        </w:rPr>
        <w:t>a virtual</w:t>
      </w:r>
      <w:r w:rsidR="00082663">
        <w:rPr>
          <w:rFonts w:cstheme="minorHAnsi"/>
        </w:rPr>
        <w:t xml:space="preserve"> income</w:t>
      </w:r>
      <w:r w:rsidR="00FB543C">
        <w:rPr>
          <w:rFonts w:cstheme="minorHAnsi"/>
        </w:rPr>
        <w:t xml:space="preserve"> (as they are saving the rent costs)</w:t>
      </w:r>
      <w:r w:rsidR="00A44ED5">
        <w:rPr>
          <w:rFonts w:cstheme="minorHAnsi"/>
        </w:rPr>
        <w:t>.</w:t>
      </w:r>
      <w:r w:rsidR="00082663">
        <w:rPr>
          <w:rFonts w:cstheme="minorHAnsi"/>
        </w:rPr>
        <w:t xml:space="preserve"> </w:t>
      </w:r>
      <w:r w:rsidR="00C2029D">
        <w:rPr>
          <w:rFonts w:cstheme="minorHAnsi"/>
        </w:rPr>
        <w:t>Therefore</w:t>
      </w:r>
      <w:r w:rsidR="00082663">
        <w:rPr>
          <w:rFonts w:cstheme="minorHAnsi"/>
        </w:rPr>
        <w:t xml:space="preserve">, </w:t>
      </w:r>
      <w:r w:rsidR="00BD637C">
        <w:rPr>
          <w:rFonts w:cstheme="minorHAnsi"/>
        </w:rPr>
        <w:t>it was decided</w:t>
      </w:r>
      <w:r w:rsidR="00C2029D">
        <w:rPr>
          <w:rFonts w:cstheme="minorHAnsi"/>
        </w:rPr>
        <w:t xml:space="preserve"> to estimate two version</w:t>
      </w:r>
      <w:r w:rsidR="00BD637C">
        <w:rPr>
          <w:rFonts w:cstheme="minorHAnsi"/>
        </w:rPr>
        <w:t>s</w:t>
      </w:r>
      <w:r w:rsidR="00C2029D">
        <w:rPr>
          <w:rFonts w:cstheme="minorHAnsi"/>
        </w:rPr>
        <w:t xml:space="preserve"> of this</w:t>
      </w:r>
      <w:r w:rsidR="00082663">
        <w:rPr>
          <w:rFonts w:cstheme="minorHAnsi"/>
        </w:rPr>
        <w:t xml:space="preserve"> unaffordability indicator</w:t>
      </w:r>
      <w:r w:rsidR="00C2029D">
        <w:rPr>
          <w:rFonts w:cstheme="minorHAnsi"/>
        </w:rPr>
        <w:t>:</w:t>
      </w:r>
    </w:p>
    <w:p w14:paraId="79443B34" w14:textId="6A148354" w:rsidR="00FB444D" w:rsidRDefault="00082663" w:rsidP="00454C26">
      <w:pPr>
        <w:pStyle w:val="ListParagraph"/>
        <w:numPr>
          <w:ilvl w:val="0"/>
          <w:numId w:val="20"/>
        </w:numPr>
        <w:jc w:val="both"/>
        <w:rPr>
          <w:rFonts w:cstheme="minorHAnsi"/>
        </w:rPr>
      </w:pPr>
      <w:r w:rsidRPr="00610BE1">
        <w:rPr>
          <w:rFonts w:cstheme="minorHAnsi"/>
        </w:rPr>
        <w:t xml:space="preserve"> </w:t>
      </w:r>
      <w:r w:rsidRPr="006066AB">
        <w:rPr>
          <w:rFonts w:cstheme="minorHAnsi"/>
        </w:rPr>
        <w:t xml:space="preserve">the ratio between </w:t>
      </w:r>
      <w:r w:rsidR="002C676C">
        <w:rPr>
          <w:rFonts w:cstheme="minorHAnsi"/>
        </w:rPr>
        <w:t>hypothetical</w:t>
      </w:r>
      <w:r w:rsidR="002C676C" w:rsidRPr="00610BE1">
        <w:rPr>
          <w:rFonts w:cstheme="minorHAnsi"/>
        </w:rPr>
        <w:t xml:space="preserve"> </w:t>
      </w:r>
      <w:r w:rsidRPr="00610BE1">
        <w:rPr>
          <w:rFonts w:cstheme="minorHAnsi"/>
        </w:rPr>
        <w:t xml:space="preserve">rent </w:t>
      </w:r>
      <w:r w:rsidR="002C676C">
        <w:rPr>
          <w:rFonts w:cstheme="minorHAnsi"/>
        </w:rPr>
        <w:t xml:space="preserve">(real rent for the households paying it) </w:t>
      </w:r>
      <w:r w:rsidRPr="00610BE1">
        <w:rPr>
          <w:rFonts w:cstheme="minorHAnsi"/>
        </w:rPr>
        <w:t>and income</w:t>
      </w:r>
      <w:r w:rsidR="00FB444D">
        <w:rPr>
          <w:rFonts w:cstheme="minorHAnsi"/>
        </w:rPr>
        <w:t xml:space="preserve"> plus</w:t>
      </w:r>
      <w:r w:rsidRPr="00610BE1">
        <w:rPr>
          <w:rFonts w:cstheme="minorHAnsi"/>
        </w:rPr>
        <w:t xml:space="preserve"> </w:t>
      </w:r>
      <w:r w:rsidR="00FB444D">
        <w:rPr>
          <w:rFonts w:cstheme="minorHAnsi"/>
        </w:rPr>
        <w:t>hypothetical</w:t>
      </w:r>
      <w:r w:rsidRPr="00CF01FB">
        <w:rPr>
          <w:rFonts w:cstheme="minorHAnsi"/>
        </w:rPr>
        <w:t xml:space="preserve"> rent</w:t>
      </w:r>
      <w:r w:rsidR="00FB444D">
        <w:rPr>
          <w:rFonts w:cstheme="minorHAnsi"/>
        </w:rPr>
        <w:t>;</w:t>
      </w:r>
    </w:p>
    <w:p w14:paraId="77618B30" w14:textId="0827BA7D" w:rsidR="00FB444D" w:rsidRDefault="00FB444D" w:rsidP="00454C26">
      <w:pPr>
        <w:pStyle w:val="ListParagraph"/>
        <w:numPr>
          <w:ilvl w:val="0"/>
          <w:numId w:val="20"/>
        </w:numPr>
        <w:jc w:val="both"/>
        <w:rPr>
          <w:rFonts w:cstheme="minorHAnsi"/>
        </w:rPr>
      </w:pPr>
      <w:r w:rsidRPr="003623D5">
        <w:rPr>
          <w:rFonts w:cstheme="minorHAnsi"/>
        </w:rPr>
        <w:t xml:space="preserve">the ratio between </w:t>
      </w:r>
      <w:r>
        <w:rPr>
          <w:rFonts w:cstheme="minorHAnsi"/>
        </w:rPr>
        <w:t>hypothetical</w:t>
      </w:r>
      <w:r w:rsidRPr="003623D5">
        <w:rPr>
          <w:rFonts w:cstheme="minorHAnsi"/>
        </w:rPr>
        <w:t xml:space="preserve"> rent </w:t>
      </w:r>
      <w:r>
        <w:rPr>
          <w:rFonts w:cstheme="minorHAnsi"/>
        </w:rPr>
        <w:t xml:space="preserve">(real rent for the households paying it) </w:t>
      </w:r>
      <w:r w:rsidRPr="003623D5">
        <w:rPr>
          <w:rFonts w:cstheme="minorHAnsi"/>
        </w:rPr>
        <w:t>plus expenditure and income</w:t>
      </w:r>
      <w:r>
        <w:rPr>
          <w:rFonts w:cstheme="minorHAnsi"/>
        </w:rPr>
        <w:t xml:space="preserve"> plus</w:t>
      </w:r>
      <w:r w:rsidRPr="003623D5">
        <w:rPr>
          <w:rFonts w:cstheme="minorHAnsi"/>
        </w:rPr>
        <w:t xml:space="preserve"> </w:t>
      </w:r>
      <w:r>
        <w:rPr>
          <w:rFonts w:cstheme="minorHAnsi"/>
        </w:rPr>
        <w:t>hypothetical</w:t>
      </w:r>
      <w:r w:rsidRPr="003623D5">
        <w:rPr>
          <w:rFonts w:cstheme="minorHAnsi"/>
        </w:rPr>
        <w:t xml:space="preserve"> rent</w:t>
      </w:r>
    </w:p>
    <w:p w14:paraId="0369F3FC" w14:textId="2C690B5D" w:rsidR="00082663" w:rsidRPr="00610BE1" w:rsidRDefault="0023024B" w:rsidP="00610BE1">
      <w:pPr>
        <w:jc w:val="both"/>
        <w:rPr>
          <w:rFonts w:cstheme="minorHAnsi"/>
        </w:rPr>
      </w:pPr>
      <w:r>
        <w:rPr>
          <w:rFonts w:cstheme="minorHAnsi"/>
        </w:rPr>
        <w:t>We call these</w:t>
      </w:r>
      <w:r w:rsidR="00082663" w:rsidRPr="00610BE1">
        <w:rPr>
          <w:rFonts w:cstheme="minorHAnsi"/>
        </w:rPr>
        <w:t xml:space="preserve"> </w:t>
      </w:r>
      <w:r w:rsidR="00082663" w:rsidRPr="00610BE1">
        <w:rPr>
          <w:rFonts w:cstheme="minorHAnsi"/>
          <w:i/>
        </w:rPr>
        <w:t>shadow unaffordability</w:t>
      </w:r>
      <w:r w:rsidR="00082663" w:rsidRPr="00CF01FB">
        <w:rPr>
          <w:rFonts w:cstheme="minorHAnsi"/>
        </w:rPr>
        <w:t xml:space="preserve"> </w:t>
      </w:r>
      <w:r w:rsidR="00706418">
        <w:rPr>
          <w:rFonts w:cstheme="minorHAnsi"/>
        </w:rPr>
        <w:t xml:space="preserve">and </w:t>
      </w:r>
      <w:r w:rsidR="00706418" w:rsidRPr="006066AB">
        <w:rPr>
          <w:rFonts w:cstheme="minorHAnsi"/>
          <w:i/>
          <w:iCs/>
        </w:rPr>
        <w:t>extended shadow unaffordability</w:t>
      </w:r>
      <w:r w:rsidR="00706418">
        <w:rPr>
          <w:rFonts w:cstheme="minorHAnsi"/>
        </w:rPr>
        <w:t xml:space="preserve"> </w:t>
      </w:r>
      <w:r w:rsidR="00082663" w:rsidRPr="00610BE1">
        <w:rPr>
          <w:rFonts w:cstheme="minorHAnsi"/>
        </w:rPr>
        <w:t xml:space="preserve">indicators to </w:t>
      </w:r>
      <w:r>
        <w:rPr>
          <w:rFonts w:cstheme="minorHAnsi"/>
        </w:rPr>
        <w:t>distinguish them</w:t>
      </w:r>
      <w:r w:rsidR="00082663" w:rsidRPr="00610BE1">
        <w:rPr>
          <w:rFonts w:cstheme="minorHAnsi"/>
        </w:rPr>
        <w:t xml:space="preserve"> from the first </w:t>
      </w:r>
      <w:r>
        <w:rPr>
          <w:rFonts w:cstheme="minorHAnsi"/>
        </w:rPr>
        <w:t xml:space="preserve">set of </w:t>
      </w:r>
      <w:r w:rsidR="00082663" w:rsidRPr="00610BE1">
        <w:rPr>
          <w:rFonts w:cstheme="minorHAnsi"/>
        </w:rPr>
        <w:t>unaffordability indicator</w:t>
      </w:r>
      <w:r>
        <w:rPr>
          <w:rFonts w:cstheme="minorHAnsi"/>
        </w:rPr>
        <w:t>s</w:t>
      </w:r>
      <w:r w:rsidR="00D70D21">
        <w:rPr>
          <w:rFonts w:cstheme="minorHAnsi"/>
        </w:rPr>
        <w:t xml:space="preserve">. It is important to point out that the interpretation of such indicators is less straightforward than that of the previous one. In this case, </w:t>
      </w:r>
      <w:r w:rsidR="00E57B15">
        <w:rPr>
          <w:rFonts w:cstheme="minorHAnsi"/>
        </w:rPr>
        <w:t xml:space="preserve">the hypothetical rent a family could </w:t>
      </w:r>
      <w:r w:rsidR="005B437B">
        <w:rPr>
          <w:rFonts w:cstheme="minorHAnsi"/>
        </w:rPr>
        <w:t>extract from the house in which they live</w:t>
      </w:r>
      <w:r w:rsidR="00BD637C">
        <w:rPr>
          <w:rFonts w:cstheme="minorHAnsi"/>
        </w:rPr>
        <w:t xml:space="preserve"> are put as costs (and potential income)</w:t>
      </w:r>
      <w:r w:rsidR="005B437B">
        <w:rPr>
          <w:rFonts w:cstheme="minorHAnsi"/>
        </w:rPr>
        <w:t>. A high</w:t>
      </w:r>
      <w:r w:rsidR="00FC4697">
        <w:rPr>
          <w:rFonts w:cstheme="minorHAnsi"/>
        </w:rPr>
        <w:t xml:space="preserve"> share of households </w:t>
      </w:r>
      <w:r w:rsidR="004629CA">
        <w:rPr>
          <w:rFonts w:cstheme="minorHAnsi"/>
        </w:rPr>
        <w:t xml:space="preserve">above the unaffordability threshold in this case does not necessarily imply a </w:t>
      </w:r>
      <w:r w:rsidR="00640A0A">
        <w:rPr>
          <w:rFonts w:cstheme="minorHAnsi"/>
        </w:rPr>
        <w:t xml:space="preserve">dramatic situation but – rather – </w:t>
      </w:r>
      <w:r w:rsidR="00587843">
        <w:rPr>
          <w:rFonts w:cstheme="minorHAnsi"/>
        </w:rPr>
        <w:t>is the reflection of households living in apartments/houses whose opportunity cost is high</w:t>
      </w:r>
      <w:r w:rsidR="006B55A1">
        <w:rPr>
          <w:rFonts w:cstheme="minorHAnsi"/>
        </w:rPr>
        <w:t xml:space="preserve">. </w:t>
      </w:r>
      <w:r w:rsidR="00163722">
        <w:rPr>
          <w:rFonts w:cstheme="minorHAnsi"/>
        </w:rPr>
        <w:t>The same households</w:t>
      </w:r>
      <w:r w:rsidR="006B55A1">
        <w:rPr>
          <w:rFonts w:cstheme="minorHAnsi"/>
        </w:rPr>
        <w:t xml:space="preserve"> could improve their housing affordability by – for example – selling or renting the house and move to </w:t>
      </w:r>
      <w:r w:rsidR="00163722">
        <w:rPr>
          <w:rFonts w:cstheme="minorHAnsi"/>
        </w:rPr>
        <w:t>less expensive neighborhoods. In this case</w:t>
      </w:r>
      <w:r w:rsidR="003C2AA0">
        <w:rPr>
          <w:rFonts w:cstheme="minorHAnsi"/>
        </w:rPr>
        <w:t xml:space="preserve">, one might consider the exposure to unaffordable housing conditions as the result of a </w:t>
      </w:r>
      <w:r w:rsidR="00425134">
        <w:rPr>
          <w:rFonts w:cstheme="minorHAnsi"/>
        </w:rPr>
        <w:t>household choice.</w:t>
      </w:r>
    </w:p>
    <w:p w14:paraId="12C1AE5E" w14:textId="622129BD" w:rsidR="00082663" w:rsidRDefault="0023024B" w:rsidP="00976D0B">
      <w:pPr>
        <w:jc w:val="both"/>
        <w:rPr>
          <w:rFonts w:cstheme="minorHAnsi"/>
        </w:rPr>
      </w:pPr>
      <w:r>
        <w:rPr>
          <w:rFonts w:cstheme="minorHAnsi"/>
        </w:rPr>
        <w:lastRenderedPageBreak/>
        <w:t xml:space="preserve">As it </w:t>
      </w:r>
      <w:r w:rsidR="00D06A0D">
        <w:rPr>
          <w:rFonts w:cstheme="minorHAnsi"/>
        </w:rPr>
        <w:t xml:space="preserve">can be seen </w:t>
      </w:r>
      <w:r w:rsidR="00082663">
        <w:rPr>
          <w:rFonts w:cstheme="minorHAnsi"/>
        </w:rPr>
        <w:t xml:space="preserve">in Figure </w:t>
      </w:r>
      <w:r w:rsidR="00D74D8C">
        <w:rPr>
          <w:rFonts w:cstheme="minorHAnsi"/>
        </w:rPr>
        <w:t>35,</w:t>
      </w:r>
      <w:r>
        <w:rPr>
          <w:rFonts w:cstheme="minorHAnsi"/>
        </w:rPr>
        <w:t xml:space="preserve"> </w:t>
      </w:r>
      <w:r w:rsidR="00697493">
        <w:rPr>
          <w:rFonts w:cstheme="minorHAnsi"/>
        </w:rPr>
        <w:t>with the new</w:t>
      </w:r>
      <w:r w:rsidR="00F016CC">
        <w:rPr>
          <w:rFonts w:cstheme="minorHAnsi"/>
        </w:rPr>
        <w:t xml:space="preserve"> methodology, not surprisingly</w:t>
      </w:r>
      <w:r w:rsidR="00697493">
        <w:rPr>
          <w:rFonts w:cstheme="minorHAnsi"/>
        </w:rPr>
        <w:t xml:space="preserve"> the share of families</w:t>
      </w:r>
      <w:r w:rsidR="00DC6BDC">
        <w:rPr>
          <w:rFonts w:cstheme="minorHAnsi"/>
        </w:rPr>
        <w:t xml:space="preserve"> with affordability issues</w:t>
      </w:r>
      <w:r w:rsidR="00697493">
        <w:rPr>
          <w:rFonts w:cstheme="minorHAnsi"/>
        </w:rPr>
        <w:t xml:space="preserve"> </w:t>
      </w:r>
      <w:r w:rsidR="00F016CC">
        <w:rPr>
          <w:rFonts w:cstheme="minorHAnsi"/>
        </w:rPr>
        <w:t>increases slightly</w:t>
      </w:r>
      <w:r w:rsidR="00A44ED5">
        <w:rPr>
          <w:rFonts w:cstheme="minorHAnsi"/>
        </w:rPr>
        <w:t>.</w:t>
      </w:r>
      <w:r w:rsidR="00DC6BDC">
        <w:rPr>
          <w:rFonts w:cstheme="minorHAnsi"/>
        </w:rPr>
        <w:t xml:space="preserve"> In this case, </w:t>
      </w:r>
      <w:r w:rsidR="00082663">
        <w:rPr>
          <w:rFonts w:cstheme="minorHAnsi"/>
        </w:rPr>
        <w:t xml:space="preserve">the trend of unaffordability </w:t>
      </w:r>
      <w:r w:rsidR="009A1708">
        <w:rPr>
          <w:rFonts w:cstheme="minorHAnsi"/>
        </w:rPr>
        <w:t>remain</w:t>
      </w:r>
      <w:r w:rsidR="007F511D">
        <w:rPr>
          <w:rFonts w:cstheme="minorHAnsi"/>
        </w:rPr>
        <w:t>ed</w:t>
      </w:r>
      <w:r w:rsidR="009A1708">
        <w:rPr>
          <w:rFonts w:cstheme="minorHAnsi"/>
        </w:rPr>
        <w:t xml:space="preserve"> higher in </w:t>
      </w:r>
      <w:r w:rsidR="0021680A">
        <w:rPr>
          <w:rFonts w:cstheme="minorHAnsi"/>
        </w:rPr>
        <w:t>urban</w:t>
      </w:r>
      <w:r w:rsidR="009A1708">
        <w:rPr>
          <w:rFonts w:cstheme="minorHAnsi"/>
        </w:rPr>
        <w:t xml:space="preserve"> areas than in </w:t>
      </w:r>
      <w:r w:rsidR="0021680A">
        <w:rPr>
          <w:rFonts w:cstheme="minorHAnsi"/>
        </w:rPr>
        <w:t>rural</w:t>
      </w:r>
      <w:r w:rsidR="00A44ED5">
        <w:rPr>
          <w:rFonts w:cstheme="minorHAnsi"/>
        </w:rPr>
        <w:t xml:space="preserve"> </w:t>
      </w:r>
      <w:r w:rsidR="009A1708">
        <w:rPr>
          <w:rFonts w:cstheme="minorHAnsi"/>
        </w:rPr>
        <w:t xml:space="preserve">areas and </w:t>
      </w:r>
      <w:r w:rsidR="00DC6BDC">
        <w:rPr>
          <w:rFonts w:cstheme="minorHAnsi"/>
        </w:rPr>
        <w:t>does not seem to be declining</w:t>
      </w:r>
      <w:r w:rsidR="00713248">
        <w:rPr>
          <w:rFonts w:cstheme="minorHAnsi"/>
        </w:rPr>
        <w:t>.</w:t>
      </w:r>
      <w:r w:rsidR="00082663">
        <w:rPr>
          <w:rFonts w:cstheme="minorHAnsi"/>
        </w:rPr>
        <w:t xml:space="preserve"> </w:t>
      </w:r>
      <w:r w:rsidR="009A1708">
        <w:rPr>
          <w:rFonts w:cstheme="minorHAnsi"/>
        </w:rPr>
        <w:t>T</w:t>
      </w:r>
      <w:r w:rsidR="00082663">
        <w:rPr>
          <w:rFonts w:cstheme="minorHAnsi"/>
        </w:rPr>
        <w:t xml:space="preserve">he </w:t>
      </w:r>
      <w:r w:rsidR="009A1708">
        <w:rPr>
          <w:rFonts w:cstheme="minorHAnsi"/>
        </w:rPr>
        <w:t>share of</w:t>
      </w:r>
      <w:r w:rsidR="00082663">
        <w:rPr>
          <w:rFonts w:cstheme="minorHAnsi"/>
        </w:rPr>
        <w:t xml:space="preserve"> households </w:t>
      </w:r>
      <w:r w:rsidR="009A1708">
        <w:rPr>
          <w:rFonts w:cstheme="minorHAnsi"/>
        </w:rPr>
        <w:t xml:space="preserve">facing affordability issues </w:t>
      </w:r>
      <w:r w:rsidR="00082663">
        <w:rPr>
          <w:rFonts w:cstheme="minorHAnsi"/>
        </w:rPr>
        <w:t>over years varie</w:t>
      </w:r>
      <w:r w:rsidR="007F511D">
        <w:rPr>
          <w:rFonts w:cstheme="minorHAnsi"/>
        </w:rPr>
        <w:t>d</w:t>
      </w:r>
      <w:r w:rsidR="00082663">
        <w:rPr>
          <w:rFonts w:cstheme="minorHAnsi"/>
        </w:rPr>
        <w:t xml:space="preserve"> </w:t>
      </w:r>
      <w:r w:rsidR="009A0DFF">
        <w:rPr>
          <w:rFonts w:cstheme="minorHAnsi"/>
        </w:rPr>
        <w:t xml:space="preserve">for </w:t>
      </w:r>
      <w:r w:rsidR="0021680A">
        <w:rPr>
          <w:rFonts w:cstheme="minorHAnsi"/>
        </w:rPr>
        <w:t>urban</w:t>
      </w:r>
      <w:r w:rsidR="009A0DFF">
        <w:rPr>
          <w:rFonts w:cstheme="minorHAnsi"/>
        </w:rPr>
        <w:t xml:space="preserve"> </w:t>
      </w:r>
      <w:r w:rsidR="009A1708">
        <w:rPr>
          <w:rFonts w:cstheme="minorHAnsi"/>
        </w:rPr>
        <w:t xml:space="preserve">areas </w:t>
      </w:r>
      <w:r w:rsidR="00082663">
        <w:rPr>
          <w:rFonts w:cstheme="minorHAnsi"/>
        </w:rPr>
        <w:t xml:space="preserve">between </w:t>
      </w:r>
      <w:r w:rsidR="000A5089">
        <w:rPr>
          <w:rFonts w:cstheme="minorHAnsi"/>
        </w:rPr>
        <w:t xml:space="preserve">9.3% and 17.2% </w:t>
      </w:r>
      <w:r w:rsidR="006B1DDE">
        <w:rPr>
          <w:rFonts w:cstheme="minorHAnsi"/>
        </w:rPr>
        <w:t>against 1.2</w:t>
      </w:r>
      <w:r w:rsidR="000A5089">
        <w:rPr>
          <w:rFonts w:cstheme="minorHAnsi"/>
        </w:rPr>
        <w:t xml:space="preserve">% and 7.3% </w:t>
      </w:r>
      <w:r w:rsidR="009A1708">
        <w:rPr>
          <w:rFonts w:cstheme="minorHAnsi"/>
        </w:rPr>
        <w:t xml:space="preserve">for </w:t>
      </w:r>
      <w:r w:rsidR="0021680A">
        <w:rPr>
          <w:rFonts w:cstheme="minorHAnsi"/>
        </w:rPr>
        <w:t>rural</w:t>
      </w:r>
      <w:r w:rsidR="009A1708">
        <w:rPr>
          <w:rFonts w:cstheme="minorHAnsi"/>
        </w:rPr>
        <w:t xml:space="preserve"> areas</w:t>
      </w:r>
      <w:r w:rsidR="00713248">
        <w:rPr>
          <w:rFonts w:cstheme="minorHAnsi"/>
        </w:rPr>
        <w:t>.</w:t>
      </w:r>
      <w:r w:rsidR="00082663">
        <w:rPr>
          <w:rFonts w:cstheme="minorHAnsi"/>
        </w:rPr>
        <w:t xml:space="preserve"> As for the indicators for 2018 year, the shadow unaffordability </w:t>
      </w:r>
      <w:r w:rsidR="00A44ED5">
        <w:rPr>
          <w:rFonts w:cstheme="minorHAnsi"/>
        </w:rPr>
        <w:t xml:space="preserve">values </w:t>
      </w:r>
      <w:r w:rsidR="00082663">
        <w:rPr>
          <w:rFonts w:cstheme="minorHAnsi"/>
        </w:rPr>
        <w:t xml:space="preserve">in </w:t>
      </w:r>
      <w:r w:rsidR="0021680A">
        <w:rPr>
          <w:rFonts w:cstheme="minorHAnsi"/>
        </w:rPr>
        <w:t>urban</w:t>
      </w:r>
      <w:r w:rsidR="009A0DFF">
        <w:rPr>
          <w:rFonts w:cstheme="minorHAnsi"/>
        </w:rPr>
        <w:t xml:space="preserve"> and</w:t>
      </w:r>
      <w:r w:rsidR="00082663">
        <w:rPr>
          <w:rFonts w:cstheme="minorHAnsi"/>
        </w:rPr>
        <w:t xml:space="preserve"> </w:t>
      </w:r>
      <w:r w:rsidR="0021680A">
        <w:rPr>
          <w:rFonts w:cstheme="minorHAnsi"/>
        </w:rPr>
        <w:t>rural</w:t>
      </w:r>
      <w:r w:rsidR="00082663">
        <w:rPr>
          <w:rFonts w:cstheme="minorHAnsi"/>
        </w:rPr>
        <w:t xml:space="preserve"> areas </w:t>
      </w:r>
      <w:r w:rsidR="007F511D">
        <w:rPr>
          <w:rFonts w:cstheme="minorHAnsi"/>
        </w:rPr>
        <w:t xml:space="preserve">were </w:t>
      </w:r>
      <w:r w:rsidR="00082663">
        <w:rPr>
          <w:rFonts w:cstheme="minorHAnsi"/>
        </w:rPr>
        <w:t>14</w:t>
      </w:r>
      <w:r w:rsidR="00713248">
        <w:rPr>
          <w:rFonts w:cstheme="minorHAnsi"/>
        </w:rPr>
        <w:t>.</w:t>
      </w:r>
      <w:r w:rsidR="00082663">
        <w:rPr>
          <w:rFonts w:cstheme="minorHAnsi"/>
        </w:rPr>
        <w:t>6%</w:t>
      </w:r>
      <w:r w:rsidR="009A0DFF">
        <w:rPr>
          <w:rFonts w:cstheme="minorHAnsi"/>
        </w:rPr>
        <w:t xml:space="preserve"> and </w:t>
      </w:r>
      <w:r w:rsidR="00082663">
        <w:rPr>
          <w:rFonts w:cstheme="minorHAnsi"/>
        </w:rPr>
        <w:t>5</w:t>
      </w:r>
      <w:r w:rsidR="00713248">
        <w:rPr>
          <w:rFonts w:cstheme="minorHAnsi"/>
        </w:rPr>
        <w:t>.</w:t>
      </w:r>
      <w:r w:rsidR="00082663">
        <w:rPr>
          <w:rFonts w:cstheme="minorHAnsi"/>
        </w:rPr>
        <w:t>8% for the households</w:t>
      </w:r>
      <w:r w:rsidR="00081E30">
        <w:rPr>
          <w:rFonts w:cstheme="minorHAnsi"/>
        </w:rPr>
        <w:t xml:space="preserve">, </w:t>
      </w:r>
      <w:r w:rsidR="009A0DFF">
        <w:rPr>
          <w:rFonts w:cstheme="minorHAnsi"/>
        </w:rPr>
        <w:t>respectively</w:t>
      </w:r>
      <w:r w:rsidR="00713248">
        <w:rPr>
          <w:rFonts w:cstheme="minorHAnsi"/>
        </w:rPr>
        <w:t xml:space="preserve"> (Figure 35)</w:t>
      </w:r>
      <w:r w:rsidR="00A44ED5">
        <w:rPr>
          <w:rFonts w:cstheme="minorHAnsi"/>
        </w:rPr>
        <w:t>.</w:t>
      </w:r>
    </w:p>
    <w:p w14:paraId="2B4AF8E2" w14:textId="10A6B06E" w:rsidR="00082663" w:rsidRPr="00454C26" w:rsidRDefault="00082663" w:rsidP="00501A83">
      <w:pPr>
        <w:pStyle w:val="Caption"/>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35</w:t>
      </w:r>
      <w:r w:rsidR="006C3BD6">
        <w:rPr>
          <w:noProof/>
        </w:rPr>
        <w:fldChar w:fldCharType="end"/>
      </w:r>
      <w:r>
        <w:t xml:space="preserve">  </w:t>
      </w:r>
      <w:r w:rsidR="00AC52BB">
        <w:t xml:space="preserve">The share of households exceeding the </w:t>
      </w:r>
      <w:r w:rsidR="00A44ED5">
        <w:t xml:space="preserve">shadow </w:t>
      </w:r>
      <w:r w:rsidR="00AC52BB">
        <w:t>affordability threshold (imaginary rent /</w:t>
      </w:r>
      <w:r w:rsidR="008C3A8A">
        <w:t>(</w:t>
      </w:r>
      <w:r w:rsidR="00AC52BB">
        <w:t>income+ imaginary rent</w:t>
      </w:r>
      <w:r w:rsidR="008C3A8A">
        <w:t>)</w:t>
      </w:r>
      <w:r w:rsidR="00AC52BB">
        <w:t xml:space="preserve">) </w:t>
      </w:r>
      <w:r w:rsidR="00AC4266">
        <w:t xml:space="preserve">in </w:t>
      </w:r>
      <w:r w:rsidR="00AC4266" w:rsidRPr="00AA5768">
        <w:t>urban</w:t>
      </w:r>
      <w:r w:rsidR="00AA5768">
        <w:t xml:space="preserve"> and rural areas </w:t>
      </w:r>
    </w:p>
    <w:p w14:paraId="763ABA6F" w14:textId="65CB2F05" w:rsidR="00082663" w:rsidRDefault="00CA453C" w:rsidP="00976D0B">
      <w:pPr>
        <w:tabs>
          <w:tab w:val="left" w:pos="4200"/>
        </w:tabs>
        <w:jc w:val="both"/>
        <w:rPr>
          <w:rFonts w:cstheme="minorHAnsi"/>
        </w:rPr>
      </w:pPr>
      <w:r>
        <w:rPr>
          <w:noProof/>
        </w:rPr>
        <w:drawing>
          <wp:anchor distT="0" distB="0" distL="114300" distR="114300" simplePos="0" relativeHeight="251666432" behindDoc="1" locked="0" layoutInCell="1" allowOverlap="1" wp14:anchorId="37111674" wp14:editId="070F9158">
            <wp:simplePos x="0" y="0"/>
            <wp:positionH relativeFrom="margin">
              <wp:align>right</wp:align>
            </wp:positionH>
            <wp:positionV relativeFrom="paragraph">
              <wp:posOffset>9576</wp:posOffset>
            </wp:positionV>
            <wp:extent cx="2924175" cy="2219325"/>
            <wp:effectExtent l="0" t="0" r="9525" b="952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6197E09" wp14:editId="5B0655F9">
            <wp:simplePos x="0" y="0"/>
            <wp:positionH relativeFrom="margin">
              <wp:posOffset>-21945</wp:posOffset>
            </wp:positionH>
            <wp:positionV relativeFrom="paragraph">
              <wp:posOffset>8611</wp:posOffset>
            </wp:positionV>
            <wp:extent cx="2857500" cy="2219325"/>
            <wp:effectExtent l="0" t="0" r="0" b="9525"/>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082663">
        <w:rPr>
          <w:noProof/>
        </w:rPr>
        <w:t xml:space="preserve"> </w:t>
      </w:r>
      <w:r w:rsidR="006762AB">
        <w:rPr>
          <w:noProof/>
        </w:rPr>
        <w:tab/>
      </w:r>
    </w:p>
    <w:p w14:paraId="460F2757" w14:textId="77777777" w:rsidR="00082663" w:rsidRDefault="00082663" w:rsidP="00976D0B">
      <w:pPr>
        <w:jc w:val="both"/>
        <w:rPr>
          <w:rFonts w:cstheme="minorHAnsi"/>
        </w:rPr>
      </w:pPr>
    </w:p>
    <w:p w14:paraId="4E65078D" w14:textId="6A9DCFC3" w:rsidR="00082663" w:rsidRDefault="00207929" w:rsidP="00976D0B">
      <w:pPr>
        <w:tabs>
          <w:tab w:val="left" w:pos="5280"/>
        </w:tabs>
        <w:jc w:val="both"/>
        <w:rPr>
          <w:rFonts w:cstheme="minorHAnsi"/>
        </w:rPr>
      </w:pPr>
      <w:r>
        <w:rPr>
          <w:rFonts w:cstheme="minorHAnsi"/>
        </w:rPr>
        <w:tab/>
      </w:r>
    </w:p>
    <w:p w14:paraId="14DF88FD" w14:textId="77777777" w:rsidR="00082663" w:rsidRDefault="00082663" w:rsidP="00976D0B">
      <w:pPr>
        <w:jc w:val="both"/>
        <w:rPr>
          <w:rFonts w:cstheme="minorHAnsi"/>
        </w:rPr>
      </w:pPr>
    </w:p>
    <w:p w14:paraId="5E970070" w14:textId="6B63251A" w:rsidR="00082663" w:rsidRDefault="00A867CC" w:rsidP="00A867CC">
      <w:pPr>
        <w:tabs>
          <w:tab w:val="left" w:pos="1305"/>
        </w:tabs>
        <w:jc w:val="both"/>
        <w:rPr>
          <w:rFonts w:cstheme="minorHAnsi"/>
        </w:rPr>
      </w:pPr>
      <w:r>
        <w:rPr>
          <w:rFonts w:cstheme="minorHAnsi"/>
        </w:rPr>
        <w:tab/>
      </w:r>
    </w:p>
    <w:p w14:paraId="61F8C12C" w14:textId="77777777" w:rsidR="00082663" w:rsidRDefault="00082663" w:rsidP="00976D0B">
      <w:pPr>
        <w:jc w:val="both"/>
        <w:rPr>
          <w:rFonts w:cstheme="minorHAnsi"/>
        </w:rPr>
      </w:pPr>
    </w:p>
    <w:p w14:paraId="65D87EB7" w14:textId="3D8213E3" w:rsidR="005E6E98" w:rsidRDefault="005E6E98" w:rsidP="00976D0B">
      <w:pPr>
        <w:jc w:val="both"/>
        <w:rPr>
          <w:rFonts w:cstheme="minorHAnsi"/>
        </w:rPr>
      </w:pPr>
    </w:p>
    <w:p w14:paraId="1691692D" w14:textId="77777777" w:rsidR="004F428D" w:rsidRDefault="004F428D" w:rsidP="00976D0B">
      <w:pPr>
        <w:jc w:val="both"/>
        <w:rPr>
          <w:i/>
          <w:iCs/>
          <w:color w:val="44546A" w:themeColor="text2"/>
          <w:sz w:val="18"/>
          <w:szCs w:val="18"/>
        </w:rPr>
      </w:pPr>
    </w:p>
    <w:p w14:paraId="4241CA66" w14:textId="2389B778" w:rsidR="005E6E98" w:rsidRDefault="004F428D" w:rsidP="00976D0B">
      <w:pPr>
        <w:jc w:val="both"/>
        <w:rPr>
          <w:i/>
          <w:iCs/>
          <w:color w:val="44546A" w:themeColor="text2"/>
          <w:sz w:val="18"/>
          <w:szCs w:val="18"/>
        </w:rPr>
      </w:pPr>
      <w:r>
        <w:rPr>
          <w:i/>
          <w:iCs/>
          <w:color w:val="44546A" w:themeColor="text2"/>
          <w:sz w:val="18"/>
          <w:szCs w:val="18"/>
        </w:rPr>
        <w:t xml:space="preserve">Source: </w:t>
      </w:r>
      <w:r w:rsidR="005E6E98">
        <w:rPr>
          <w:i/>
          <w:iCs/>
          <w:color w:val="44546A" w:themeColor="text2"/>
          <w:sz w:val="18"/>
          <w:szCs w:val="18"/>
        </w:rPr>
        <w:t>Inte</w:t>
      </w:r>
      <w:r>
        <w:rPr>
          <w:i/>
          <w:iCs/>
          <w:color w:val="44546A" w:themeColor="text2"/>
          <w:sz w:val="18"/>
          <w:szCs w:val="18"/>
        </w:rPr>
        <w:t xml:space="preserve">grated Household Survey </w:t>
      </w:r>
    </w:p>
    <w:p w14:paraId="05F247AA" w14:textId="36517116" w:rsidR="004F428D" w:rsidRDefault="00082663" w:rsidP="00976D0B">
      <w:pPr>
        <w:jc w:val="both"/>
        <w:rPr>
          <w:rFonts w:cstheme="minorHAnsi"/>
        </w:rPr>
      </w:pPr>
      <w:r>
        <w:rPr>
          <w:rFonts w:cstheme="minorHAnsi"/>
        </w:rPr>
        <w:t>Observing the extended version of shadow unaffordability</w:t>
      </w:r>
      <w:r w:rsidR="002B1D84">
        <w:rPr>
          <w:rFonts w:ascii="Sylfaen" w:hAnsi="Sylfaen" w:cstheme="minorHAnsi"/>
          <w:lang w:val="ka-GE"/>
        </w:rPr>
        <w:t xml:space="preserve"> </w:t>
      </w:r>
      <w:r w:rsidR="002B1D84" w:rsidRPr="002B1D84">
        <w:rPr>
          <w:rFonts w:cstheme="minorHAnsi"/>
        </w:rPr>
        <w:t>indicator</w:t>
      </w:r>
      <w:r>
        <w:rPr>
          <w:rFonts w:cstheme="minorHAnsi"/>
        </w:rPr>
        <w:t xml:space="preserve">, </w:t>
      </w:r>
      <w:r w:rsidR="0043630D">
        <w:rPr>
          <w:rFonts w:cstheme="minorHAnsi"/>
        </w:rPr>
        <w:t>the</w:t>
      </w:r>
      <w:r>
        <w:rPr>
          <w:rFonts w:cstheme="minorHAnsi"/>
        </w:rPr>
        <w:t xml:space="preserve"> trend</w:t>
      </w:r>
      <w:r w:rsidR="006E13CF">
        <w:rPr>
          <w:rFonts w:cstheme="minorHAnsi"/>
        </w:rPr>
        <w:t>s</w:t>
      </w:r>
      <w:r>
        <w:rPr>
          <w:rFonts w:cstheme="minorHAnsi"/>
        </w:rPr>
        <w:t xml:space="preserve"> </w:t>
      </w:r>
      <w:r w:rsidR="006E13CF">
        <w:rPr>
          <w:rFonts w:cstheme="minorHAnsi"/>
        </w:rPr>
        <w:t>might be considered</w:t>
      </w:r>
      <w:r>
        <w:rPr>
          <w:rFonts w:cstheme="minorHAnsi"/>
        </w:rPr>
        <w:t xml:space="preserve"> </w:t>
      </w:r>
      <w:r w:rsidR="0043630D">
        <w:rPr>
          <w:rFonts w:cstheme="minorHAnsi"/>
        </w:rPr>
        <w:t xml:space="preserve">slightly </w:t>
      </w:r>
      <w:r>
        <w:rPr>
          <w:rFonts w:cstheme="minorHAnsi"/>
        </w:rPr>
        <w:t xml:space="preserve">downward sloping for </w:t>
      </w:r>
      <w:r w:rsidR="0043630D">
        <w:rPr>
          <w:rFonts w:cstheme="minorHAnsi"/>
        </w:rPr>
        <w:t xml:space="preserve">both </w:t>
      </w:r>
      <w:r w:rsidR="0021680A">
        <w:rPr>
          <w:rFonts w:cstheme="minorHAnsi"/>
        </w:rPr>
        <w:t>urban</w:t>
      </w:r>
      <w:r>
        <w:rPr>
          <w:rFonts w:cstheme="minorHAnsi"/>
        </w:rPr>
        <w:t xml:space="preserve"> </w:t>
      </w:r>
      <w:r w:rsidR="0043630D">
        <w:rPr>
          <w:rFonts w:cstheme="minorHAnsi"/>
        </w:rPr>
        <w:t xml:space="preserve">and </w:t>
      </w:r>
      <w:r w:rsidR="0021680A">
        <w:rPr>
          <w:rFonts w:cstheme="minorHAnsi"/>
        </w:rPr>
        <w:t>rural</w:t>
      </w:r>
      <w:r w:rsidR="0043630D">
        <w:rPr>
          <w:rFonts w:cstheme="minorHAnsi"/>
        </w:rPr>
        <w:t xml:space="preserve"> </w:t>
      </w:r>
      <w:r>
        <w:rPr>
          <w:rFonts w:cstheme="minorHAnsi"/>
        </w:rPr>
        <w:t>areas</w:t>
      </w:r>
      <w:r w:rsidR="00A44ED5">
        <w:rPr>
          <w:rFonts w:cstheme="minorHAnsi"/>
        </w:rPr>
        <w:t>.</w:t>
      </w:r>
      <w:r w:rsidR="0043630D">
        <w:rPr>
          <w:rFonts w:cstheme="minorHAnsi"/>
        </w:rPr>
        <w:t xml:space="preserve"> </w:t>
      </w:r>
      <w:r w:rsidR="006E13CF">
        <w:rPr>
          <w:rFonts w:cstheme="minorHAnsi"/>
        </w:rPr>
        <w:t>According to this indicator,</w:t>
      </w:r>
      <w:r w:rsidR="00002A62">
        <w:rPr>
          <w:rFonts w:cstheme="minorHAnsi"/>
        </w:rPr>
        <w:t xml:space="preserve"> unsurprisingly, the share of </w:t>
      </w:r>
      <w:r w:rsidR="00CF7300">
        <w:rPr>
          <w:rFonts w:cstheme="minorHAnsi"/>
        </w:rPr>
        <w:t>household experiencing unaffordability issues grows even larger</w:t>
      </w:r>
      <w:r w:rsidR="00A44ED5">
        <w:rPr>
          <w:rFonts w:cstheme="minorHAnsi"/>
        </w:rPr>
        <w:t>.</w:t>
      </w:r>
      <w:r>
        <w:rPr>
          <w:rFonts w:cstheme="minorHAnsi"/>
        </w:rPr>
        <w:t xml:space="preserve"> The </w:t>
      </w:r>
      <w:r w:rsidR="00CF7300">
        <w:rPr>
          <w:rFonts w:cstheme="minorHAnsi"/>
        </w:rPr>
        <w:t>shares fluctuate</w:t>
      </w:r>
      <w:r w:rsidR="002B1D84">
        <w:rPr>
          <w:rFonts w:cstheme="minorHAnsi"/>
        </w:rPr>
        <w:t>d</w:t>
      </w:r>
      <w:r>
        <w:rPr>
          <w:rFonts w:cstheme="minorHAnsi"/>
        </w:rPr>
        <w:t xml:space="preserve"> </w:t>
      </w:r>
      <w:r w:rsidR="00CF7300">
        <w:rPr>
          <w:rFonts w:cstheme="minorHAnsi"/>
        </w:rPr>
        <w:t xml:space="preserve">over the years </w:t>
      </w:r>
      <w:r>
        <w:rPr>
          <w:rFonts w:cstheme="minorHAnsi"/>
        </w:rPr>
        <w:t>between 18</w:t>
      </w:r>
      <w:r w:rsidR="00A07D82">
        <w:rPr>
          <w:rFonts w:cstheme="minorHAnsi"/>
        </w:rPr>
        <w:t>.</w:t>
      </w:r>
      <w:r>
        <w:rPr>
          <w:rFonts w:cstheme="minorHAnsi"/>
        </w:rPr>
        <w:t>4% and 30</w:t>
      </w:r>
      <w:r w:rsidR="00A07D82">
        <w:rPr>
          <w:rFonts w:cstheme="minorHAnsi"/>
        </w:rPr>
        <w:t>.</w:t>
      </w:r>
      <w:r>
        <w:rPr>
          <w:rFonts w:cstheme="minorHAnsi"/>
        </w:rPr>
        <w:t xml:space="preserve">6% for </w:t>
      </w:r>
      <w:r w:rsidR="0021680A">
        <w:rPr>
          <w:rFonts w:cstheme="minorHAnsi"/>
        </w:rPr>
        <w:t>urban</w:t>
      </w:r>
      <w:r>
        <w:rPr>
          <w:rFonts w:cstheme="minorHAnsi"/>
        </w:rPr>
        <w:t xml:space="preserve"> areas, </w:t>
      </w:r>
      <w:r w:rsidR="00CF7300">
        <w:rPr>
          <w:rFonts w:cstheme="minorHAnsi"/>
        </w:rPr>
        <w:t>and</w:t>
      </w:r>
      <w:r>
        <w:rPr>
          <w:rFonts w:cstheme="minorHAnsi"/>
        </w:rPr>
        <w:t xml:space="preserve"> between 5</w:t>
      </w:r>
      <w:r w:rsidR="00A07D82">
        <w:rPr>
          <w:rFonts w:cstheme="minorHAnsi"/>
        </w:rPr>
        <w:t>.</w:t>
      </w:r>
      <w:r>
        <w:rPr>
          <w:rFonts w:cstheme="minorHAnsi"/>
        </w:rPr>
        <w:t>4% and 15</w:t>
      </w:r>
      <w:r w:rsidR="00A07D82">
        <w:rPr>
          <w:rFonts w:cstheme="minorHAnsi"/>
        </w:rPr>
        <w:t>.</w:t>
      </w:r>
      <w:r>
        <w:rPr>
          <w:rFonts w:cstheme="minorHAnsi"/>
        </w:rPr>
        <w:t xml:space="preserve">4% </w:t>
      </w:r>
      <w:r w:rsidR="00FB5BEA">
        <w:rPr>
          <w:rFonts w:cstheme="minorHAnsi"/>
        </w:rPr>
        <w:t>in</w:t>
      </w:r>
      <w:r>
        <w:rPr>
          <w:rFonts w:cstheme="minorHAnsi"/>
        </w:rPr>
        <w:t xml:space="preserve"> </w:t>
      </w:r>
      <w:r w:rsidR="0021680A">
        <w:rPr>
          <w:rFonts w:cstheme="minorHAnsi"/>
        </w:rPr>
        <w:t>rural</w:t>
      </w:r>
      <w:r>
        <w:rPr>
          <w:rFonts w:cstheme="minorHAnsi"/>
        </w:rPr>
        <w:t xml:space="preserve"> </w:t>
      </w:r>
      <w:r w:rsidR="00A44ED5">
        <w:rPr>
          <w:rFonts w:cstheme="minorHAnsi"/>
        </w:rPr>
        <w:t xml:space="preserve">areas. </w:t>
      </w:r>
      <w:r>
        <w:rPr>
          <w:rFonts w:cstheme="minorHAnsi"/>
        </w:rPr>
        <w:t>As for the last observation year</w:t>
      </w:r>
      <w:r w:rsidR="00D06A0D">
        <w:rPr>
          <w:rFonts w:cstheme="minorHAnsi"/>
        </w:rPr>
        <w:t xml:space="preserve"> (</w:t>
      </w:r>
      <w:r>
        <w:rPr>
          <w:rFonts w:cstheme="minorHAnsi"/>
        </w:rPr>
        <w:t>2018</w:t>
      </w:r>
      <w:r w:rsidR="00D06A0D">
        <w:rPr>
          <w:rFonts w:cstheme="minorHAnsi"/>
        </w:rPr>
        <w:t>)</w:t>
      </w:r>
      <w:r>
        <w:rPr>
          <w:rFonts w:cstheme="minorHAnsi"/>
        </w:rPr>
        <w:t xml:space="preserve">, the shadow unaffordability indicator for </w:t>
      </w:r>
      <w:r w:rsidR="0021680A">
        <w:rPr>
          <w:rFonts w:cstheme="minorHAnsi"/>
        </w:rPr>
        <w:t>urban</w:t>
      </w:r>
      <w:r w:rsidR="009871BE">
        <w:rPr>
          <w:rFonts w:cstheme="minorHAnsi"/>
        </w:rPr>
        <w:t xml:space="preserve"> and</w:t>
      </w:r>
      <w:r>
        <w:rPr>
          <w:rFonts w:cstheme="minorHAnsi"/>
        </w:rPr>
        <w:t xml:space="preserve"> </w:t>
      </w:r>
      <w:r w:rsidR="0021680A">
        <w:rPr>
          <w:rFonts w:cstheme="minorHAnsi"/>
        </w:rPr>
        <w:t>rural</w:t>
      </w:r>
      <w:r>
        <w:rPr>
          <w:rFonts w:cstheme="minorHAnsi"/>
        </w:rPr>
        <w:t xml:space="preserve"> areas </w:t>
      </w:r>
      <w:r w:rsidR="0059016C">
        <w:rPr>
          <w:rFonts w:cstheme="minorHAnsi"/>
        </w:rPr>
        <w:t>were</w:t>
      </w:r>
      <w:r>
        <w:rPr>
          <w:rFonts w:cstheme="minorHAnsi"/>
        </w:rPr>
        <w:t xml:space="preserve"> 22</w:t>
      </w:r>
      <w:r w:rsidR="00A07D82">
        <w:rPr>
          <w:rFonts w:cstheme="minorHAnsi"/>
        </w:rPr>
        <w:t>.</w:t>
      </w:r>
      <w:r>
        <w:rPr>
          <w:rFonts w:cstheme="minorHAnsi"/>
        </w:rPr>
        <w:t>6%</w:t>
      </w:r>
      <w:r w:rsidR="009871BE">
        <w:rPr>
          <w:rFonts w:cstheme="minorHAnsi"/>
        </w:rPr>
        <w:t xml:space="preserve"> and </w:t>
      </w:r>
      <w:r>
        <w:rPr>
          <w:rFonts w:cstheme="minorHAnsi"/>
        </w:rPr>
        <w:t>11</w:t>
      </w:r>
      <w:r w:rsidR="00A07D82">
        <w:rPr>
          <w:rFonts w:cstheme="minorHAnsi"/>
        </w:rPr>
        <w:t>.</w:t>
      </w:r>
      <w:r>
        <w:rPr>
          <w:rFonts w:cstheme="minorHAnsi"/>
        </w:rPr>
        <w:t>3%</w:t>
      </w:r>
      <w:r w:rsidR="009871BE">
        <w:rPr>
          <w:rFonts w:cstheme="minorHAnsi"/>
        </w:rPr>
        <w:t>,</w:t>
      </w:r>
      <w:r w:rsidR="005E6E98">
        <w:rPr>
          <w:rFonts w:cstheme="minorHAnsi"/>
        </w:rPr>
        <w:t xml:space="preserve"> </w:t>
      </w:r>
      <w:r w:rsidR="006B1DDE">
        <w:rPr>
          <w:rFonts w:cstheme="minorHAnsi"/>
        </w:rPr>
        <w:t>respectively (</w:t>
      </w:r>
      <w:r w:rsidR="00A07D82">
        <w:rPr>
          <w:rFonts w:cstheme="minorHAnsi"/>
        </w:rPr>
        <w:t>Figure 36).</w:t>
      </w:r>
    </w:p>
    <w:p w14:paraId="34CB00D2" w14:textId="3319DBC9" w:rsidR="00AC52BB" w:rsidRPr="00AC52BB" w:rsidRDefault="00082663" w:rsidP="00501A83">
      <w:pPr>
        <w:pStyle w:val="Caption"/>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36</w:t>
      </w:r>
      <w:r w:rsidR="006C3BD6">
        <w:rPr>
          <w:noProof/>
        </w:rPr>
        <w:fldChar w:fldCharType="end"/>
      </w:r>
      <w:r>
        <w:t xml:space="preserve">:  </w:t>
      </w:r>
      <w:r w:rsidR="00AC52BB">
        <w:t>The share of households exceeding the</w:t>
      </w:r>
      <w:r w:rsidR="00A44ED5">
        <w:t xml:space="preserve"> extended shadow</w:t>
      </w:r>
      <w:r w:rsidR="00AC52BB">
        <w:t xml:space="preserve"> affordability threshold </w:t>
      </w:r>
      <w:r w:rsidR="008C3A8A">
        <w:t>(</w:t>
      </w:r>
      <w:r w:rsidR="00AC52BB">
        <w:t>(imaginary rent</w:t>
      </w:r>
      <w:r w:rsidR="00C97410">
        <w:t xml:space="preserve"> </w:t>
      </w:r>
      <w:r w:rsidR="00AC52BB">
        <w:t>+</w:t>
      </w:r>
      <w:r w:rsidR="00C97410">
        <w:t xml:space="preserve"> </w:t>
      </w:r>
      <w:r w:rsidR="00AC52BB">
        <w:t>exp</w:t>
      </w:r>
      <w:r w:rsidR="008C3A8A">
        <w:t>enditure)</w:t>
      </w:r>
      <w:r w:rsidR="00AC52BB">
        <w:t xml:space="preserve"> /</w:t>
      </w:r>
      <w:r w:rsidR="008C3A8A">
        <w:t>(</w:t>
      </w:r>
      <w:r w:rsidR="00AC52BB">
        <w:t>income+ imaginary rent</w:t>
      </w:r>
      <w:r w:rsidR="008C3A8A">
        <w:t>)</w:t>
      </w:r>
      <w:r w:rsidR="00AC52BB">
        <w:t xml:space="preserve">) in </w:t>
      </w:r>
      <w:r w:rsidR="00AA5768">
        <w:t xml:space="preserve">urban and rural areas </w:t>
      </w:r>
    </w:p>
    <w:p w14:paraId="46EF7CE0" w14:textId="5D8A93E3" w:rsidR="00AC52BB" w:rsidRPr="00AC52BB" w:rsidRDefault="004F428D" w:rsidP="00AC52BB">
      <w:r>
        <w:rPr>
          <w:noProof/>
        </w:rPr>
        <w:drawing>
          <wp:anchor distT="0" distB="0" distL="114300" distR="114300" simplePos="0" relativeHeight="251674624" behindDoc="1" locked="0" layoutInCell="1" allowOverlap="1" wp14:anchorId="1684B92B" wp14:editId="1AFBC620">
            <wp:simplePos x="0" y="0"/>
            <wp:positionH relativeFrom="margin">
              <wp:posOffset>2852928</wp:posOffset>
            </wp:positionH>
            <wp:positionV relativeFrom="paragraph">
              <wp:posOffset>11201</wp:posOffset>
            </wp:positionV>
            <wp:extent cx="2838450" cy="2162175"/>
            <wp:effectExtent l="0" t="0" r="0"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00190F71">
        <w:rPr>
          <w:noProof/>
        </w:rPr>
        <w:drawing>
          <wp:anchor distT="0" distB="0" distL="114300" distR="114300" simplePos="0" relativeHeight="251673600" behindDoc="1" locked="0" layoutInCell="1" allowOverlap="1" wp14:anchorId="59B88EA0" wp14:editId="430541FB">
            <wp:simplePos x="0" y="0"/>
            <wp:positionH relativeFrom="margin">
              <wp:align>left</wp:align>
            </wp:positionH>
            <wp:positionV relativeFrom="paragraph">
              <wp:posOffset>9043</wp:posOffset>
            </wp:positionV>
            <wp:extent cx="2867025" cy="2162175"/>
            <wp:effectExtent l="0" t="0" r="9525" b="9525"/>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36B903F6" w14:textId="77777777" w:rsidR="00082663" w:rsidRDefault="00082663" w:rsidP="00976D0B">
      <w:pPr>
        <w:jc w:val="both"/>
        <w:rPr>
          <w:rFonts w:cstheme="minorHAnsi"/>
        </w:rPr>
      </w:pPr>
    </w:p>
    <w:p w14:paraId="72D9BD6B" w14:textId="77777777" w:rsidR="00082663" w:rsidRDefault="00082663" w:rsidP="00976D0B">
      <w:pPr>
        <w:jc w:val="both"/>
        <w:rPr>
          <w:rFonts w:cstheme="minorHAnsi"/>
        </w:rPr>
      </w:pPr>
    </w:p>
    <w:p w14:paraId="2644B5E6" w14:textId="5101EC2F" w:rsidR="00082663" w:rsidRDefault="00B62760" w:rsidP="00976D0B">
      <w:pPr>
        <w:tabs>
          <w:tab w:val="left" w:pos="5520"/>
        </w:tabs>
        <w:jc w:val="both"/>
        <w:rPr>
          <w:rFonts w:cstheme="minorHAnsi"/>
        </w:rPr>
      </w:pPr>
      <w:r>
        <w:rPr>
          <w:rFonts w:cstheme="minorHAnsi"/>
        </w:rPr>
        <w:tab/>
      </w:r>
    </w:p>
    <w:p w14:paraId="3502EE21" w14:textId="5BB35680" w:rsidR="00082663" w:rsidRDefault="00D86E55" w:rsidP="00D86E55">
      <w:pPr>
        <w:tabs>
          <w:tab w:val="left" w:pos="3772"/>
        </w:tabs>
        <w:jc w:val="both"/>
        <w:rPr>
          <w:rFonts w:cstheme="minorHAnsi"/>
        </w:rPr>
      </w:pPr>
      <w:r>
        <w:rPr>
          <w:rFonts w:cstheme="minorHAnsi"/>
        </w:rPr>
        <w:tab/>
      </w:r>
    </w:p>
    <w:p w14:paraId="71E03AF0" w14:textId="77777777" w:rsidR="00A44ED5" w:rsidRDefault="00A44ED5" w:rsidP="00976D0B">
      <w:pPr>
        <w:jc w:val="both"/>
        <w:rPr>
          <w:rFonts w:cstheme="minorHAnsi"/>
        </w:rPr>
      </w:pPr>
    </w:p>
    <w:p w14:paraId="186964E4" w14:textId="3008D6EC" w:rsidR="00A44ED5" w:rsidRDefault="00A44ED5" w:rsidP="00976D0B">
      <w:pPr>
        <w:jc w:val="both"/>
        <w:rPr>
          <w:i/>
          <w:iCs/>
          <w:color w:val="44546A" w:themeColor="text2"/>
          <w:sz w:val="18"/>
          <w:szCs w:val="18"/>
        </w:rPr>
      </w:pPr>
    </w:p>
    <w:p w14:paraId="4805619A" w14:textId="77777777" w:rsidR="004F428D" w:rsidRDefault="004F428D" w:rsidP="00976D0B">
      <w:pPr>
        <w:jc w:val="both"/>
        <w:rPr>
          <w:i/>
          <w:iCs/>
          <w:color w:val="44546A" w:themeColor="text2"/>
          <w:sz w:val="18"/>
          <w:szCs w:val="18"/>
        </w:rPr>
      </w:pPr>
    </w:p>
    <w:p w14:paraId="63EA4986" w14:textId="65B0BB11" w:rsidR="00A44ED5" w:rsidRDefault="004F428D" w:rsidP="00976D0B">
      <w:pPr>
        <w:jc w:val="both"/>
        <w:rPr>
          <w:rFonts w:cstheme="minorHAnsi"/>
        </w:rPr>
      </w:pPr>
      <w:r>
        <w:rPr>
          <w:i/>
          <w:iCs/>
          <w:color w:val="44546A" w:themeColor="text2"/>
          <w:sz w:val="18"/>
          <w:szCs w:val="18"/>
        </w:rPr>
        <w:t xml:space="preserve">Source: </w:t>
      </w:r>
      <w:r w:rsidR="00B62760">
        <w:rPr>
          <w:i/>
          <w:iCs/>
          <w:color w:val="44546A" w:themeColor="text2"/>
          <w:sz w:val="18"/>
          <w:szCs w:val="18"/>
        </w:rPr>
        <w:t>Integrated Household Survey (IHS)</w:t>
      </w:r>
    </w:p>
    <w:p w14:paraId="0155BE76" w14:textId="1589D62D" w:rsidR="00B62760" w:rsidRPr="006228D0" w:rsidRDefault="00082663" w:rsidP="00976D0B">
      <w:pPr>
        <w:jc w:val="both"/>
        <w:rPr>
          <w:rFonts w:cstheme="minorHAnsi"/>
          <w:color w:val="FF0000"/>
        </w:rPr>
      </w:pPr>
      <w:r>
        <w:rPr>
          <w:rFonts w:cstheme="minorHAnsi"/>
        </w:rPr>
        <w:lastRenderedPageBreak/>
        <w:t xml:space="preserve">The last subcategory of insecure housing are </w:t>
      </w:r>
      <w:r w:rsidRPr="006066AB">
        <w:rPr>
          <w:rFonts w:cstheme="minorHAnsi"/>
          <w:b/>
          <w:bCs/>
          <w:i/>
          <w:iCs/>
        </w:rPr>
        <w:t>people who live under the threat of violence</w:t>
      </w:r>
      <w:r w:rsidR="00693F58">
        <w:rPr>
          <w:rFonts w:cstheme="minorHAnsi"/>
          <w:b/>
          <w:bCs/>
          <w:i/>
          <w:iCs/>
        </w:rPr>
        <w:t>.</w:t>
      </w:r>
      <w:r w:rsidR="00B62760">
        <w:rPr>
          <w:rFonts w:cstheme="minorHAnsi"/>
        </w:rPr>
        <w:t xml:space="preserve"> </w:t>
      </w:r>
    </w:p>
    <w:p w14:paraId="73B5C696" w14:textId="34DB4654" w:rsidR="000B2486" w:rsidRDefault="00DD2E0F" w:rsidP="00976D0B">
      <w:pPr>
        <w:jc w:val="both"/>
      </w:pPr>
      <w:r>
        <w:rPr>
          <w:rFonts w:cstheme="minorHAnsi"/>
        </w:rPr>
        <w:t>The a</w:t>
      </w:r>
      <w:r w:rsidR="00082663">
        <w:rPr>
          <w:rFonts w:cstheme="minorHAnsi"/>
        </w:rPr>
        <w:t xml:space="preserve">nalytical department of </w:t>
      </w:r>
      <w:r>
        <w:rPr>
          <w:rFonts w:cstheme="minorHAnsi"/>
        </w:rPr>
        <w:t xml:space="preserve">the </w:t>
      </w:r>
      <w:r w:rsidR="00082663">
        <w:rPr>
          <w:rFonts w:cstheme="minorHAnsi"/>
        </w:rPr>
        <w:t>Ministry of Internal Affairs publish</w:t>
      </w:r>
      <w:r>
        <w:rPr>
          <w:rFonts w:cstheme="minorHAnsi"/>
        </w:rPr>
        <w:t>es</w:t>
      </w:r>
      <w:r w:rsidR="00082663">
        <w:rPr>
          <w:rFonts w:cstheme="minorHAnsi"/>
        </w:rPr>
        <w:t xml:space="preserve"> public information about domestic violence since </w:t>
      </w:r>
      <w:r w:rsidR="007849E1">
        <w:rPr>
          <w:rFonts w:cstheme="minorHAnsi"/>
        </w:rPr>
        <w:t xml:space="preserve">the year </w:t>
      </w:r>
      <w:r w:rsidR="00082663">
        <w:rPr>
          <w:rFonts w:cstheme="minorHAnsi"/>
        </w:rPr>
        <w:t>2015</w:t>
      </w:r>
      <w:r w:rsidR="00693F58">
        <w:rPr>
          <w:rFonts w:cstheme="minorHAnsi"/>
        </w:rPr>
        <w:t>.</w:t>
      </w:r>
      <w:r w:rsidR="00082663">
        <w:rPr>
          <w:rFonts w:cstheme="minorHAnsi"/>
        </w:rPr>
        <w:t xml:space="preserve"> They provide the information about the number of domestic violence cases and also </w:t>
      </w:r>
      <w:r w:rsidR="007849E1">
        <w:rPr>
          <w:rFonts w:cstheme="minorHAnsi"/>
        </w:rPr>
        <w:t xml:space="preserve">the </w:t>
      </w:r>
      <w:r w:rsidR="00082663">
        <w:rPr>
          <w:rFonts w:cstheme="minorHAnsi"/>
        </w:rPr>
        <w:t>number of victims</w:t>
      </w:r>
      <w:r w:rsidR="00A44ED5">
        <w:rPr>
          <w:rFonts w:cstheme="minorHAnsi"/>
        </w:rPr>
        <w:t>.</w:t>
      </w:r>
      <w:r w:rsidR="00082663">
        <w:rPr>
          <w:rFonts w:cstheme="minorHAnsi"/>
        </w:rPr>
        <w:t xml:space="preserve"> </w:t>
      </w:r>
      <w:r w:rsidR="007849E1">
        <w:rPr>
          <w:rFonts w:cstheme="minorHAnsi"/>
        </w:rPr>
        <w:t xml:space="preserve">Figure </w:t>
      </w:r>
      <w:r w:rsidR="00693F58">
        <w:rPr>
          <w:rFonts w:cstheme="minorHAnsi"/>
        </w:rPr>
        <w:t>37</w:t>
      </w:r>
      <w:r w:rsidR="00A44ED5">
        <w:rPr>
          <w:rFonts w:cstheme="minorHAnsi"/>
        </w:rPr>
        <w:t xml:space="preserve"> shows </w:t>
      </w:r>
      <w:r w:rsidR="00083474">
        <w:rPr>
          <w:rFonts w:cstheme="minorHAnsi"/>
        </w:rPr>
        <w:t>that the</w:t>
      </w:r>
      <w:r w:rsidR="00082663">
        <w:rPr>
          <w:rFonts w:cstheme="minorHAnsi"/>
        </w:rPr>
        <w:t xml:space="preserve"> trend is upward sloping, which means either the problem is becoming more severe or it is just the case that people lately </w:t>
      </w:r>
      <w:r w:rsidR="003D01A0">
        <w:rPr>
          <w:rFonts w:cstheme="minorHAnsi"/>
        </w:rPr>
        <w:t xml:space="preserve">realize that they should </w:t>
      </w:r>
      <w:r w:rsidR="00082663">
        <w:rPr>
          <w:rFonts w:cstheme="minorHAnsi"/>
        </w:rPr>
        <w:t>announce about domestic violence</w:t>
      </w:r>
      <w:r w:rsidR="00A75F4F">
        <w:rPr>
          <w:rFonts w:cstheme="minorHAnsi"/>
        </w:rPr>
        <w:t xml:space="preserve"> to the police</w:t>
      </w:r>
      <w:r w:rsidR="00A75F4F">
        <w:rPr>
          <w:rStyle w:val="FootnoteReference"/>
          <w:rFonts w:cstheme="minorHAnsi"/>
        </w:rPr>
        <w:footnoteReference w:id="35"/>
      </w:r>
      <w:r w:rsidR="00A75F4F">
        <w:rPr>
          <w:rFonts w:cstheme="minorHAnsi"/>
        </w:rPr>
        <w:t xml:space="preserve"> </w:t>
      </w:r>
      <w:r w:rsidR="00693F58">
        <w:rPr>
          <w:rFonts w:cstheme="minorHAnsi"/>
        </w:rPr>
        <w:t xml:space="preserve">. </w:t>
      </w:r>
      <w:r w:rsidR="003E15BE">
        <w:rPr>
          <w:rFonts w:cstheme="minorHAnsi"/>
        </w:rPr>
        <w:t xml:space="preserve">This is actually fully consistent with the </w:t>
      </w:r>
      <w:r w:rsidR="003E15BE" w:rsidRPr="006066AB">
        <w:rPr>
          <w:rFonts w:cstheme="minorHAnsi"/>
        </w:rPr>
        <w:t>statistics</w:t>
      </w:r>
      <w:r w:rsidR="00082663">
        <w:rPr>
          <w:rFonts w:cstheme="minorHAnsi"/>
        </w:rPr>
        <w:t xml:space="preserve"> </w:t>
      </w:r>
      <w:r w:rsidR="003E15BE">
        <w:rPr>
          <w:rFonts w:cstheme="minorHAnsi"/>
        </w:rPr>
        <w:t xml:space="preserve">about </w:t>
      </w:r>
      <w:r w:rsidR="00A44ED5">
        <w:rPr>
          <w:rFonts w:cstheme="minorHAnsi"/>
        </w:rPr>
        <w:t>t</w:t>
      </w:r>
      <w:r w:rsidR="003E15BE" w:rsidRPr="00610BE1">
        <w:rPr>
          <w:rFonts w:cstheme="minorHAnsi"/>
        </w:rPr>
        <w:t xml:space="preserve">he </w:t>
      </w:r>
      <w:r w:rsidR="00A44ED5" w:rsidRPr="00610BE1">
        <w:rPr>
          <w:rFonts w:cstheme="minorHAnsi"/>
        </w:rPr>
        <w:t>numbers</w:t>
      </w:r>
      <w:r w:rsidR="003E15BE" w:rsidRPr="00610BE1">
        <w:rPr>
          <w:rFonts w:cstheme="minorHAnsi"/>
        </w:rPr>
        <w:t xml:space="preserve"> of beneficiaries in domestic violence centers</w:t>
      </w:r>
      <w:r w:rsidR="000B2486" w:rsidRPr="00CF01FB">
        <w:rPr>
          <w:rFonts w:cstheme="minorHAnsi"/>
        </w:rPr>
        <w:t>, discussed previously</w:t>
      </w:r>
      <w:r w:rsidR="00693F58">
        <w:t>.</w:t>
      </w:r>
    </w:p>
    <w:p w14:paraId="7C447DA7" w14:textId="27D94FF0" w:rsidR="007C44B3" w:rsidRDefault="00082663" w:rsidP="00976D0B">
      <w:pPr>
        <w:jc w:val="both"/>
        <w:rPr>
          <w:rFonts w:cstheme="minorHAnsi"/>
        </w:rPr>
      </w:pPr>
      <w:r>
        <w:rPr>
          <w:rFonts w:cstheme="minorHAnsi"/>
        </w:rPr>
        <w:t xml:space="preserve">The number of cases </w:t>
      </w:r>
      <w:r w:rsidR="003D01A0">
        <w:rPr>
          <w:rFonts w:cstheme="minorHAnsi"/>
        </w:rPr>
        <w:t>has</w:t>
      </w:r>
      <w:r>
        <w:rPr>
          <w:rFonts w:cstheme="minorHAnsi"/>
        </w:rPr>
        <w:t xml:space="preserve"> increased from </w:t>
      </w:r>
      <w:r w:rsidR="00F65205">
        <w:rPr>
          <w:rFonts w:cstheme="minorHAnsi"/>
        </w:rPr>
        <w:t>2,</w:t>
      </w:r>
      <w:r>
        <w:rPr>
          <w:rFonts w:cstheme="minorHAnsi"/>
        </w:rPr>
        <w:t>722 to 5</w:t>
      </w:r>
      <w:r w:rsidR="00F65205">
        <w:rPr>
          <w:rFonts w:cstheme="minorHAnsi"/>
        </w:rPr>
        <w:t>,</w:t>
      </w:r>
      <w:r>
        <w:rPr>
          <w:rFonts w:cstheme="minorHAnsi"/>
        </w:rPr>
        <w:t xml:space="preserve">399 during the observation period, while the number of victims </w:t>
      </w:r>
      <w:r w:rsidR="003D01A0">
        <w:rPr>
          <w:rFonts w:cstheme="minorHAnsi"/>
        </w:rPr>
        <w:t>has</w:t>
      </w:r>
      <w:r>
        <w:rPr>
          <w:rFonts w:cstheme="minorHAnsi"/>
        </w:rPr>
        <w:t xml:space="preserve"> increased from 2</w:t>
      </w:r>
      <w:r w:rsidR="00F65205">
        <w:rPr>
          <w:rFonts w:cstheme="minorHAnsi"/>
        </w:rPr>
        <w:t>,</w:t>
      </w:r>
      <w:r>
        <w:rPr>
          <w:rFonts w:cstheme="minorHAnsi"/>
        </w:rPr>
        <w:t>638 to 6</w:t>
      </w:r>
      <w:r w:rsidR="00F65205">
        <w:rPr>
          <w:rFonts w:cstheme="minorHAnsi"/>
        </w:rPr>
        <w:t>,</w:t>
      </w:r>
      <w:r>
        <w:rPr>
          <w:rFonts w:cstheme="minorHAnsi"/>
        </w:rPr>
        <w:t>893</w:t>
      </w:r>
      <w:r w:rsidR="00842C1C">
        <w:rPr>
          <w:rFonts w:cstheme="minorHAnsi"/>
        </w:rPr>
        <w:t xml:space="preserve"> (Figure 37).</w:t>
      </w:r>
      <w:r>
        <w:rPr>
          <w:rFonts w:cstheme="minorHAnsi"/>
        </w:rPr>
        <w:t xml:space="preserve"> </w:t>
      </w:r>
      <w:r w:rsidR="003420DE">
        <w:rPr>
          <w:rFonts w:cstheme="minorHAnsi"/>
        </w:rPr>
        <w:t>The data below indicates that d</w:t>
      </w:r>
      <w:r>
        <w:rPr>
          <w:rFonts w:cstheme="minorHAnsi"/>
        </w:rPr>
        <w:t>omestic violence might happen for the same individuals for more than once</w:t>
      </w:r>
      <w:r w:rsidR="003420DE">
        <w:rPr>
          <w:rFonts w:cstheme="minorHAnsi"/>
        </w:rPr>
        <w:t>.</w:t>
      </w:r>
      <w:r>
        <w:rPr>
          <w:rFonts w:cstheme="minorHAnsi"/>
        </w:rPr>
        <w:t xml:space="preserve"> If it is assumed that </w:t>
      </w:r>
      <w:r w:rsidR="000B2486">
        <w:rPr>
          <w:rFonts w:cstheme="minorHAnsi"/>
        </w:rPr>
        <w:t xml:space="preserve">all </w:t>
      </w:r>
      <w:r>
        <w:rPr>
          <w:rFonts w:cstheme="minorHAnsi"/>
        </w:rPr>
        <w:t>victim</w:t>
      </w:r>
      <w:r w:rsidR="003420DE">
        <w:rPr>
          <w:rFonts w:cstheme="minorHAnsi"/>
        </w:rPr>
        <w:t>s</w:t>
      </w:r>
      <w:r>
        <w:rPr>
          <w:rFonts w:cstheme="minorHAnsi"/>
        </w:rPr>
        <w:t xml:space="preserve"> </w:t>
      </w:r>
      <w:r w:rsidR="003420DE">
        <w:rPr>
          <w:rFonts w:cstheme="minorHAnsi"/>
        </w:rPr>
        <w:t>belong</w:t>
      </w:r>
      <w:r w:rsidR="000B2486">
        <w:rPr>
          <w:rFonts w:cstheme="minorHAnsi"/>
        </w:rPr>
        <w:t xml:space="preserve"> to different </w:t>
      </w:r>
      <w:r>
        <w:rPr>
          <w:rFonts w:cstheme="minorHAnsi"/>
        </w:rPr>
        <w:t>households</w:t>
      </w:r>
      <w:r w:rsidR="000B2486">
        <w:rPr>
          <w:rFonts w:cstheme="minorHAnsi"/>
        </w:rPr>
        <w:t>,</w:t>
      </w:r>
      <w:r>
        <w:rPr>
          <w:rFonts w:cstheme="minorHAnsi"/>
        </w:rPr>
        <w:t xml:space="preserve"> the share of the households under the domestic violence </w:t>
      </w:r>
      <w:r w:rsidR="009479FC">
        <w:rPr>
          <w:rFonts w:cstheme="minorHAnsi"/>
        </w:rPr>
        <w:t>amounted</w:t>
      </w:r>
      <w:r>
        <w:rPr>
          <w:rFonts w:cstheme="minorHAnsi"/>
        </w:rPr>
        <w:t xml:space="preserve"> to 0</w:t>
      </w:r>
      <w:r w:rsidR="00A07D82">
        <w:rPr>
          <w:rFonts w:cstheme="minorHAnsi"/>
        </w:rPr>
        <w:t>.</w:t>
      </w:r>
      <w:r>
        <w:rPr>
          <w:rFonts w:cstheme="minorHAnsi"/>
        </w:rPr>
        <w:t>25% (0</w:t>
      </w:r>
      <w:r w:rsidR="00A07D82">
        <w:rPr>
          <w:rFonts w:cstheme="minorHAnsi"/>
        </w:rPr>
        <w:t>.</w:t>
      </w:r>
      <w:r>
        <w:rPr>
          <w:rFonts w:cstheme="minorHAnsi"/>
        </w:rPr>
        <w:t>07% of total population</w:t>
      </w:r>
      <w:r>
        <w:rPr>
          <w:rStyle w:val="FootnoteReference"/>
          <w:rFonts w:cstheme="minorHAnsi"/>
        </w:rPr>
        <w:footnoteReference w:id="36"/>
      </w:r>
      <w:r w:rsidR="009479FC">
        <w:rPr>
          <w:rFonts w:cstheme="minorHAnsi"/>
        </w:rPr>
        <w:t>) in 2015 and increased</w:t>
      </w:r>
      <w:r>
        <w:rPr>
          <w:rFonts w:cstheme="minorHAnsi"/>
        </w:rPr>
        <w:t xml:space="preserve"> to up to 0</w:t>
      </w:r>
      <w:r w:rsidR="00A07D82">
        <w:rPr>
          <w:rFonts w:cstheme="minorHAnsi"/>
        </w:rPr>
        <w:t>.</w:t>
      </w:r>
      <w:r>
        <w:rPr>
          <w:rFonts w:cstheme="minorHAnsi"/>
        </w:rPr>
        <w:t>66% (0</w:t>
      </w:r>
      <w:r w:rsidR="00A07D82">
        <w:rPr>
          <w:rFonts w:cstheme="minorHAnsi"/>
        </w:rPr>
        <w:t>.</w:t>
      </w:r>
      <w:r>
        <w:rPr>
          <w:rFonts w:cstheme="minorHAnsi"/>
        </w:rPr>
        <w:t>18% of total population) in 2018</w:t>
      </w:r>
      <w:r w:rsidR="00A07D82">
        <w:rPr>
          <w:rFonts w:cstheme="minorHAnsi"/>
        </w:rPr>
        <w:t>.</w:t>
      </w:r>
    </w:p>
    <w:p w14:paraId="704B27BC" w14:textId="47DA244B" w:rsidR="00082663" w:rsidRDefault="00082663" w:rsidP="00976D0B">
      <w:pPr>
        <w:pStyle w:val="Caption"/>
        <w:jc w:val="both"/>
        <w:rPr>
          <w:rFonts w:cstheme="minorHAnsi"/>
        </w:rPr>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37</w:t>
      </w:r>
      <w:r w:rsidR="006C3BD6">
        <w:rPr>
          <w:noProof/>
        </w:rPr>
        <w:fldChar w:fldCharType="end"/>
      </w:r>
      <w:r>
        <w:t xml:space="preserve">: </w:t>
      </w:r>
      <w:r w:rsidR="00083474">
        <w:t>Number</w:t>
      </w:r>
      <w:r>
        <w:t xml:space="preserve"> </w:t>
      </w:r>
      <w:r w:rsidR="00D86E55">
        <w:t xml:space="preserve">of </w:t>
      </w:r>
      <w:r>
        <w:t xml:space="preserve">cases and victims of </w:t>
      </w:r>
      <w:r w:rsidR="00083474">
        <w:t>d</w:t>
      </w:r>
      <w:r>
        <w:t>omestic</w:t>
      </w:r>
      <w:r w:rsidR="00083474">
        <w:t xml:space="preserve"> v</w:t>
      </w:r>
      <w:r>
        <w:t>iolence in Georgia</w:t>
      </w:r>
    </w:p>
    <w:p w14:paraId="0E405D0C" w14:textId="5155A713" w:rsidR="00082663" w:rsidRDefault="00082663" w:rsidP="00F65205">
      <w:pPr>
        <w:spacing w:after="0"/>
        <w:jc w:val="both"/>
        <w:rPr>
          <w:rFonts w:ascii="Sylfaen" w:hAnsi="Sylfaen" w:cstheme="minorHAnsi"/>
          <w:color w:val="FF0000"/>
        </w:rPr>
      </w:pPr>
      <w:r>
        <w:rPr>
          <w:noProof/>
        </w:rPr>
        <w:drawing>
          <wp:inline distT="0" distB="0" distL="0" distR="0" wp14:anchorId="7C7DC988" wp14:editId="2FC7E319">
            <wp:extent cx="5724525" cy="23241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DF76768" w14:textId="5F8A9931" w:rsidR="00092187" w:rsidRDefault="00092187" w:rsidP="00976D0B">
      <w:pPr>
        <w:jc w:val="both"/>
        <w:rPr>
          <w:i/>
          <w:iCs/>
          <w:color w:val="44546A" w:themeColor="text2"/>
          <w:sz w:val="18"/>
          <w:szCs w:val="18"/>
        </w:rPr>
      </w:pPr>
      <w:r>
        <w:rPr>
          <w:i/>
          <w:iCs/>
          <w:color w:val="44546A" w:themeColor="text2"/>
          <w:sz w:val="18"/>
          <w:szCs w:val="18"/>
        </w:rPr>
        <w:t>Source: Ministry of Internal Affairs</w:t>
      </w:r>
    </w:p>
    <w:p w14:paraId="54E56FE8" w14:textId="05703EF3" w:rsidR="007C44B3" w:rsidRPr="00C510FB" w:rsidRDefault="007C44B3" w:rsidP="00976D0B">
      <w:pPr>
        <w:jc w:val="both"/>
        <w:rPr>
          <w:rFonts w:cstheme="minorHAnsi"/>
        </w:rPr>
      </w:pPr>
      <w:r w:rsidRPr="00C510FB">
        <w:rPr>
          <w:rFonts w:cstheme="minorHAnsi"/>
        </w:rPr>
        <w:t>As the number of victims and cases</w:t>
      </w:r>
      <w:r w:rsidR="00C52A2F">
        <w:rPr>
          <w:rFonts w:cstheme="minorHAnsi"/>
        </w:rPr>
        <w:t xml:space="preserve"> is</w:t>
      </w:r>
      <w:r w:rsidRPr="00C510FB">
        <w:rPr>
          <w:rFonts w:cstheme="minorHAnsi"/>
        </w:rPr>
        <w:t xml:space="preserve"> increas</w:t>
      </w:r>
      <w:r w:rsidR="00C52A2F">
        <w:rPr>
          <w:rFonts w:cstheme="minorHAnsi"/>
        </w:rPr>
        <w:t>ing</w:t>
      </w:r>
      <w:r w:rsidRPr="00C510FB">
        <w:rPr>
          <w:rFonts w:cstheme="minorHAnsi"/>
        </w:rPr>
        <w:t xml:space="preserve"> over time</w:t>
      </w:r>
      <w:r>
        <w:rPr>
          <w:rFonts w:cstheme="minorHAnsi"/>
        </w:rPr>
        <w:t xml:space="preserve">, </w:t>
      </w:r>
      <w:r w:rsidR="0097559D">
        <w:rPr>
          <w:rFonts w:cstheme="minorHAnsi"/>
        </w:rPr>
        <w:t xml:space="preserve">we can expect a greater pressure on the social services supporting them and also an increase </w:t>
      </w:r>
      <w:r w:rsidR="00007902">
        <w:rPr>
          <w:rFonts w:cstheme="minorHAnsi"/>
        </w:rPr>
        <w:t xml:space="preserve">in the number of individuals belonging to this category being </w:t>
      </w:r>
      <w:r>
        <w:rPr>
          <w:rFonts w:cstheme="minorHAnsi"/>
        </w:rPr>
        <w:t>exposed to risk of homelessness</w:t>
      </w:r>
      <w:r w:rsidR="00693F58">
        <w:rPr>
          <w:rFonts w:cstheme="minorHAnsi"/>
        </w:rPr>
        <w:t>.</w:t>
      </w:r>
    </w:p>
    <w:p w14:paraId="09FB6A6C" w14:textId="75B6F9A8" w:rsidR="003420DE" w:rsidRDefault="003420DE" w:rsidP="006066AB">
      <w:pPr>
        <w:jc w:val="both"/>
        <w:rPr>
          <w:b/>
          <w:bCs/>
        </w:rPr>
      </w:pPr>
    </w:p>
    <w:p w14:paraId="07949B7E" w14:textId="4643083B" w:rsidR="004076AD" w:rsidRDefault="004076AD" w:rsidP="006066AB">
      <w:pPr>
        <w:jc w:val="both"/>
        <w:rPr>
          <w:b/>
          <w:bCs/>
        </w:rPr>
      </w:pPr>
    </w:p>
    <w:p w14:paraId="149FACD5" w14:textId="77777777" w:rsidR="004076AD" w:rsidRDefault="004076AD" w:rsidP="006066AB">
      <w:pPr>
        <w:jc w:val="both"/>
        <w:rPr>
          <w:b/>
          <w:bCs/>
        </w:rPr>
      </w:pPr>
    </w:p>
    <w:p w14:paraId="62A089FE" w14:textId="2F8F3121" w:rsidR="00082663" w:rsidRPr="006066AB" w:rsidRDefault="00082663" w:rsidP="006066AB">
      <w:pPr>
        <w:jc w:val="both"/>
        <w:rPr>
          <w:b/>
          <w:bCs/>
        </w:rPr>
      </w:pPr>
      <w:r w:rsidRPr="006066AB">
        <w:rPr>
          <w:b/>
          <w:bCs/>
        </w:rPr>
        <w:lastRenderedPageBreak/>
        <w:t>People Living in Inadequate Housing</w:t>
      </w:r>
    </w:p>
    <w:p w14:paraId="3C5F24F3" w14:textId="4C0FB72D" w:rsidR="00082663" w:rsidRDefault="00C02A72" w:rsidP="00976D0B">
      <w:pPr>
        <w:jc w:val="both"/>
        <w:rPr>
          <w:rFonts w:cstheme="minorHAnsi"/>
        </w:rPr>
      </w:pPr>
      <w:r>
        <w:rPr>
          <w:rFonts w:cstheme="minorHAnsi"/>
        </w:rPr>
        <w:t xml:space="preserve">As it was already mentioned </w:t>
      </w:r>
      <w:r w:rsidR="00082663">
        <w:rPr>
          <w:rFonts w:cstheme="minorHAnsi"/>
        </w:rPr>
        <w:t xml:space="preserve">there is no official statistical </w:t>
      </w:r>
      <w:r w:rsidR="00007902">
        <w:rPr>
          <w:rFonts w:cstheme="minorHAnsi"/>
        </w:rPr>
        <w:t>about</w:t>
      </w:r>
      <w:r w:rsidR="00082663">
        <w:rPr>
          <w:rFonts w:cstheme="minorHAnsi"/>
        </w:rPr>
        <w:t xml:space="preserve"> households </w:t>
      </w:r>
      <w:r w:rsidR="002D0C01">
        <w:rPr>
          <w:rFonts w:cstheme="minorHAnsi"/>
        </w:rPr>
        <w:t>living in</w:t>
      </w:r>
      <w:r w:rsidR="00082663">
        <w:rPr>
          <w:rFonts w:cstheme="minorHAnsi"/>
        </w:rPr>
        <w:t xml:space="preserve"> </w:t>
      </w:r>
      <w:r w:rsidR="00082663" w:rsidRPr="00D11BED">
        <w:rPr>
          <w:rFonts w:cstheme="minorHAnsi"/>
        </w:rPr>
        <w:t>temporary/non-conventional structures</w:t>
      </w:r>
      <w:r w:rsidR="00E84644">
        <w:rPr>
          <w:rFonts w:cstheme="minorHAnsi"/>
        </w:rPr>
        <w:t>, with the exception of data from the</w:t>
      </w:r>
      <w:r w:rsidR="00082663">
        <w:rPr>
          <w:rFonts w:cstheme="minorHAnsi"/>
        </w:rPr>
        <w:t xml:space="preserve"> </w:t>
      </w:r>
      <w:r w:rsidR="00E84644">
        <w:rPr>
          <w:rFonts w:cstheme="minorHAnsi"/>
        </w:rPr>
        <w:t xml:space="preserve">2014 </w:t>
      </w:r>
      <w:r w:rsidR="00082663">
        <w:rPr>
          <w:rFonts w:cstheme="minorHAnsi"/>
        </w:rPr>
        <w:t>Census</w:t>
      </w:r>
      <w:r w:rsidR="001C442B">
        <w:rPr>
          <w:rFonts w:cstheme="minorHAnsi"/>
        </w:rPr>
        <w:t>.</w:t>
      </w:r>
      <w:r w:rsidR="00E84644">
        <w:rPr>
          <w:rFonts w:cstheme="minorHAnsi"/>
        </w:rPr>
        <w:t xml:space="preserve"> According to the Census, 0</w:t>
      </w:r>
      <w:r w:rsidR="00D40DD9">
        <w:rPr>
          <w:rFonts w:cstheme="minorHAnsi"/>
        </w:rPr>
        <w:t>.</w:t>
      </w:r>
      <w:r w:rsidR="00E84644">
        <w:rPr>
          <w:rFonts w:cstheme="minorHAnsi"/>
        </w:rPr>
        <w:t>2% of the total Georgian households</w:t>
      </w:r>
      <w:r w:rsidR="00DB6FCA">
        <w:rPr>
          <w:rFonts w:cstheme="minorHAnsi"/>
        </w:rPr>
        <w:t xml:space="preserve"> </w:t>
      </w:r>
      <w:r w:rsidR="00082663">
        <w:rPr>
          <w:rFonts w:cstheme="minorHAnsi"/>
        </w:rPr>
        <w:t xml:space="preserve">were living in </w:t>
      </w:r>
      <w:r w:rsidR="00DB6FCA">
        <w:rPr>
          <w:rFonts w:cstheme="minorHAnsi"/>
        </w:rPr>
        <w:t>“</w:t>
      </w:r>
      <w:r w:rsidR="00082663">
        <w:rPr>
          <w:rFonts w:cstheme="minorHAnsi"/>
        </w:rPr>
        <w:t>other type</w:t>
      </w:r>
      <w:r w:rsidR="00DB6FCA">
        <w:rPr>
          <w:rFonts w:cstheme="minorHAnsi"/>
        </w:rPr>
        <w:t>”</w:t>
      </w:r>
      <w:r w:rsidR="00082663">
        <w:rPr>
          <w:rFonts w:cstheme="minorHAnsi"/>
        </w:rPr>
        <w:t xml:space="preserve"> of housings</w:t>
      </w:r>
      <w:r w:rsidR="00DB6FCA">
        <w:rPr>
          <w:rFonts w:cstheme="minorHAnsi"/>
        </w:rPr>
        <w:t xml:space="preserve"> in 2014</w:t>
      </w:r>
      <w:r w:rsidR="00D40DD9">
        <w:rPr>
          <w:rFonts w:cstheme="minorHAnsi"/>
        </w:rPr>
        <w:t>.</w:t>
      </w:r>
      <w:r w:rsidR="00082663">
        <w:rPr>
          <w:rFonts w:cstheme="minorHAnsi"/>
        </w:rPr>
        <w:t xml:space="preserve"> </w:t>
      </w:r>
    </w:p>
    <w:p w14:paraId="62541436" w14:textId="49EA0882" w:rsidR="006A3C08" w:rsidRDefault="00082663" w:rsidP="00976D0B">
      <w:pPr>
        <w:jc w:val="both"/>
        <w:rPr>
          <w:rFonts w:cstheme="minorHAnsi"/>
        </w:rPr>
      </w:pPr>
      <w:r w:rsidRPr="00A7274B">
        <w:rPr>
          <w:rFonts w:cstheme="minorHAnsi"/>
        </w:rPr>
        <w:t xml:space="preserve">As for </w:t>
      </w:r>
      <w:r w:rsidRPr="006066AB">
        <w:rPr>
          <w:rFonts w:cstheme="minorHAnsi"/>
          <w:b/>
          <w:bCs/>
          <w:i/>
          <w:iCs/>
        </w:rPr>
        <w:t>unfit housing</w:t>
      </w:r>
      <w:r w:rsidRPr="00A7274B">
        <w:rPr>
          <w:rFonts w:cstheme="minorHAnsi"/>
        </w:rPr>
        <w:t xml:space="preserve">, </w:t>
      </w:r>
      <w:r w:rsidR="00A7274B" w:rsidRPr="00A7274B">
        <w:rPr>
          <w:rFonts w:cstheme="minorHAnsi"/>
        </w:rPr>
        <w:t xml:space="preserve">as </w:t>
      </w:r>
      <w:r w:rsidRPr="00A7274B">
        <w:rPr>
          <w:rFonts w:cstheme="minorHAnsi"/>
        </w:rPr>
        <w:t>there is not official building code which indicates objective measures to define unfit housing</w:t>
      </w:r>
      <w:r w:rsidR="00A7274B" w:rsidRPr="00A7274B">
        <w:rPr>
          <w:rFonts w:cstheme="minorHAnsi"/>
        </w:rPr>
        <w:t xml:space="preserve">, </w:t>
      </w:r>
      <w:r w:rsidR="006A3C08">
        <w:rPr>
          <w:rFonts w:cstheme="minorHAnsi"/>
        </w:rPr>
        <w:t>the share of household living in unfit houses</w:t>
      </w:r>
      <w:r w:rsidR="00964163">
        <w:rPr>
          <w:rFonts w:ascii="Sylfaen" w:hAnsi="Sylfaen" w:cstheme="minorHAnsi"/>
          <w:lang w:val="ka-GE"/>
        </w:rPr>
        <w:t xml:space="preserve"> </w:t>
      </w:r>
      <w:r w:rsidR="00964163" w:rsidRPr="00964163">
        <w:rPr>
          <w:rFonts w:cstheme="minorHAnsi"/>
        </w:rPr>
        <w:t>was estimated</w:t>
      </w:r>
      <w:r w:rsidR="006A3C08">
        <w:rPr>
          <w:rFonts w:cstheme="minorHAnsi"/>
        </w:rPr>
        <w:t xml:space="preserve"> through a multiplicity of approaches:</w:t>
      </w:r>
    </w:p>
    <w:p w14:paraId="32DF88DB" w14:textId="06F4ED55" w:rsidR="00F96441" w:rsidRDefault="00F96441" w:rsidP="00454C26">
      <w:pPr>
        <w:pStyle w:val="ListParagraph"/>
        <w:numPr>
          <w:ilvl w:val="0"/>
          <w:numId w:val="22"/>
        </w:numPr>
        <w:jc w:val="both"/>
        <w:rPr>
          <w:rFonts w:cstheme="minorHAnsi"/>
        </w:rPr>
      </w:pPr>
      <w:r w:rsidRPr="00610BE1">
        <w:rPr>
          <w:rFonts w:cstheme="minorHAnsi"/>
        </w:rPr>
        <w:t>on the</w:t>
      </w:r>
      <w:r w:rsidR="00082663" w:rsidRPr="00610BE1">
        <w:rPr>
          <w:rFonts w:cstheme="minorHAnsi"/>
        </w:rPr>
        <w:t xml:space="preserve"> </w:t>
      </w:r>
      <w:r w:rsidR="007F76DC">
        <w:rPr>
          <w:rFonts w:cstheme="minorHAnsi"/>
        </w:rPr>
        <w:t xml:space="preserve">basis of the </w:t>
      </w:r>
      <w:r w:rsidR="00082663" w:rsidRPr="00610BE1">
        <w:rPr>
          <w:rFonts w:cstheme="minorHAnsi"/>
        </w:rPr>
        <w:t>definiti</w:t>
      </w:r>
      <w:r w:rsidR="00082663" w:rsidRPr="00CF01FB">
        <w:rPr>
          <w:rFonts w:cstheme="minorHAnsi"/>
        </w:rPr>
        <w:t>ons provided by sustainable development targets (11</w:t>
      </w:r>
      <w:r w:rsidR="00DD4175">
        <w:rPr>
          <w:rFonts w:cstheme="minorHAnsi"/>
        </w:rPr>
        <w:t>.</w:t>
      </w:r>
      <w:r w:rsidR="00082663" w:rsidRPr="00CF01FB">
        <w:rPr>
          <w:rFonts w:cstheme="minorHAnsi"/>
        </w:rPr>
        <w:t>1</w:t>
      </w:r>
      <w:r w:rsidRPr="006066AB">
        <w:rPr>
          <w:rFonts w:cstheme="minorHAnsi"/>
        </w:rPr>
        <w:t>)</w:t>
      </w:r>
      <w:r w:rsidR="00A7274B" w:rsidRPr="006066AB">
        <w:rPr>
          <w:rFonts w:cstheme="minorHAnsi"/>
        </w:rPr>
        <w:t xml:space="preserve"> </w:t>
      </w:r>
      <w:r w:rsidRPr="006066AB">
        <w:rPr>
          <w:rFonts w:cstheme="minorHAnsi"/>
        </w:rPr>
        <w:t>The methodology was adjusted to the Georgian case, g</w:t>
      </w:r>
      <w:r w:rsidR="00082663" w:rsidRPr="006066AB">
        <w:rPr>
          <w:rFonts w:cstheme="minorHAnsi"/>
        </w:rPr>
        <w:t>iven the exist</w:t>
      </w:r>
      <w:r w:rsidRPr="006066AB">
        <w:rPr>
          <w:rFonts w:cstheme="minorHAnsi"/>
        </w:rPr>
        <w:t>ing</w:t>
      </w:r>
      <w:r w:rsidR="00082663" w:rsidRPr="006066AB">
        <w:rPr>
          <w:rFonts w:cstheme="minorHAnsi"/>
        </w:rPr>
        <w:t xml:space="preserve"> data</w:t>
      </w:r>
      <w:r w:rsidRPr="006066AB">
        <w:rPr>
          <w:rFonts w:cstheme="minorHAnsi"/>
        </w:rPr>
        <w:t xml:space="preserve"> and their</w:t>
      </w:r>
      <w:r w:rsidR="00082663" w:rsidRPr="006066AB">
        <w:rPr>
          <w:rFonts w:cstheme="minorHAnsi"/>
        </w:rPr>
        <w:t xml:space="preserve"> availability</w:t>
      </w:r>
      <w:r w:rsidR="007F76DC">
        <w:rPr>
          <w:rFonts w:cstheme="minorHAnsi"/>
        </w:rPr>
        <w:t>;</w:t>
      </w:r>
    </w:p>
    <w:p w14:paraId="12E7CE37" w14:textId="64F06BC9" w:rsidR="007F76DC" w:rsidRPr="00610BE1" w:rsidRDefault="00BE37BB" w:rsidP="00454C26">
      <w:pPr>
        <w:pStyle w:val="ListParagraph"/>
        <w:numPr>
          <w:ilvl w:val="0"/>
          <w:numId w:val="22"/>
        </w:numPr>
        <w:jc w:val="both"/>
        <w:rPr>
          <w:rFonts w:cstheme="minorHAnsi"/>
        </w:rPr>
      </w:pPr>
      <w:r>
        <w:rPr>
          <w:rFonts w:cstheme="minorHAnsi"/>
        </w:rPr>
        <w:t xml:space="preserve">on the basis of the self-assessment of households in the sample, who reckoned that their houses </w:t>
      </w:r>
      <w:r w:rsidR="003420DE">
        <w:rPr>
          <w:rFonts w:cstheme="minorHAnsi"/>
        </w:rPr>
        <w:t>were</w:t>
      </w:r>
      <w:r>
        <w:rPr>
          <w:rFonts w:cstheme="minorHAnsi"/>
        </w:rPr>
        <w:t xml:space="preserve"> in need for capital renovation or was under the threat of collapsing</w:t>
      </w:r>
      <w:r w:rsidR="003420DE">
        <w:rPr>
          <w:rFonts w:cstheme="minorHAnsi"/>
        </w:rPr>
        <w:t>.</w:t>
      </w:r>
      <w:r w:rsidR="00AE61E0">
        <w:rPr>
          <w:rFonts w:cstheme="minorHAnsi"/>
        </w:rPr>
        <w:t xml:space="preserve"> As the given information has been only available since 2012, only seven- year time trend (2012-2018) of the indicator was analyzed</w:t>
      </w:r>
    </w:p>
    <w:p w14:paraId="3B452B5C" w14:textId="20C10C21" w:rsidR="00F96441" w:rsidRDefault="00BE37BB" w:rsidP="00976D0B">
      <w:pPr>
        <w:jc w:val="both"/>
        <w:rPr>
          <w:rFonts w:cstheme="minorHAnsi"/>
        </w:rPr>
      </w:pPr>
      <w:r>
        <w:rPr>
          <w:rFonts w:cstheme="minorHAnsi"/>
        </w:rPr>
        <w:t xml:space="preserve">In the </w:t>
      </w:r>
      <w:r w:rsidR="00E84FBC">
        <w:rPr>
          <w:rFonts w:cstheme="minorHAnsi"/>
        </w:rPr>
        <w:t>SDG case, it was</w:t>
      </w:r>
      <w:r w:rsidR="00F96441">
        <w:rPr>
          <w:rFonts w:cstheme="minorHAnsi"/>
        </w:rPr>
        <w:t xml:space="preserve"> </w:t>
      </w:r>
      <w:r w:rsidR="00082663">
        <w:rPr>
          <w:rFonts w:cstheme="minorHAnsi"/>
        </w:rPr>
        <w:t xml:space="preserve">assumed that unfit </w:t>
      </w:r>
      <w:r w:rsidR="00F96441">
        <w:rPr>
          <w:rFonts w:cstheme="minorHAnsi"/>
        </w:rPr>
        <w:t>houses</w:t>
      </w:r>
      <w:r w:rsidR="00082663">
        <w:rPr>
          <w:rFonts w:cstheme="minorHAnsi"/>
        </w:rPr>
        <w:t xml:space="preserve"> satisf</w:t>
      </w:r>
      <w:r w:rsidR="00F96441">
        <w:rPr>
          <w:rFonts w:cstheme="minorHAnsi"/>
        </w:rPr>
        <w:t>y</w:t>
      </w:r>
      <w:r w:rsidR="00082663">
        <w:rPr>
          <w:rFonts w:cstheme="minorHAnsi"/>
        </w:rPr>
        <w:t xml:space="preserve"> at least one of the following conditions: </w:t>
      </w:r>
    </w:p>
    <w:p w14:paraId="38503FF3" w14:textId="5F8971B3" w:rsidR="00F96441" w:rsidRDefault="00082663" w:rsidP="00454C26">
      <w:pPr>
        <w:pStyle w:val="ListParagraph"/>
        <w:numPr>
          <w:ilvl w:val="0"/>
          <w:numId w:val="21"/>
        </w:numPr>
        <w:jc w:val="both"/>
        <w:rPr>
          <w:rFonts w:cstheme="minorHAnsi"/>
        </w:rPr>
      </w:pPr>
      <w:r w:rsidRPr="00610BE1">
        <w:rPr>
          <w:rFonts w:cstheme="minorHAnsi"/>
        </w:rPr>
        <w:t xml:space="preserve">the floors and walls </w:t>
      </w:r>
      <w:r w:rsidR="00F96441">
        <w:rPr>
          <w:rFonts w:cstheme="minorHAnsi"/>
        </w:rPr>
        <w:t>are</w:t>
      </w:r>
      <w:r w:rsidR="00F96441" w:rsidRPr="00610BE1">
        <w:rPr>
          <w:rFonts w:cstheme="minorHAnsi"/>
        </w:rPr>
        <w:t xml:space="preserve"> </w:t>
      </w:r>
      <w:r w:rsidRPr="00610BE1">
        <w:rPr>
          <w:rFonts w:cstheme="minorHAnsi"/>
        </w:rPr>
        <w:t>made from ground, mud and adobe</w:t>
      </w:r>
      <w:r w:rsidR="00F96441">
        <w:rPr>
          <w:rFonts w:cstheme="minorHAnsi"/>
        </w:rPr>
        <w:t>;</w:t>
      </w:r>
    </w:p>
    <w:p w14:paraId="2ED2F615" w14:textId="610BD491" w:rsidR="00F96441" w:rsidRDefault="00082663" w:rsidP="00454C26">
      <w:pPr>
        <w:pStyle w:val="ListParagraph"/>
        <w:numPr>
          <w:ilvl w:val="0"/>
          <w:numId w:val="21"/>
        </w:numPr>
        <w:jc w:val="both"/>
        <w:rPr>
          <w:rFonts w:cstheme="minorHAnsi"/>
        </w:rPr>
      </w:pPr>
      <w:r w:rsidRPr="00CF01FB">
        <w:rPr>
          <w:rFonts w:cstheme="minorHAnsi"/>
        </w:rPr>
        <w:t xml:space="preserve">the toilet </w:t>
      </w:r>
      <w:r w:rsidR="00F96441">
        <w:rPr>
          <w:rFonts w:cstheme="minorHAnsi"/>
        </w:rPr>
        <w:t>is</w:t>
      </w:r>
      <w:r w:rsidR="00F96441" w:rsidRPr="00610BE1">
        <w:rPr>
          <w:rFonts w:cstheme="minorHAnsi"/>
        </w:rPr>
        <w:t xml:space="preserve"> </w:t>
      </w:r>
      <w:r w:rsidRPr="00610BE1">
        <w:rPr>
          <w:rFonts w:cstheme="minorHAnsi"/>
        </w:rPr>
        <w:t xml:space="preserve">shared or </w:t>
      </w:r>
      <w:r w:rsidR="00F96441">
        <w:rPr>
          <w:rFonts w:cstheme="minorHAnsi"/>
        </w:rPr>
        <w:t>is</w:t>
      </w:r>
      <w:r w:rsidR="00F96441" w:rsidRPr="00610BE1">
        <w:rPr>
          <w:rFonts w:cstheme="minorHAnsi"/>
        </w:rPr>
        <w:t xml:space="preserve"> </w:t>
      </w:r>
      <w:r w:rsidRPr="00610BE1">
        <w:rPr>
          <w:rFonts w:cstheme="minorHAnsi"/>
        </w:rPr>
        <w:t>not defined properly</w:t>
      </w:r>
      <w:r w:rsidR="00F96441">
        <w:rPr>
          <w:rFonts w:cstheme="minorHAnsi"/>
        </w:rPr>
        <w:t>;</w:t>
      </w:r>
    </w:p>
    <w:p w14:paraId="29196215" w14:textId="7C365037" w:rsidR="00082663" w:rsidRPr="00CF01FB" w:rsidRDefault="00082663" w:rsidP="00454C26">
      <w:pPr>
        <w:pStyle w:val="ListParagraph"/>
        <w:numPr>
          <w:ilvl w:val="0"/>
          <w:numId w:val="21"/>
        </w:numPr>
        <w:jc w:val="both"/>
        <w:rPr>
          <w:rFonts w:cstheme="minorHAnsi"/>
        </w:rPr>
      </w:pPr>
      <w:r w:rsidRPr="00CF01FB">
        <w:rPr>
          <w:rFonts w:cstheme="minorHAnsi"/>
        </w:rPr>
        <w:t xml:space="preserve">water </w:t>
      </w:r>
      <w:r w:rsidR="00F96441">
        <w:rPr>
          <w:rFonts w:cstheme="minorHAnsi"/>
        </w:rPr>
        <w:t xml:space="preserve">is </w:t>
      </w:r>
      <w:r w:rsidRPr="00610BE1">
        <w:rPr>
          <w:rFonts w:cstheme="minorHAnsi"/>
        </w:rPr>
        <w:t>extracted from a river, lake, spring, channel out of</w:t>
      </w:r>
      <w:r w:rsidRPr="00CF01FB">
        <w:rPr>
          <w:rFonts w:cstheme="minorHAnsi"/>
        </w:rPr>
        <w:t xml:space="preserve"> the yard or other non-identified sources </w:t>
      </w:r>
    </w:p>
    <w:p w14:paraId="4DD4975F" w14:textId="1311D1F3" w:rsidR="00082663" w:rsidRDefault="0012460E" w:rsidP="00976D0B">
      <w:pPr>
        <w:jc w:val="both"/>
        <w:rPr>
          <w:rFonts w:cstheme="minorHAnsi"/>
        </w:rPr>
      </w:pPr>
      <w:r>
        <w:rPr>
          <w:rFonts w:cstheme="minorHAnsi"/>
        </w:rPr>
        <w:t>Over the period,</w:t>
      </w:r>
      <w:r w:rsidR="00082663">
        <w:rPr>
          <w:rFonts w:cstheme="minorHAnsi"/>
        </w:rPr>
        <w:t xml:space="preserve"> </w:t>
      </w:r>
      <w:r w:rsidR="00240801">
        <w:rPr>
          <w:rFonts w:cstheme="minorHAnsi"/>
        </w:rPr>
        <w:t xml:space="preserve">the share of </w:t>
      </w:r>
      <w:r w:rsidR="0021680A">
        <w:rPr>
          <w:rFonts w:cstheme="minorHAnsi"/>
        </w:rPr>
        <w:t>urban</w:t>
      </w:r>
      <w:r w:rsidR="00240801">
        <w:rPr>
          <w:rFonts w:cstheme="minorHAnsi"/>
        </w:rPr>
        <w:t xml:space="preserve"> households living in unfit </w:t>
      </w:r>
      <w:r w:rsidR="00E039BA">
        <w:rPr>
          <w:rFonts w:cstheme="minorHAnsi"/>
        </w:rPr>
        <w:t>houses (acc</w:t>
      </w:r>
      <w:r w:rsidR="00E84FBC">
        <w:rPr>
          <w:rFonts w:cstheme="minorHAnsi"/>
        </w:rPr>
        <w:t>ording to the SDG definition) was</w:t>
      </w:r>
      <w:r w:rsidR="00E039BA">
        <w:rPr>
          <w:rFonts w:cstheme="minorHAnsi"/>
        </w:rPr>
        <w:t xml:space="preserve"> declining </w:t>
      </w:r>
      <w:r w:rsidR="0045141B">
        <w:rPr>
          <w:rFonts w:cstheme="minorHAnsi"/>
        </w:rPr>
        <w:t>from 4</w:t>
      </w:r>
      <w:r w:rsidR="00D40DD9">
        <w:rPr>
          <w:rFonts w:cstheme="minorHAnsi"/>
        </w:rPr>
        <w:t>.</w:t>
      </w:r>
      <w:r w:rsidR="0045141B">
        <w:rPr>
          <w:rFonts w:cstheme="minorHAnsi"/>
        </w:rPr>
        <w:t>9% to</w:t>
      </w:r>
      <w:r>
        <w:rPr>
          <w:rFonts w:cstheme="minorHAnsi"/>
        </w:rPr>
        <w:t xml:space="preserve"> 2</w:t>
      </w:r>
      <w:r w:rsidR="006B6CFB">
        <w:rPr>
          <w:rFonts w:cstheme="minorHAnsi"/>
        </w:rPr>
        <w:t>.</w:t>
      </w:r>
      <w:r>
        <w:rPr>
          <w:rFonts w:cstheme="minorHAnsi"/>
        </w:rPr>
        <w:t>2%</w:t>
      </w:r>
      <w:r w:rsidR="00082663">
        <w:rPr>
          <w:rFonts w:cstheme="minorHAnsi"/>
        </w:rPr>
        <w:t xml:space="preserve"> </w:t>
      </w:r>
      <w:r w:rsidR="00E039BA">
        <w:rPr>
          <w:rFonts w:cstheme="minorHAnsi"/>
        </w:rPr>
        <w:t xml:space="preserve">of </w:t>
      </w:r>
      <w:r w:rsidR="00082663">
        <w:rPr>
          <w:rFonts w:cstheme="minorHAnsi"/>
        </w:rPr>
        <w:t xml:space="preserve">the households </w:t>
      </w:r>
      <w:r w:rsidR="00E039BA">
        <w:rPr>
          <w:rFonts w:cstheme="minorHAnsi"/>
        </w:rPr>
        <w:t>in</w:t>
      </w:r>
      <w:r w:rsidR="00082663">
        <w:rPr>
          <w:rFonts w:cstheme="minorHAnsi"/>
        </w:rPr>
        <w:t xml:space="preserve"> </w:t>
      </w:r>
      <w:r w:rsidR="0021680A">
        <w:rPr>
          <w:rFonts w:cstheme="minorHAnsi"/>
        </w:rPr>
        <w:t>urban</w:t>
      </w:r>
      <w:r w:rsidR="00082663">
        <w:rPr>
          <w:rFonts w:cstheme="minorHAnsi"/>
        </w:rPr>
        <w:t xml:space="preserve"> area</w:t>
      </w:r>
      <w:r w:rsidR="002E3FE7">
        <w:rPr>
          <w:rFonts w:cstheme="minorHAnsi"/>
        </w:rPr>
        <w:t>s</w:t>
      </w:r>
      <w:r>
        <w:rPr>
          <w:rFonts w:cstheme="minorHAnsi"/>
        </w:rPr>
        <w:t xml:space="preserve"> and </w:t>
      </w:r>
      <w:r w:rsidR="00C93299">
        <w:rPr>
          <w:rFonts w:cstheme="minorHAnsi"/>
        </w:rPr>
        <w:t>from 2</w:t>
      </w:r>
      <w:r w:rsidR="00D40DD9">
        <w:rPr>
          <w:rFonts w:cstheme="minorHAnsi"/>
        </w:rPr>
        <w:t>.</w:t>
      </w:r>
      <w:r w:rsidR="00C93299">
        <w:rPr>
          <w:rFonts w:cstheme="minorHAnsi"/>
        </w:rPr>
        <w:t>4% to 1</w:t>
      </w:r>
      <w:r w:rsidR="00D40DD9">
        <w:rPr>
          <w:rFonts w:cstheme="minorHAnsi"/>
        </w:rPr>
        <w:t>.</w:t>
      </w:r>
      <w:r w:rsidR="00C93299">
        <w:rPr>
          <w:rFonts w:cstheme="minorHAnsi"/>
        </w:rPr>
        <w:t xml:space="preserve">2% in </w:t>
      </w:r>
      <w:r w:rsidR="0021680A">
        <w:rPr>
          <w:rFonts w:cstheme="minorHAnsi"/>
        </w:rPr>
        <w:t>rural</w:t>
      </w:r>
      <w:r w:rsidR="00C93299">
        <w:rPr>
          <w:rFonts w:cstheme="minorHAnsi"/>
        </w:rPr>
        <w:t xml:space="preserve"> areas</w:t>
      </w:r>
      <w:r w:rsidR="001C442B">
        <w:rPr>
          <w:rFonts w:cstheme="minorHAnsi"/>
        </w:rPr>
        <w:t>.</w:t>
      </w:r>
      <w:r w:rsidR="0045141B">
        <w:rPr>
          <w:rFonts w:cstheme="minorHAnsi"/>
        </w:rPr>
        <w:t xml:space="preserve"> </w:t>
      </w:r>
    </w:p>
    <w:p w14:paraId="672B619C" w14:textId="02961CB0" w:rsidR="002E3FE7" w:rsidRDefault="002E3FE7" w:rsidP="00501A83">
      <w:pPr>
        <w:pStyle w:val="Caption"/>
      </w:pPr>
      <w:r>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38</w:t>
      </w:r>
      <w:r w:rsidR="006C3BD6">
        <w:rPr>
          <w:noProof/>
        </w:rPr>
        <w:fldChar w:fldCharType="end"/>
      </w:r>
      <w:r>
        <w:t xml:space="preserve">: </w:t>
      </w:r>
      <w:r w:rsidR="002F4309">
        <w:t xml:space="preserve">The share of households living in unfit houses </w:t>
      </w:r>
      <w:r w:rsidR="00083474">
        <w:t xml:space="preserve">in </w:t>
      </w:r>
      <w:r w:rsidR="00083474" w:rsidRPr="00AA5768">
        <w:t>urban</w:t>
      </w:r>
      <w:r w:rsidR="00AA5768">
        <w:t xml:space="preserve"> and rural areas </w:t>
      </w:r>
    </w:p>
    <w:p w14:paraId="2FE30F28" w14:textId="62237825" w:rsidR="00082663" w:rsidRDefault="004E3BA2" w:rsidP="00976D0B">
      <w:pPr>
        <w:jc w:val="both"/>
        <w:rPr>
          <w:rFonts w:cstheme="minorHAnsi"/>
        </w:rPr>
      </w:pPr>
      <w:r>
        <w:rPr>
          <w:noProof/>
        </w:rPr>
        <w:drawing>
          <wp:anchor distT="0" distB="0" distL="114300" distR="114300" simplePos="0" relativeHeight="251668480" behindDoc="1" locked="0" layoutInCell="1" allowOverlap="1" wp14:anchorId="4B0F768A" wp14:editId="64729B96">
            <wp:simplePos x="0" y="0"/>
            <wp:positionH relativeFrom="page">
              <wp:posOffset>3913632</wp:posOffset>
            </wp:positionH>
            <wp:positionV relativeFrom="paragraph">
              <wp:posOffset>24816</wp:posOffset>
            </wp:positionV>
            <wp:extent cx="2952750" cy="2120874"/>
            <wp:effectExtent l="0" t="0" r="0" b="13335"/>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7E117D92" wp14:editId="7C2CF34A">
            <wp:simplePos x="0" y="0"/>
            <wp:positionH relativeFrom="margin">
              <wp:align>left</wp:align>
            </wp:positionH>
            <wp:positionV relativeFrom="paragraph">
              <wp:posOffset>32131</wp:posOffset>
            </wp:positionV>
            <wp:extent cx="3000375" cy="2114398"/>
            <wp:effectExtent l="0" t="0" r="9525" b="63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082663">
        <w:rPr>
          <w:noProof/>
        </w:rPr>
        <w:t xml:space="preserve"> </w:t>
      </w:r>
    </w:p>
    <w:p w14:paraId="34C93558" w14:textId="356A533A" w:rsidR="00082663" w:rsidRDefault="005100B2" w:rsidP="005100B2">
      <w:pPr>
        <w:tabs>
          <w:tab w:val="left" w:pos="5145"/>
        </w:tabs>
        <w:jc w:val="both"/>
        <w:rPr>
          <w:rFonts w:cstheme="minorHAnsi"/>
        </w:rPr>
      </w:pPr>
      <w:r>
        <w:rPr>
          <w:rFonts w:cstheme="minorHAnsi"/>
        </w:rPr>
        <w:tab/>
      </w:r>
    </w:p>
    <w:p w14:paraId="26103335" w14:textId="057AA06E" w:rsidR="00082663" w:rsidRDefault="001D0BC7" w:rsidP="00976D0B">
      <w:pPr>
        <w:tabs>
          <w:tab w:val="left" w:pos="5268"/>
        </w:tabs>
        <w:jc w:val="both"/>
        <w:rPr>
          <w:rFonts w:cstheme="minorHAnsi"/>
        </w:rPr>
      </w:pPr>
      <w:r>
        <w:rPr>
          <w:rFonts w:cstheme="minorHAnsi"/>
        </w:rPr>
        <w:tab/>
      </w:r>
    </w:p>
    <w:p w14:paraId="5689419C" w14:textId="77777777" w:rsidR="00082663" w:rsidRDefault="00082663" w:rsidP="00976D0B">
      <w:pPr>
        <w:jc w:val="both"/>
        <w:rPr>
          <w:rFonts w:cstheme="minorHAnsi"/>
        </w:rPr>
      </w:pPr>
    </w:p>
    <w:p w14:paraId="6AA6D0D7" w14:textId="77777777" w:rsidR="00082663" w:rsidRDefault="00082663" w:rsidP="00976D0B">
      <w:pPr>
        <w:jc w:val="both"/>
        <w:rPr>
          <w:rFonts w:cstheme="minorHAnsi"/>
        </w:rPr>
      </w:pPr>
    </w:p>
    <w:p w14:paraId="1CA6B9C6" w14:textId="77777777" w:rsidR="00082663" w:rsidRDefault="00082663" w:rsidP="00976D0B">
      <w:pPr>
        <w:jc w:val="both"/>
        <w:rPr>
          <w:rFonts w:cstheme="minorHAnsi"/>
        </w:rPr>
      </w:pPr>
    </w:p>
    <w:p w14:paraId="78B4486E" w14:textId="3449BB3B" w:rsidR="005100B2" w:rsidRPr="004E3BA2" w:rsidRDefault="005100B2" w:rsidP="004E3BA2">
      <w:pPr>
        <w:spacing w:after="0"/>
        <w:jc w:val="both"/>
        <w:rPr>
          <w:rFonts w:ascii="Sylfaen" w:hAnsi="Sylfaen"/>
          <w:i/>
          <w:iCs/>
          <w:color w:val="44546A" w:themeColor="text2"/>
          <w:sz w:val="18"/>
          <w:szCs w:val="18"/>
          <w:lang w:val="ka-GE"/>
        </w:rPr>
      </w:pPr>
    </w:p>
    <w:p w14:paraId="758C8E4D" w14:textId="77777777" w:rsidR="004E3BA2" w:rsidRDefault="004E3BA2" w:rsidP="00976D0B">
      <w:pPr>
        <w:jc w:val="both"/>
        <w:rPr>
          <w:i/>
          <w:iCs/>
          <w:color w:val="44546A" w:themeColor="text2"/>
          <w:sz w:val="18"/>
          <w:szCs w:val="18"/>
        </w:rPr>
      </w:pPr>
    </w:p>
    <w:p w14:paraId="6A65D8C2" w14:textId="1C9709EB" w:rsidR="00092187" w:rsidRDefault="004E3BA2" w:rsidP="00976D0B">
      <w:pPr>
        <w:jc w:val="both"/>
        <w:rPr>
          <w:i/>
          <w:iCs/>
          <w:color w:val="44546A" w:themeColor="text2"/>
          <w:sz w:val="18"/>
          <w:szCs w:val="18"/>
        </w:rPr>
      </w:pPr>
      <w:r>
        <w:rPr>
          <w:i/>
          <w:iCs/>
          <w:color w:val="44546A" w:themeColor="text2"/>
          <w:sz w:val="18"/>
          <w:szCs w:val="18"/>
        </w:rPr>
        <w:t xml:space="preserve">Source: </w:t>
      </w:r>
      <w:r w:rsidR="00092187">
        <w:rPr>
          <w:i/>
          <w:iCs/>
          <w:color w:val="44546A" w:themeColor="text2"/>
          <w:sz w:val="18"/>
          <w:szCs w:val="18"/>
        </w:rPr>
        <w:t>I</w:t>
      </w:r>
      <w:r>
        <w:rPr>
          <w:i/>
          <w:iCs/>
          <w:color w:val="44546A" w:themeColor="text2"/>
          <w:sz w:val="18"/>
          <w:szCs w:val="18"/>
        </w:rPr>
        <w:t xml:space="preserve">ntegrated Household Survey </w:t>
      </w:r>
    </w:p>
    <w:p w14:paraId="7F3515CE" w14:textId="4C4DFBF7" w:rsidR="00082663" w:rsidRDefault="00AE61E0" w:rsidP="00976D0B">
      <w:pPr>
        <w:jc w:val="both"/>
        <w:rPr>
          <w:rFonts w:cstheme="minorHAnsi"/>
        </w:rPr>
      </w:pPr>
      <w:r>
        <w:rPr>
          <w:rFonts w:cstheme="minorHAnsi"/>
        </w:rPr>
        <w:t>The share of households living in unfit houses</w:t>
      </w:r>
      <w:r w:rsidR="0029257A">
        <w:rPr>
          <w:rFonts w:cstheme="minorHAnsi"/>
        </w:rPr>
        <w:t xml:space="preserve"> estimated on the bases of the self-assessment of survey respondent </w:t>
      </w:r>
      <w:r w:rsidR="00E269D4">
        <w:rPr>
          <w:rFonts w:cstheme="minorHAnsi"/>
        </w:rPr>
        <w:t xml:space="preserve">(where the self-assessment is that the house is in </w:t>
      </w:r>
      <w:r w:rsidR="00E269D4" w:rsidRPr="006066AB">
        <w:rPr>
          <w:rFonts w:cstheme="minorHAnsi"/>
          <w:b/>
          <w:bCs/>
        </w:rPr>
        <w:t>need for capital renovation</w:t>
      </w:r>
      <w:r w:rsidR="00E269D4">
        <w:rPr>
          <w:rFonts w:cstheme="minorHAnsi"/>
        </w:rPr>
        <w:t xml:space="preserve"> </w:t>
      </w:r>
      <w:r w:rsidR="00023594">
        <w:rPr>
          <w:rFonts w:cstheme="minorHAnsi"/>
        </w:rPr>
        <w:t xml:space="preserve">or even </w:t>
      </w:r>
      <w:r w:rsidR="00023594" w:rsidRPr="006066AB">
        <w:rPr>
          <w:rFonts w:cstheme="minorHAnsi"/>
          <w:b/>
          <w:bCs/>
        </w:rPr>
        <w:t>at risk of collapse</w:t>
      </w:r>
      <w:r w:rsidR="00023594">
        <w:rPr>
          <w:rFonts w:cstheme="minorHAnsi"/>
        </w:rPr>
        <w:t xml:space="preserve">) </w:t>
      </w:r>
      <w:r w:rsidR="00FE35EA">
        <w:rPr>
          <w:rFonts w:cstheme="minorHAnsi"/>
        </w:rPr>
        <w:t>was</w:t>
      </w:r>
      <w:r w:rsidR="0029257A">
        <w:rPr>
          <w:rFonts w:cstheme="minorHAnsi"/>
        </w:rPr>
        <w:t xml:space="preserve"> substantially larger than that</w:t>
      </w:r>
      <w:r w:rsidR="005D09C4">
        <w:rPr>
          <w:rFonts w:cstheme="minorHAnsi"/>
        </w:rPr>
        <w:t xml:space="preserve"> estimated with the SDG method, both in </w:t>
      </w:r>
      <w:r w:rsidR="0021680A">
        <w:rPr>
          <w:rFonts w:cstheme="minorHAnsi"/>
        </w:rPr>
        <w:t>urban</w:t>
      </w:r>
      <w:r w:rsidR="005D09C4">
        <w:rPr>
          <w:rFonts w:cstheme="minorHAnsi"/>
        </w:rPr>
        <w:t xml:space="preserve"> and </w:t>
      </w:r>
      <w:r w:rsidR="0021680A">
        <w:rPr>
          <w:rFonts w:cstheme="minorHAnsi"/>
        </w:rPr>
        <w:t>rural</w:t>
      </w:r>
      <w:r w:rsidR="005D09C4">
        <w:rPr>
          <w:rFonts w:cstheme="minorHAnsi"/>
        </w:rPr>
        <w:t xml:space="preserve"> areas</w:t>
      </w:r>
      <w:r w:rsidR="00FE35EA">
        <w:rPr>
          <w:rFonts w:cstheme="minorHAnsi"/>
        </w:rPr>
        <w:t>.</w:t>
      </w:r>
      <w:r w:rsidR="005D09C4">
        <w:rPr>
          <w:rFonts w:cstheme="minorHAnsi"/>
        </w:rPr>
        <w:t xml:space="preserve"> In</w:t>
      </w:r>
      <w:r w:rsidR="00082663">
        <w:rPr>
          <w:rFonts w:cstheme="minorHAnsi"/>
        </w:rPr>
        <w:t xml:space="preserve"> </w:t>
      </w:r>
      <w:r w:rsidR="0021680A">
        <w:rPr>
          <w:rFonts w:cstheme="minorHAnsi"/>
        </w:rPr>
        <w:t>urban</w:t>
      </w:r>
      <w:r w:rsidR="00082663">
        <w:rPr>
          <w:rFonts w:cstheme="minorHAnsi"/>
        </w:rPr>
        <w:t xml:space="preserve"> areas the </w:t>
      </w:r>
      <w:r w:rsidR="005D09C4">
        <w:rPr>
          <w:rFonts w:cstheme="minorHAnsi"/>
        </w:rPr>
        <w:t xml:space="preserve">share </w:t>
      </w:r>
      <w:r w:rsidR="00082663">
        <w:rPr>
          <w:rFonts w:cstheme="minorHAnsi"/>
        </w:rPr>
        <w:t>range</w:t>
      </w:r>
      <w:r w:rsidR="00FE35EA">
        <w:rPr>
          <w:rFonts w:cstheme="minorHAnsi"/>
        </w:rPr>
        <w:t>d</w:t>
      </w:r>
      <w:r w:rsidR="00082663">
        <w:rPr>
          <w:rFonts w:cstheme="minorHAnsi"/>
        </w:rPr>
        <w:t xml:space="preserve"> over </w:t>
      </w:r>
      <w:r w:rsidR="005D09C4">
        <w:rPr>
          <w:rFonts w:cstheme="minorHAnsi"/>
        </w:rPr>
        <w:t xml:space="preserve">the </w:t>
      </w:r>
      <w:r w:rsidR="00082663">
        <w:rPr>
          <w:rFonts w:cstheme="minorHAnsi"/>
        </w:rPr>
        <w:t>years between 42% and 50 %</w:t>
      </w:r>
      <w:r w:rsidR="005D09C4">
        <w:rPr>
          <w:rFonts w:cstheme="minorHAnsi"/>
        </w:rPr>
        <w:t>,</w:t>
      </w:r>
      <w:r w:rsidR="00082663">
        <w:rPr>
          <w:rFonts w:cstheme="minorHAnsi"/>
        </w:rPr>
        <w:t xml:space="preserve"> while in </w:t>
      </w:r>
      <w:r w:rsidR="0021680A">
        <w:rPr>
          <w:rFonts w:cstheme="minorHAnsi"/>
        </w:rPr>
        <w:t>rural</w:t>
      </w:r>
      <w:r w:rsidR="00FE35EA">
        <w:rPr>
          <w:rFonts w:cstheme="minorHAnsi"/>
        </w:rPr>
        <w:t xml:space="preserve"> areas it was</w:t>
      </w:r>
      <w:r w:rsidR="00082663">
        <w:rPr>
          <w:rFonts w:cstheme="minorHAnsi"/>
        </w:rPr>
        <w:t xml:space="preserve"> between 51% </w:t>
      </w:r>
      <w:r w:rsidR="00AB4B04">
        <w:rPr>
          <w:rFonts w:cstheme="minorHAnsi"/>
        </w:rPr>
        <w:t xml:space="preserve">and </w:t>
      </w:r>
      <w:r w:rsidR="00082663">
        <w:rPr>
          <w:rFonts w:cstheme="minorHAnsi"/>
        </w:rPr>
        <w:t>60%</w:t>
      </w:r>
      <w:r w:rsidR="009C6C97">
        <w:rPr>
          <w:rFonts w:cstheme="minorHAnsi"/>
        </w:rPr>
        <w:t>. T</w:t>
      </w:r>
      <w:r w:rsidR="0005537F">
        <w:rPr>
          <w:rFonts w:cstheme="minorHAnsi"/>
        </w:rPr>
        <w:t>he</w:t>
      </w:r>
      <w:r w:rsidR="00082663">
        <w:rPr>
          <w:rFonts w:cstheme="minorHAnsi"/>
        </w:rPr>
        <w:t xml:space="preserve"> trend is downward sloping for </w:t>
      </w:r>
      <w:r w:rsidR="00080B4B">
        <w:rPr>
          <w:rFonts w:cstheme="minorHAnsi"/>
        </w:rPr>
        <w:t xml:space="preserve">both </w:t>
      </w:r>
      <w:r w:rsidR="0021680A">
        <w:rPr>
          <w:rFonts w:cstheme="minorHAnsi"/>
        </w:rPr>
        <w:t>rural</w:t>
      </w:r>
      <w:r w:rsidR="00AB4B04">
        <w:rPr>
          <w:rFonts w:cstheme="minorHAnsi"/>
        </w:rPr>
        <w:t xml:space="preserve"> and </w:t>
      </w:r>
      <w:r w:rsidR="0021680A">
        <w:rPr>
          <w:rFonts w:cstheme="minorHAnsi"/>
        </w:rPr>
        <w:t>urban</w:t>
      </w:r>
      <w:r w:rsidR="00080B4B">
        <w:rPr>
          <w:rFonts w:cstheme="minorHAnsi"/>
        </w:rPr>
        <w:t xml:space="preserve"> areas, but the decline is slow</w:t>
      </w:r>
      <w:r w:rsidR="009C6C97">
        <w:rPr>
          <w:rFonts w:cstheme="minorHAnsi"/>
        </w:rPr>
        <w:t>.</w:t>
      </w:r>
      <w:r w:rsidR="00082663">
        <w:rPr>
          <w:rFonts w:cstheme="minorHAnsi"/>
        </w:rPr>
        <w:t xml:space="preserve"> The indicator for </w:t>
      </w:r>
      <w:r w:rsidR="00092187">
        <w:rPr>
          <w:rFonts w:cstheme="minorHAnsi"/>
        </w:rPr>
        <w:t>the latest year</w:t>
      </w:r>
      <w:r w:rsidR="00080B4B">
        <w:rPr>
          <w:rFonts w:cstheme="minorHAnsi"/>
        </w:rPr>
        <w:t>,</w:t>
      </w:r>
      <w:r w:rsidR="00092187">
        <w:rPr>
          <w:rFonts w:cstheme="minorHAnsi"/>
        </w:rPr>
        <w:t xml:space="preserve"> </w:t>
      </w:r>
      <w:r w:rsidR="00A7274B">
        <w:rPr>
          <w:rFonts w:cstheme="minorHAnsi"/>
        </w:rPr>
        <w:t>2018</w:t>
      </w:r>
      <w:r w:rsidR="00080B4B">
        <w:rPr>
          <w:rFonts w:cstheme="minorHAnsi"/>
        </w:rPr>
        <w:t>,</w:t>
      </w:r>
      <w:r w:rsidR="00FE35EA">
        <w:rPr>
          <w:rFonts w:cstheme="minorHAnsi"/>
        </w:rPr>
        <w:t xml:space="preserve"> was</w:t>
      </w:r>
      <w:r w:rsidR="00082663">
        <w:rPr>
          <w:rFonts w:cstheme="minorHAnsi"/>
        </w:rPr>
        <w:t xml:space="preserve"> 4</w:t>
      </w:r>
      <w:r w:rsidR="00AB4B04">
        <w:rPr>
          <w:rFonts w:cstheme="minorHAnsi"/>
        </w:rPr>
        <w:t>4</w:t>
      </w:r>
      <w:r w:rsidR="009C6C97">
        <w:rPr>
          <w:rFonts w:cstheme="minorHAnsi"/>
        </w:rPr>
        <w:t>.</w:t>
      </w:r>
      <w:r w:rsidR="00AB4B04">
        <w:rPr>
          <w:rFonts w:cstheme="minorHAnsi"/>
        </w:rPr>
        <w:t>3</w:t>
      </w:r>
      <w:r w:rsidR="00082663">
        <w:rPr>
          <w:rFonts w:cstheme="minorHAnsi"/>
        </w:rPr>
        <w:t xml:space="preserve">% </w:t>
      </w:r>
      <w:r w:rsidR="00092187">
        <w:rPr>
          <w:rFonts w:cstheme="minorHAnsi"/>
        </w:rPr>
        <w:t xml:space="preserve">of </w:t>
      </w:r>
      <w:r w:rsidR="00082663">
        <w:rPr>
          <w:rFonts w:cstheme="minorHAnsi"/>
        </w:rPr>
        <w:t xml:space="preserve">the </w:t>
      </w:r>
      <w:r w:rsidR="003420DE">
        <w:rPr>
          <w:rFonts w:cstheme="minorHAnsi"/>
        </w:rPr>
        <w:t>households in</w:t>
      </w:r>
      <w:r w:rsidR="00AB4B04">
        <w:rPr>
          <w:rFonts w:cstheme="minorHAnsi"/>
        </w:rPr>
        <w:t xml:space="preserve"> </w:t>
      </w:r>
      <w:r w:rsidR="0021680A">
        <w:rPr>
          <w:rFonts w:cstheme="minorHAnsi"/>
        </w:rPr>
        <w:t>urban</w:t>
      </w:r>
      <w:r w:rsidR="00AB4B04">
        <w:rPr>
          <w:rFonts w:cstheme="minorHAnsi"/>
        </w:rPr>
        <w:t xml:space="preserve"> areas</w:t>
      </w:r>
      <w:r w:rsidR="00082663">
        <w:rPr>
          <w:rFonts w:cstheme="minorHAnsi"/>
        </w:rPr>
        <w:t xml:space="preserve">, </w:t>
      </w:r>
      <w:r w:rsidR="00AB4B04">
        <w:rPr>
          <w:rFonts w:cstheme="minorHAnsi"/>
        </w:rPr>
        <w:t xml:space="preserve">while </w:t>
      </w:r>
      <w:r w:rsidR="00092187">
        <w:rPr>
          <w:rFonts w:cstheme="minorHAnsi"/>
        </w:rPr>
        <w:t xml:space="preserve">in </w:t>
      </w:r>
      <w:r w:rsidR="0021680A">
        <w:rPr>
          <w:rFonts w:cstheme="minorHAnsi"/>
        </w:rPr>
        <w:t>rural</w:t>
      </w:r>
      <w:r w:rsidR="00AA1243">
        <w:rPr>
          <w:rFonts w:cstheme="minorHAnsi"/>
        </w:rPr>
        <w:t xml:space="preserve"> areas it was</w:t>
      </w:r>
      <w:r w:rsidR="00AB4B04">
        <w:rPr>
          <w:rFonts w:cstheme="minorHAnsi"/>
        </w:rPr>
        <w:t xml:space="preserve"> 51</w:t>
      </w:r>
      <w:r w:rsidR="009C6C97">
        <w:rPr>
          <w:rFonts w:cstheme="minorHAnsi"/>
        </w:rPr>
        <w:t>.</w:t>
      </w:r>
      <w:r w:rsidR="00AB4B04">
        <w:rPr>
          <w:rFonts w:cstheme="minorHAnsi"/>
        </w:rPr>
        <w:t>7</w:t>
      </w:r>
      <w:r w:rsidR="00082663">
        <w:rPr>
          <w:rFonts w:cstheme="minorHAnsi"/>
        </w:rPr>
        <w:t>%</w:t>
      </w:r>
      <w:r w:rsidR="009C6C97">
        <w:rPr>
          <w:rFonts w:cstheme="minorHAnsi"/>
        </w:rPr>
        <w:t xml:space="preserve"> (Figure </w:t>
      </w:r>
      <w:r w:rsidR="003420DE">
        <w:rPr>
          <w:rFonts w:cstheme="minorHAnsi"/>
        </w:rPr>
        <w:t>39)</w:t>
      </w:r>
      <w:r w:rsidR="009C6C97">
        <w:rPr>
          <w:rFonts w:cstheme="minorHAnsi"/>
        </w:rPr>
        <w:t xml:space="preserve">. </w:t>
      </w:r>
    </w:p>
    <w:p w14:paraId="6A9B6875" w14:textId="40CE9B28" w:rsidR="00AA5768" w:rsidRDefault="00082663" w:rsidP="00AA5768">
      <w:pPr>
        <w:pStyle w:val="Caption"/>
      </w:pPr>
      <w:r>
        <w:lastRenderedPageBreak/>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39</w:t>
      </w:r>
      <w:r w:rsidR="006C3BD6">
        <w:rPr>
          <w:noProof/>
        </w:rPr>
        <w:fldChar w:fldCharType="end"/>
      </w:r>
      <w:r>
        <w:t>: S</w:t>
      </w:r>
      <w:r w:rsidR="00267D55">
        <w:t>elf-assessment of fitness status</w:t>
      </w:r>
      <w:r>
        <w:t xml:space="preserve"> </w:t>
      </w:r>
      <w:r w:rsidR="000846F5">
        <w:t>(</w:t>
      </w:r>
      <w:r w:rsidR="005B7A7B">
        <w:t xml:space="preserve">need for capital renovation and/or at risk of collapse) </w:t>
      </w:r>
      <w:r w:rsidR="000846F5">
        <w:t xml:space="preserve">of housing </w:t>
      </w:r>
      <w:r>
        <w:t xml:space="preserve">for </w:t>
      </w:r>
      <w:r w:rsidR="00AA5768">
        <w:t xml:space="preserve">urban and rural areas </w:t>
      </w:r>
    </w:p>
    <w:p w14:paraId="3610B65E" w14:textId="1C59A376" w:rsidR="00082663" w:rsidRDefault="004E3BA2" w:rsidP="00AA5768">
      <w:pPr>
        <w:pStyle w:val="Caption"/>
        <w:rPr>
          <w:rFonts w:cstheme="minorHAnsi"/>
        </w:rPr>
      </w:pPr>
      <w:r>
        <w:rPr>
          <w:noProof/>
        </w:rPr>
        <w:drawing>
          <wp:anchor distT="0" distB="0" distL="114300" distR="114300" simplePos="0" relativeHeight="251670528" behindDoc="1" locked="0" layoutInCell="1" allowOverlap="1" wp14:anchorId="5158DB89" wp14:editId="2D77F2D7">
            <wp:simplePos x="0" y="0"/>
            <wp:positionH relativeFrom="margin">
              <wp:posOffset>2845613</wp:posOffset>
            </wp:positionH>
            <wp:positionV relativeFrom="paragraph">
              <wp:posOffset>10770</wp:posOffset>
            </wp:positionV>
            <wp:extent cx="2771775" cy="1996440"/>
            <wp:effectExtent l="0" t="0" r="9525" b="3810"/>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49BE2F97" wp14:editId="395D3DDF">
            <wp:simplePos x="0" y="0"/>
            <wp:positionH relativeFrom="margin">
              <wp:align>left</wp:align>
            </wp:positionH>
            <wp:positionV relativeFrom="paragraph">
              <wp:posOffset>10771</wp:posOffset>
            </wp:positionV>
            <wp:extent cx="2847975" cy="1989734"/>
            <wp:effectExtent l="0" t="0" r="9525" b="10795"/>
            <wp:wrapNone/>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AA5768">
        <w:t xml:space="preserve">                                               </w:t>
      </w:r>
      <w:r w:rsidR="00082663">
        <w:rPr>
          <w:rFonts w:cstheme="minorHAnsi"/>
        </w:rPr>
        <w:tab/>
      </w:r>
    </w:p>
    <w:p w14:paraId="3A3109DE" w14:textId="77777777" w:rsidR="00082663" w:rsidRDefault="00082663" w:rsidP="00976D0B">
      <w:pPr>
        <w:jc w:val="both"/>
        <w:rPr>
          <w:rFonts w:cstheme="minorHAnsi"/>
        </w:rPr>
      </w:pPr>
    </w:p>
    <w:p w14:paraId="06545BB3" w14:textId="77777777" w:rsidR="00082663" w:rsidRDefault="00082663" w:rsidP="00976D0B">
      <w:pPr>
        <w:jc w:val="both"/>
        <w:rPr>
          <w:rFonts w:cstheme="minorHAnsi"/>
        </w:rPr>
      </w:pPr>
    </w:p>
    <w:p w14:paraId="6D4E9188" w14:textId="77777777" w:rsidR="00082663" w:rsidRDefault="00082663" w:rsidP="00976D0B">
      <w:pPr>
        <w:jc w:val="both"/>
        <w:rPr>
          <w:rFonts w:cstheme="minorHAnsi"/>
        </w:rPr>
      </w:pPr>
    </w:p>
    <w:p w14:paraId="7A31EE63" w14:textId="71FFD8DB" w:rsidR="00082663" w:rsidRDefault="00FE6824" w:rsidP="00FE6824">
      <w:pPr>
        <w:tabs>
          <w:tab w:val="left" w:pos="1545"/>
        </w:tabs>
        <w:jc w:val="both"/>
        <w:rPr>
          <w:rFonts w:cstheme="minorHAnsi"/>
        </w:rPr>
      </w:pPr>
      <w:r>
        <w:rPr>
          <w:rFonts w:cstheme="minorHAnsi"/>
        </w:rPr>
        <w:tab/>
      </w:r>
    </w:p>
    <w:p w14:paraId="68934007" w14:textId="77777777" w:rsidR="00082663" w:rsidRDefault="00082663" w:rsidP="00976D0B">
      <w:pPr>
        <w:jc w:val="both"/>
        <w:rPr>
          <w:rFonts w:cstheme="minorHAnsi"/>
        </w:rPr>
      </w:pPr>
    </w:p>
    <w:p w14:paraId="740C3451" w14:textId="77777777" w:rsidR="00082663" w:rsidRDefault="00082663" w:rsidP="00976D0B">
      <w:pPr>
        <w:jc w:val="both"/>
        <w:rPr>
          <w:rFonts w:cstheme="minorHAnsi"/>
        </w:rPr>
      </w:pPr>
    </w:p>
    <w:p w14:paraId="2ADAA6B4" w14:textId="6360C410" w:rsidR="00092187" w:rsidRDefault="00092187" w:rsidP="00976D0B">
      <w:pPr>
        <w:jc w:val="both"/>
        <w:rPr>
          <w:i/>
          <w:iCs/>
          <w:color w:val="44546A" w:themeColor="text2"/>
          <w:sz w:val="18"/>
          <w:szCs w:val="18"/>
        </w:rPr>
      </w:pPr>
      <w:r>
        <w:rPr>
          <w:i/>
          <w:iCs/>
          <w:color w:val="44546A" w:themeColor="text2"/>
          <w:sz w:val="18"/>
          <w:szCs w:val="18"/>
        </w:rPr>
        <w:t>Source:</w:t>
      </w:r>
      <w:r w:rsidR="004E3BA2">
        <w:rPr>
          <w:i/>
          <w:iCs/>
          <w:color w:val="44546A" w:themeColor="text2"/>
          <w:sz w:val="18"/>
          <w:szCs w:val="18"/>
        </w:rPr>
        <w:t xml:space="preserve"> </w:t>
      </w:r>
      <w:r>
        <w:rPr>
          <w:i/>
          <w:iCs/>
          <w:color w:val="44546A" w:themeColor="text2"/>
          <w:sz w:val="18"/>
          <w:szCs w:val="18"/>
        </w:rPr>
        <w:t xml:space="preserve"> Integrated Household Survey (IHS)</w:t>
      </w:r>
    </w:p>
    <w:p w14:paraId="17FBF97C" w14:textId="0D3AD93D" w:rsidR="00082663" w:rsidRDefault="00080B4B" w:rsidP="00976D0B">
      <w:pPr>
        <w:jc w:val="both"/>
        <w:rPr>
          <w:rFonts w:cstheme="minorHAnsi"/>
        </w:rPr>
      </w:pPr>
      <w:r>
        <w:rPr>
          <w:rFonts w:cstheme="minorHAnsi"/>
        </w:rPr>
        <w:t>A</w:t>
      </w:r>
      <w:r w:rsidR="00082663">
        <w:rPr>
          <w:rFonts w:cstheme="minorHAnsi"/>
        </w:rPr>
        <w:t xml:space="preserve">s ‘in need for capital renovation’ </w:t>
      </w:r>
      <w:r>
        <w:rPr>
          <w:rFonts w:cstheme="minorHAnsi"/>
        </w:rPr>
        <w:t xml:space="preserve">might be more </w:t>
      </w:r>
      <w:r w:rsidR="00082663">
        <w:rPr>
          <w:rFonts w:cstheme="minorHAnsi"/>
        </w:rPr>
        <w:t xml:space="preserve">subjective </w:t>
      </w:r>
      <w:r w:rsidR="00D40391">
        <w:rPr>
          <w:rFonts w:cstheme="minorHAnsi"/>
        </w:rPr>
        <w:t xml:space="preserve">with respect to ‘at risk of collapse’, </w:t>
      </w:r>
      <w:r w:rsidR="00082663">
        <w:rPr>
          <w:rFonts w:cstheme="minorHAnsi"/>
        </w:rPr>
        <w:t xml:space="preserve">and might </w:t>
      </w:r>
      <w:r w:rsidR="00D40391">
        <w:rPr>
          <w:rFonts w:cstheme="minorHAnsi"/>
        </w:rPr>
        <w:t xml:space="preserve">distort </w:t>
      </w:r>
      <w:r w:rsidR="00082663">
        <w:rPr>
          <w:rFonts w:cstheme="minorHAnsi"/>
        </w:rPr>
        <w:t>the picture,</w:t>
      </w:r>
      <w:r w:rsidR="004104E3">
        <w:rPr>
          <w:rFonts w:cstheme="minorHAnsi"/>
        </w:rPr>
        <w:t xml:space="preserve"> it was </w:t>
      </w:r>
      <w:r w:rsidR="006D0132">
        <w:rPr>
          <w:rFonts w:cstheme="minorHAnsi"/>
        </w:rPr>
        <w:t xml:space="preserve">decided to explore a narrower definition of unfit housing, estimating the </w:t>
      </w:r>
      <w:r w:rsidR="00082663">
        <w:rPr>
          <w:rFonts w:cstheme="minorHAnsi"/>
        </w:rPr>
        <w:t xml:space="preserve">share of the households who claimed that their </w:t>
      </w:r>
      <w:r w:rsidR="00082663" w:rsidRPr="00023594">
        <w:rPr>
          <w:rFonts w:cstheme="minorHAnsi"/>
        </w:rPr>
        <w:t xml:space="preserve">houses </w:t>
      </w:r>
      <w:r w:rsidR="00202405" w:rsidRPr="00023594">
        <w:rPr>
          <w:rFonts w:cstheme="minorHAnsi"/>
        </w:rPr>
        <w:t>were</w:t>
      </w:r>
      <w:r w:rsidR="006D0132" w:rsidRPr="00023594">
        <w:rPr>
          <w:rFonts w:cstheme="minorHAnsi"/>
        </w:rPr>
        <w:t xml:space="preserve"> at risk </w:t>
      </w:r>
      <w:r w:rsidR="00082663" w:rsidRPr="00023594">
        <w:rPr>
          <w:rFonts w:cstheme="minorHAnsi"/>
        </w:rPr>
        <w:t>collapse</w:t>
      </w:r>
      <w:r w:rsidR="009C6C97">
        <w:rPr>
          <w:rFonts w:cstheme="minorHAnsi"/>
        </w:rPr>
        <w:t>.</w:t>
      </w:r>
      <w:r w:rsidR="00082663" w:rsidRPr="00023594">
        <w:rPr>
          <w:rFonts w:cstheme="minorHAnsi"/>
        </w:rPr>
        <w:t xml:space="preserve"> </w:t>
      </w:r>
      <w:r w:rsidR="00082663">
        <w:rPr>
          <w:rFonts w:cstheme="minorHAnsi"/>
        </w:rPr>
        <w:t xml:space="preserve">According to the latest definition the trend for </w:t>
      </w:r>
      <w:r w:rsidR="00115CE1">
        <w:rPr>
          <w:rFonts w:cstheme="minorHAnsi"/>
        </w:rPr>
        <w:t xml:space="preserve">self-assessed </w:t>
      </w:r>
      <w:r w:rsidR="00082663">
        <w:rPr>
          <w:rFonts w:cstheme="minorHAnsi"/>
        </w:rPr>
        <w:t xml:space="preserve">unfit housing is </w:t>
      </w:r>
      <w:r w:rsidR="00115CE1">
        <w:rPr>
          <w:rFonts w:cstheme="minorHAnsi"/>
        </w:rPr>
        <w:t xml:space="preserve">shown in Figure </w:t>
      </w:r>
      <w:r w:rsidR="009C6C97">
        <w:rPr>
          <w:rFonts w:cstheme="minorHAnsi"/>
        </w:rPr>
        <w:t>40.</w:t>
      </w:r>
    </w:p>
    <w:p w14:paraId="7116D740" w14:textId="4BE59E24" w:rsidR="00AA5768" w:rsidRDefault="008F3E6B" w:rsidP="00AA5768">
      <w:pPr>
        <w:pStyle w:val="Caption"/>
      </w:pPr>
      <w:r>
        <w:rPr>
          <w:noProof/>
        </w:rPr>
        <w:drawing>
          <wp:anchor distT="0" distB="0" distL="114300" distR="114300" simplePos="0" relativeHeight="251672576" behindDoc="1" locked="0" layoutInCell="1" allowOverlap="1" wp14:anchorId="1D8B3C0D" wp14:editId="0E888491">
            <wp:simplePos x="0" y="0"/>
            <wp:positionH relativeFrom="column">
              <wp:posOffset>2933700</wp:posOffset>
            </wp:positionH>
            <wp:positionV relativeFrom="paragraph">
              <wp:posOffset>262255</wp:posOffset>
            </wp:positionV>
            <wp:extent cx="2828925" cy="1914525"/>
            <wp:effectExtent l="0" t="0" r="9525" b="952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8F62D8">
        <w:rPr>
          <w:noProof/>
        </w:rPr>
        <w:drawing>
          <wp:anchor distT="0" distB="0" distL="114300" distR="114300" simplePos="0" relativeHeight="251671552" behindDoc="1" locked="0" layoutInCell="1" allowOverlap="1" wp14:anchorId="5F832ADC" wp14:editId="3F1EDB98">
            <wp:simplePos x="0" y="0"/>
            <wp:positionH relativeFrom="margin">
              <wp:align>left</wp:align>
            </wp:positionH>
            <wp:positionV relativeFrom="paragraph">
              <wp:posOffset>247650</wp:posOffset>
            </wp:positionV>
            <wp:extent cx="2838450" cy="1933575"/>
            <wp:effectExtent l="0" t="0" r="0" b="9525"/>
            <wp:wrapNone/>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082663">
        <w:t xml:space="preserve">Figure </w:t>
      </w:r>
      <w:r w:rsidR="006C3BD6">
        <w:rPr>
          <w:noProof/>
        </w:rPr>
        <w:fldChar w:fldCharType="begin"/>
      </w:r>
      <w:r w:rsidR="006C3BD6">
        <w:rPr>
          <w:noProof/>
        </w:rPr>
        <w:instrText xml:space="preserve"> SEQ Figure \* ARABIC </w:instrText>
      </w:r>
      <w:r w:rsidR="006C3BD6">
        <w:rPr>
          <w:noProof/>
        </w:rPr>
        <w:fldChar w:fldCharType="separate"/>
      </w:r>
      <w:r w:rsidR="006B5103">
        <w:rPr>
          <w:noProof/>
        </w:rPr>
        <w:t>40</w:t>
      </w:r>
      <w:r w:rsidR="006C3BD6">
        <w:rPr>
          <w:noProof/>
        </w:rPr>
        <w:fldChar w:fldCharType="end"/>
      </w:r>
      <w:r w:rsidR="00082663">
        <w:t xml:space="preserve">: </w:t>
      </w:r>
      <w:r w:rsidR="005B7A7B">
        <w:t xml:space="preserve">Self-assessment </w:t>
      </w:r>
      <w:r w:rsidR="0078792E">
        <w:t xml:space="preserve">of fitness status ( at risk of collapse) of housing </w:t>
      </w:r>
      <w:r w:rsidR="00082663">
        <w:t xml:space="preserve"> for</w:t>
      </w:r>
      <w:r w:rsidR="00AA5768" w:rsidRPr="00AA5768">
        <w:t xml:space="preserve"> </w:t>
      </w:r>
      <w:r w:rsidR="00AA5768">
        <w:t xml:space="preserve">urban and rural areas </w:t>
      </w:r>
    </w:p>
    <w:p w14:paraId="389ED13B" w14:textId="2C48B23B" w:rsidR="00082663" w:rsidRDefault="00082663" w:rsidP="00976D0B">
      <w:pPr>
        <w:pStyle w:val="Caption"/>
        <w:jc w:val="both"/>
        <w:rPr>
          <w:rFonts w:cstheme="minorHAnsi"/>
        </w:rPr>
      </w:pPr>
    </w:p>
    <w:p w14:paraId="3FCD8D57" w14:textId="1703036C" w:rsidR="00082663" w:rsidRDefault="00082663" w:rsidP="00976D0B">
      <w:pPr>
        <w:jc w:val="both"/>
        <w:rPr>
          <w:rFonts w:cstheme="minorHAnsi"/>
        </w:rPr>
      </w:pPr>
    </w:p>
    <w:p w14:paraId="4BB41254" w14:textId="77777777" w:rsidR="00082663" w:rsidRDefault="00082663" w:rsidP="00976D0B">
      <w:pPr>
        <w:jc w:val="both"/>
        <w:rPr>
          <w:rFonts w:cstheme="minorHAnsi"/>
        </w:rPr>
      </w:pPr>
    </w:p>
    <w:p w14:paraId="5630048B" w14:textId="77777777" w:rsidR="00082663" w:rsidRDefault="00082663" w:rsidP="00976D0B">
      <w:pPr>
        <w:jc w:val="both"/>
        <w:rPr>
          <w:rFonts w:cstheme="minorHAnsi"/>
        </w:rPr>
      </w:pPr>
    </w:p>
    <w:p w14:paraId="0B2B3525" w14:textId="77777777" w:rsidR="00082663" w:rsidRDefault="00082663" w:rsidP="00976D0B">
      <w:pPr>
        <w:jc w:val="both"/>
        <w:rPr>
          <w:rFonts w:cstheme="minorHAnsi"/>
        </w:rPr>
      </w:pPr>
    </w:p>
    <w:p w14:paraId="13A28E75" w14:textId="77777777" w:rsidR="00082663" w:rsidRDefault="00082663" w:rsidP="00976D0B">
      <w:pPr>
        <w:jc w:val="both"/>
        <w:rPr>
          <w:rFonts w:cstheme="minorHAnsi"/>
        </w:rPr>
      </w:pPr>
    </w:p>
    <w:p w14:paraId="4CF7532B" w14:textId="473E6C3E" w:rsidR="00092187" w:rsidRDefault="00092187" w:rsidP="00976D0B">
      <w:pPr>
        <w:jc w:val="both"/>
        <w:rPr>
          <w:rFonts w:cstheme="minorHAnsi"/>
        </w:rPr>
      </w:pPr>
    </w:p>
    <w:p w14:paraId="518CBA2C" w14:textId="1F0DE290" w:rsidR="00082663" w:rsidRDefault="00092187" w:rsidP="00976D0B">
      <w:pPr>
        <w:jc w:val="both"/>
        <w:rPr>
          <w:rFonts w:cstheme="minorHAnsi"/>
        </w:rPr>
      </w:pPr>
      <w:r>
        <w:rPr>
          <w:i/>
          <w:iCs/>
          <w:color w:val="44546A" w:themeColor="text2"/>
          <w:sz w:val="18"/>
          <w:szCs w:val="18"/>
        </w:rPr>
        <w:t xml:space="preserve">Source: </w:t>
      </w:r>
      <w:r w:rsidR="00CA453C">
        <w:rPr>
          <w:i/>
          <w:iCs/>
          <w:color w:val="44546A" w:themeColor="text2"/>
          <w:sz w:val="18"/>
          <w:szCs w:val="18"/>
        </w:rPr>
        <w:t>Integrated Household Survey</w:t>
      </w:r>
    </w:p>
    <w:p w14:paraId="48051638" w14:textId="52D578B0" w:rsidR="0004131A" w:rsidRDefault="00115CE1" w:rsidP="00976D0B">
      <w:pPr>
        <w:jc w:val="both"/>
        <w:rPr>
          <w:rFonts w:cstheme="minorHAnsi"/>
          <w:color w:val="000000" w:themeColor="text1"/>
        </w:rPr>
      </w:pPr>
      <w:r>
        <w:rPr>
          <w:rFonts w:cstheme="minorHAnsi"/>
          <w:color w:val="000000" w:themeColor="text1"/>
        </w:rPr>
        <w:t>U</w:t>
      </w:r>
      <w:r w:rsidR="00082663" w:rsidRPr="000009BC">
        <w:rPr>
          <w:rFonts w:cstheme="minorHAnsi"/>
          <w:color w:val="000000" w:themeColor="text1"/>
        </w:rPr>
        <w:t xml:space="preserve">nder this </w:t>
      </w:r>
      <w:r>
        <w:rPr>
          <w:rFonts w:cstheme="minorHAnsi"/>
          <w:color w:val="000000" w:themeColor="text1"/>
        </w:rPr>
        <w:t xml:space="preserve">narrower </w:t>
      </w:r>
      <w:r w:rsidR="00082663" w:rsidRPr="000009BC">
        <w:rPr>
          <w:rFonts w:cstheme="minorHAnsi"/>
          <w:color w:val="000000" w:themeColor="text1"/>
        </w:rPr>
        <w:t>definition</w:t>
      </w:r>
      <w:r>
        <w:rPr>
          <w:rFonts w:cstheme="minorHAnsi"/>
          <w:color w:val="000000" w:themeColor="text1"/>
        </w:rPr>
        <w:t>, a</w:t>
      </w:r>
      <w:r w:rsidR="00082663" w:rsidRPr="000009BC">
        <w:rPr>
          <w:rFonts w:cstheme="minorHAnsi"/>
          <w:color w:val="000000" w:themeColor="text1"/>
        </w:rPr>
        <w:t xml:space="preserve"> substantially lower share </w:t>
      </w:r>
      <w:r>
        <w:rPr>
          <w:rFonts w:cstheme="minorHAnsi"/>
          <w:color w:val="000000" w:themeColor="text1"/>
        </w:rPr>
        <w:t xml:space="preserve">of households </w:t>
      </w:r>
      <w:r w:rsidR="00082663" w:rsidRPr="000009BC">
        <w:rPr>
          <w:rFonts w:cstheme="minorHAnsi"/>
          <w:color w:val="000000" w:themeColor="text1"/>
        </w:rPr>
        <w:t xml:space="preserve">enters </w:t>
      </w:r>
      <w:r>
        <w:rPr>
          <w:rFonts w:cstheme="minorHAnsi"/>
          <w:color w:val="000000" w:themeColor="text1"/>
        </w:rPr>
        <w:t>the</w:t>
      </w:r>
      <w:r w:rsidR="00082663" w:rsidRPr="000009BC">
        <w:rPr>
          <w:rFonts w:cstheme="minorHAnsi"/>
          <w:color w:val="000000" w:themeColor="text1"/>
        </w:rPr>
        <w:t xml:space="preserve"> unfit</w:t>
      </w:r>
      <w:r>
        <w:rPr>
          <w:rFonts w:cstheme="minorHAnsi"/>
          <w:color w:val="000000" w:themeColor="text1"/>
        </w:rPr>
        <w:t xml:space="preserve"> housing</w:t>
      </w:r>
      <w:r w:rsidR="00082663" w:rsidRPr="000009BC">
        <w:rPr>
          <w:rFonts w:cstheme="minorHAnsi"/>
          <w:color w:val="000000" w:themeColor="text1"/>
        </w:rPr>
        <w:t xml:space="preserve"> category</w:t>
      </w:r>
      <w:r>
        <w:rPr>
          <w:rFonts w:cstheme="minorHAnsi"/>
          <w:color w:val="000000" w:themeColor="text1"/>
        </w:rPr>
        <w:t>, more in line with the</w:t>
      </w:r>
      <w:r w:rsidR="002879EA">
        <w:rPr>
          <w:rFonts w:cstheme="minorHAnsi"/>
          <w:color w:val="000000" w:themeColor="text1"/>
        </w:rPr>
        <w:t xml:space="preserve"> SDG definition</w:t>
      </w:r>
      <w:r w:rsidR="009C6C97">
        <w:rPr>
          <w:rFonts w:cstheme="minorHAnsi"/>
          <w:color w:val="000000" w:themeColor="text1"/>
        </w:rPr>
        <w:t>.</w:t>
      </w:r>
      <w:r w:rsidR="00082663">
        <w:rPr>
          <w:rFonts w:cstheme="minorHAnsi"/>
          <w:color w:val="000000" w:themeColor="text1"/>
        </w:rPr>
        <w:t xml:space="preserve"> The trend for</w:t>
      </w:r>
      <w:r w:rsidR="00F8295E">
        <w:rPr>
          <w:rFonts w:cstheme="minorHAnsi"/>
          <w:color w:val="000000" w:themeColor="text1"/>
        </w:rPr>
        <w:t xml:space="preserve"> both</w:t>
      </w:r>
      <w:r w:rsidR="00082663">
        <w:rPr>
          <w:rFonts w:cstheme="minorHAnsi"/>
          <w:color w:val="000000" w:themeColor="text1"/>
        </w:rPr>
        <w:t xml:space="preserve"> </w:t>
      </w:r>
      <w:r w:rsidR="0021680A">
        <w:rPr>
          <w:rFonts w:cstheme="minorHAnsi"/>
          <w:color w:val="000000" w:themeColor="text1"/>
        </w:rPr>
        <w:t>urban</w:t>
      </w:r>
      <w:r w:rsidR="00082663">
        <w:rPr>
          <w:rFonts w:cstheme="minorHAnsi"/>
          <w:color w:val="000000" w:themeColor="text1"/>
        </w:rPr>
        <w:t xml:space="preserve"> </w:t>
      </w:r>
      <w:r w:rsidR="00F8295E">
        <w:rPr>
          <w:rFonts w:cstheme="minorHAnsi"/>
          <w:color w:val="000000" w:themeColor="text1"/>
        </w:rPr>
        <w:t xml:space="preserve">and </w:t>
      </w:r>
      <w:r w:rsidR="0021680A">
        <w:rPr>
          <w:rFonts w:cstheme="minorHAnsi"/>
          <w:color w:val="000000" w:themeColor="text1"/>
        </w:rPr>
        <w:t>rural</w:t>
      </w:r>
      <w:r w:rsidR="00F8295E">
        <w:rPr>
          <w:rFonts w:cstheme="minorHAnsi"/>
          <w:color w:val="000000" w:themeColor="text1"/>
        </w:rPr>
        <w:t xml:space="preserve"> </w:t>
      </w:r>
      <w:r w:rsidR="00082663">
        <w:rPr>
          <w:rFonts w:cstheme="minorHAnsi"/>
          <w:color w:val="000000" w:themeColor="text1"/>
        </w:rPr>
        <w:t xml:space="preserve">areas </w:t>
      </w:r>
      <w:r>
        <w:rPr>
          <w:rFonts w:cstheme="minorHAnsi"/>
          <w:color w:val="000000" w:themeColor="text1"/>
        </w:rPr>
        <w:t xml:space="preserve">is slightly </w:t>
      </w:r>
      <w:r w:rsidR="00082663">
        <w:rPr>
          <w:rFonts w:cstheme="minorHAnsi"/>
          <w:color w:val="000000" w:themeColor="text1"/>
        </w:rPr>
        <w:t>decreasing</w:t>
      </w:r>
      <w:r w:rsidR="009C6C97">
        <w:rPr>
          <w:rFonts w:cstheme="minorHAnsi"/>
          <w:color w:val="000000" w:themeColor="text1"/>
        </w:rPr>
        <w:t>.</w:t>
      </w:r>
      <w:r w:rsidR="00082663">
        <w:rPr>
          <w:rFonts w:cstheme="minorHAnsi"/>
          <w:color w:val="000000" w:themeColor="text1"/>
        </w:rPr>
        <w:t xml:space="preserve"> The </w:t>
      </w:r>
      <w:r w:rsidR="00092187">
        <w:rPr>
          <w:rFonts w:cstheme="minorHAnsi"/>
          <w:color w:val="000000" w:themeColor="text1"/>
        </w:rPr>
        <w:t xml:space="preserve">share of the households living </w:t>
      </w:r>
      <w:r w:rsidR="002879EA">
        <w:rPr>
          <w:rFonts w:cstheme="minorHAnsi"/>
          <w:color w:val="000000" w:themeColor="text1"/>
        </w:rPr>
        <w:t xml:space="preserve">in </w:t>
      </w:r>
      <w:r w:rsidR="00092187">
        <w:rPr>
          <w:rFonts w:cstheme="minorHAnsi"/>
          <w:color w:val="000000" w:themeColor="text1"/>
        </w:rPr>
        <w:t xml:space="preserve">unfit houses </w:t>
      </w:r>
      <w:r w:rsidR="00F7174F">
        <w:rPr>
          <w:rFonts w:cstheme="minorHAnsi"/>
          <w:color w:val="000000" w:themeColor="text1"/>
        </w:rPr>
        <w:t>declined</w:t>
      </w:r>
      <w:r w:rsidR="002879EA">
        <w:rPr>
          <w:rFonts w:cstheme="minorHAnsi"/>
          <w:color w:val="000000" w:themeColor="text1"/>
        </w:rPr>
        <w:t xml:space="preserve"> </w:t>
      </w:r>
      <w:r w:rsidR="00F8295E">
        <w:rPr>
          <w:rFonts w:cstheme="minorHAnsi"/>
          <w:color w:val="000000" w:themeColor="text1"/>
        </w:rPr>
        <w:t>from</w:t>
      </w:r>
      <w:r w:rsidR="00082663">
        <w:rPr>
          <w:rFonts w:cstheme="minorHAnsi"/>
          <w:color w:val="000000" w:themeColor="text1"/>
        </w:rPr>
        <w:t xml:space="preserve"> </w:t>
      </w:r>
      <w:r w:rsidR="00E30BB0">
        <w:rPr>
          <w:rFonts w:cstheme="minorHAnsi"/>
          <w:color w:val="000000" w:themeColor="text1"/>
        </w:rPr>
        <w:t>2</w:t>
      </w:r>
      <w:r w:rsidR="009C6C97">
        <w:rPr>
          <w:rFonts w:cstheme="minorHAnsi"/>
          <w:color w:val="000000" w:themeColor="text1"/>
        </w:rPr>
        <w:t>.</w:t>
      </w:r>
      <w:r w:rsidR="00E30BB0">
        <w:rPr>
          <w:rFonts w:cstheme="minorHAnsi"/>
          <w:color w:val="000000" w:themeColor="text1"/>
        </w:rPr>
        <w:t>7% to 2</w:t>
      </w:r>
      <w:r w:rsidR="009C6C97">
        <w:rPr>
          <w:rFonts w:cstheme="minorHAnsi"/>
          <w:color w:val="000000" w:themeColor="text1"/>
        </w:rPr>
        <w:t>.</w:t>
      </w:r>
      <w:r w:rsidR="00E30BB0">
        <w:rPr>
          <w:rFonts w:cstheme="minorHAnsi"/>
          <w:color w:val="000000" w:themeColor="text1"/>
        </w:rPr>
        <w:t>2% in</w:t>
      </w:r>
      <w:r w:rsidR="00082663">
        <w:rPr>
          <w:rFonts w:cstheme="minorHAnsi"/>
          <w:color w:val="000000" w:themeColor="text1"/>
        </w:rPr>
        <w:t xml:space="preserve"> </w:t>
      </w:r>
      <w:r w:rsidR="0021680A">
        <w:rPr>
          <w:rFonts w:cstheme="minorHAnsi"/>
          <w:color w:val="000000" w:themeColor="text1"/>
        </w:rPr>
        <w:t>urban</w:t>
      </w:r>
      <w:r w:rsidR="00082663">
        <w:rPr>
          <w:rFonts w:cstheme="minorHAnsi"/>
          <w:color w:val="000000" w:themeColor="text1"/>
        </w:rPr>
        <w:t xml:space="preserve"> areas </w:t>
      </w:r>
      <w:r w:rsidR="00E30BB0">
        <w:rPr>
          <w:rFonts w:cstheme="minorHAnsi"/>
          <w:color w:val="000000" w:themeColor="text1"/>
        </w:rPr>
        <w:t>and from 5</w:t>
      </w:r>
      <w:r w:rsidR="009C6C97">
        <w:rPr>
          <w:rFonts w:cstheme="minorHAnsi"/>
          <w:color w:val="000000" w:themeColor="text1"/>
        </w:rPr>
        <w:t>.</w:t>
      </w:r>
      <w:r w:rsidR="00E30BB0">
        <w:rPr>
          <w:rFonts w:cstheme="minorHAnsi"/>
          <w:color w:val="000000" w:themeColor="text1"/>
        </w:rPr>
        <w:t>8% to 5</w:t>
      </w:r>
      <w:r w:rsidR="009C6C97">
        <w:rPr>
          <w:rFonts w:cstheme="minorHAnsi"/>
          <w:color w:val="000000" w:themeColor="text1"/>
        </w:rPr>
        <w:t>.</w:t>
      </w:r>
      <w:r w:rsidR="00E30BB0">
        <w:rPr>
          <w:rFonts w:cstheme="minorHAnsi"/>
          <w:color w:val="000000" w:themeColor="text1"/>
        </w:rPr>
        <w:t xml:space="preserve">1% in </w:t>
      </w:r>
      <w:r w:rsidR="0021680A">
        <w:rPr>
          <w:rFonts w:cstheme="minorHAnsi"/>
          <w:color w:val="000000" w:themeColor="text1"/>
        </w:rPr>
        <w:t>rural</w:t>
      </w:r>
      <w:r w:rsidR="00E30BB0">
        <w:rPr>
          <w:rFonts w:cstheme="minorHAnsi"/>
          <w:color w:val="000000" w:themeColor="text1"/>
        </w:rPr>
        <w:t xml:space="preserve"> areas</w:t>
      </w:r>
      <w:r w:rsidR="00CA453C">
        <w:rPr>
          <w:rFonts w:cstheme="minorHAnsi"/>
          <w:color w:val="000000" w:themeColor="text1"/>
        </w:rPr>
        <w:t>.</w:t>
      </w:r>
    </w:p>
    <w:p w14:paraId="04714980" w14:textId="2FE01739" w:rsidR="00BC0EF7" w:rsidRDefault="007C44B3" w:rsidP="00976D0B">
      <w:pPr>
        <w:jc w:val="both"/>
        <w:rPr>
          <w:rFonts w:cstheme="minorHAnsi"/>
        </w:rPr>
      </w:pPr>
      <w:r>
        <w:rPr>
          <w:rFonts w:cstheme="minorHAnsi"/>
        </w:rPr>
        <w:t>Having a</w:t>
      </w:r>
      <w:r w:rsidR="0004131A">
        <w:rPr>
          <w:rFonts w:cstheme="minorHAnsi"/>
        </w:rPr>
        <w:t>nalyz</w:t>
      </w:r>
      <w:r>
        <w:rPr>
          <w:rFonts w:cstheme="minorHAnsi"/>
        </w:rPr>
        <w:t>ed</w:t>
      </w:r>
      <w:r w:rsidR="0004131A">
        <w:rPr>
          <w:rFonts w:cstheme="minorHAnsi"/>
        </w:rPr>
        <w:t xml:space="preserve"> the trend </w:t>
      </w:r>
      <w:r w:rsidR="00E30BB0">
        <w:rPr>
          <w:rFonts w:cstheme="minorHAnsi"/>
        </w:rPr>
        <w:t>according to both the SDG and the self-assessed</w:t>
      </w:r>
      <w:r w:rsidR="0004131A">
        <w:rPr>
          <w:rFonts w:cstheme="minorHAnsi"/>
        </w:rPr>
        <w:t xml:space="preserve"> unfit housing indicators</w:t>
      </w:r>
      <w:r>
        <w:rPr>
          <w:rFonts w:cstheme="minorHAnsi"/>
        </w:rPr>
        <w:t>,</w:t>
      </w:r>
      <w:r w:rsidR="0004131A">
        <w:rPr>
          <w:rFonts w:cstheme="minorHAnsi"/>
        </w:rPr>
        <w:t xml:space="preserve"> </w:t>
      </w:r>
      <w:r w:rsidR="00921FEB">
        <w:rPr>
          <w:rFonts w:cstheme="minorHAnsi"/>
        </w:rPr>
        <w:t xml:space="preserve">there seem to be some indications that </w:t>
      </w:r>
      <w:r w:rsidR="0004131A">
        <w:rPr>
          <w:rFonts w:cstheme="minorHAnsi"/>
        </w:rPr>
        <w:t xml:space="preserve">the problem of unfit housing </w:t>
      </w:r>
      <w:r w:rsidR="00921FEB">
        <w:rPr>
          <w:rFonts w:cstheme="minorHAnsi"/>
        </w:rPr>
        <w:t>is slowly becoming</w:t>
      </w:r>
      <w:r w:rsidR="0004131A">
        <w:rPr>
          <w:rFonts w:cstheme="minorHAnsi"/>
        </w:rPr>
        <w:t xml:space="preserve"> less </w:t>
      </w:r>
      <w:r w:rsidR="00921FEB">
        <w:rPr>
          <w:rFonts w:cstheme="minorHAnsi"/>
        </w:rPr>
        <w:t>severe</w:t>
      </w:r>
      <w:r w:rsidR="00202405">
        <w:rPr>
          <w:rFonts w:cstheme="minorHAnsi"/>
        </w:rPr>
        <w:t>.</w:t>
      </w:r>
      <w:r w:rsidR="00921FEB">
        <w:rPr>
          <w:rFonts w:cstheme="minorHAnsi"/>
        </w:rPr>
        <w:t xml:space="preserve"> However, </w:t>
      </w:r>
      <w:r w:rsidR="00C5511B">
        <w:rPr>
          <w:rFonts w:cstheme="minorHAnsi"/>
        </w:rPr>
        <w:t xml:space="preserve">due to </w:t>
      </w:r>
      <w:r w:rsidR="000B791D">
        <w:rPr>
          <w:rFonts w:cstheme="minorHAnsi"/>
        </w:rPr>
        <w:t xml:space="preserve">big variation in the indicators, </w:t>
      </w:r>
      <w:r w:rsidR="009E3298">
        <w:rPr>
          <w:rFonts w:cstheme="minorHAnsi"/>
        </w:rPr>
        <w:t xml:space="preserve">to the large share of household reporting to be living in households needing renovation, </w:t>
      </w:r>
      <w:r w:rsidR="000B791D">
        <w:rPr>
          <w:rFonts w:cstheme="minorHAnsi"/>
        </w:rPr>
        <w:t xml:space="preserve">and to the non-negligible share of households reporting to be living in houses at risk of collapse, </w:t>
      </w:r>
      <w:r w:rsidR="003E4E47">
        <w:rPr>
          <w:rFonts w:cstheme="minorHAnsi"/>
        </w:rPr>
        <w:t xml:space="preserve">the need for </w:t>
      </w:r>
      <w:r w:rsidR="0000132B">
        <w:rPr>
          <w:rFonts w:cstheme="minorHAnsi"/>
        </w:rPr>
        <w:t xml:space="preserve">urgent </w:t>
      </w:r>
      <w:r w:rsidR="003E4E47">
        <w:rPr>
          <w:rFonts w:cstheme="minorHAnsi"/>
        </w:rPr>
        <w:t>government intervention cannot be rule</w:t>
      </w:r>
      <w:r w:rsidR="0000132B">
        <w:rPr>
          <w:rFonts w:cstheme="minorHAnsi"/>
        </w:rPr>
        <w:t>d</w:t>
      </w:r>
      <w:r w:rsidR="003E4E47">
        <w:rPr>
          <w:rFonts w:cstheme="minorHAnsi"/>
        </w:rPr>
        <w:t xml:space="preserve"> out</w:t>
      </w:r>
      <w:r w:rsidR="00202405">
        <w:rPr>
          <w:rFonts w:cstheme="minorHAnsi"/>
        </w:rPr>
        <w:t>.</w:t>
      </w:r>
      <w:r w:rsidR="003E4E47">
        <w:rPr>
          <w:rFonts w:cstheme="minorHAnsi"/>
        </w:rPr>
        <w:t xml:space="preserve"> </w:t>
      </w:r>
      <w:r w:rsidR="00BC0EF7">
        <w:rPr>
          <w:rFonts w:cstheme="minorHAnsi"/>
        </w:rPr>
        <w:t xml:space="preserve">This intervention should focus </w:t>
      </w:r>
      <w:r w:rsidR="00EB5695">
        <w:rPr>
          <w:rFonts w:cstheme="minorHAnsi"/>
        </w:rPr>
        <w:t xml:space="preserve">initially on the identification of </w:t>
      </w:r>
      <w:r w:rsidR="006F480B">
        <w:rPr>
          <w:rFonts w:cstheme="minorHAnsi"/>
        </w:rPr>
        <w:t>the houses at risk of collapse, in order to prevent not only homelessness</w:t>
      </w:r>
      <w:r w:rsidR="00DF31BC">
        <w:rPr>
          <w:rFonts w:cstheme="minorHAnsi"/>
        </w:rPr>
        <w:t xml:space="preserve"> but also – more importantly – the loss of human lives</w:t>
      </w:r>
      <w:r w:rsidR="00202405">
        <w:rPr>
          <w:rFonts w:cstheme="minorHAnsi"/>
        </w:rPr>
        <w:t>.</w:t>
      </w:r>
      <w:r w:rsidR="00847047">
        <w:rPr>
          <w:rFonts w:cstheme="minorHAnsi"/>
        </w:rPr>
        <w:t xml:space="preserve"> At a later stage, </w:t>
      </w:r>
      <w:r w:rsidR="00847047">
        <w:rPr>
          <w:rFonts w:cstheme="minorHAnsi"/>
        </w:rPr>
        <w:lastRenderedPageBreak/>
        <w:t xml:space="preserve">another important action would be the </w:t>
      </w:r>
      <w:r w:rsidR="000638CF">
        <w:rPr>
          <w:rFonts w:cstheme="minorHAnsi"/>
        </w:rPr>
        <w:t>assessment of the fitness of the housing stock, in order to produce more accurate statistics on which to base the</w:t>
      </w:r>
      <w:r w:rsidR="009E722D">
        <w:rPr>
          <w:rFonts w:cstheme="minorHAnsi"/>
        </w:rPr>
        <w:t xml:space="preserve"> national</w:t>
      </w:r>
      <w:r w:rsidR="000638CF">
        <w:rPr>
          <w:rFonts w:cstheme="minorHAnsi"/>
        </w:rPr>
        <w:t xml:space="preserve"> housing</w:t>
      </w:r>
      <w:r w:rsidR="009E3298">
        <w:rPr>
          <w:rFonts w:cstheme="minorHAnsi"/>
        </w:rPr>
        <w:t xml:space="preserve"> policy</w:t>
      </w:r>
      <w:r w:rsidR="00202405">
        <w:rPr>
          <w:rFonts w:cstheme="minorHAnsi"/>
        </w:rPr>
        <w:t>.</w:t>
      </w:r>
    </w:p>
    <w:p w14:paraId="59EC819C" w14:textId="46967D3C" w:rsidR="009D2A14" w:rsidRDefault="009D2A14" w:rsidP="009D2A14">
      <w:pPr>
        <w:jc w:val="both"/>
        <w:rPr>
          <w:rFonts w:cstheme="minorHAnsi"/>
        </w:rPr>
      </w:pPr>
      <w:r>
        <w:rPr>
          <w:rFonts w:cstheme="minorHAnsi"/>
        </w:rPr>
        <w:t xml:space="preserve">As an additional proxy of the quality of the housing stock in which people </w:t>
      </w:r>
      <w:r w:rsidR="00BD43E3">
        <w:rPr>
          <w:rFonts w:cstheme="minorHAnsi"/>
        </w:rPr>
        <w:t>live, the</w:t>
      </w:r>
      <w:r>
        <w:rPr>
          <w:rFonts w:cstheme="minorHAnsi"/>
        </w:rPr>
        <w:t xml:space="preserve"> date of construction of buildings</w:t>
      </w:r>
      <w:r w:rsidRPr="00CB6FEA">
        <w:rPr>
          <w:rFonts w:cstheme="minorHAnsi"/>
        </w:rPr>
        <w:t xml:space="preserve"> </w:t>
      </w:r>
      <w:r w:rsidR="00BD43E3">
        <w:rPr>
          <w:rFonts w:cstheme="minorHAnsi"/>
        </w:rPr>
        <w:t xml:space="preserve">was examined. </w:t>
      </w:r>
      <w:r w:rsidRPr="00454C26">
        <w:rPr>
          <w:rFonts w:cstheme="minorHAnsi"/>
        </w:rPr>
        <w:t xml:space="preserve">Looking at Table </w:t>
      </w:r>
      <w:r w:rsidR="008F3E6B">
        <w:rPr>
          <w:rFonts w:cstheme="minorHAnsi"/>
        </w:rPr>
        <w:t>6</w:t>
      </w:r>
      <w:r w:rsidRPr="00454C26">
        <w:rPr>
          <w:rFonts w:cstheme="minorHAnsi"/>
        </w:rPr>
        <w:t>&amp;</w:t>
      </w:r>
      <w:r w:rsidR="008F3E6B">
        <w:rPr>
          <w:rFonts w:cstheme="minorHAnsi"/>
        </w:rPr>
        <w:t>7</w:t>
      </w:r>
      <w:r w:rsidRPr="00454C26">
        <w:rPr>
          <w:rFonts w:cstheme="minorHAnsi"/>
        </w:rPr>
        <w:t xml:space="preserve"> it</w:t>
      </w:r>
      <w:r>
        <w:rPr>
          <w:rFonts w:cstheme="minorHAnsi"/>
        </w:rPr>
        <w:t xml:space="preserve"> can be told that in </w:t>
      </w:r>
      <w:r w:rsidR="0021680A">
        <w:rPr>
          <w:rFonts w:cstheme="minorHAnsi"/>
        </w:rPr>
        <w:t>urban</w:t>
      </w:r>
      <w:r>
        <w:rPr>
          <w:rFonts w:cstheme="minorHAnsi"/>
        </w:rPr>
        <w:t xml:space="preserve"> areas the majority of households over years live</w:t>
      </w:r>
      <w:r w:rsidR="00E04A2B">
        <w:rPr>
          <w:rFonts w:cstheme="minorHAnsi"/>
        </w:rPr>
        <w:t>d</w:t>
      </w:r>
      <w:r>
        <w:rPr>
          <w:rFonts w:cstheme="minorHAnsi"/>
        </w:rPr>
        <w:t xml:space="preserve"> in houses built in </w:t>
      </w:r>
      <w:r w:rsidRPr="00394FBB">
        <w:rPr>
          <w:rFonts w:cstheme="minorHAnsi"/>
        </w:rPr>
        <w:t>19</w:t>
      </w:r>
      <w:r>
        <w:rPr>
          <w:rFonts w:cstheme="minorHAnsi"/>
        </w:rPr>
        <w:t>8</w:t>
      </w:r>
      <w:r w:rsidRPr="00394FBB">
        <w:rPr>
          <w:rFonts w:cstheme="minorHAnsi"/>
        </w:rPr>
        <w:t>0-19</w:t>
      </w:r>
      <w:r>
        <w:rPr>
          <w:rFonts w:cstheme="minorHAnsi"/>
        </w:rPr>
        <w:t>9</w:t>
      </w:r>
      <w:r w:rsidRPr="00394FBB">
        <w:rPr>
          <w:rFonts w:cstheme="minorHAnsi"/>
        </w:rPr>
        <w:t>9</w:t>
      </w:r>
      <w:r>
        <w:rPr>
          <w:rFonts w:cstheme="minorHAnsi"/>
        </w:rPr>
        <w:t xml:space="preserve"> (20 to </w:t>
      </w:r>
      <w:r w:rsidR="00202405">
        <w:rPr>
          <w:rFonts w:cstheme="minorHAnsi"/>
        </w:rPr>
        <w:t>39 years</w:t>
      </w:r>
      <w:r>
        <w:rPr>
          <w:rFonts w:cstheme="minorHAnsi"/>
        </w:rPr>
        <w:t xml:space="preserve"> old). Even though in last two years it has been seen that the share of people who live in newly bui</w:t>
      </w:r>
      <w:r w:rsidR="00BD43E3">
        <w:rPr>
          <w:rFonts w:cstheme="minorHAnsi"/>
        </w:rPr>
        <w:t>lt (after 2000) houses increased</w:t>
      </w:r>
      <w:r>
        <w:rPr>
          <w:rFonts w:cstheme="minorHAnsi"/>
        </w:rPr>
        <w:t xml:space="preserve"> the trend is not so clear over the twelve-year period. As for </w:t>
      </w:r>
      <w:r w:rsidR="0021680A">
        <w:rPr>
          <w:rFonts w:cstheme="minorHAnsi"/>
        </w:rPr>
        <w:t>rural</w:t>
      </w:r>
      <w:r>
        <w:rPr>
          <w:rFonts w:cstheme="minorHAnsi"/>
        </w:rPr>
        <w:t xml:space="preserve"> areas, here the majority of housing st</w:t>
      </w:r>
      <w:r w:rsidR="00C5680D">
        <w:rPr>
          <w:rFonts w:cstheme="minorHAnsi"/>
        </w:rPr>
        <w:t xml:space="preserve">ocks occupied by households were </w:t>
      </w:r>
      <w:r>
        <w:rPr>
          <w:rFonts w:cstheme="minorHAnsi"/>
        </w:rPr>
        <w:t xml:space="preserve">built over 1960-1979 period (40 to 59 years old). In 2018, 3.3% and 5.6% of households, from </w:t>
      </w:r>
      <w:r w:rsidR="0021680A">
        <w:rPr>
          <w:rFonts w:cstheme="minorHAnsi"/>
        </w:rPr>
        <w:t>urban</w:t>
      </w:r>
      <w:r>
        <w:rPr>
          <w:rFonts w:cstheme="minorHAnsi"/>
        </w:rPr>
        <w:t xml:space="preserve"> and </w:t>
      </w:r>
      <w:r w:rsidR="0021680A">
        <w:rPr>
          <w:rFonts w:cstheme="minorHAnsi"/>
        </w:rPr>
        <w:t>rural</w:t>
      </w:r>
      <w:r>
        <w:rPr>
          <w:rFonts w:cstheme="minorHAnsi"/>
        </w:rPr>
        <w:t xml:space="preserve"> areas, respectively, lived in houses built after 2000 year. The most vulnerable group from here could be the households who live in old-dated houses. This group contain families who live in the houses built before 1920, even though th</w:t>
      </w:r>
      <w:r w:rsidR="00813C9B">
        <w:rPr>
          <w:rFonts w:cstheme="minorHAnsi"/>
        </w:rPr>
        <w:t>e average share of households was</w:t>
      </w:r>
      <w:r>
        <w:rPr>
          <w:rFonts w:cstheme="minorHAnsi"/>
        </w:rPr>
        <w:t xml:space="preserve"> decreasing over year in both </w:t>
      </w:r>
      <w:r w:rsidR="0021680A">
        <w:rPr>
          <w:rFonts w:cstheme="minorHAnsi"/>
        </w:rPr>
        <w:t>urban</w:t>
      </w:r>
      <w:r>
        <w:rPr>
          <w:rFonts w:cstheme="minorHAnsi"/>
        </w:rPr>
        <w:t xml:space="preserve"> and </w:t>
      </w:r>
      <w:r w:rsidR="0021680A">
        <w:rPr>
          <w:rFonts w:cstheme="minorHAnsi"/>
        </w:rPr>
        <w:t>rural</w:t>
      </w:r>
      <w:r w:rsidR="00813C9B">
        <w:rPr>
          <w:rFonts w:cstheme="minorHAnsi"/>
        </w:rPr>
        <w:t xml:space="preserve"> areas, in 2018 there were</w:t>
      </w:r>
      <w:r>
        <w:rPr>
          <w:rFonts w:cstheme="minorHAnsi"/>
        </w:rPr>
        <w:t xml:space="preserve"> still 1.3% and 1.1% of households in </w:t>
      </w:r>
      <w:r w:rsidR="0021680A">
        <w:rPr>
          <w:rFonts w:cstheme="minorHAnsi"/>
        </w:rPr>
        <w:t>urban</w:t>
      </w:r>
      <w:r>
        <w:rPr>
          <w:rFonts w:cstheme="minorHAnsi"/>
        </w:rPr>
        <w:t xml:space="preserve"> and </w:t>
      </w:r>
      <w:r w:rsidR="0021680A">
        <w:rPr>
          <w:rFonts w:cstheme="minorHAnsi"/>
        </w:rPr>
        <w:t>rural</w:t>
      </w:r>
      <w:r>
        <w:rPr>
          <w:rFonts w:cstheme="minorHAnsi"/>
        </w:rPr>
        <w:t xml:space="preserve"> areas living in old dwellings.</w:t>
      </w:r>
    </w:p>
    <w:p w14:paraId="4036B6F6" w14:textId="00D2F13E" w:rsidR="00DE7DAB" w:rsidRPr="008F3E6B" w:rsidRDefault="008F3E6B" w:rsidP="008F3E6B">
      <w:pPr>
        <w:pStyle w:val="Caption"/>
        <w:rPr>
          <w:rFonts w:cstheme="minorHAnsi"/>
        </w:rPr>
      </w:pPr>
      <w:r>
        <w:t xml:space="preserve">Table </w:t>
      </w:r>
      <w:r w:rsidR="0063201F">
        <w:rPr>
          <w:noProof/>
        </w:rPr>
        <w:fldChar w:fldCharType="begin"/>
      </w:r>
      <w:r w:rsidR="0063201F">
        <w:rPr>
          <w:noProof/>
        </w:rPr>
        <w:instrText xml:space="preserve"> SEQ Table \* ARABIC </w:instrText>
      </w:r>
      <w:r w:rsidR="0063201F">
        <w:rPr>
          <w:noProof/>
        </w:rPr>
        <w:fldChar w:fldCharType="separate"/>
      </w:r>
      <w:r>
        <w:rPr>
          <w:noProof/>
        </w:rPr>
        <w:t>6</w:t>
      </w:r>
      <w:r w:rsidR="0063201F">
        <w:rPr>
          <w:noProof/>
        </w:rPr>
        <w:fldChar w:fldCharType="end"/>
      </w:r>
      <w:r w:rsidR="00082663">
        <w:t xml:space="preserve">: The average distribution of households in housing stock according to the building age in </w:t>
      </w:r>
      <w:r w:rsidR="0021680A">
        <w:t>urban</w:t>
      </w:r>
      <w:r w:rsidR="00082663">
        <w:t xml:space="preserve"> </w:t>
      </w:r>
      <w:r w:rsidR="0021680A">
        <w:t>a</w:t>
      </w:r>
      <w:r w:rsidR="00082663">
        <w:t>reas</w:t>
      </w:r>
    </w:p>
    <w:tbl>
      <w:tblPr>
        <w:tblStyle w:val="GridTable1Light-Accent1"/>
        <w:tblW w:w="9458" w:type="dxa"/>
        <w:tblLook w:val="04A0" w:firstRow="1" w:lastRow="0" w:firstColumn="1" w:lastColumn="0" w:noHBand="0" w:noVBand="1"/>
      </w:tblPr>
      <w:tblGrid>
        <w:gridCol w:w="1388"/>
        <w:gridCol w:w="764"/>
        <w:gridCol w:w="764"/>
        <w:gridCol w:w="764"/>
        <w:gridCol w:w="764"/>
        <w:gridCol w:w="764"/>
        <w:gridCol w:w="764"/>
        <w:gridCol w:w="764"/>
        <w:gridCol w:w="764"/>
        <w:gridCol w:w="764"/>
        <w:gridCol w:w="764"/>
        <w:gridCol w:w="764"/>
        <w:gridCol w:w="764"/>
      </w:tblGrid>
      <w:tr w:rsidR="00DE7DAB" w:rsidRPr="00DE7DAB" w14:paraId="3DB53716" w14:textId="77777777" w:rsidTr="00AE5EC4">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vAlign w:val="center"/>
            <w:hideMark/>
          </w:tcPr>
          <w:p w14:paraId="1575CA32" w14:textId="42738DD0" w:rsidR="00DE7DAB" w:rsidRPr="00AE5EC4" w:rsidRDefault="00AE5EC4" w:rsidP="00AE5EC4">
            <w:pPr>
              <w:jc w:val="center"/>
              <w:rPr>
                <w:rFonts w:ascii="Calibri" w:eastAsia="Times New Roman" w:hAnsi="Calibri" w:cs="Calibri"/>
                <w:color w:val="FFFFFF" w:themeColor="background1"/>
              </w:rPr>
            </w:pPr>
            <w:r w:rsidRPr="00AE5EC4">
              <w:rPr>
                <w:rFonts w:ascii="Calibri" w:eastAsia="Times New Roman" w:hAnsi="Calibri" w:cs="Calibri"/>
                <w:color w:val="FFFFFF" w:themeColor="background1"/>
              </w:rPr>
              <w:t>Construction Date</w:t>
            </w:r>
          </w:p>
        </w:tc>
        <w:tc>
          <w:tcPr>
            <w:tcW w:w="721" w:type="dxa"/>
            <w:shd w:val="clear" w:color="auto" w:fill="002060"/>
            <w:noWrap/>
            <w:vAlign w:val="center"/>
            <w:hideMark/>
          </w:tcPr>
          <w:p w14:paraId="62DA9357"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2007</w:t>
            </w:r>
          </w:p>
        </w:tc>
        <w:tc>
          <w:tcPr>
            <w:tcW w:w="722" w:type="dxa"/>
            <w:shd w:val="clear" w:color="auto" w:fill="002060"/>
            <w:noWrap/>
            <w:vAlign w:val="center"/>
            <w:hideMark/>
          </w:tcPr>
          <w:p w14:paraId="76534CC4"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2008</w:t>
            </w:r>
          </w:p>
        </w:tc>
        <w:tc>
          <w:tcPr>
            <w:tcW w:w="722" w:type="dxa"/>
            <w:shd w:val="clear" w:color="auto" w:fill="002060"/>
            <w:noWrap/>
            <w:vAlign w:val="center"/>
            <w:hideMark/>
          </w:tcPr>
          <w:p w14:paraId="74B4E513"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2009</w:t>
            </w:r>
          </w:p>
        </w:tc>
        <w:tc>
          <w:tcPr>
            <w:tcW w:w="722" w:type="dxa"/>
            <w:shd w:val="clear" w:color="auto" w:fill="002060"/>
            <w:noWrap/>
            <w:vAlign w:val="center"/>
            <w:hideMark/>
          </w:tcPr>
          <w:p w14:paraId="5AC4FD11"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2010</w:t>
            </w:r>
          </w:p>
        </w:tc>
        <w:tc>
          <w:tcPr>
            <w:tcW w:w="722" w:type="dxa"/>
            <w:shd w:val="clear" w:color="auto" w:fill="002060"/>
            <w:noWrap/>
            <w:vAlign w:val="center"/>
            <w:hideMark/>
          </w:tcPr>
          <w:p w14:paraId="522D560F"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2011</w:t>
            </w:r>
          </w:p>
        </w:tc>
        <w:tc>
          <w:tcPr>
            <w:tcW w:w="722" w:type="dxa"/>
            <w:shd w:val="clear" w:color="auto" w:fill="002060"/>
            <w:noWrap/>
            <w:vAlign w:val="center"/>
            <w:hideMark/>
          </w:tcPr>
          <w:p w14:paraId="304B51F8"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2012</w:t>
            </w:r>
          </w:p>
        </w:tc>
        <w:tc>
          <w:tcPr>
            <w:tcW w:w="722" w:type="dxa"/>
            <w:shd w:val="clear" w:color="auto" w:fill="002060"/>
            <w:noWrap/>
            <w:vAlign w:val="center"/>
            <w:hideMark/>
          </w:tcPr>
          <w:p w14:paraId="54946CBC"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2013</w:t>
            </w:r>
          </w:p>
        </w:tc>
        <w:tc>
          <w:tcPr>
            <w:tcW w:w="722" w:type="dxa"/>
            <w:shd w:val="clear" w:color="auto" w:fill="002060"/>
            <w:noWrap/>
            <w:vAlign w:val="center"/>
            <w:hideMark/>
          </w:tcPr>
          <w:p w14:paraId="5D1C59BD"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2014</w:t>
            </w:r>
          </w:p>
        </w:tc>
        <w:tc>
          <w:tcPr>
            <w:tcW w:w="722" w:type="dxa"/>
            <w:shd w:val="clear" w:color="auto" w:fill="002060"/>
            <w:noWrap/>
            <w:vAlign w:val="center"/>
            <w:hideMark/>
          </w:tcPr>
          <w:p w14:paraId="23AB81A7"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2015</w:t>
            </w:r>
          </w:p>
        </w:tc>
        <w:tc>
          <w:tcPr>
            <w:tcW w:w="722" w:type="dxa"/>
            <w:shd w:val="clear" w:color="auto" w:fill="002060"/>
            <w:noWrap/>
            <w:vAlign w:val="center"/>
            <w:hideMark/>
          </w:tcPr>
          <w:p w14:paraId="05999CEB"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2016</w:t>
            </w:r>
          </w:p>
        </w:tc>
        <w:tc>
          <w:tcPr>
            <w:tcW w:w="722" w:type="dxa"/>
            <w:shd w:val="clear" w:color="auto" w:fill="002060"/>
            <w:noWrap/>
            <w:vAlign w:val="center"/>
            <w:hideMark/>
          </w:tcPr>
          <w:p w14:paraId="71258E27"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2017</w:t>
            </w:r>
          </w:p>
        </w:tc>
        <w:tc>
          <w:tcPr>
            <w:tcW w:w="722" w:type="dxa"/>
            <w:shd w:val="clear" w:color="auto" w:fill="002060"/>
            <w:noWrap/>
            <w:vAlign w:val="center"/>
            <w:hideMark/>
          </w:tcPr>
          <w:p w14:paraId="48CB6381" w14:textId="77777777" w:rsidR="00DE7DAB" w:rsidRPr="00AE5EC4" w:rsidRDefault="00DE7DAB" w:rsidP="00AE5EC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2018</w:t>
            </w:r>
          </w:p>
        </w:tc>
      </w:tr>
      <w:tr w:rsidR="00DE7DAB" w:rsidRPr="00DE7DAB" w14:paraId="1F766C1D" w14:textId="77777777" w:rsidTr="00AE5EC4">
        <w:trPr>
          <w:trHeight w:val="322"/>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hideMark/>
          </w:tcPr>
          <w:p w14:paraId="6C0F1E0E" w14:textId="77777777" w:rsidR="00DE7DAB" w:rsidRPr="00AE5EC4" w:rsidRDefault="00DE7DAB" w:rsidP="00DE7DAB">
            <w:pPr>
              <w:rPr>
                <w:rFonts w:ascii="Calibri" w:eastAsia="Times New Roman" w:hAnsi="Calibri" w:cs="Calibri"/>
                <w:color w:val="FFFFFF" w:themeColor="background1"/>
              </w:rPr>
            </w:pPr>
            <w:r w:rsidRPr="00AE5EC4">
              <w:rPr>
                <w:rFonts w:ascii="Calibri" w:eastAsia="Times New Roman" w:hAnsi="Calibri" w:cs="Calibri"/>
                <w:color w:val="FFFFFF" w:themeColor="background1"/>
              </w:rPr>
              <w:t>After 2000</w:t>
            </w:r>
          </w:p>
        </w:tc>
        <w:tc>
          <w:tcPr>
            <w:tcW w:w="721" w:type="dxa"/>
            <w:noWrap/>
            <w:hideMark/>
          </w:tcPr>
          <w:p w14:paraId="1B0101D7"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0.4%</w:t>
            </w:r>
          </w:p>
        </w:tc>
        <w:tc>
          <w:tcPr>
            <w:tcW w:w="722" w:type="dxa"/>
            <w:noWrap/>
            <w:hideMark/>
          </w:tcPr>
          <w:p w14:paraId="10B0473C"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0.2%</w:t>
            </w:r>
          </w:p>
        </w:tc>
        <w:tc>
          <w:tcPr>
            <w:tcW w:w="722" w:type="dxa"/>
            <w:noWrap/>
            <w:hideMark/>
          </w:tcPr>
          <w:p w14:paraId="55A99021"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1.5%</w:t>
            </w:r>
          </w:p>
        </w:tc>
        <w:tc>
          <w:tcPr>
            <w:tcW w:w="722" w:type="dxa"/>
            <w:noWrap/>
            <w:hideMark/>
          </w:tcPr>
          <w:p w14:paraId="650B18D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1.4%</w:t>
            </w:r>
          </w:p>
        </w:tc>
        <w:tc>
          <w:tcPr>
            <w:tcW w:w="722" w:type="dxa"/>
            <w:noWrap/>
            <w:hideMark/>
          </w:tcPr>
          <w:p w14:paraId="75C46ADC"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0.9%</w:t>
            </w:r>
          </w:p>
        </w:tc>
        <w:tc>
          <w:tcPr>
            <w:tcW w:w="722" w:type="dxa"/>
            <w:noWrap/>
            <w:hideMark/>
          </w:tcPr>
          <w:p w14:paraId="0B445EB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1.0%</w:t>
            </w:r>
          </w:p>
        </w:tc>
        <w:tc>
          <w:tcPr>
            <w:tcW w:w="722" w:type="dxa"/>
            <w:noWrap/>
            <w:hideMark/>
          </w:tcPr>
          <w:p w14:paraId="58F1DEB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1.4%</w:t>
            </w:r>
          </w:p>
        </w:tc>
        <w:tc>
          <w:tcPr>
            <w:tcW w:w="722" w:type="dxa"/>
            <w:noWrap/>
            <w:hideMark/>
          </w:tcPr>
          <w:p w14:paraId="51F98BE3"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1.6%</w:t>
            </w:r>
          </w:p>
        </w:tc>
        <w:tc>
          <w:tcPr>
            <w:tcW w:w="722" w:type="dxa"/>
            <w:noWrap/>
            <w:hideMark/>
          </w:tcPr>
          <w:p w14:paraId="6D785DE7"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1.3%</w:t>
            </w:r>
          </w:p>
        </w:tc>
        <w:tc>
          <w:tcPr>
            <w:tcW w:w="722" w:type="dxa"/>
            <w:noWrap/>
            <w:hideMark/>
          </w:tcPr>
          <w:p w14:paraId="3DB749F9"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1.7%</w:t>
            </w:r>
          </w:p>
        </w:tc>
        <w:tc>
          <w:tcPr>
            <w:tcW w:w="722" w:type="dxa"/>
            <w:noWrap/>
            <w:hideMark/>
          </w:tcPr>
          <w:p w14:paraId="3B9DB46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3.8%</w:t>
            </w:r>
          </w:p>
        </w:tc>
        <w:tc>
          <w:tcPr>
            <w:tcW w:w="722" w:type="dxa"/>
            <w:noWrap/>
            <w:hideMark/>
          </w:tcPr>
          <w:p w14:paraId="2C1E3F7D"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3.3%</w:t>
            </w:r>
          </w:p>
        </w:tc>
      </w:tr>
      <w:tr w:rsidR="00DE7DAB" w:rsidRPr="00DE7DAB" w14:paraId="6CA6109A" w14:textId="77777777" w:rsidTr="00AE5EC4">
        <w:trPr>
          <w:trHeight w:val="306"/>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hideMark/>
          </w:tcPr>
          <w:p w14:paraId="1D1E55E0" w14:textId="77777777" w:rsidR="00DE7DAB" w:rsidRPr="00AE5EC4" w:rsidRDefault="00DE7DAB" w:rsidP="00DE7DAB">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1980-1999</w:t>
            </w:r>
          </w:p>
        </w:tc>
        <w:tc>
          <w:tcPr>
            <w:tcW w:w="721" w:type="dxa"/>
            <w:noWrap/>
            <w:hideMark/>
          </w:tcPr>
          <w:p w14:paraId="2FD134D6"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28.2%</w:t>
            </w:r>
          </w:p>
        </w:tc>
        <w:tc>
          <w:tcPr>
            <w:tcW w:w="722" w:type="dxa"/>
            <w:noWrap/>
            <w:hideMark/>
          </w:tcPr>
          <w:p w14:paraId="07E4D401"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22.8%</w:t>
            </w:r>
          </w:p>
        </w:tc>
        <w:tc>
          <w:tcPr>
            <w:tcW w:w="722" w:type="dxa"/>
            <w:noWrap/>
            <w:hideMark/>
          </w:tcPr>
          <w:p w14:paraId="70A5F12B"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21.0%</w:t>
            </w:r>
          </w:p>
        </w:tc>
        <w:tc>
          <w:tcPr>
            <w:tcW w:w="722" w:type="dxa"/>
            <w:noWrap/>
            <w:hideMark/>
          </w:tcPr>
          <w:p w14:paraId="2921F16A"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20.3%</w:t>
            </w:r>
          </w:p>
        </w:tc>
        <w:tc>
          <w:tcPr>
            <w:tcW w:w="722" w:type="dxa"/>
            <w:noWrap/>
            <w:hideMark/>
          </w:tcPr>
          <w:p w14:paraId="16372D7A"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17.3%</w:t>
            </w:r>
          </w:p>
        </w:tc>
        <w:tc>
          <w:tcPr>
            <w:tcW w:w="722" w:type="dxa"/>
            <w:noWrap/>
            <w:hideMark/>
          </w:tcPr>
          <w:p w14:paraId="5DD85D1D"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16.8%</w:t>
            </w:r>
          </w:p>
        </w:tc>
        <w:tc>
          <w:tcPr>
            <w:tcW w:w="722" w:type="dxa"/>
            <w:noWrap/>
            <w:hideMark/>
          </w:tcPr>
          <w:p w14:paraId="5078F96D"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21.5%</w:t>
            </w:r>
          </w:p>
        </w:tc>
        <w:tc>
          <w:tcPr>
            <w:tcW w:w="722" w:type="dxa"/>
            <w:noWrap/>
            <w:hideMark/>
          </w:tcPr>
          <w:p w14:paraId="4C05A6E9"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21.7%</w:t>
            </w:r>
          </w:p>
        </w:tc>
        <w:tc>
          <w:tcPr>
            <w:tcW w:w="722" w:type="dxa"/>
            <w:noWrap/>
            <w:hideMark/>
          </w:tcPr>
          <w:p w14:paraId="0FE10A18"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21.0%</w:t>
            </w:r>
          </w:p>
        </w:tc>
        <w:tc>
          <w:tcPr>
            <w:tcW w:w="722" w:type="dxa"/>
            <w:noWrap/>
            <w:hideMark/>
          </w:tcPr>
          <w:p w14:paraId="474CFF3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18.8%</w:t>
            </w:r>
          </w:p>
        </w:tc>
        <w:tc>
          <w:tcPr>
            <w:tcW w:w="722" w:type="dxa"/>
            <w:noWrap/>
            <w:hideMark/>
          </w:tcPr>
          <w:p w14:paraId="6FE7487A"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18.8%</w:t>
            </w:r>
          </w:p>
        </w:tc>
        <w:tc>
          <w:tcPr>
            <w:tcW w:w="722" w:type="dxa"/>
            <w:noWrap/>
            <w:hideMark/>
          </w:tcPr>
          <w:p w14:paraId="16D46151"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19.7%</w:t>
            </w:r>
          </w:p>
        </w:tc>
      </w:tr>
      <w:tr w:rsidR="00DE7DAB" w:rsidRPr="00DE7DAB" w14:paraId="0E7A9BF4" w14:textId="77777777" w:rsidTr="00AE5EC4">
        <w:trPr>
          <w:trHeight w:val="306"/>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hideMark/>
          </w:tcPr>
          <w:p w14:paraId="39D7DC48" w14:textId="77777777" w:rsidR="00DE7DAB" w:rsidRPr="00AE5EC4" w:rsidRDefault="00DE7DAB" w:rsidP="00DE7DAB">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1960-1979</w:t>
            </w:r>
          </w:p>
        </w:tc>
        <w:tc>
          <w:tcPr>
            <w:tcW w:w="721" w:type="dxa"/>
            <w:noWrap/>
            <w:hideMark/>
          </w:tcPr>
          <w:p w14:paraId="292A8535"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17.6%</w:t>
            </w:r>
          </w:p>
        </w:tc>
        <w:tc>
          <w:tcPr>
            <w:tcW w:w="722" w:type="dxa"/>
            <w:noWrap/>
            <w:hideMark/>
          </w:tcPr>
          <w:p w14:paraId="5F450DEE"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16.7%</w:t>
            </w:r>
          </w:p>
        </w:tc>
        <w:tc>
          <w:tcPr>
            <w:tcW w:w="722" w:type="dxa"/>
            <w:noWrap/>
            <w:hideMark/>
          </w:tcPr>
          <w:p w14:paraId="77344ED5"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13.2%</w:t>
            </w:r>
          </w:p>
        </w:tc>
        <w:tc>
          <w:tcPr>
            <w:tcW w:w="722" w:type="dxa"/>
            <w:noWrap/>
            <w:hideMark/>
          </w:tcPr>
          <w:p w14:paraId="2CC12662"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13.6%</w:t>
            </w:r>
          </w:p>
        </w:tc>
        <w:tc>
          <w:tcPr>
            <w:tcW w:w="722" w:type="dxa"/>
            <w:noWrap/>
            <w:hideMark/>
          </w:tcPr>
          <w:p w14:paraId="08EA51C0"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15.2%</w:t>
            </w:r>
          </w:p>
        </w:tc>
        <w:tc>
          <w:tcPr>
            <w:tcW w:w="722" w:type="dxa"/>
            <w:noWrap/>
            <w:hideMark/>
          </w:tcPr>
          <w:p w14:paraId="204EE58E"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13.3%</w:t>
            </w:r>
          </w:p>
        </w:tc>
        <w:tc>
          <w:tcPr>
            <w:tcW w:w="722" w:type="dxa"/>
            <w:noWrap/>
            <w:hideMark/>
          </w:tcPr>
          <w:p w14:paraId="0DC931E9"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14.3%</w:t>
            </w:r>
          </w:p>
        </w:tc>
        <w:tc>
          <w:tcPr>
            <w:tcW w:w="722" w:type="dxa"/>
            <w:noWrap/>
            <w:hideMark/>
          </w:tcPr>
          <w:p w14:paraId="7A8C6965"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14.7%</w:t>
            </w:r>
          </w:p>
        </w:tc>
        <w:tc>
          <w:tcPr>
            <w:tcW w:w="722" w:type="dxa"/>
            <w:noWrap/>
            <w:hideMark/>
          </w:tcPr>
          <w:p w14:paraId="77B438E8"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14.1%</w:t>
            </w:r>
          </w:p>
        </w:tc>
        <w:tc>
          <w:tcPr>
            <w:tcW w:w="722" w:type="dxa"/>
            <w:noWrap/>
            <w:hideMark/>
          </w:tcPr>
          <w:p w14:paraId="57F807CD"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14.3%</w:t>
            </w:r>
          </w:p>
        </w:tc>
        <w:tc>
          <w:tcPr>
            <w:tcW w:w="722" w:type="dxa"/>
            <w:noWrap/>
            <w:hideMark/>
          </w:tcPr>
          <w:p w14:paraId="6150367C"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13.6%</w:t>
            </w:r>
          </w:p>
        </w:tc>
        <w:tc>
          <w:tcPr>
            <w:tcW w:w="722" w:type="dxa"/>
            <w:noWrap/>
            <w:hideMark/>
          </w:tcPr>
          <w:p w14:paraId="5D472C48"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14.7%</w:t>
            </w:r>
          </w:p>
        </w:tc>
      </w:tr>
      <w:tr w:rsidR="00DE7DAB" w:rsidRPr="00DE7DAB" w14:paraId="19C7FB26" w14:textId="77777777" w:rsidTr="00AE5EC4">
        <w:trPr>
          <w:trHeight w:val="322"/>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hideMark/>
          </w:tcPr>
          <w:p w14:paraId="10BD924C" w14:textId="77777777" w:rsidR="00DE7DAB" w:rsidRPr="00AE5EC4" w:rsidRDefault="00DE7DAB" w:rsidP="00DE7DAB">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1940-1959</w:t>
            </w:r>
          </w:p>
        </w:tc>
        <w:tc>
          <w:tcPr>
            <w:tcW w:w="721" w:type="dxa"/>
            <w:noWrap/>
            <w:hideMark/>
          </w:tcPr>
          <w:p w14:paraId="53A218FE"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15.7%</w:t>
            </w:r>
          </w:p>
        </w:tc>
        <w:tc>
          <w:tcPr>
            <w:tcW w:w="722" w:type="dxa"/>
            <w:noWrap/>
            <w:hideMark/>
          </w:tcPr>
          <w:p w14:paraId="0CA5A8A2"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15.2%</w:t>
            </w:r>
          </w:p>
        </w:tc>
        <w:tc>
          <w:tcPr>
            <w:tcW w:w="722" w:type="dxa"/>
            <w:noWrap/>
            <w:hideMark/>
          </w:tcPr>
          <w:p w14:paraId="4A4318F5"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4.7%</w:t>
            </w:r>
          </w:p>
        </w:tc>
        <w:tc>
          <w:tcPr>
            <w:tcW w:w="722" w:type="dxa"/>
            <w:noWrap/>
            <w:hideMark/>
          </w:tcPr>
          <w:p w14:paraId="0B213B22"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2.8%</w:t>
            </w:r>
          </w:p>
        </w:tc>
        <w:tc>
          <w:tcPr>
            <w:tcW w:w="722" w:type="dxa"/>
            <w:noWrap/>
            <w:hideMark/>
          </w:tcPr>
          <w:p w14:paraId="14E64FCF"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3.6%</w:t>
            </w:r>
          </w:p>
        </w:tc>
        <w:tc>
          <w:tcPr>
            <w:tcW w:w="722" w:type="dxa"/>
            <w:noWrap/>
            <w:hideMark/>
          </w:tcPr>
          <w:p w14:paraId="62908479"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3.2%</w:t>
            </w:r>
          </w:p>
        </w:tc>
        <w:tc>
          <w:tcPr>
            <w:tcW w:w="722" w:type="dxa"/>
            <w:noWrap/>
            <w:hideMark/>
          </w:tcPr>
          <w:p w14:paraId="5D3712B6"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5.0%</w:t>
            </w:r>
          </w:p>
        </w:tc>
        <w:tc>
          <w:tcPr>
            <w:tcW w:w="722" w:type="dxa"/>
            <w:noWrap/>
            <w:hideMark/>
          </w:tcPr>
          <w:p w14:paraId="24D5BA8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3.0%</w:t>
            </w:r>
          </w:p>
        </w:tc>
        <w:tc>
          <w:tcPr>
            <w:tcW w:w="722" w:type="dxa"/>
            <w:noWrap/>
            <w:hideMark/>
          </w:tcPr>
          <w:p w14:paraId="36613118"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2.0%</w:t>
            </w:r>
          </w:p>
        </w:tc>
        <w:tc>
          <w:tcPr>
            <w:tcW w:w="722" w:type="dxa"/>
            <w:noWrap/>
            <w:hideMark/>
          </w:tcPr>
          <w:p w14:paraId="49A54913"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2.3%</w:t>
            </w:r>
          </w:p>
        </w:tc>
        <w:tc>
          <w:tcPr>
            <w:tcW w:w="722" w:type="dxa"/>
            <w:noWrap/>
            <w:hideMark/>
          </w:tcPr>
          <w:p w14:paraId="64F13232"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2.3%</w:t>
            </w:r>
          </w:p>
        </w:tc>
        <w:tc>
          <w:tcPr>
            <w:tcW w:w="722" w:type="dxa"/>
            <w:noWrap/>
            <w:hideMark/>
          </w:tcPr>
          <w:p w14:paraId="141F8F45"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2.5%</w:t>
            </w:r>
          </w:p>
        </w:tc>
      </w:tr>
      <w:tr w:rsidR="00DE7DAB" w:rsidRPr="00DE7DAB" w14:paraId="11ED9650" w14:textId="77777777" w:rsidTr="00AE5EC4">
        <w:trPr>
          <w:trHeight w:val="306"/>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hideMark/>
          </w:tcPr>
          <w:p w14:paraId="27FA934F" w14:textId="77777777" w:rsidR="00DE7DAB" w:rsidRPr="00AE5EC4" w:rsidRDefault="00DE7DAB" w:rsidP="00DE7DAB">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1920-1939</w:t>
            </w:r>
          </w:p>
        </w:tc>
        <w:tc>
          <w:tcPr>
            <w:tcW w:w="721" w:type="dxa"/>
            <w:noWrap/>
            <w:hideMark/>
          </w:tcPr>
          <w:p w14:paraId="52F20182"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0.0%</w:t>
            </w:r>
          </w:p>
        </w:tc>
        <w:tc>
          <w:tcPr>
            <w:tcW w:w="722" w:type="dxa"/>
            <w:noWrap/>
            <w:hideMark/>
          </w:tcPr>
          <w:p w14:paraId="2930C0D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0.3%</w:t>
            </w:r>
          </w:p>
        </w:tc>
        <w:tc>
          <w:tcPr>
            <w:tcW w:w="722" w:type="dxa"/>
            <w:noWrap/>
            <w:hideMark/>
          </w:tcPr>
          <w:p w14:paraId="4E624E5F"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2.2%</w:t>
            </w:r>
          </w:p>
        </w:tc>
        <w:tc>
          <w:tcPr>
            <w:tcW w:w="722" w:type="dxa"/>
            <w:noWrap/>
            <w:hideMark/>
          </w:tcPr>
          <w:p w14:paraId="2C6565AF"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2.3%</w:t>
            </w:r>
          </w:p>
        </w:tc>
        <w:tc>
          <w:tcPr>
            <w:tcW w:w="722" w:type="dxa"/>
            <w:noWrap/>
            <w:hideMark/>
          </w:tcPr>
          <w:p w14:paraId="48FAB5E0"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2.2%</w:t>
            </w:r>
          </w:p>
        </w:tc>
        <w:tc>
          <w:tcPr>
            <w:tcW w:w="722" w:type="dxa"/>
            <w:noWrap/>
            <w:hideMark/>
          </w:tcPr>
          <w:p w14:paraId="55204145"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2.6%</w:t>
            </w:r>
          </w:p>
        </w:tc>
        <w:tc>
          <w:tcPr>
            <w:tcW w:w="722" w:type="dxa"/>
            <w:noWrap/>
            <w:hideMark/>
          </w:tcPr>
          <w:p w14:paraId="5174C750"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1.5%</w:t>
            </w:r>
          </w:p>
        </w:tc>
        <w:tc>
          <w:tcPr>
            <w:tcW w:w="722" w:type="dxa"/>
            <w:noWrap/>
            <w:hideMark/>
          </w:tcPr>
          <w:p w14:paraId="080F1A56"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1.6%</w:t>
            </w:r>
          </w:p>
        </w:tc>
        <w:tc>
          <w:tcPr>
            <w:tcW w:w="722" w:type="dxa"/>
            <w:noWrap/>
            <w:hideMark/>
          </w:tcPr>
          <w:p w14:paraId="467219A7"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2.0%</w:t>
            </w:r>
          </w:p>
        </w:tc>
        <w:tc>
          <w:tcPr>
            <w:tcW w:w="722" w:type="dxa"/>
            <w:noWrap/>
            <w:hideMark/>
          </w:tcPr>
          <w:p w14:paraId="224EEF4A"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2.0%</w:t>
            </w:r>
          </w:p>
        </w:tc>
        <w:tc>
          <w:tcPr>
            <w:tcW w:w="722" w:type="dxa"/>
            <w:noWrap/>
            <w:hideMark/>
          </w:tcPr>
          <w:p w14:paraId="493EB8A2"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1.7%</w:t>
            </w:r>
          </w:p>
        </w:tc>
        <w:tc>
          <w:tcPr>
            <w:tcW w:w="722" w:type="dxa"/>
            <w:noWrap/>
            <w:hideMark/>
          </w:tcPr>
          <w:p w14:paraId="063DF506"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1.3%</w:t>
            </w:r>
          </w:p>
        </w:tc>
      </w:tr>
      <w:tr w:rsidR="00DE7DAB" w:rsidRPr="00DE7DAB" w14:paraId="212E0D92" w14:textId="77777777" w:rsidTr="00AE5EC4">
        <w:trPr>
          <w:trHeight w:val="306"/>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hideMark/>
          </w:tcPr>
          <w:p w14:paraId="62AC3834" w14:textId="77777777" w:rsidR="00DE7DAB" w:rsidRPr="00AE5EC4" w:rsidRDefault="00DE7DAB" w:rsidP="00DE7DAB">
            <w:pPr>
              <w:rPr>
                <w:rFonts w:ascii="Calibri" w:eastAsia="Times New Roman" w:hAnsi="Calibri" w:cs="Calibri"/>
                <w:color w:val="FFFFFF" w:themeColor="background1"/>
              </w:rPr>
            </w:pPr>
            <w:r w:rsidRPr="00AE5EC4">
              <w:rPr>
                <w:rFonts w:ascii="Calibri" w:eastAsia="Times New Roman" w:hAnsi="Calibri" w:cs="Calibri"/>
                <w:color w:val="FFFFFF" w:themeColor="background1"/>
              </w:rPr>
              <w:t>Before 1920</w:t>
            </w:r>
          </w:p>
        </w:tc>
        <w:tc>
          <w:tcPr>
            <w:tcW w:w="721" w:type="dxa"/>
            <w:noWrap/>
            <w:hideMark/>
          </w:tcPr>
          <w:p w14:paraId="03F50520"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0.0%</w:t>
            </w:r>
          </w:p>
        </w:tc>
        <w:tc>
          <w:tcPr>
            <w:tcW w:w="722" w:type="dxa"/>
            <w:noWrap/>
            <w:hideMark/>
          </w:tcPr>
          <w:p w14:paraId="69D2551E"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0.3%</w:t>
            </w:r>
          </w:p>
        </w:tc>
        <w:tc>
          <w:tcPr>
            <w:tcW w:w="722" w:type="dxa"/>
            <w:noWrap/>
            <w:hideMark/>
          </w:tcPr>
          <w:p w14:paraId="45185E74"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2.2%</w:t>
            </w:r>
          </w:p>
        </w:tc>
        <w:tc>
          <w:tcPr>
            <w:tcW w:w="722" w:type="dxa"/>
            <w:noWrap/>
            <w:hideMark/>
          </w:tcPr>
          <w:p w14:paraId="52EC59F6"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2.3%</w:t>
            </w:r>
          </w:p>
        </w:tc>
        <w:tc>
          <w:tcPr>
            <w:tcW w:w="722" w:type="dxa"/>
            <w:noWrap/>
            <w:hideMark/>
          </w:tcPr>
          <w:p w14:paraId="504419B1"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2.2%</w:t>
            </w:r>
          </w:p>
        </w:tc>
        <w:tc>
          <w:tcPr>
            <w:tcW w:w="722" w:type="dxa"/>
            <w:noWrap/>
            <w:hideMark/>
          </w:tcPr>
          <w:p w14:paraId="5F9A87A5"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2.6%</w:t>
            </w:r>
          </w:p>
        </w:tc>
        <w:tc>
          <w:tcPr>
            <w:tcW w:w="722" w:type="dxa"/>
            <w:noWrap/>
            <w:hideMark/>
          </w:tcPr>
          <w:p w14:paraId="4652B7CE"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1.5%</w:t>
            </w:r>
          </w:p>
        </w:tc>
        <w:tc>
          <w:tcPr>
            <w:tcW w:w="722" w:type="dxa"/>
            <w:noWrap/>
            <w:hideMark/>
          </w:tcPr>
          <w:p w14:paraId="6E624521"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1.6%</w:t>
            </w:r>
          </w:p>
        </w:tc>
        <w:tc>
          <w:tcPr>
            <w:tcW w:w="722" w:type="dxa"/>
            <w:noWrap/>
            <w:hideMark/>
          </w:tcPr>
          <w:p w14:paraId="4B030763"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2.0%</w:t>
            </w:r>
          </w:p>
        </w:tc>
        <w:tc>
          <w:tcPr>
            <w:tcW w:w="722" w:type="dxa"/>
            <w:noWrap/>
            <w:hideMark/>
          </w:tcPr>
          <w:p w14:paraId="4E3F394E"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2.0%</w:t>
            </w:r>
          </w:p>
        </w:tc>
        <w:tc>
          <w:tcPr>
            <w:tcW w:w="722" w:type="dxa"/>
            <w:noWrap/>
            <w:hideMark/>
          </w:tcPr>
          <w:p w14:paraId="6A864518"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1.7%</w:t>
            </w:r>
          </w:p>
        </w:tc>
        <w:tc>
          <w:tcPr>
            <w:tcW w:w="722" w:type="dxa"/>
            <w:noWrap/>
            <w:hideMark/>
          </w:tcPr>
          <w:p w14:paraId="3C1588CE" w14:textId="77777777" w:rsidR="00DE7DAB" w:rsidRPr="008F3E6B" w:rsidRDefault="00DE7DAB" w:rsidP="00DE7DA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1.3%</w:t>
            </w:r>
          </w:p>
        </w:tc>
      </w:tr>
      <w:tr w:rsidR="00DE7DAB" w:rsidRPr="00DE7DAB" w14:paraId="600A13E6" w14:textId="77777777" w:rsidTr="00AE5EC4">
        <w:trPr>
          <w:trHeight w:val="322"/>
        </w:trPr>
        <w:tc>
          <w:tcPr>
            <w:cnfStyle w:val="001000000000" w:firstRow="0" w:lastRow="0" w:firstColumn="1" w:lastColumn="0" w:oddVBand="0" w:evenVBand="0" w:oddHBand="0" w:evenHBand="0" w:firstRowFirstColumn="0" w:firstRowLastColumn="0" w:lastRowFirstColumn="0" w:lastRowLastColumn="0"/>
            <w:tcW w:w="795" w:type="dxa"/>
            <w:shd w:val="clear" w:color="auto" w:fill="002060"/>
            <w:noWrap/>
            <w:hideMark/>
          </w:tcPr>
          <w:p w14:paraId="7ECB5F7E" w14:textId="25A14BC3" w:rsidR="00DE7DAB" w:rsidRPr="00AE5EC4" w:rsidRDefault="00AE5EC4" w:rsidP="00DE7DAB">
            <w:pPr>
              <w:rPr>
                <w:rFonts w:ascii="Calibri" w:eastAsia="Times New Roman" w:hAnsi="Calibri" w:cs="Calibri"/>
                <w:color w:val="FFFFFF" w:themeColor="background1"/>
              </w:rPr>
            </w:pPr>
            <w:r>
              <w:rPr>
                <w:rFonts w:ascii="Calibri" w:eastAsia="Times New Roman" w:hAnsi="Calibri" w:cs="Calibri"/>
                <w:color w:val="FFFFFF" w:themeColor="background1"/>
              </w:rPr>
              <w:t>Construction date N/A</w:t>
            </w:r>
          </w:p>
        </w:tc>
        <w:tc>
          <w:tcPr>
            <w:tcW w:w="721" w:type="dxa"/>
            <w:noWrap/>
            <w:vAlign w:val="center"/>
            <w:hideMark/>
          </w:tcPr>
          <w:p w14:paraId="5B1B7396"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0.0%</w:t>
            </w:r>
          </w:p>
        </w:tc>
        <w:tc>
          <w:tcPr>
            <w:tcW w:w="722" w:type="dxa"/>
            <w:noWrap/>
            <w:vAlign w:val="center"/>
            <w:hideMark/>
          </w:tcPr>
          <w:p w14:paraId="472E236C"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1.9%</w:t>
            </w:r>
          </w:p>
        </w:tc>
        <w:tc>
          <w:tcPr>
            <w:tcW w:w="722" w:type="dxa"/>
            <w:noWrap/>
            <w:vAlign w:val="center"/>
            <w:hideMark/>
          </w:tcPr>
          <w:p w14:paraId="5011CF95"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15.8%</w:t>
            </w:r>
          </w:p>
        </w:tc>
        <w:tc>
          <w:tcPr>
            <w:tcW w:w="722" w:type="dxa"/>
            <w:noWrap/>
            <w:vAlign w:val="center"/>
            <w:hideMark/>
          </w:tcPr>
          <w:p w14:paraId="56556FCD"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21.6%</w:t>
            </w:r>
          </w:p>
        </w:tc>
        <w:tc>
          <w:tcPr>
            <w:tcW w:w="722" w:type="dxa"/>
            <w:noWrap/>
            <w:vAlign w:val="center"/>
            <w:hideMark/>
          </w:tcPr>
          <w:p w14:paraId="26AF0229"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27.9%</w:t>
            </w:r>
          </w:p>
        </w:tc>
        <w:tc>
          <w:tcPr>
            <w:tcW w:w="722" w:type="dxa"/>
            <w:noWrap/>
            <w:vAlign w:val="center"/>
            <w:hideMark/>
          </w:tcPr>
          <w:p w14:paraId="22F2ADF2"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32.1%</w:t>
            </w:r>
          </w:p>
        </w:tc>
        <w:tc>
          <w:tcPr>
            <w:tcW w:w="722" w:type="dxa"/>
            <w:noWrap/>
            <w:vAlign w:val="center"/>
            <w:hideMark/>
          </w:tcPr>
          <w:p w14:paraId="5307E897"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26.1%</w:t>
            </w:r>
          </w:p>
        </w:tc>
        <w:tc>
          <w:tcPr>
            <w:tcW w:w="722" w:type="dxa"/>
            <w:noWrap/>
            <w:vAlign w:val="center"/>
            <w:hideMark/>
          </w:tcPr>
          <w:p w14:paraId="7172D43A"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24.0%</w:t>
            </w:r>
          </w:p>
        </w:tc>
        <w:tc>
          <w:tcPr>
            <w:tcW w:w="722" w:type="dxa"/>
            <w:noWrap/>
            <w:vAlign w:val="center"/>
            <w:hideMark/>
          </w:tcPr>
          <w:p w14:paraId="5D449A12"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25.6%</w:t>
            </w:r>
          </w:p>
        </w:tc>
        <w:tc>
          <w:tcPr>
            <w:tcW w:w="722" w:type="dxa"/>
            <w:noWrap/>
            <w:vAlign w:val="center"/>
            <w:hideMark/>
          </w:tcPr>
          <w:p w14:paraId="2BD79F0C"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27.1%</w:t>
            </w:r>
          </w:p>
        </w:tc>
        <w:tc>
          <w:tcPr>
            <w:tcW w:w="722" w:type="dxa"/>
            <w:noWrap/>
            <w:vAlign w:val="center"/>
            <w:hideMark/>
          </w:tcPr>
          <w:p w14:paraId="09FD6887"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24.7%</w:t>
            </w:r>
          </w:p>
        </w:tc>
        <w:tc>
          <w:tcPr>
            <w:tcW w:w="722" w:type="dxa"/>
            <w:noWrap/>
            <w:vAlign w:val="center"/>
            <w:hideMark/>
          </w:tcPr>
          <w:p w14:paraId="599FBC5D" w14:textId="77777777" w:rsidR="00DE7DAB" w:rsidRPr="008F3E6B" w:rsidRDefault="00DE7DAB"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8F3E6B">
              <w:rPr>
                <w:rFonts w:ascii="Calibri" w:eastAsia="Times New Roman" w:hAnsi="Calibri" w:cs="Calibri"/>
                <w:color w:val="000000"/>
              </w:rPr>
              <w:t>24.7%</w:t>
            </w:r>
          </w:p>
        </w:tc>
      </w:tr>
    </w:tbl>
    <w:p w14:paraId="451ACBBF" w14:textId="26CD4CE7" w:rsidR="00082663" w:rsidRPr="00AE5EC4" w:rsidRDefault="00AE5EC4" w:rsidP="00AE5EC4">
      <w:pPr>
        <w:pStyle w:val="Caption"/>
        <w:jc w:val="both"/>
        <w:rPr>
          <w:iCs w:val="0"/>
        </w:rPr>
      </w:pPr>
      <w:r w:rsidRPr="00AE5EC4">
        <w:rPr>
          <w:iCs w:val="0"/>
        </w:rPr>
        <w:t>S</w:t>
      </w:r>
      <w:r w:rsidR="001C44D3" w:rsidRPr="00AE5EC4">
        <w:rPr>
          <w:iCs w:val="0"/>
        </w:rPr>
        <w:t xml:space="preserve">ource: </w:t>
      </w:r>
      <w:r w:rsidRPr="00CA453C">
        <w:rPr>
          <w:iCs w:val="0"/>
        </w:rPr>
        <w:t>Integrated Household Survey</w:t>
      </w:r>
    </w:p>
    <w:p w14:paraId="3488C825" w14:textId="6AC99B0E" w:rsidR="006C3BD6" w:rsidRPr="008F3E6B" w:rsidRDefault="008F3E6B" w:rsidP="008F3E6B">
      <w:pPr>
        <w:pStyle w:val="Caption"/>
        <w:rPr>
          <w:rFonts w:cstheme="minorHAnsi"/>
        </w:rPr>
      </w:pPr>
      <w:r>
        <w:t xml:space="preserve">Table </w:t>
      </w:r>
      <w:r w:rsidR="0063201F">
        <w:rPr>
          <w:noProof/>
        </w:rPr>
        <w:fldChar w:fldCharType="begin"/>
      </w:r>
      <w:r w:rsidR="0063201F">
        <w:rPr>
          <w:noProof/>
        </w:rPr>
        <w:instrText xml:space="preserve"> SEQ Table \* ARABIC </w:instrText>
      </w:r>
      <w:r w:rsidR="0063201F">
        <w:rPr>
          <w:noProof/>
        </w:rPr>
        <w:fldChar w:fldCharType="separate"/>
      </w:r>
      <w:r>
        <w:rPr>
          <w:noProof/>
        </w:rPr>
        <w:t>7</w:t>
      </w:r>
      <w:r w:rsidR="0063201F">
        <w:rPr>
          <w:noProof/>
        </w:rPr>
        <w:fldChar w:fldCharType="end"/>
      </w:r>
      <w:r w:rsidR="00082663">
        <w:t xml:space="preserve">: The average distribution of households in housing stock according to the building age in </w:t>
      </w:r>
      <w:r w:rsidR="0021680A">
        <w:t>rural</w:t>
      </w:r>
      <w:r w:rsidR="00082663" w:rsidRPr="00804AD6">
        <w:t xml:space="preserve"> </w:t>
      </w:r>
      <w:r w:rsidR="009751A3">
        <w:t>a</w:t>
      </w:r>
      <w:r w:rsidR="00082663">
        <w:t>reas</w:t>
      </w:r>
    </w:p>
    <w:tbl>
      <w:tblPr>
        <w:tblStyle w:val="GridTable1Light-Accent1"/>
        <w:tblW w:w="9759" w:type="dxa"/>
        <w:tblLook w:val="04A0" w:firstRow="1" w:lastRow="0" w:firstColumn="1" w:lastColumn="0" w:noHBand="0" w:noVBand="1"/>
      </w:tblPr>
      <w:tblGrid>
        <w:gridCol w:w="1388"/>
        <w:gridCol w:w="764"/>
        <w:gridCol w:w="764"/>
        <w:gridCol w:w="764"/>
        <w:gridCol w:w="764"/>
        <w:gridCol w:w="764"/>
        <w:gridCol w:w="764"/>
        <w:gridCol w:w="764"/>
        <w:gridCol w:w="764"/>
        <w:gridCol w:w="764"/>
        <w:gridCol w:w="764"/>
        <w:gridCol w:w="764"/>
        <w:gridCol w:w="764"/>
      </w:tblGrid>
      <w:tr w:rsidR="001162A6" w:rsidRPr="006C3BD6" w14:paraId="7B20A45E" w14:textId="77777777" w:rsidTr="00AE5EC4">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7E73106D" w14:textId="6F7CF8EE" w:rsidR="006C3BD6" w:rsidRPr="00AE5EC4" w:rsidRDefault="00AE5EC4" w:rsidP="006C3BD6">
            <w:pPr>
              <w:rPr>
                <w:rFonts w:ascii="Calibri" w:eastAsia="Times New Roman" w:hAnsi="Calibri" w:cs="Calibri"/>
                <w:color w:val="FFFFFF" w:themeColor="background1"/>
              </w:rPr>
            </w:pPr>
            <w:r w:rsidRPr="00AE5EC4">
              <w:rPr>
                <w:rFonts w:ascii="Calibri" w:eastAsia="Times New Roman" w:hAnsi="Calibri" w:cs="Calibri"/>
                <w:color w:val="FFFFFF" w:themeColor="background1"/>
              </w:rPr>
              <w:t>Construction Date</w:t>
            </w:r>
          </w:p>
        </w:tc>
        <w:tc>
          <w:tcPr>
            <w:tcW w:w="746" w:type="dxa"/>
            <w:shd w:val="clear" w:color="auto" w:fill="002060"/>
            <w:noWrap/>
            <w:hideMark/>
          </w:tcPr>
          <w:p w14:paraId="1F4A0F66"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2007</w:t>
            </w:r>
          </w:p>
        </w:tc>
        <w:tc>
          <w:tcPr>
            <w:tcW w:w="746" w:type="dxa"/>
            <w:shd w:val="clear" w:color="auto" w:fill="002060"/>
            <w:noWrap/>
            <w:hideMark/>
          </w:tcPr>
          <w:p w14:paraId="773D81CF"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2008</w:t>
            </w:r>
          </w:p>
        </w:tc>
        <w:tc>
          <w:tcPr>
            <w:tcW w:w="746" w:type="dxa"/>
            <w:shd w:val="clear" w:color="auto" w:fill="002060"/>
            <w:noWrap/>
            <w:hideMark/>
          </w:tcPr>
          <w:p w14:paraId="0DA9E687"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2009</w:t>
            </w:r>
          </w:p>
        </w:tc>
        <w:tc>
          <w:tcPr>
            <w:tcW w:w="746" w:type="dxa"/>
            <w:shd w:val="clear" w:color="auto" w:fill="002060"/>
            <w:noWrap/>
            <w:hideMark/>
          </w:tcPr>
          <w:p w14:paraId="49FD7420"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2010</w:t>
            </w:r>
          </w:p>
        </w:tc>
        <w:tc>
          <w:tcPr>
            <w:tcW w:w="746" w:type="dxa"/>
            <w:shd w:val="clear" w:color="auto" w:fill="002060"/>
            <w:noWrap/>
            <w:hideMark/>
          </w:tcPr>
          <w:p w14:paraId="1B5CDA7A"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2011</w:t>
            </w:r>
          </w:p>
        </w:tc>
        <w:tc>
          <w:tcPr>
            <w:tcW w:w="746" w:type="dxa"/>
            <w:shd w:val="clear" w:color="auto" w:fill="002060"/>
            <w:noWrap/>
            <w:hideMark/>
          </w:tcPr>
          <w:p w14:paraId="54362E8B"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2012</w:t>
            </w:r>
          </w:p>
        </w:tc>
        <w:tc>
          <w:tcPr>
            <w:tcW w:w="746" w:type="dxa"/>
            <w:shd w:val="clear" w:color="auto" w:fill="002060"/>
            <w:noWrap/>
            <w:hideMark/>
          </w:tcPr>
          <w:p w14:paraId="3DA47B7D"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2013</w:t>
            </w:r>
          </w:p>
        </w:tc>
        <w:tc>
          <w:tcPr>
            <w:tcW w:w="746" w:type="dxa"/>
            <w:shd w:val="clear" w:color="auto" w:fill="002060"/>
            <w:noWrap/>
            <w:hideMark/>
          </w:tcPr>
          <w:p w14:paraId="6A2240F3"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2014</w:t>
            </w:r>
          </w:p>
        </w:tc>
        <w:tc>
          <w:tcPr>
            <w:tcW w:w="746" w:type="dxa"/>
            <w:shd w:val="clear" w:color="auto" w:fill="002060"/>
            <w:noWrap/>
            <w:hideMark/>
          </w:tcPr>
          <w:p w14:paraId="3F22A29D"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2015</w:t>
            </w:r>
          </w:p>
        </w:tc>
        <w:tc>
          <w:tcPr>
            <w:tcW w:w="746" w:type="dxa"/>
            <w:shd w:val="clear" w:color="auto" w:fill="002060"/>
            <w:noWrap/>
            <w:hideMark/>
          </w:tcPr>
          <w:p w14:paraId="2EC52FF0"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2016</w:t>
            </w:r>
          </w:p>
        </w:tc>
        <w:tc>
          <w:tcPr>
            <w:tcW w:w="746" w:type="dxa"/>
            <w:shd w:val="clear" w:color="auto" w:fill="002060"/>
            <w:noWrap/>
            <w:hideMark/>
          </w:tcPr>
          <w:p w14:paraId="5DCCC7ED"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2017</w:t>
            </w:r>
          </w:p>
        </w:tc>
        <w:tc>
          <w:tcPr>
            <w:tcW w:w="746" w:type="dxa"/>
            <w:shd w:val="clear" w:color="auto" w:fill="002060"/>
            <w:noWrap/>
            <w:hideMark/>
          </w:tcPr>
          <w:p w14:paraId="141EC2B7" w14:textId="77777777" w:rsidR="006C3BD6" w:rsidRPr="00AE5EC4" w:rsidRDefault="006C3BD6" w:rsidP="006C3BD6">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AE5EC4">
              <w:rPr>
                <w:rFonts w:ascii="Calibri" w:eastAsia="Times New Roman" w:hAnsi="Calibri" w:cs="Calibri"/>
                <w:color w:val="FFFFFF" w:themeColor="background1"/>
              </w:rPr>
              <w:t>2018</w:t>
            </w:r>
          </w:p>
        </w:tc>
      </w:tr>
      <w:tr w:rsidR="001162A6" w:rsidRPr="006C3BD6" w14:paraId="32C92D70" w14:textId="77777777" w:rsidTr="00AE5EC4">
        <w:trPr>
          <w:trHeight w:val="297"/>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2E4EABB3" w14:textId="77777777" w:rsidR="006C3BD6" w:rsidRPr="00AE5EC4" w:rsidRDefault="006C3BD6" w:rsidP="006C3BD6">
            <w:pPr>
              <w:rPr>
                <w:rFonts w:ascii="Calibri" w:eastAsia="Times New Roman" w:hAnsi="Calibri" w:cs="Calibri"/>
                <w:color w:val="FFFFFF" w:themeColor="background1"/>
              </w:rPr>
            </w:pPr>
            <w:r w:rsidRPr="00AE5EC4">
              <w:rPr>
                <w:rFonts w:ascii="Calibri" w:eastAsia="Times New Roman" w:hAnsi="Calibri" w:cs="Calibri"/>
                <w:color w:val="FFFFFF" w:themeColor="background1"/>
              </w:rPr>
              <w:t>After 2000</w:t>
            </w:r>
          </w:p>
        </w:tc>
        <w:tc>
          <w:tcPr>
            <w:tcW w:w="746" w:type="dxa"/>
            <w:noWrap/>
            <w:hideMark/>
          </w:tcPr>
          <w:p w14:paraId="1B1DCE1E"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1.3%</w:t>
            </w:r>
          </w:p>
        </w:tc>
        <w:tc>
          <w:tcPr>
            <w:tcW w:w="746" w:type="dxa"/>
            <w:noWrap/>
            <w:hideMark/>
          </w:tcPr>
          <w:p w14:paraId="61791170"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0.8%</w:t>
            </w:r>
          </w:p>
        </w:tc>
        <w:tc>
          <w:tcPr>
            <w:tcW w:w="746" w:type="dxa"/>
            <w:noWrap/>
            <w:hideMark/>
          </w:tcPr>
          <w:p w14:paraId="7C9EECE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1.4%</w:t>
            </w:r>
          </w:p>
        </w:tc>
        <w:tc>
          <w:tcPr>
            <w:tcW w:w="746" w:type="dxa"/>
            <w:noWrap/>
            <w:hideMark/>
          </w:tcPr>
          <w:p w14:paraId="77F30D04"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1.7%</w:t>
            </w:r>
          </w:p>
        </w:tc>
        <w:tc>
          <w:tcPr>
            <w:tcW w:w="746" w:type="dxa"/>
            <w:noWrap/>
            <w:hideMark/>
          </w:tcPr>
          <w:p w14:paraId="42474E29"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1.7%</w:t>
            </w:r>
          </w:p>
        </w:tc>
        <w:tc>
          <w:tcPr>
            <w:tcW w:w="746" w:type="dxa"/>
            <w:noWrap/>
            <w:hideMark/>
          </w:tcPr>
          <w:p w14:paraId="448E508A"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2.0%</w:t>
            </w:r>
          </w:p>
        </w:tc>
        <w:tc>
          <w:tcPr>
            <w:tcW w:w="746" w:type="dxa"/>
            <w:noWrap/>
            <w:hideMark/>
          </w:tcPr>
          <w:p w14:paraId="22B48937"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2.2%</w:t>
            </w:r>
          </w:p>
        </w:tc>
        <w:tc>
          <w:tcPr>
            <w:tcW w:w="746" w:type="dxa"/>
            <w:noWrap/>
            <w:hideMark/>
          </w:tcPr>
          <w:p w14:paraId="0300B69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2.4%</w:t>
            </w:r>
          </w:p>
        </w:tc>
        <w:tc>
          <w:tcPr>
            <w:tcW w:w="746" w:type="dxa"/>
            <w:noWrap/>
            <w:hideMark/>
          </w:tcPr>
          <w:p w14:paraId="4D6A37EB"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2.5%</w:t>
            </w:r>
          </w:p>
        </w:tc>
        <w:tc>
          <w:tcPr>
            <w:tcW w:w="746" w:type="dxa"/>
            <w:noWrap/>
            <w:hideMark/>
          </w:tcPr>
          <w:p w14:paraId="7EF00384"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2.5%</w:t>
            </w:r>
          </w:p>
        </w:tc>
        <w:tc>
          <w:tcPr>
            <w:tcW w:w="746" w:type="dxa"/>
            <w:noWrap/>
            <w:hideMark/>
          </w:tcPr>
          <w:p w14:paraId="58C3EB4B"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5.6%</w:t>
            </w:r>
          </w:p>
        </w:tc>
        <w:tc>
          <w:tcPr>
            <w:tcW w:w="746" w:type="dxa"/>
            <w:noWrap/>
            <w:hideMark/>
          </w:tcPr>
          <w:p w14:paraId="6F267E53"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5.6%</w:t>
            </w:r>
          </w:p>
        </w:tc>
      </w:tr>
      <w:tr w:rsidR="001162A6" w:rsidRPr="006C3BD6" w14:paraId="2F7F8576" w14:textId="77777777" w:rsidTr="00AE5EC4">
        <w:trPr>
          <w:trHeight w:val="297"/>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6AE1021E" w14:textId="77777777" w:rsidR="006C3BD6" w:rsidRPr="00AE5EC4" w:rsidRDefault="006C3BD6" w:rsidP="006C3BD6">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1980-1999</w:t>
            </w:r>
          </w:p>
        </w:tc>
        <w:tc>
          <w:tcPr>
            <w:tcW w:w="746" w:type="dxa"/>
            <w:noWrap/>
            <w:hideMark/>
          </w:tcPr>
          <w:p w14:paraId="551B305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29.1%</w:t>
            </w:r>
          </w:p>
        </w:tc>
        <w:tc>
          <w:tcPr>
            <w:tcW w:w="746" w:type="dxa"/>
            <w:noWrap/>
            <w:hideMark/>
          </w:tcPr>
          <w:p w14:paraId="0F1A1B67"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22.0%</w:t>
            </w:r>
          </w:p>
        </w:tc>
        <w:tc>
          <w:tcPr>
            <w:tcW w:w="746" w:type="dxa"/>
            <w:noWrap/>
            <w:hideMark/>
          </w:tcPr>
          <w:p w14:paraId="7799EED2"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22.7%</w:t>
            </w:r>
          </w:p>
        </w:tc>
        <w:tc>
          <w:tcPr>
            <w:tcW w:w="746" w:type="dxa"/>
            <w:noWrap/>
            <w:hideMark/>
          </w:tcPr>
          <w:p w14:paraId="676BD52A"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21.0%</w:t>
            </w:r>
          </w:p>
        </w:tc>
        <w:tc>
          <w:tcPr>
            <w:tcW w:w="746" w:type="dxa"/>
            <w:noWrap/>
            <w:hideMark/>
          </w:tcPr>
          <w:p w14:paraId="2EDD953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21.4%</w:t>
            </w:r>
          </w:p>
        </w:tc>
        <w:tc>
          <w:tcPr>
            <w:tcW w:w="746" w:type="dxa"/>
            <w:noWrap/>
            <w:hideMark/>
          </w:tcPr>
          <w:p w14:paraId="05B2E4A2"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22.4%</w:t>
            </w:r>
          </w:p>
        </w:tc>
        <w:tc>
          <w:tcPr>
            <w:tcW w:w="746" w:type="dxa"/>
            <w:noWrap/>
            <w:hideMark/>
          </w:tcPr>
          <w:p w14:paraId="3AF9D96B"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20.3%</w:t>
            </w:r>
          </w:p>
        </w:tc>
        <w:tc>
          <w:tcPr>
            <w:tcW w:w="746" w:type="dxa"/>
            <w:noWrap/>
            <w:hideMark/>
          </w:tcPr>
          <w:p w14:paraId="1E16AB0D"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21.3%</w:t>
            </w:r>
          </w:p>
        </w:tc>
        <w:tc>
          <w:tcPr>
            <w:tcW w:w="746" w:type="dxa"/>
            <w:noWrap/>
            <w:hideMark/>
          </w:tcPr>
          <w:p w14:paraId="66ACC8A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20.6%</w:t>
            </w:r>
          </w:p>
        </w:tc>
        <w:tc>
          <w:tcPr>
            <w:tcW w:w="746" w:type="dxa"/>
            <w:noWrap/>
            <w:hideMark/>
          </w:tcPr>
          <w:p w14:paraId="0D9A4141"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20.5%</w:t>
            </w:r>
          </w:p>
        </w:tc>
        <w:tc>
          <w:tcPr>
            <w:tcW w:w="746" w:type="dxa"/>
            <w:noWrap/>
            <w:hideMark/>
          </w:tcPr>
          <w:p w14:paraId="71C60FE2"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22.0%</w:t>
            </w:r>
          </w:p>
        </w:tc>
        <w:tc>
          <w:tcPr>
            <w:tcW w:w="746" w:type="dxa"/>
            <w:noWrap/>
            <w:hideMark/>
          </w:tcPr>
          <w:p w14:paraId="565C56E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22.3%</w:t>
            </w:r>
          </w:p>
        </w:tc>
      </w:tr>
      <w:tr w:rsidR="001162A6" w:rsidRPr="006C3BD6" w14:paraId="16EEBF12" w14:textId="77777777" w:rsidTr="00AE5EC4">
        <w:trPr>
          <w:trHeight w:val="312"/>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4A2FBEA8" w14:textId="77777777" w:rsidR="006C3BD6" w:rsidRPr="00AE5EC4" w:rsidRDefault="006C3BD6" w:rsidP="006C3BD6">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1960-1979</w:t>
            </w:r>
          </w:p>
        </w:tc>
        <w:tc>
          <w:tcPr>
            <w:tcW w:w="746" w:type="dxa"/>
            <w:noWrap/>
            <w:hideMark/>
          </w:tcPr>
          <w:p w14:paraId="24B2151D"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43.8%</w:t>
            </w:r>
          </w:p>
        </w:tc>
        <w:tc>
          <w:tcPr>
            <w:tcW w:w="746" w:type="dxa"/>
            <w:noWrap/>
            <w:hideMark/>
          </w:tcPr>
          <w:p w14:paraId="5EE0CA7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47.7%</w:t>
            </w:r>
          </w:p>
        </w:tc>
        <w:tc>
          <w:tcPr>
            <w:tcW w:w="746" w:type="dxa"/>
            <w:noWrap/>
            <w:hideMark/>
          </w:tcPr>
          <w:p w14:paraId="70C3CAEF"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43.3%</w:t>
            </w:r>
          </w:p>
        </w:tc>
        <w:tc>
          <w:tcPr>
            <w:tcW w:w="746" w:type="dxa"/>
            <w:noWrap/>
            <w:hideMark/>
          </w:tcPr>
          <w:p w14:paraId="224D2A43"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32.2%</w:t>
            </w:r>
          </w:p>
        </w:tc>
        <w:tc>
          <w:tcPr>
            <w:tcW w:w="746" w:type="dxa"/>
            <w:noWrap/>
            <w:hideMark/>
          </w:tcPr>
          <w:p w14:paraId="055B1480"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42.1%</w:t>
            </w:r>
          </w:p>
        </w:tc>
        <w:tc>
          <w:tcPr>
            <w:tcW w:w="746" w:type="dxa"/>
            <w:noWrap/>
            <w:hideMark/>
          </w:tcPr>
          <w:p w14:paraId="122E22E8"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37.9%</w:t>
            </w:r>
          </w:p>
        </w:tc>
        <w:tc>
          <w:tcPr>
            <w:tcW w:w="746" w:type="dxa"/>
            <w:noWrap/>
            <w:hideMark/>
          </w:tcPr>
          <w:p w14:paraId="0EFDDEC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40.4%</w:t>
            </w:r>
          </w:p>
        </w:tc>
        <w:tc>
          <w:tcPr>
            <w:tcW w:w="746" w:type="dxa"/>
            <w:noWrap/>
            <w:hideMark/>
          </w:tcPr>
          <w:p w14:paraId="3C58FAA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41.2%</w:t>
            </w:r>
          </w:p>
        </w:tc>
        <w:tc>
          <w:tcPr>
            <w:tcW w:w="746" w:type="dxa"/>
            <w:noWrap/>
            <w:hideMark/>
          </w:tcPr>
          <w:p w14:paraId="3C94712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37.8%</w:t>
            </w:r>
          </w:p>
        </w:tc>
        <w:tc>
          <w:tcPr>
            <w:tcW w:w="746" w:type="dxa"/>
            <w:noWrap/>
            <w:hideMark/>
          </w:tcPr>
          <w:p w14:paraId="25C667A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38.0%</w:t>
            </w:r>
          </w:p>
        </w:tc>
        <w:tc>
          <w:tcPr>
            <w:tcW w:w="746" w:type="dxa"/>
            <w:noWrap/>
            <w:hideMark/>
          </w:tcPr>
          <w:p w14:paraId="4783FE49"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38.9%</w:t>
            </w:r>
          </w:p>
        </w:tc>
        <w:tc>
          <w:tcPr>
            <w:tcW w:w="746" w:type="dxa"/>
            <w:noWrap/>
            <w:hideMark/>
          </w:tcPr>
          <w:p w14:paraId="2DBF1754"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39.1%</w:t>
            </w:r>
          </w:p>
        </w:tc>
      </w:tr>
      <w:tr w:rsidR="001162A6" w:rsidRPr="006C3BD6" w14:paraId="56242266" w14:textId="77777777" w:rsidTr="00AE5EC4">
        <w:trPr>
          <w:trHeight w:val="297"/>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6024C8F0" w14:textId="77777777" w:rsidR="006C3BD6" w:rsidRPr="00AE5EC4" w:rsidRDefault="006C3BD6" w:rsidP="006C3BD6">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1940-1959</w:t>
            </w:r>
          </w:p>
        </w:tc>
        <w:tc>
          <w:tcPr>
            <w:tcW w:w="746" w:type="dxa"/>
            <w:noWrap/>
            <w:hideMark/>
          </w:tcPr>
          <w:p w14:paraId="7E3D9040"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20.3%</w:t>
            </w:r>
          </w:p>
        </w:tc>
        <w:tc>
          <w:tcPr>
            <w:tcW w:w="746" w:type="dxa"/>
            <w:noWrap/>
            <w:hideMark/>
          </w:tcPr>
          <w:p w14:paraId="1AD3EB20"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22.9%</w:t>
            </w:r>
          </w:p>
        </w:tc>
        <w:tc>
          <w:tcPr>
            <w:tcW w:w="746" w:type="dxa"/>
            <w:noWrap/>
            <w:hideMark/>
          </w:tcPr>
          <w:p w14:paraId="4EEFF87A"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21.1%</w:t>
            </w:r>
          </w:p>
        </w:tc>
        <w:tc>
          <w:tcPr>
            <w:tcW w:w="746" w:type="dxa"/>
            <w:noWrap/>
            <w:hideMark/>
          </w:tcPr>
          <w:p w14:paraId="671C2F98"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19.4%</w:t>
            </w:r>
          </w:p>
        </w:tc>
        <w:tc>
          <w:tcPr>
            <w:tcW w:w="746" w:type="dxa"/>
            <w:noWrap/>
            <w:hideMark/>
          </w:tcPr>
          <w:p w14:paraId="3F5ABACD"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16.7%</w:t>
            </w:r>
          </w:p>
        </w:tc>
        <w:tc>
          <w:tcPr>
            <w:tcW w:w="746" w:type="dxa"/>
            <w:noWrap/>
            <w:hideMark/>
          </w:tcPr>
          <w:p w14:paraId="16BD297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17.0%</w:t>
            </w:r>
          </w:p>
        </w:tc>
        <w:tc>
          <w:tcPr>
            <w:tcW w:w="746" w:type="dxa"/>
            <w:noWrap/>
            <w:hideMark/>
          </w:tcPr>
          <w:p w14:paraId="71ED39CF"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16.8%</w:t>
            </w:r>
          </w:p>
        </w:tc>
        <w:tc>
          <w:tcPr>
            <w:tcW w:w="746" w:type="dxa"/>
            <w:noWrap/>
            <w:hideMark/>
          </w:tcPr>
          <w:p w14:paraId="34CFAA2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13.4%</w:t>
            </w:r>
          </w:p>
        </w:tc>
        <w:tc>
          <w:tcPr>
            <w:tcW w:w="746" w:type="dxa"/>
            <w:noWrap/>
            <w:hideMark/>
          </w:tcPr>
          <w:p w14:paraId="1DBF0F4E"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16.7%</w:t>
            </w:r>
          </w:p>
        </w:tc>
        <w:tc>
          <w:tcPr>
            <w:tcW w:w="746" w:type="dxa"/>
            <w:noWrap/>
            <w:hideMark/>
          </w:tcPr>
          <w:p w14:paraId="45BAF036"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15.6%</w:t>
            </w:r>
          </w:p>
        </w:tc>
        <w:tc>
          <w:tcPr>
            <w:tcW w:w="746" w:type="dxa"/>
            <w:noWrap/>
            <w:hideMark/>
          </w:tcPr>
          <w:p w14:paraId="2F9E2F6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15.3%</w:t>
            </w:r>
          </w:p>
        </w:tc>
        <w:tc>
          <w:tcPr>
            <w:tcW w:w="746" w:type="dxa"/>
            <w:noWrap/>
            <w:hideMark/>
          </w:tcPr>
          <w:p w14:paraId="628CFF1F"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15.8%</w:t>
            </w:r>
          </w:p>
        </w:tc>
      </w:tr>
      <w:tr w:rsidR="001162A6" w:rsidRPr="006C3BD6" w14:paraId="1667E0E2" w14:textId="77777777" w:rsidTr="00AE5EC4">
        <w:trPr>
          <w:trHeight w:val="312"/>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4348909A" w14:textId="77777777" w:rsidR="006C3BD6" w:rsidRPr="00AE5EC4" w:rsidRDefault="006C3BD6" w:rsidP="006C3BD6">
            <w:pPr>
              <w:rPr>
                <w:rFonts w:ascii="Calibri" w:eastAsia="Times New Roman" w:hAnsi="Calibri" w:cs="Calibri"/>
                <w:color w:val="FFFFFF" w:themeColor="background1"/>
              </w:rPr>
            </w:pPr>
            <w:r w:rsidRPr="00AE5EC4">
              <w:rPr>
                <w:rFonts w:ascii="Calibri" w:eastAsia="Times New Roman" w:hAnsi="Calibri" w:cs="Calibri"/>
                <w:color w:val="FFFFFF" w:themeColor="background1"/>
              </w:rPr>
              <w:t>1920-1939</w:t>
            </w:r>
          </w:p>
        </w:tc>
        <w:tc>
          <w:tcPr>
            <w:tcW w:w="746" w:type="dxa"/>
            <w:noWrap/>
            <w:hideMark/>
          </w:tcPr>
          <w:p w14:paraId="51E02CDA"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5.6%</w:t>
            </w:r>
          </w:p>
        </w:tc>
        <w:tc>
          <w:tcPr>
            <w:tcW w:w="746" w:type="dxa"/>
            <w:noWrap/>
            <w:hideMark/>
          </w:tcPr>
          <w:p w14:paraId="202576E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6.0%</w:t>
            </w:r>
          </w:p>
        </w:tc>
        <w:tc>
          <w:tcPr>
            <w:tcW w:w="746" w:type="dxa"/>
            <w:noWrap/>
            <w:hideMark/>
          </w:tcPr>
          <w:p w14:paraId="584FF966"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4.8%</w:t>
            </w:r>
          </w:p>
        </w:tc>
        <w:tc>
          <w:tcPr>
            <w:tcW w:w="746" w:type="dxa"/>
            <w:noWrap/>
            <w:hideMark/>
          </w:tcPr>
          <w:p w14:paraId="0F1FAAB4"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4.0%</w:t>
            </w:r>
          </w:p>
        </w:tc>
        <w:tc>
          <w:tcPr>
            <w:tcW w:w="746" w:type="dxa"/>
            <w:noWrap/>
            <w:hideMark/>
          </w:tcPr>
          <w:p w14:paraId="4CE47D67"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3.0%</w:t>
            </w:r>
          </w:p>
        </w:tc>
        <w:tc>
          <w:tcPr>
            <w:tcW w:w="746" w:type="dxa"/>
            <w:noWrap/>
            <w:hideMark/>
          </w:tcPr>
          <w:p w14:paraId="74ABB33A"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3.4%</w:t>
            </w:r>
          </w:p>
        </w:tc>
        <w:tc>
          <w:tcPr>
            <w:tcW w:w="746" w:type="dxa"/>
            <w:noWrap/>
            <w:hideMark/>
          </w:tcPr>
          <w:p w14:paraId="7A07BDF7"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3.5%</w:t>
            </w:r>
          </w:p>
        </w:tc>
        <w:tc>
          <w:tcPr>
            <w:tcW w:w="746" w:type="dxa"/>
            <w:noWrap/>
            <w:hideMark/>
          </w:tcPr>
          <w:p w14:paraId="160F9D5A"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2.5%</w:t>
            </w:r>
          </w:p>
        </w:tc>
        <w:tc>
          <w:tcPr>
            <w:tcW w:w="746" w:type="dxa"/>
            <w:noWrap/>
            <w:hideMark/>
          </w:tcPr>
          <w:p w14:paraId="70143978"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3.3%</w:t>
            </w:r>
          </w:p>
        </w:tc>
        <w:tc>
          <w:tcPr>
            <w:tcW w:w="746" w:type="dxa"/>
            <w:noWrap/>
            <w:hideMark/>
          </w:tcPr>
          <w:p w14:paraId="52ED9E23"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2.6%</w:t>
            </w:r>
          </w:p>
        </w:tc>
        <w:tc>
          <w:tcPr>
            <w:tcW w:w="746" w:type="dxa"/>
            <w:noWrap/>
            <w:hideMark/>
          </w:tcPr>
          <w:p w14:paraId="00D89423"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3.1%</w:t>
            </w:r>
          </w:p>
        </w:tc>
        <w:tc>
          <w:tcPr>
            <w:tcW w:w="746" w:type="dxa"/>
            <w:noWrap/>
            <w:hideMark/>
          </w:tcPr>
          <w:p w14:paraId="0FB7BA04"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3.3%</w:t>
            </w:r>
          </w:p>
        </w:tc>
      </w:tr>
      <w:tr w:rsidR="001162A6" w:rsidRPr="006C3BD6" w14:paraId="111E6F99" w14:textId="77777777" w:rsidTr="00AE5EC4">
        <w:trPr>
          <w:trHeight w:val="312"/>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2A2AEA46" w14:textId="77777777" w:rsidR="006C3BD6" w:rsidRPr="00AE5EC4" w:rsidRDefault="006C3BD6" w:rsidP="006C3BD6">
            <w:pPr>
              <w:rPr>
                <w:rFonts w:ascii="Calibri" w:eastAsia="Times New Roman" w:hAnsi="Calibri" w:cs="Calibri"/>
                <w:color w:val="FFFFFF" w:themeColor="background1"/>
              </w:rPr>
            </w:pPr>
            <w:r w:rsidRPr="00AE5EC4">
              <w:rPr>
                <w:rFonts w:ascii="Calibri" w:eastAsia="Times New Roman" w:hAnsi="Calibri" w:cs="Calibri"/>
                <w:color w:val="FFFFFF" w:themeColor="background1"/>
              </w:rPr>
              <w:t>Before 1920</w:t>
            </w:r>
          </w:p>
        </w:tc>
        <w:tc>
          <w:tcPr>
            <w:tcW w:w="746" w:type="dxa"/>
            <w:noWrap/>
            <w:hideMark/>
          </w:tcPr>
          <w:p w14:paraId="4B6A490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0.0%</w:t>
            </w:r>
          </w:p>
        </w:tc>
        <w:tc>
          <w:tcPr>
            <w:tcW w:w="746" w:type="dxa"/>
            <w:noWrap/>
            <w:hideMark/>
          </w:tcPr>
          <w:p w14:paraId="478129BD"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0.1%</w:t>
            </w:r>
          </w:p>
        </w:tc>
        <w:tc>
          <w:tcPr>
            <w:tcW w:w="746" w:type="dxa"/>
            <w:noWrap/>
            <w:hideMark/>
          </w:tcPr>
          <w:p w14:paraId="412B07AF"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1.0%</w:t>
            </w:r>
          </w:p>
        </w:tc>
        <w:tc>
          <w:tcPr>
            <w:tcW w:w="746" w:type="dxa"/>
            <w:noWrap/>
            <w:hideMark/>
          </w:tcPr>
          <w:p w14:paraId="2AD29E1D"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0.9%</w:t>
            </w:r>
          </w:p>
        </w:tc>
        <w:tc>
          <w:tcPr>
            <w:tcW w:w="746" w:type="dxa"/>
            <w:noWrap/>
            <w:hideMark/>
          </w:tcPr>
          <w:p w14:paraId="6D089AB2"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1.3%</w:t>
            </w:r>
          </w:p>
        </w:tc>
        <w:tc>
          <w:tcPr>
            <w:tcW w:w="746" w:type="dxa"/>
            <w:noWrap/>
            <w:hideMark/>
          </w:tcPr>
          <w:p w14:paraId="7E238889"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1.2%</w:t>
            </w:r>
          </w:p>
        </w:tc>
        <w:tc>
          <w:tcPr>
            <w:tcW w:w="746" w:type="dxa"/>
            <w:noWrap/>
            <w:hideMark/>
          </w:tcPr>
          <w:p w14:paraId="3439E2EF"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1.2%</w:t>
            </w:r>
          </w:p>
        </w:tc>
        <w:tc>
          <w:tcPr>
            <w:tcW w:w="746" w:type="dxa"/>
            <w:noWrap/>
            <w:hideMark/>
          </w:tcPr>
          <w:p w14:paraId="2BC3CBB5"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0.9%</w:t>
            </w:r>
          </w:p>
        </w:tc>
        <w:tc>
          <w:tcPr>
            <w:tcW w:w="746" w:type="dxa"/>
            <w:noWrap/>
            <w:hideMark/>
          </w:tcPr>
          <w:p w14:paraId="116AB347"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0.9%</w:t>
            </w:r>
          </w:p>
        </w:tc>
        <w:tc>
          <w:tcPr>
            <w:tcW w:w="746" w:type="dxa"/>
            <w:noWrap/>
            <w:hideMark/>
          </w:tcPr>
          <w:p w14:paraId="456C5A13"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0.3%</w:t>
            </w:r>
          </w:p>
        </w:tc>
        <w:tc>
          <w:tcPr>
            <w:tcW w:w="746" w:type="dxa"/>
            <w:noWrap/>
            <w:hideMark/>
          </w:tcPr>
          <w:p w14:paraId="68C855FA"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1.0%</w:t>
            </w:r>
          </w:p>
        </w:tc>
        <w:tc>
          <w:tcPr>
            <w:tcW w:w="746" w:type="dxa"/>
            <w:noWrap/>
            <w:hideMark/>
          </w:tcPr>
          <w:p w14:paraId="6897582C" w14:textId="77777777" w:rsidR="006C3BD6" w:rsidRPr="006C3BD6" w:rsidRDefault="006C3BD6" w:rsidP="006C3BD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1.1%</w:t>
            </w:r>
          </w:p>
        </w:tc>
      </w:tr>
      <w:tr w:rsidR="001162A6" w:rsidRPr="006C3BD6" w14:paraId="0844AEFF" w14:textId="77777777" w:rsidTr="00AE5EC4">
        <w:trPr>
          <w:trHeight w:val="312"/>
        </w:trPr>
        <w:tc>
          <w:tcPr>
            <w:cnfStyle w:val="001000000000" w:firstRow="0" w:lastRow="0" w:firstColumn="1" w:lastColumn="0" w:oddVBand="0" w:evenVBand="0" w:oddHBand="0" w:evenHBand="0" w:firstRowFirstColumn="0" w:firstRowLastColumn="0" w:lastRowFirstColumn="0" w:lastRowLastColumn="0"/>
            <w:tcW w:w="807" w:type="dxa"/>
            <w:shd w:val="clear" w:color="auto" w:fill="002060"/>
            <w:noWrap/>
            <w:hideMark/>
          </w:tcPr>
          <w:p w14:paraId="57ABEB5D" w14:textId="156E16AB" w:rsidR="006C3BD6" w:rsidRPr="00AE5EC4" w:rsidRDefault="00AE5EC4" w:rsidP="006C3BD6">
            <w:pPr>
              <w:rPr>
                <w:rFonts w:ascii="Calibri" w:eastAsia="Times New Roman" w:hAnsi="Calibri" w:cs="Calibri"/>
                <w:color w:val="FFFFFF" w:themeColor="background1"/>
              </w:rPr>
            </w:pPr>
            <w:r>
              <w:rPr>
                <w:rFonts w:ascii="Calibri" w:eastAsia="Times New Roman" w:hAnsi="Calibri" w:cs="Calibri"/>
                <w:color w:val="FFFFFF" w:themeColor="background1"/>
              </w:rPr>
              <w:t>Construction date N/A</w:t>
            </w:r>
          </w:p>
        </w:tc>
        <w:tc>
          <w:tcPr>
            <w:tcW w:w="746" w:type="dxa"/>
            <w:noWrap/>
            <w:vAlign w:val="center"/>
            <w:hideMark/>
          </w:tcPr>
          <w:p w14:paraId="7971441F"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0.0%</w:t>
            </w:r>
          </w:p>
        </w:tc>
        <w:tc>
          <w:tcPr>
            <w:tcW w:w="746" w:type="dxa"/>
            <w:noWrap/>
            <w:vAlign w:val="center"/>
            <w:hideMark/>
          </w:tcPr>
          <w:p w14:paraId="094F4457"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0.4%</w:t>
            </w:r>
          </w:p>
        </w:tc>
        <w:tc>
          <w:tcPr>
            <w:tcW w:w="746" w:type="dxa"/>
            <w:noWrap/>
            <w:vAlign w:val="center"/>
            <w:hideMark/>
          </w:tcPr>
          <w:p w14:paraId="40FD6073"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5.8%</w:t>
            </w:r>
          </w:p>
        </w:tc>
        <w:tc>
          <w:tcPr>
            <w:tcW w:w="746" w:type="dxa"/>
            <w:noWrap/>
            <w:vAlign w:val="center"/>
            <w:hideMark/>
          </w:tcPr>
          <w:p w14:paraId="5369E103"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10.2%</w:t>
            </w:r>
          </w:p>
        </w:tc>
        <w:tc>
          <w:tcPr>
            <w:tcW w:w="746" w:type="dxa"/>
            <w:noWrap/>
            <w:vAlign w:val="center"/>
            <w:hideMark/>
          </w:tcPr>
          <w:p w14:paraId="1FEA03A3"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13.7%</w:t>
            </w:r>
          </w:p>
        </w:tc>
        <w:tc>
          <w:tcPr>
            <w:tcW w:w="746" w:type="dxa"/>
            <w:noWrap/>
            <w:vAlign w:val="center"/>
            <w:hideMark/>
          </w:tcPr>
          <w:p w14:paraId="6F9A4BFE"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16.2%</w:t>
            </w:r>
          </w:p>
        </w:tc>
        <w:tc>
          <w:tcPr>
            <w:tcW w:w="746" w:type="dxa"/>
            <w:noWrap/>
            <w:vAlign w:val="center"/>
            <w:hideMark/>
          </w:tcPr>
          <w:p w14:paraId="0D624FEE"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15.5%</w:t>
            </w:r>
          </w:p>
        </w:tc>
        <w:tc>
          <w:tcPr>
            <w:tcW w:w="746" w:type="dxa"/>
            <w:noWrap/>
            <w:vAlign w:val="center"/>
            <w:hideMark/>
          </w:tcPr>
          <w:p w14:paraId="0FA10C4B"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18.2%</w:t>
            </w:r>
          </w:p>
        </w:tc>
        <w:tc>
          <w:tcPr>
            <w:tcW w:w="746" w:type="dxa"/>
            <w:noWrap/>
            <w:vAlign w:val="center"/>
            <w:hideMark/>
          </w:tcPr>
          <w:p w14:paraId="306160E1"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18.2%</w:t>
            </w:r>
          </w:p>
        </w:tc>
        <w:tc>
          <w:tcPr>
            <w:tcW w:w="746" w:type="dxa"/>
            <w:noWrap/>
            <w:vAlign w:val="center"/>
            <w:hideMark/>
          </w:tcPr>
          <w:p w14:paraId="22CE6418"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20.3%</w:t>
            </w:r>
          </w:p>
        </w:tc>
        <w:tc>
          <w:tcPr>
            <w:tcW w:w="746" w:type="dxa"/>
            <w:noWrap/>
            <w:vAlign w:val="center"/>
            <w:hideMark/>
          </w:tcPr>
          <w:p w14:paraId="62E2A3B7"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14.1%</w:t>
            </w:r>
          </w:p>
        </w:tc>
        <w:tc>
          <w:tcPr>
            <w:tcW w:w="746" w:type="dxa"/>
            <w:noWrap/>
            <w:vAlign w:val="center"/>
            <w:hideMark/>
          </w:tcPr>
          <w:p w14:paraId="2BAF89C2" w14:textId="77777777" w:rsidR="006C3BD6" w:rsidRPr="006C3BD6" w:rsidRDefault="006C3BD6" w:rsidP="00AE5E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6C3BD6">
              <w:rPr>
                <w:rFonts w:ascii="Calibri" w:eastAsia="Times New Roman" w:hAnsi="Calibri" w:cs="Calibri"/>
                <w:color w:val="000000"/>
              </w:rPr>
              <w:t>12.9%</w:t>
            </w:r>
          </w:p>
        </w:tc>
      </w:tr>
    </w:tbl>
    <w:p w14:paraId="467AE61D" w14:textId="3E6AB501" w:rsidR="00082663" w:rsidRPr="00776AB0" w:rsidRDefault="001C44D3" w:rsidP="00AE5EC4">
      <w:pPr>
        <w:ind w:right="-990"/>
        <w:jc w:val="both"/>
        <w:rPr>
          <w:rFonts w:cstheme="minorHAnsi"/>
          <w:color w:val="FF0000"/>
        </w:rPr>
      </w:pPr>
      <w:r>
        <w:rPr>
          <w:i/>
          <w:iCs/>
          <w:color w:val="44546A" w:themeColor="text2"/>
          <w:sz w:val="18"/>
          <w:szCs w:val="18"/>
        </w:rPr>
        <w:t>Source: I</w:t>
      </w:r>
      <w:r w:rsidR="00AE5EC4">
        <w:rPr>
          <w:i/>
          <w:iCs/>
          <w:color w:val="44546A" w:themeColor="text2"/>
          <w:sz w:val="18"/>
          <w:szCs w:val="18"/>
        </w:rPr>
        <w:t xml:space="preserve">ntegrated Household Survey </w:t>
      </w:r>
    </w:p>
    <w:p w14:paraId="6847F7DB" w14:textId="57E43543" w:rsidR="00B001FE" w:rsidRDefault="00082663" w:rsidP="00976D0B">
      <w:pPr>
        <w:ind w:right="90"/>
        <w:jc w:val="both"/>
        <w:rPr>
          <w:rFonts w:cstheme="minorHAnsi"/>
        </w:rPr>
      </w:pPr>
      <w:r>
        <w:rPr>
          <w:rFonts w:cstheme="minorHAnsi"/>
        </w:rPr>
        <w:t xml:space="preserve">The last subcategory </w:t>
      </w:r>
      <w:r w:rsidR="003A6F48" w:rsidRPr="003A6F48">
        <w:rPr>
          <w:rFonts w:cstheme="minorHAnsi"/>
        </w:rPr>
        <w:t xml:space="preserve">is </w:t>
      </w:r>
      <w:r w:rsidR="008E1B6F">
        <w:rPr>
          <w:rFonts w:cstheme="minorHAnsi"/>
        </w:rPr>
        <w:t xml:space="preserve">going to </w:t>
      </w:r>
      <w:r w:rsidR="003A6F48">
        <w:rPr>
          <w:rFonts w:cstheme="minorHAnsi"/>
        </w:rPr>
        <w:t xml:space="preserve">be </w:t>
      </w:r>
      <w:r w:rsidR="00060A25">
        <w:rPr>
          <w:rFonts w:cstheme="minorHAnsi"/>
        </w:rPr>
        <w:t>discuss</w:t>
      </w:r>
      <w:r w:rsidR="003A6F48">
        <w:rPr>
          <w:rFonts w:cstheme="minorHAnsi"/>
        </w:rPr>
        <w:t>ed</w:t>
      </w:r>
      <w:r w:rsidR="00060A25">
        <w:rPr>
          <w:rFonts w:cstheme="minorHAnsi"/>
        </w:rPr>
        <w:t xml:space="preserve"> is that of </w:t>
      </w:r>
      <w:r w:rsidRPr="006066AB">
        <w:rPr>
          <w:rFonts w:cstheme="minorHAnsi"/>
          <w:b/>
          <w:bCs/>
          <w:i/>
          <w:iCs/>
        </w:rPr>
        <w:t>households</w:t>
      </w:r>
      <w:r w:rsidR="00060A25" w:rsidRPr="006066AB">
        <w:rPr>
          <w:rFonts w:cstheme="minorHAnsi"/>
          <w:b/>
          <w:bCs/>
          <w:i/>
          <w:iCs/>
        </w:rPr>
        <w:t xml:space="preserve"> living in overcrowded spaces</w:t>
      </w:r>
      <w:r w:rsidR="001C442B">
        <w:rPr>
          <w:rFonts w:cstheme="minorHAnsi"/>
          <w:b/>
          <w:bCs/>
          <w:i/>
          <w:iCs/>
        </w:rPr>
        <w:t>.</w:t>
      </w:r>
      <w:r w:rsidR="004B1B66">
        <w:rPr>
          <w:rFonts w:cstheme="minorHAnsi"/>
        </w:rPr>
        <w:t xml:space="preserve"> </w:t>
      </w:r>
      <w:r w:rsidR="003A6F48">
        <w:rPr>
          <w:rFonts w:cstheme="minorHAnsi"/>
        </w:rPr>
        <w:t>The</w:t>
      </w:r>
      <w:r>
        <w:rPr>
          <w:rFonts w:cstheme="minorHAnsi"/>
        </w:rPr>
        <w:t xml:space="preserve"> analysis </w:t>
      </w:r>
      <w:r w:rsidR="004B1B66">
        <w:rPr>
          <w:rFonts w:cstheme="minorHAnsi"/>
        </w:rPr>
        <w:t xml:space="preserve">in </w:t>
      </w:r>
      <w:r w:rsidR="00B001FE">
        <w:rPr>
          <w:rFonts w:cstheme="minorHAnsi"/>
        </w:rPr>
        <w:t xml:space="preserve">performed with respect to </w:t>
      </w:r>
      <w:r>
        <w:rPr>
          <w:rFonts w:cstheme="minorHAnsi"/>
        </w:rPr>
        <w:t>two main definitions</w:t>
      </w:r>
      <w:r w:rsidR="00B001FE">
        <w:rPr>
          <w:rFonts w:cstheme="minorHAnsi"/>
        </w:rPr>
        <w:t>:</w:t>
      </w:r>
    </w:p>
    <w:p w14:paraId="080A7E8C" w14:textId="2243E109" w:rsidR="00666886" w:rsidRDefault="00B001FE" w:rsidP="00454C26">
      <w:pPr>
        <w:pStyle w:val="ListParagraph"/>
        <w:numPr>
          <w:ilvl w:val="0"/>
          <w:numId w:val="23"/>
        </w:numPr>
        <w:ind w:right="90"/>
        <w:jc w:val="both"/>
        <w:rPr>
          <w:rFonts w:cstheme="minorHAnsi"/>
        </w:rPr>
      </w:pPr>
      <w:r>
        <w:rPr>
          <w:rFonts w:cstheme="minorHAnsi"/>
        </w:rPr>
        <w:lastRenderedPageBreak/>
        <w:t>the</w:t>
      </w:r>
      <w:r w:rsidR="00082663" w:rsidRPr="00610BE1">
        <w:rPr>
          <w:rFonts w:cstheme="minorHAnsi"/>
        </w:rPr>
        <w:t xml:space="preserve"> UN habitat definition</w:t>
      </w:r>
      <w:r w:rsidR="00666886">
        <w:rPr>
          <w:rStyle w:val="FootnoteReference"/>
          <w:rFonts w:cstheme="minorHAnsi"/>
        </w:rPr>
        <w:footnoteReference w:id="37"/>
      </w:r>
      <w:r w:rsidR="00666886">
        <w:rPr>
          <w:rFonts w:cstheme="minorHAnsi"/>
        </w:rPr>
        <w:t>;</w:t>
      </w:r>
    </w:p>
    <w:p w14:paraId="73DAC5B1" w14:textId="1B5544BE" w:rsidR="00082663" w:rsidRPr="00610BE1" w:rsidRDefault="00666886" w:rsidP="00454C26">
      <w:pPr>
        <w:pStyle w:val="ListParagraph"/>
        <w:numPr>
          <w:ilvl w:val="0"/>
          <w:numId w:val="23"/>
        </w:numPr>
        <w:ind w:right="90"/>
        <w:jc w:val="both"/>
        <w:rPr>
          <w:rFonts w:cstheme="minorHAnsi"/>
        </w:rPr>
      </w:pPr>
      <w:r>
        <w:rPr>
          <w:rFonts w:cstheme="minorHAnsi"/>
        </w:rPr>
        <w:t xml:space="preserve">the </w:t>
      </w:r>
      <w:r w:rsidR="00092187" w:rsidRPr="00610BE1">
        <w:rPr>
          <w:rFonts w:cstheme="minorHAnsi"/>
        </w:rPr>
        <w:t xml:space="preserve">SDG </w:t>
      </w:r>
      <w:r>
        <w:rPr>
          <w:rFonts w:cstheme="minorHAnsi"/>
        </w:rPr>
        <w:t>definition</w:t>
      </w:r>
      <w:r>
        <w:rPr>
          <w:rStyle w:val="FootnoteReference"/>
          <w:rFonts w:cstheme="minorHAnsi"/>
        </w:rPr>
        <w:footnoteReference w:id="38"/>
      </w:r>
      <w:r w:rsidR="00092187" w:rsidDel="00092187">
        <w:rPr>
          <w:rStyle w:val="CommentReference"/>
        </w:rPr>
        <w:t xml:space="preserve"> </w:t>
      </w:r>
    </w:p>
    <w:p w14:paraId="20FE309B" w14:textId="083B81BA" w:rsidR="00F95A5F" w:rsidRDefault="00082663" w:rsidP="00976D0B">
      <w:pPr>
        <w:jc w:val="both"/>
        <w:rPr>
          <w:rFonts w:cstheme="minorHAnsi"/>
        </w:rPr>
      </w:pPr>
      <w:r>
        <w:rPr>
          <w:rFonts w:cstheme="minorHAnsi"/>
        </w:rPr>
        <w:t>According to UN habitat</w:t>
      </w:r>
      <w:r w:rsidR="001340CF">
        <w:rPr>
          <w:rFonts w:cstheme="minorHAnsi"/>
        </w:rPr>
        <w:t xml:space="preserve"> definition</w:t>
      </w:r>
      <w:r>
        <w:rPr>
          <w:rFonts w:cstheme="minorHAnsi"/>
        </w:rPr>
        <w:t xml:space="preserve">, the </w:t>
      </w:r>
      <w:r w:rsidR="00035106">
        <w:rPr>
          <w:rFonts w:cstheme="minorHAnsi"/>
        </w:rPr>
        <w:t>share of household living in</w:t>
      </w:r>
      <w:r w:rsidR="001340CF">
        <w:rPr>
          <w:rFonts w:cstheme="minorHAnsi"/>
        </w:rPr>
        <w:t xml:space="preserve"> overcrow</w:t>
      </w:r>
      <w:r w:rsidR="00035106">
        <w:rPr>
          <w:rFonts w:cstheme="minorHAnsi"/>
        </w:rPr>
        <w:t>ded spaces</w:t>
      </w:r>
      <w:r w:rsidR="001340CF">
        <w:rPr>
          <w:rFonts w:cstheme="minorHAnsi"/>
        </w:rPr>
        <w:t xml:space="preserve"> </w:t>
      </w:r>
      <w:r w:rsidR="00524DB7">
        <w:rPr>
          <w:rFonts w:cstheme="minorHAnsi"/>
        </w:rPr>
        <w:t xml:space="preserve">was </w:t>
      </w:r>
      <w:r w:rsidR="00035106">
        <w:rPr>
          <w:rFonts w:cstheme="minorHAnsi"/>
        </w:rPr>
        <w:t>declining in</w:t>
      </w:r>
      <w:r>
        <w:rPr>
          <w:rFonts w:cstheme="minorHAnsi"/>
        </w:rPr>
        <w:t xml:space="preserve"> both </w:t>
      </w:r>
      <w:r w:rsidR="0021680A">
        <w:rPr>
          <w:rFonts w:cstheme="minorHAnsi"/>
        </w:rPr>
        <w:t>urban</w:t>
      </w:r>
      <w:r w:rsidR="00610BE1">
        <w:rPr>
          <w:rFonts w:cstheme="minorHAnsi"/>
        </w:rPr>
        <w:t xml:space="preserve"> (from</w:t>
      </w:r>
      <w:r w:rsidR="00083144">
        <w:rPr>
          <w:rFonts w:cstheme="minorHAnsi"/>
        </w:rPr>
        <w:t xml:space="preserve"> </w:t>
      </w:r>
      <w:r w:rsidR="00202405">
        <w:rPr>
          <w:rFonts w:cstheme="minorHAnsi"/>
        </w:rPr>
        <w:t>4.1</w:t>
      </w:r>
      <w:r w:rsidR="00083144">
        <w:rPr>
          <w:rFonts w:cstheme="minorHAnsi"/>
        </w:rPr>
        <w:t xml:space="preserve">% to </w:t>
      </w:r>
      <w:r w:rsidR="00202405">
        <w:rPr>
          <w:rFonts w:cstheme="minorHAnsi"/>
        </w:rPr>
        <w:t>1.4</w:t>
      </w:r>
      <w:r w:rsidR="00083144">
        <w:rPr>
          <w:rFonts w:cstheme="minorHAnsi"/>
        </w:rPr>
        <w:t>%)</w:t>
      </w:r>
      <w:r>
        <w:rPr>
          <w:rFonts w:cstheme="minorHAnsi"/>
        </w:rPr>
        <w:t xml:space="preserve"> and </w:t>
      </w:r>
      <w:r w:rsidR="0021680A">
        <w:rPr>
          <w:rFonts w:cstheme="minorHAnsi"/>
        </w:rPr>
        <w:t>rural</w:t>
      </w:r>
      <w:r>
        <w:rPr>
          <w:rFonts w:cstheme="minorHAnsi"/>
        </w:rPr>
        <w:t xml:space="preserve"> areas</w:t>
      </w:r>
      <w:r w:rsidR="00083144">
        <w:rPr>
          <w:rFonts w:cstheme="minorHAnsi"/>
        </w:rPr>
        <w:t xml:space="preserve"> (from </w:t>
      </w:r>
      <w:r w:rsidR="00202405">
        <w:rPr>
          <w:rFonts w:cstheme="minorHAnsi"/>
        </w:rPr>
        <w:t>1.5</w:t>
      </w:r>
      <w:r w:rsidR="007E25A2">
        <w:rPr>
          <w:rFonts w:cstheme="minorHAnsi"/>
        </w:rPr>
        <w:t xml:space="preserve">% to </w:t>
      </w:r>
      <w:r w:rsidR="00202405">
        <w:rPr>
          <w:rFonts w:cstheme="minorHAnsi"/>
        </w:rPr>
        <w:t>0.5</w:t>
      </w:r>
      <w:r w:rsidR="007E25A2">
        <w:rPr>
          <w:rFonts w:cstheme="minorHAnsi"/>
        </w:rPr>
        <w:t>%)</w:t>
      </w:r>
      <w:r w:rsidR="001C442B">
        <w:rPr>
          <w:rFonts w:cstheme="minorHAnsi"/>
        </w:rPr>
        <w:t xml:space="preserve"> (Figure 41).</w:t>
      </w:r>
      <w:r w:rsidR="00092187">
        <w:rPr>
          <w:rFonts w:cstheme="minorHAnsi"/>
        </w:rPr>
        <w:t xml:space="preserve"> </w:t>
      </w:r>
    </w:p>
    <w:p w14:paraId="6DBA19F9" w14:textId="3E88F970" w:rsidR="008F62D8" w:rsidRPr="00D74D8C" w:rsidRDefault="0004131A" w:rsidP="006066AB">
      <w:pPr>
        <w:rPr>
          <w:i/>
          <w:iCs/>
          <w:color w:val="44546A" w:themeColor="text2"/>
          <w:sz w:val="18"/>
          <w:szCs w:val="18"/>
        </w:rPr>
      </w:pPr>
      <w:r w:rsidRPr="001C442B">
        <w:rPr>
          <w:i/>
          <w:iCs/>
          <w:color w:val="44546A" w:themeColor="text2"/>
          <w:sz w:val="18"/>
          <w:szCs w:val="18"/>
        </w:rPr>
        <w:t xml:space="preserve">Figure </w:t>
      </w:r>
      <w:r w:rsidR="00D76E58" w:rsidRPr="001C442B">
        <w:rPr>
          <w:i/>
          <w:iCs/>
          <w:color w:val="44546A" w:themeColor="text2"/>
          <w:sz w:val="18"/>
          <w:szCs w:val="18"/>
        </w:rPr>
        <w:fldChar w:fldCharType="begin"/>
      </w:r>
      <w:r w:rsidR="00D76E58" w:rsidRPr="001C442B">
        <w:rPr>
          <w:i/>
          <w:iCs/>
          <w:color w:val="44546A" w:themeColor="text2"/>
          <w:sz w:val="18"/>
          <w:szCs w:val="18"/>
        </w:rPr>
        <w:instrText xml:space="preserve"> SEQ Figure \* ARABIC </w:instrText>
      </w:r>
      <w:r w:rsidR="00D76E58" w:rsidRPr="001C442B">
        <w:rPr>
          <w:i/>
          <w:iCs/>
          <w:color w:val="44546A" w:themeColor="text2"/>
          <w:sz w:val="18"/>
          <w:szCs w:val="18"/>
        </w:rPr>
        <w:fldChar w:fldCharType="separate"/>
      </w:r>
      <w:r w:rsidR="006B5103">
        <w:rPr>
          <w:i/>
          <w:iCs/>
          <w:noProof/>
          <w:color w:val="44546A" w:themeColor="text2"/>
          <w:sz w:val="18"/>
          <w:szCs w:val="18"/>
        </w:rPr>
        <w:t>41</w:t>
      </w:r>
      <w:r w:rsidR="00D76E58" w:rsidRPr="001C442B">
        <w:rPr>
          <w:i/>
          <w:iCs/>
          <w:color w:val="44546A" w:themeColor="text2"/>
          <w:sz w:val="18"/>
          <w:szCs w:val="18"/>
        </w:rPr>
        <w:fldChar w:fldCharType="end"/>
      </w:r>
      <w:r w:rsidR="008F62D8">
        <w:rPr>
          <w:i/>
          <w:iCs/>
          <w:color w:val="44546A" w:themeColor="text2"/>
          <w:sz w:val="18"/>
          <w:szCs w:val="18"/>
        </w:rPr>
        <w:t xml:space="preserve">: </w:t>
      </w:r>
      <w:r w:rsidR="002F4309" w:rsidRPr="002F4309">
        <w:rPr>
          <w:i/>
          <w:iCs/>
          <w:color w:val="44546A" w:themeColor="text2"/>
          <w:sz w:val="18"/>
          <w:szCs w:val="18"/>
        </w:rPr>
        <w:t>The share of households living in</w:t>
      </w:r>
      <w:r w:rsidR="002F4309">
        <w:rPr>
          <w:i/>
          <w:iCs/>
          <w:color w:val="44546A" w:themeColor="text2"/>
          <w:sz w:val="18"/>
          <w:szCs w:val="18"/>
        </w:rPr>
        <w:t xml:space="preserve"> overcrowded</w:t>
      </w:r>
      <w:r w:rsidR="002F4309" w:rsidRPr="002F4309">
        <w:rPr>
          <w:i/>
          <w:iCs/>
          <w:color w:val="44546A" w:themeColor="text2"/>
          <w:sz w:val="18"/>
          <w:szCs w:val="18"/>
        </w:rPr>
        <w:t xml:space="preserve"> houses</w:t>
      </w:r>
      <w:r w:rsidR="00172328">
        <w:rPr>
          <w:i/>
          <w:iCs/>
          <w:color w:val="44546A" w:themeColor="text2"/>
          <w:sz w:val="18"/>
          <w:szCs w:val="18"/>
        </w:rPr>
        <w:t xml:space="preserve"> (UN habitat </w:t>
      </w:r>
      <w:r w:rsidR="008F3E6B">
        <w:rPr>
          <w:i/>
          <w:iCs/>
          <w:color w:val="44546A" w:themeColor="text2"/>
          <w:sz w:val="18"/>
          <w:szCs w:val="18"/>
        </w:rPr>
        <w:t>definition)</w:t>
      </w:r>
      <w:r w:rsidR="008F3E6B" w:rsidRPr="00D74D8C">
        <w:rPr>
          <w:i/>
          <w:iCs/>
          <w:color w:val="44546A" w:themeColor="text2"/>
          <w:sz w:val="18"/>
          <w:szCs w:val="18"/>
        </w:rPr>
        <w:t xml:space="preserve"> </w:t>
      </w:r>
      <w:r w:rsidR="008F3E6B">
        <w:rPr>
          <w:i/>
          <w:iCs/>
          <w:color w:val="44546A" w:themeColor="text2"/>
          <w:sz w:val="18"/>
          <w:szCs w:val="18"/>
        </w:rPr>
        <w:t xml:space="preserve">in </w:t>
      </w:r>
      <w:r w:rsidR="008F3E6B" w:rsidRPr="0021680A">
        <w:rPr>
          <w:i/>
          <w:iCs/>
          <w:color w:val="44546A" w:themeColor="text2"/>
          <w:sz w:val="18"/>
          <w:szCs w:val="18"/>
        </w:rPr>
        <w:t>urban</w:t>
      </w:r>
      <w:r w:rsidR="0021680A" w:rsidRPr="00D74D8C">
        <w:rPr>
          <w:i/>
          <w:iCs/>
          <w:color w:val="44546A" w:themeColor="text2"/>
          <w:sz w:val="18"/>
          <w:szCs w:val="18"/>
        </w:rPr>
        <w:t xml:space="preserve"> and </w:t>
      </w:r>
      <w:r w:rsidR="0021680A">
        <w:rPr>
          <w:i/>
          <w:iCs/>
          <w:color w:val="44546A" w:themeColor="text2"/>
          <w:sz w:val="18"/>
          <w:szCs w:val="18"/>
        </w:rPr>
        <w:t>rural</w:t>
      </w:r>
      <w:r w:rsidR="0021680A" w:rsidRPr="00D74D8C">
        <w:rPr>
          <w:i/>
          <w:iCs/>
          <w:color w:val="44546A" w:themeColor="text2"/>
          <w:sz w:val="18"/>
          <w:szCs w:val="18"/>
        </w:rPr>
        <w:t xml:space="preserve"> </w:t>
      </w:r>
      <w:r w:rsidR="0021680A">
        <w:rPr>
          <w:i/>
          <w:iCs/>
          <w:color w:val="44546A" w:themeColor="text2"/>
          <w:sz w:val="18"/>
          <w:szCs w:val="18"/>
        </w:rPr>
        <w:t>a</w:t>
      </w:r>
      <w:r w:rsidR="0021680A" w:rsidRPr="00D74D8C">
        <w:rPr>
          <w:i/>
          <w:iCs/>
          <w:color w:val="44546A" w:themeColor="text2"/>
          <w:sz w:val="18"/>
          <w:szCs w:val="18"/>
        </w:rPr>
        <w:t xml:space="preserve">reas    </w:t>
      </w:r>
    </w:p>
    <w:p w14:paraId="790B1BBD" w14:textId="562DF047" w:rsidR="00082663" w:rsidRDefault="00AE5EC4" w:rsidP="00976D0B">
      <w:pPr>
        <w:tabs>
          <w:tab w:val="left" w:pos="5370"/>
        </w:tabs>
        <w:jc w:val="both"/>
        <w:rPr>
          <w:rFonts w:cstheme="minorHAnsi"/>
        </w:rPr>
      </w:pPr>
      <w:r>
        <w:rPr>
          <w:noProof/>
        </w:rPr>
        <w:drawing>
          <wp:anchor distT="0" distB="0" distL="114300" distR="114300" simplePos="0" relativeHeight="251726848" behindDoc="1" locked="0" layoutInCell="1" allowOverlap="1" wp14:anchorId="55F804DE" wp14:editId="579F14FA">
            <wp:simplePos x="0" y="0"/>
            <wp:positionH relativeFrom="margin">
              <wp:align>right</wp:align>
            </wp:positionH>
            <wp:positionV relativeFrom="paragraph">
              <wp:posOffset>3937</wp:posOffset>
            </wp:positionV>
            <wp:extent cx="2852420" cy="2157730"/>
            <wp:effectExtent l="0" t="0" r="5080" b="13970"/>
            <wp:wrapNone/>
            <wp:docPr id="119" name="Chart 119">
              <a:extLst xmlns:a="http://schemas.openxmlformats.org/drawingml/2006/main">
                <a:ext uri="{FF2B5EF4-FFF2-40B4-BE49-F238E27FC236}">
                  <a16:creationId xmlns:a16="http://schemas.microsoft.com/office/drawing/2014/main" id="{00000000-0008-0000-1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759A305D" wp14:editId="29892C7F">
            <wp:simplePos x="0" y="0"/>
            <wp:positionH relativeFrom="margin">
              <wp:align>left</wp:align>
            </wp:positionH>
            <wp:positionV relativeFrom="paragraph">
              <wp:posOffset>3810</wp:posOffset>
            </wp:positionV>
            <wp:extent cx="2943225" cy="2157730"/>
            <wp:effectExtent l="0" t="0" r="9525" b="13970"/>
            <wp:wrapSquare wrapText="bothSides"/>
            <wp:docPr id="118" name="Chart 118">
              <a:extLst xmlns:a="http://schemas.openxmlformats.org/drawingml/2006/main">
                <a:ext uri="{FF2B5EF4-FFF2-40B4-BE49-F238E27FC236}">
                  <a16:creationId xmlns:a16="http://schemas.microsoft.com/office/drawing/2014/main" id="{00000000-0008-0000-1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2E3FE7">
        <w:rPr>
          <w:rFonts w:cstheme="minorHAnsi"/>
        </w:rPr>
        <w:tab/>
      </w:r>
    </w:p>
    <w:p w14:paraId="3A34222A" w14:textId="2FD5B458" w:rsidR="00082663" w:rsidRDefault="002E3FE7" w:rsidP="002C736F">
      <w:pPr>
        <w:tabs>
          <w:tab w:val="left" w:pos="289"/>
          <w:tab w:val="left" w:pos="5355"/>
        </w:tabs>
        <w:jc w:val="both"/>
        <w:rPr>
          <w:rFonts w:cstheme="minorHAnsi"/>
        </w:rPr>
      </w:pPr>
      <w:r>
        <w:rPr>
          <w:rFonts w:cstheme="minorHAnsi"/>
        </w:rPr>
        <w:tab/>
      </w:r>
      <w:r w:rsidR="002C736F">
        <w:rPr>
          <w:rFonts w:cstheme="minorHAnsi"/>
        </w:rPr>
        <w:tab/>
      </w:r>
    </w:p>
    <w:p w14:paraId="7D0F6C83" w14:textId="3B49C2A1" w:rsidR="00082663" w:rsidRDefault="002E3FE7" w:rsidP="002C736F">
      <w:pPr>
        <w:tabs>
          <w:tab w:val="left" w:pos="222"/>
          <w:tab w:val="left" w:pos="4997"/>
          <w:tab w:val="left" w:pos="5145"/>
        </w:tabs>
        <w:jc w:val="both"/>
        <w:rPr>
          <w:rFonts w:cstheme="minorHAnsi"/>
        </w:rPr>
      </w:pPr>
      <w:r>
        <w:rPr>
          <w:rFonts w:cstheme="minorHAnsi"/>
        </w:rPr>
        <w:tab/>
      </w:r>
      <w:r w:rsidR="002C736F">
        <w:rPr>
          <w:rFonts w:cstheme="minorHAnsi"/>
        </w:rPr>
        <w:tab/>
      </w:r>
      <w:r w:rsidR="001162A6">
        <w:rPr>
          <w:rFonts w:cstheme="minorHAnsi"/>
        </w:rPr>
        <w:tab/>
      </w:r>
    </w:p>
    <w:p w14:paraId="53C2D3D3" w14:textId="77777777" w:rsidR="00082663" w:rsidRDefault="00082663" w:rsidP="00454C26">
      <w:pPr>
        <w:jc w:val="center"/>
        <w:rPr>
          <w:rFonts w:cstheme="minorHAnsi"/>
        </w:rPr>
      </w:pPr>
    </w:p>
    <w:p w14:paraId="744537C4" w14:textId="6CE1233A" w:rsidR="00082663" w:rsidRDefault="001162A6" w:rsidP="001162A6">
      <w:pPr>
        <w:tabs>
          <w:tab w:val="left" w:pos="357"/>
        </w:tabs>
        <w:rPr>
          <w:rFonts w:cstheme="minorHAnsi"/>
        </w:rPr>
      </w:pPr>
      <w:r>
        <w:rPr>
          <w:rFonts w:cstheme="minorHAnsi"/>
        </w:rPr>
        <w:tab/>
      </w:r>
    </w:p>
    <w:p w14:paraId="3B8DABFC" w14:textId="77777777" w:rsidR="008F62D8" w:rsidRDefault="008F62D8" w:rsidP="00976D0B">
      <w:pPr>
        <w:jc w:val="both"/>
        <w:rPr>
          <w:i/>
          <w:iCs/>
          <w:color w:val="44546A" w:themeColor="text2"/>
          <w:sz w:val="18"/>
          <w:szCs w:val="18"/>
        </w:rPr>
      </w:pPr>
    </w:p>
    <w:p w14:paraId="450BB8B7" w14:textId="77777777" w:rsidR="008F62D8" w:rsidRDefault="008F62D8" w:rsidP="00976D0B">
      <w:pPr>
        <w:jc w:val="both"/>
        <w:rPr>
          <w:i/>
          <w:iCs/>
          <w:color w:val="44546A" w:themeColor="text2"/>
          <w:sz w:val="18"/>
          <w:szCs w:val="18"/>
        </w:rPr>
      </w:pPr>
    </w:p>
    <w:p w14:paraId="2E16F6C2" w14:textId="77777777" w:rsidR="008F62D8" w:rsidRDefault="008F62D8" w:rsidP="00976D0B">
      <w:pPr>
        <w:jc w:val="both"/>
        <w:rPr>
          <w:i/>
          <w:iCs/>
          <w:color w:val="44546A" w:themeColor="text2"/>
          <w:sz w:val="18"/>
          <w:szCs w:val="18"/>
        </w:rPr>
      </w:pPr>
    </w:p>
    <w:p w14:paraId="36415CD4" w14:textId="47F8C087" w:rsidR="00AB76C1" w:rsidRDefault="00AE5EC4" w:rsidP="009C48A0">
      <w:pPr>
        <w:jc w:val="both"/>
        <w:rPr>
          <w:rFonts w:cstheme="minorHAnsi"/>
        </w:rPr>
      </w:pPr>
      <w:r>
        <w:rPr>
          <w:i/>
          <w:iCs/>
          <w:color w:val="44546A" w:themeColor="text2"/>
          <w:sz w:val="18"/>
          <w:szCs w:val="18"/>
        </w:rPr>
        <w:t xml:space="preserve">Source: </w:t>
      </w:r>
      <w:r w:rsidR="001C44D3">
        <w:rPr>
          <w:i/>
          <w:iCs/>
          <w:color w:val="44546A" w:themeColor="text2"/>
          <w:sz w:val="18"/>
          <w:szCs w:val="18"/>
        </w:rPr>
        <w:t xml:space="preserve"> Integrated Household Survey</w:t>
      </w:r>
    </w:p>
    <w:p w14:paraId="4AA78D18" w14:textId="5617D54A" w:rsidR="00202405" w:rsidRDefault="007E25A2" w:rsidP="00976D0B">
      <w:pPr>
        <w:jc w:val="both"/>
        <w:rPr>
          <w:rFonts w:cstheme="minorHAnsi"/>
        </w:rPr>
      </w:pPr>
      <w:r>
        <w:rPr>
          <w:rFonts w:cstheme="minorHAnsi"/>
        </w:rPr>
        <w:t>Following the SDG</w:t>
      </w:r>
      <w:r w:rsidR="00082663">
        <w:rPr>
          <w:rFonts w:cstheme="minorHAnsi"/>
        </w:rPr>
        <w:t xml:space="preserve"> methodology</w:t>
      </w:r>
      <w:r w:rsidR="00677767">
        <w:rPr>
          <w:rFonts w:cstheme="minorHAnsi"/>
        </w:rPr>
        <w:t>, instead,</w:t>
      </w:r>
      <w:r w:rsidR="00082663">
        <w:rPr>
          <w:rFonts w:cstheme="minorHAnsi"/>
        </w:rPr>
        <w:t xml:space="preserve"> the indicators reveal the subsequent trend</w:t>
      </w:r>
      <w:r w:rsidR="00677767">
        <w:rPr>
          <w:rFonts w:cstheme="minorHAnsi"/>
        </w:rPr>
        <w:t>:</w:t>
      </w:r>
    </w:p>
    <w:p w14:paraId="3F82DDF4" w14:textId="519B0798" w:rsidR="00C12D37" w:rsidRPr="002F4309" w:rsidRDefault="00AE5EC4" w:rsidP="002F4309">
      <w:pPr>
        <w:rPr>
          <w:i/>
          <w:iCs/>
          <w:color w:val="44546A" w:themeColor="text2"/>
          <w:sz w:val="18"/>
          <w:szCs w:val="18"/>
        </w:rPr>
      </w:pPr>
      <w:r>
        <w:rPr>
          <w:noProof/>
        </w:rPr>
        <w:drawing>
          <wp:anchor distT="0" distB="0" distL="114300" distR="114300" simplePos="0" relativeHeight="251728896" behindDoc="1" locked="0" layoutInCell="1" allowOverlap="1" wp14:anchorId="7AF4414F" wp14:editId="46DB5995">
            <wp:simplePos x="0" y="0"/>
            <wp:positionH relativeFrom="margin">
              <wp:posOffset>2860040</wp:posOffset>
            </wp:positionH>
            <wp:positionV relativeFrom="paragraph">
              <wp:posOffset>257810</wp:posOffset>
            </wp:positionV>
            <wp:extent cx="2819400" cy="2318385"/>
            <wp:effectExtent l="0" t="0" r="0" b="5715"/>
            <wp:wrapSquare wrapText="bothSides"/>
            <wp:docPr id="121" name="Chart 121">
              <a:extLst xmlns:a="http://schemas.openxmlformats.org/drawingml/2006/main">
                <a:ext uri="{FF2B5EF4-FFF2-40B4-BE49-F238E27FC236}">
                  <a16:creationId xmlns:a16="http://schemas.microsoft.com/office/drawing/2014/main" id="{00000000-0008-0000-1D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1" locked="0" layoutInCell="1" allowOverlap="1" wp14:anchorId="69361FEC" wp14:editId="289EC1CC">
            <wp:simplePos x="0" y="0"/>
            <wp:positionH relativeFrom="margin">
              <wp:align>left</wp:align>
            </wp:positionH>
            <wp:positionV relativeFrom="paragraph">
              <wp:posOffset>257810</wp:posOffset>
            </wp:positionV>
            <wp:extent cx="2838450" cy="2311400"/>
            <wp:effectExtent l="0" t="0" r="0" b="12700"/>
            <wp:wrapSquare wrapText="bothSides"/>
            <wp:docPr id="120" name="Chart 120">
              <a:extLst xmlns:a="http://schemas.openxmlformats.org/drawingml/2006/main">
                <a:ext uri="{FF2B5EF4-FFF2-40B4-BE49-F238E27FC236}">
                  <a16:creationId xmlns:a16="http://schemas.microsoft.com/office/drawing/2014/main" id="{00000000-0008-0000-1D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00082663" w:rsidRPr="00097B0D">
        <w:rPr>
          <w:i/>
          <w:iCs/>
          <w:color w:val="44546A" w:themeColor="text2"/>
          <w:sz w:val="18"/>
          <w:szCs w:val="18"/>
        </w:rPr>
        <w:t xml:space="preserve">Figure </w:t>
      </w:r>
      <w:r w:rsidR="006C3BD6" w:rsidRPr="00097B0D">
        <w:rPr>
          <w:i/>
          <w:iCs/>
          <w:color w:val="44546A" w:themeColor="text2"/>
          <w:sz w:val="18"/>
          <w:szCs w:val="18"/>
        </w:rPr>
        <w:fldChar w:fldCharType="begin"/>
      </w:r>
      <w:r w:rsidR="006C3BD6" w:rsidRPr="00097B0D">
        <w:rPr>
          <w:i/>
          <w:iCs/>
          <w:color w:val="44546A" w:themeColor="text2"/>
          <w:sz w:val="18"/>
          <w:szCs w:val="18"/>
        </w:rPr>
        <w:instrText xml:space="preserve"> SEQ Figure \* ARABIC </w:instrText>
      </w:r>
      <w:r w:rsidR="006C3BD6" w:rsidRPr="00097B0D">
        <w:rPr>
          <w:i/>
          <w:iCs/>
          <w:color w:val="44546A" w:themeColor="text2"/>
          <w:sz w:val="18"/>
          <w:szCs w:val="18"/>
        </w:rPr>
        <w:fldChar w:fldCharType="separate"/>
      </w:r>
      <w:r w:rsidR="006B5103">
        <w:rPr>
          <w:i/>
          <w:iCs/>
          <w:noProof/>
          <w:color w:val="44546A" w:themeColor="text2"/>
          <w:sz w:val="18"/>
          <w:szCs w:val="18"/>
        </w:rPr>
        <w:t>42</w:t>
      </w:r>
      <w:r w:rsidR="006C3BD6" w:rsidRPr="00097B0D">
        <w:rPr>
          <w:i/>
          <w:iCs/>
          <w:color w:val="44546A" w:themeColor="text2"/>
          <w:sz w:val="18"/>
          <w:szCs w:val="18"/>
        </w:rPr>
        <w:fldChar w:fldCharType="end"/>
      </w:r>
      <w:r w:rsidR="00082663" w:rsidRPr="00097B0D">
        <w:rPr>
          <w:i/>
          <w:iCs/>
          <w:color w:val="44546A" w:themeColor="text2"/>
          <w:sz w:val="18"/>
          <w:szCs w:val="18"/>
        </w:rPr>
        <w:t>:</w:t>
      </w:r>
      <w:r w:rsidR="00082663">
        <w:t xml:space="preserve"> </w:t>
      </w:r>
      <w:r w:rsidR="002F4309" w:rsidRPr="002F4309">
        <w:rPr>
          <w:i/>
          <w:iCs/>
          <w:color w:val="44546A" w:themeColor="text2"/>
          <w:sz w:val="18"/>
          <w:szCs w:val="18"/>
        </w:rPr>
        <w:t>The share of households living in</w:t>
      </w:r>
      <w:r w:rsidR="002F4309">
        <w:rPr>
          <w:i/>
          <w:iCs/>
          <w:color w:val="44546A" w:themeColor="text2"/>
          <w:sz w:val="18"/>
          <w:szCs w:val="18"/>
        </w:rPr>
        <w:t xml:space="preserve"> overcrowded</w:t>
      </w:r>
      <w:r w:rsidR="002F4309" w:rsidRPr="002F4309">
        <w:rPr>
          <w:i/>
          <w:iCs/>
          <w:color w:val="44546A" w:themeColor="text2"/>
          <w:sz w:val="18"/>
          <w:szCs w:val="18"/>
        </w:rPr>
        <w:t xml:space="preserve"> houses</w:t>
      </w:r>
      <w:r w:rsidR="00172328">
        <w:rPr>
          <w:i/>
          <w:iCs/>
          <w:color w:val="44546A" w:themeColor="text2"/>
          <w:sz w:val="18"/>
          <w:szCs w:val="18"/>
        </w:rPr>
        <w:t xml:space="preserve"> (SDG </w:t>
      </w:r>
      <w:r w:rsidR="009C48A0">
        <w:rPr>
          <w:i/>
          <w:iCs/>
          <w:color w:val="44546A" w:themeColor="text2"/>
          <w:sz w:val="18"/>
          <w:szCs w:val="18"/>
        </w:rPr>
        <w:t>definition)</w:t>
      </w:r>
      <w:r w:rsidR="008F3E6B">
        <w:rPr>
          <w:i/>
          <w:iCs/>
          <w:color w:val="44546A" w:themeColor="text2"/>
          <w:sz w:val="18"/>
          <w:szCs w:val="18"/>
        </w:rPr>
        <w:t xml:space="preserve"> in</w:t>
      </w:r>
      <w:r w:rsidR="009C48A0">
        <w:rPr>
          <w:i/>
          <w:iCs/>
          <w:color w:val="44546A" w:themeColor="text2"/>
          <w:sz w:val="18"/>
          <w:szCs w:val="18"/>
        </w:rPr>
        <w:t xml:space="preserve"> </w:t>
      </w:r>
      <w:r w:rsidR="0021680A">
        <w:rPr>
          <w:i/>
          <w:iCs/>
          <w:color w:val="44546A" w:themeColor="text2"/>
          <w:sz w:val="18"/>
          <w:szCs w:val="18"/>
        </w:rPr>
        <w:t>urban</w:t>
      </w:r>
      <w:r w:rsidR="002F4309" w:rsidRPr="00D74D8C">
        <w:rPr>
          <w:i/>
          <w:iCs/>
          <w:color w:val="44546A" w:themeColor="text2"/>
          <w:sz w:val="18"/>
          <w:szCs w:val="18"/>
        </w:rPr>
        <w:t xml:space="preserve"> and </w:t>
      </w:r>
      <w:r w:rsidR="0021680A">
        <w:rPr>
          <w:i/>
          <w:iCs/>
          <w:color w:val="44546A" w:themeColor="text2"/>
          <w:sz w:val="18"/>
          <w:szCs w:val="18"/>
        </w:rPr>
        <w:t>rural</w:t>
      </w:r>
      <w:r w:rsidR="002F4309" w:rsidRPr="00D74D8C">
        <w:rPr>
          <w:i/>
          <w:iCs/>
          <w:color w:val="44546A" w:themeColor="text2"/>
          <w:sz w:val="18"/>
          <w:szCs w:val="18"/>
        </w:rPr>
        <w:t xml:space="preserve"> </w:t>
      </w:r>
      <w:r w:rsidR="0021680A">
        <w:rPr>
          <w:i/>
          <w:iCs/>
          <w:color w:val="44546A" w:themeColor="text2"/>
          <w:sz w:val="18"/>
          <w:szCs w:val="18"/>
        </w:rPr>
        <w:t>a</w:t>
      </w:r>
      <w:r w:rsidR="002F4309" w:rsidRPr="00D74D8C">
        <w:rPr>
          <w:i/>
          <w:iCs/>
          <w:color w:val="44546A" w:themeColor="text2"/>
          <w:sz w:val="18"/>
          <w:szCs w:val="18"/>
        </w:rPr>
        <w:t xml:space="preserve">reas    </w:t>
      </w:r>
    </w:p>
    <w:p w14:paraId="070288AD" w14:textId="2792A3C8" w:rsidR="00082663" w:rsidRDefault="001C44D3" w:rsidP="00976D0B">
      <w:pPr>
        <w:jc w:val="both"/>
      </w:pPr>
      <w:r>
        <w:rPr>
          <w:i/>
          <w:iCs/>
          <w:color w:val="44546A" w:themeColor="text2"/>
          <w:sz w:val="18"/>
          <w:szCs w:val="18"/>
        </w:rPr>
        <w:t>Source: I</w:t>
      </w:r>
      <w:r w:rsidR="00AE5EC4">
        <w:rPr>
          <w:i/>
          <w:iCs/>
          <w:color w:val="44546A" w:themeColor="text2"/>
          <w:sz w:val="18"/>
          <w:szCs w:val="18"/>
        </w:rPr>
        <w:t xml:space="preserve">ntegrated Household Survey </w:t>
      </w:r>
    </w:p>
    <w:p w14:paraId="1AEECC2C" w14:textId="642A45A1" w:rsidR="0004131A" w:rsidRDefault="009C48A0" w:rsidP="00976D0B">
      <w:pPr>
        <w:jc w:val="both"/>
        <w:rPr>
          <w:rFonts w:cstheme="minorHAnsi"/>
        </w:rPr>
      </w:pPr>
      <w:r>
        <w:t>Also,</w:t>
      </w:r>
      <w:r w:rsidR="00677767">
        <w:t xml:space="preserve"> in this case, the share of families living in</w:t>
      </w:r>
      <w:r w:rsidR="00745B3E">
        <w:t xml:space="preserve"> overcrowded spaces has declined</w:t>
      </w:r>
      <w:r w:rsidR="005C6B76">
        <w:t>.</w:t>
      </w:r>
      <w:r w:rsidR="00677767">
        <w:t xml:space="preserve"> Moreover, </w:t>
      </w:r>
      <w:r w:rsidR="00F81FF7">
        <w:t>a</w:t>
      </w:r>
      <w:r w:rsidR="006066AB">
        <w:t xml:space="preserve"> </w:t>
      </w:r>
      <w:r w:rsidR="0004131A">
        <w:t xml:space="preserve">smaller share of households </w:t>
      </w:r>
      <w:r w:rsidR="009711FA">
        <w:t>is</w:t>
      </w:r>
      <w:r w:rsidR="0004131A">
        <w:t xml:space="preserve"> assumed to be overcrowded</w:t>
      </w:r>
      <w:r w:rsidR="00F81FF7">
        <w:t xml:space="preserve">, both in </w:t>
      </w:r>
      <w:r w:rsidR="0021680A">
        <w:t>urban</w:t>
      </w:r>
      <w:r w:rsidR="00F81FF7">
        <w:t xml:space="preserve"> and </w:t>
      </w:r>
      <w:r w:rsidR="0021680A">
        <w:t>rural</w:t>
      </w:r>
      <w:r w:rsidR="00F81FF7">
        <w:t xml:space="preserve"> areas</w:t>
      </w:r>
      <w:r w:rsidR="0004131A">
        <w:t xml:space="preserve"> </w:t>
      </w:r>
    </w:p>
    <w:p w14:paraId="6CD27577" w14:textId="743256E4" w:rsidR="00B8247B" w:rsidRDefault="00F81FF7" w:rsidP="00976D0B">
      <w:pPr>
        <w:jc w:val="both"/>
        <w:rPr>
          <w:rFonts w:cstheme="minorHAnsi"/>
        </w:rPr>
      </w:pPr>
      <w:r>
        <w:rPr>
          <w:rFonts w:cstheme="minorHAnsi"/>
        </w:rPr>
        <w:lastRenderedPageBreak/>
        <w:t xml:space="preserve">On the basis of </w:t>
      </w:r>
      <w:r w:rsidR="00745B3E">
        <w:rPr>
          <w:rFonts w:cstheme="minorHAnsi"/>
        </w:rPr>
        <w:t>the given</w:t>
      </w:r>
      <w:r>
        <w:rPr>
          <w:rFonts w:cstheme="minorHAnsi"/>
        </w:rPr>
        <w:t xml:space="preserve"> estimates,</w:t>
      </w:r>
      <w:r w:rsidR="003979A7">
        <w:rPr>
          <w:rFonts w:cstheme="minorHAnsi"/>
        </w:rPr>
        <w:t xml:space="preserve"> overcrowding does not </w:t>
      </w:r>
      <w:r>
        <w:rPr>
          <w:rFonts w:cstheme="minorHAnsi"/>
        </w:rPr>
        <w:t xml:space="preserve">seem to constitute </w:t>
      </w:r>
      <w:r w:rsidR="003979A7">
        <w:rPr>
          <w:rFonts w:cstheme="minorHAnsi"/>
        </w:rPr>
        <w:t xml:space="preserve">a severe housing problem in Georgia, especially </w:t>
      </w:r>
      <w:r>
        <w:rPr>
          <w:rFonts w:cstheme="minorHAnsi"/>
        </w:rPr>
        <w:t xml:space="preserve">as </w:t>
      </w:r>
      <w:r w:rsidR="003979A7">
        <w:rPr>
          <w:rFonts w:cstheme="minorHAnsi"/>
        </w:rPr>
        <w:t xml:space="preserve">the </w:t>
      </w:r>
      <w:r>
        <w:rPr>
          <w:rFonts w:cstheme="minorHAnsi"/>
        </w:rPr>
        <w:t xml:space="preserve">(low) </w:t>
      </w:r>
      <w:r w:rsidR="003979A7">
        <w:rPr>
          <w:rFonts w:cstheme="minorHAnsi"/>
        </w:rPr>
        <w:t xml:space="preserve">share of </w:t>
      </w:r>
      <w:r w:rsidR="00D97C0D">
        <w:t xml:space="preserve">families living in overcrowded spaces </w:t>
      </w:r>
      <w:r w:rsidR="00D97C0D">
        <w:rPr>
          <w:rFonts w:cstheme="minorHAnsi"/>
        </w:rPr>
        <w:t>appears to be</w:t>
      </w:r>
      <w:r w:rsidR="003979A7">
        <w:rPr>
          <w:rFonts w:cstheme="minorHAnsi"/>
        </w:rPr>
        <w:t xml:space="preserve"> </w:t>
      </w:r>
      <w:r>
        <w:rPr>
          <w:rFonts w:cstheme="minorHAnsi"/>
        </w:rPr>
        <w:t xml:space="preserve">steadily </w:t>
      </w:r>
      <w:r w:rsidR="003979A7">
        <w:rPr>
          <w:rFonts w:cstheme="minorHAnsi"/>
        </w:rPr>
        <w:t>declining over yea</w:t>
      </w:r>
      <w:r w:rsidR="00D97C0D">
        <w:rPr>
          <w:rFonts w:cstheme="minorHAnsi"/>
        </w:rPr>
        <w:t>rs</w:t>
      </w:r>
      <w:r w:rsidR="00984E17">
        <w:rPr>
          <w:rFonts w:cstheme="minorHAnsi"/>
        </w:rPr>
        <w:t>.</w:t>
      </w:r>
    </w:p>
    <w:p w14:paraId="4A3C5ADE" w14:textId="3A390CAA" w:rsidR="00AE5EC4" w:rsidRPr="004076AD" w:rsidRDefault="00AE5EC4" w:rsidP="00976D0B">
      <w:pPr>
        <w:jc w:val="both"/>
        <w:rPr>
          <w:rFonts w:cstheme="minorHAnsi"/>
          <w:b/>
        </w:rPr>
      </w:pPr>
    </w:p>
    <w:p w14:paraId="0F4873DE" w14:textId="2E9E1AB1" w:rsidR="009E2516" w:rsidRPr="004076AD" w:rsidRDefault="004076AD" w:rsidP="00AE5EC4">
      <w:pPr>
        <w:pStyle w:val="Heading3"/>
        <w:rPr>
          <w:b/>
          <w:color w:val="002060"/>
        </w:rPr>
      </w:pPr>
      <w:bookmarkStart w:id="25" w:name="_Toc28008594"/>
      <w:bookmarkStart w:id="26" w:name="_Toc28010450"/>
      <w:r w:rsidRPr="004076AD">
        <w:rPr>
          <w:b/>
          <w:color w:val="002060"/>
        </w:rPr>
        <w:t>Disaggregated A</w:t>
      </w:r>
      <w:r w:rsidR="00D74D8C" w:rsidRPr="004076AD">
        <w:rPr>
          <w:b/>
          <w:color w:val="002060"/>
        </w:rPr>
        <w:t>nalysis</w:t>
      </w:r>
      <w:bookmarkEnd w:id="25"/>
      <w:bookmarkEnd w:id="26"/>
    </w:p>
    <w:p w14:paraId="41FAF23C" w14:textId="32CF152C" w:rsidR="00D74D8C" w:rsidRPr="004076AD" w:rsidRDefault="00D74D8C" w:rsidP="00D74D8C">
      <w:pPr>
        <w:rPr>
          <w:b/>
          <w:color w:val="002060"/>
        </w:rPr>
      </w:pPr>
    </w:p>
    <w:p w14:paraId="4D6C18F8" w14:textId="23B7DBCE" w:rsidR="00D74D8C" w:rsidRDefault="00D74D8C" w:rsidP="00CD6417">
      <w:pPr>
        <w:jc w:val="both"/>
      </w:pPr>
      <w:r>
        <w:t>As averages can</w:t>
      </w:r>
      <w:r w:rsidR="000D7F02">
        <w:t xml:space="preserve"> hide very different underlying trends characterizing </w:t>
      </w:r>
      <w:r w:rsidR="00023AB9">
        <w:t xml:space="preserve">various subgroups of the population, the </w:t>
      </w:r>
      <w:r w:rsidR="00D02CAE">
        <w:t xml:space="preserve">trends in </w:t>
      </w:r>
      <w:r w:rsidR="00DC738D">
        <w:t>u</w:t>
      </w:r>
      <w:r w:rsidR="00D02CAE">
        <w:t>nstable and inadequate housing</w:t>
      </w:r>
      <w:r w:rsidR="00450A92">
        <w:t xml:space="preserve"> discussed above</w:t>
      </w:r>
      <w:r w:rsidR="001B3A55">
        <w:t xml:space="preserve"> </w:t>
      </w:r>
      <w:r w:rsidR="00D02CAE">
        <w:t>at a more disaggregate level</w:t>
      </w:r>
      <w:r w:rsidR="00100714">
        <w:t xml:space="preserve"> were discussed</w:t>
      </w:r>
      <w:r w:rsidR="00D02CAE">
        <w:t>, fo</w:t>
      </w:r>
      <w:r w:rsidR="001B3A55">
        <w:t>r:</w:t>
      </w:r>
    </w:p>
    <w:p w14:paraId="75B4A002" w14:textId="67916C14" w:rsidR="001B3A55" w:rsidRDefault="001B3A55" w:rsidP="00454C26">
      <w:pPr>
        <w:pStyle w:val="ListParagraph"/>
        <w:numPr>
          <w:ilvl w:val="0"/>
          <w:numId w:val="23"/>
        </w:numPr>
      </w:pPr>
      <w:r>
        <w:t xml:space="preserve">households belonging to different </w:t>
      </w:r>
      <w:r w:rsidR="004D5B78">
        <w:t>parts of the income distribution (dividing the overall distribution in four quartiles);</w:t>
      </w:r>
    </w:p>
    <w:p w14:paraId="50EC29B6" w14:textId="678C2E8B" w:rsidR="004D5B78" w:rsidRDefault="004D5B78" w:rsidP="00454C26">
      <w:pPr>
        <w:pStyle w:val="ListParagraph"/>
        <w:numPr>
          <w:ilvl w:val="0"/>
          <w:numId w:val="23"/>
        </w:numPr>
      </w:pPr>
      <w:r>
        <w:t xml:space="preserve">groups identified as potentially vulnerable </w:t>
      </w:r>
      <w:r w:rsidR="00825FFF">
        <w:t>by the literature, experts and/or relevant stakeholders:</w:t>
      </w:r>
    </w:p>
    <w:p w14:paraId="07E27486" w14:textId="0072B05F" w:rsidR="00825FFF" w:rsidRDefault="001563A5" w:rsidP="00454C26">
      <w:pPr>
        <w:pStyle w:val="ListParagraph"/>
        <w:numPr>
          <w:ilvl w:val="1"/>
          <w:numId w:val="23"/>
        </w:numPr>
      </w:pPr>
      <w:r>
        <w:t>IDP households;</w:t>
      </w:r>
    </w:p>
    <w:p w14:paraId="514B641D" w14:textId="4AE4DA11" w:rsidR="001563A5" w:rsidRDefault="001563A5" w:rsidP="00454C26">
      <w:pPr>
        <w:pStyle w:val="ListParagraph"/>
        <w:numPr>
          <w:ilvl w:val="1"/>
          <w:numId w:val="23"/>
        </w:numPr>
      </w:pPr>
      <w:r>
        <w:t>Households headed by women;</w:t>
      </w:r>
    </w:p>
    <w:p w14:paraId="5E19EE94" w14:textId="77777777" w:rsidR="0093229B" w:rsidRDefault="001563A5" w:rsidP="00454C26">
      <w:pPr>
        <w:pStyle w:val="ListParagraph"/>
        <w:numPr>
          <w:ilvl w:val="1"/>
          <w:numId w:val="23"/>
        </w:numPr>
      </w:pPr>
      <w:r>
        <w:t>Households with disabled members</w:t>
      </w:r>
      <w:r w:rsidR="0093229B">
        <w:t>;</w:t>
      </w:r>
    </w:p>
    <w:p w14:paraId="363BA064" w14:textId="77777777" w:rsidR="0093229B" w:rsidRDefault="0093229B" w:rsidP="00454C26">
      <w:pPr>
        <w:pStyle w:val="ListParagraph"/>
        <w:numPr>
          <w:ilvl w:val="1"/>
          <w:numId w:val="23"/>
        </w:numPr>
      </w:pPr>
      <w:r>
        <w:t>Members of ethnic minorities;</w:t>
      </w:r>
    </w:p>
    <w:p w14:paraId="0E8A1F74" w14:textId="39048F48" w:rsidR="001563A5" w:rsidRPr="00D74D8C" w:rsidRDefault="008E1CB4" w:rsidP="00454C26">
      <w:pPr>
        <w:pStyle w:val="ListParagraph"/>
        <w:numPr>
          <w:ilvl w:val="1"/>
          <w:numId w:val="23"/>
        </w:numPr>
      </w:pPr>
      <w:r>
        <w:t>“Elderly” households</w:t>
      </w:r>
      <w:r>
        <w:rPr>
          <w:rStyle w:val="FootnoteReference"/>
        </w:rPr>
        <w:footnoteReference w:id="39"/>
      </w:r>
      <w:r>
        <w:t>.</w:t>
      </w:r>
    </w:p>
    <w:p w14:paraId="24496A30" w14:textId="2E6017C5" w:rsidR="003F5D0A" w:rsidRDefault="0021460B" w:rsidP="00976D0B">
      <w:pPr>
        <w:jc w:val="both"/>
        <w:rPr>
          <w:rFonts w:cstheme="minorHAnsi"/>
        </w:rPr>
      </w:pPr>
      <w:r>
        <w:rPr>
          <w:rFonts w:cstheme="minorHAnsi"/>
        </w:rPr>
        <w:t xml:space="preserve">In this section </w:t>
      </w:r>
      <w:r w:rsidR="00E90630">
        <w:rPr>
          <w:rFonts w:cstheme="minorHAnsi"/>
        </w:rPr>
        <w:t>the cases in which the disaggregated analysis provides greater and/or di</w:t>
      </w:r>
      <w:r w:rsidR="000E69CF">
        <w:rPr>
          <w:rFonts w:cstheme="minorHAnsi"/>
        </w:rPr>
        <w:t>verging</w:t>
      </w:r>
      <w:r w:rsidR="00E90630">
        <w:rPr>
          <w:rFonts w:cstheme="minorHAnsi"/>
        </w:rPr>
        <w:t xml:space="preserve"> insights </w:t>
      </w:r>
      <w:r w:rsidR="00A242FF" w:rsidRPr="00A242FF">
        <w:rPr>
          <w:rFonts w:cstheme="minorHAnsi"/>
        </w:rPr>
        <w:t xml:space="preserve">will be highlighted </w:t>
      </w:r>
      <w:r w:rsidR="00E90630">
        <w:rPr>
          <w:rFonts w:cstheme="minorHAnsi"/>
        </w:rPr>
        <w:t>with respect</w:t>
      </w:r>
      <w:r w:rsidR="000E69CF">
        <w:rPr>
          <w:rFonts w:cstheme="minorHAnsi"/>
        </w:rPr>
        <w:t xml:space="preserve"> to the general picture</w:t>
      </w:r>
      <w:r w:rsidR="007D6D99">
        <w:rPr>
          <w:rFonts w:cstheme="minorHAnsi"/>
        </w:rPr>
        <w:t>, by discussing the existing evidence</w:t>
      </w:r>
      <w:r w:rsidR="00DC62CF">
        <w:rPr>
          <w:rFonts w:cstheme="minorHAnsi"/>
        </w:rPr>
        <w:t xml:space="preserve"> as emerges from </w:t>
      </w:r>
      <w:r w:rsidR="0001598D">
        <w:rPr>
          <w:rFonts w:cstheme="minorHAnsi"/>
        </w:rPr>
        <w:t xml:space="preserve">the </w:t>
      </w:r>
      <w:r w:rsidR="00DC62CF">
        <w:rPr>
          <w:rFonts w:cstheme="minorHAnsi"/>
        </w:rPr>
        <w:t xml:space="preserve">analysis of selected </w:t>
      </w:r>
      <w:r w:rsidR="00B66D18">
        <w:rPr>
          <w:rFonts w:cstheme="minorHAnsi"/>
        </w:rPr>
        <w:t>figures</w:t>
      </w:r>
      <w:r w:rsidR="000E69CF">
        <w:rPr>
          <w:rFonts w:cstheme="minorHAnsi"/>
        </w:rPr>
        <w:t>.</w:t>
      </w:r>
      <w:r w:rsidR="00DC62CF">
        <w:rPr>
          <w:rFonts w:cstheme="minorHAnsi"/>
        </w:rPr>
        <w:t xml:space="preserve"> All remaining </w:t>
      </w:r>
      <w:r w:rsidR="00B66D18">
        <w:rPr>
          <w:rFonts w:cstheme="minorHAnsi"/>
        </w:rPr>
        <w:t>disaggregated figures</w:t>
      </w:r>
      <w:r w:rsidR="00DC62CF">
        <w:rPr>
          <w:rFonts w:cstheme="minorHAnsi"/>
        </w:rPr>
        <w:t xml:space="preserve"> will be shown in the appendix.</w:t>
      </w:r>
      <w:r w:rsidR="007D6D99">
        <w:rPr>
          <w:rFonts w:cstheme="minorHAnsi"/>
        </w:rPr>
        <w:t xml:space="preserve"> </w:t>
      </w:r>
    </w:p>
    <w:p w14:paraId="232789C2" w14:textId="251CDF77" w:rsidR="00E242DF" w:rsidRDefault="00B66D18" w:rsidP="00B66D18">
      <w:pPr>
        <w:jc w:val="both"/>
      </w:pPr>
      <w:r>
        <w:rPr>
          <w:b/>
          <w:bCs/>
          <w:i/>
          <w:iCs/>
        </w:rPr>
        <w:t>D</w:t>
      </w:r>
      <w:r w:rsidRPr="00B66D18">
        <w:rPr>
          <w:b/>
          <w:bCs/>
          <w:i/>
          <w:iCs/>
        </w:rPr>
        <w:t>oubled-up families</w:t>
      </w:r>
      <w:r>
        <w:t xml:space="preserve">. </w:t>
      </w:r>
    </w:p>
    <w:p w14:paraId="2D97C6A4" w14:textId="1B956A8D" w:rsidR="00E242DF" w:rsidRDefault="00C275E1" w:rsidP="00B66D18">
      <w:pPr>
        <w:jc w:val="both"/>
      </w:pPr>
      <w:r>
        <w:t xml:space="preserve">As it can be seen from Figures </w:t>
      </w:r>
      <w:r w:rsidR="00EB1F8C">
        <w:t>4</w:t>
      </w:r>
      <w:r w:rsidR="00F87C3F">
        <w:t>3</w:t>
      </w:r>
      <w:r w:rsidR="00EB1F8C">
        <w:t xml:space="preserve"> and 4</w:t>
      </w:r>
      <w:r w:rsidR="00F87C3F">
        <w:t>4</w:t>
      </w:r>
      <w:r w:rsidR="00EB1F8C">
        <w:t xml:space="preserve">, the phenomenon of </w:t>
      </w:r>
      <w:r w:rsidR="00EB1F8C" w:rsidRPr="00254050">
        <w:rPr>
          <w:i/>
        </w:rPr>
        <w:t>doubling up</w:t>
      </w:r>
      <w:r w:rsidR="00EB1F8C">
        <w:t xml:space="preserve"> </w:t>
      </w:r>
      <w:r w:rsidR="00524644">
        <w:t>is – surprisingly - more relevant for more affluent households than for poorer ones. The highest share of doubled up households is among th</w:t>
      </w:r>
      <w:r w:rsidR="00BC672A">
        <w:t xml:space="preserve">e top quartile of the income distribution, which could potentially afford </w:t>
      </w:r>
      <w:r w:rsidR="002C7F06">
        <w:t>splitting more than poorer ones. This might be an indication of a saving</w:t>
      </w:r>
      <w:r w:rsidR="007665D8">
        <w:t xml:space="preserve"> strategy aiming at increasing affordability of housing and/or </w:t>
      </w:r>
      <w:r w:rsidR="00CD57B2">
        <w:t>at increasing household incomes (e.g. by renting out the additional space).</w:t>
      </w:r>
    </w:p>
    <w:p w14:paraId="4E256C34" w14:textId="0CB4DD96" w:rsidR="002A006C" w:rsidRDefault="002A006C" w:rsidP="00B66D18">
      <w:pPr>
        <w:jc w:val="both"/>
      </w:pPr>
    </w:p>
    <w:p w14:paraId="11A57D0A" w14:textId="14BAAF4B" w:rsidR="002A006C" w:rsidRDefault="002A006C" w:rsidP="00B66D18">
      <w:pPr>
        <w:jc w:val="both"/>
      </w:pPr>
    </w:p>
    <w:p w14:paraId="58E38EBC" w14:textId="2CE7AEDF" w:rsidR="002A006C" w:rsidRDefault="002A006C" w:rsidP="00B66D18">
      <w:pPr>
        <w:jc w:val="both"/>
      </w:pPr>
    </w:p>
    <w:p w14:paraId="4F2C5C0E" w14:textId="73D46404" w:rsidR="002A006C" w:rsidRDefault="002A006C" w:rsidP="00B66D18">
      <w:pPr>
        <w:jc w:val="both"/>
      </w:pPr>
    </w:p>
    <w:p w14:paraId="360DF2FA" w14:textId="502F2EAC" w:rsidR="002A006C" w:rsidRDefault="002A006C" w:rsidP="00B66D18">
      <w:pPr>
        <w:jc w:val="both"/>
      </w:pPr>
    </w:p>
    <w:p w14:paraId="02864876" w14:textId="77777777" w:rsidR="002A006C" w:rsidRDefault="002A006C" w:rsidP="00B66D18">
      <w:pPr>
        <w:jc w:val="both"/>
      </w:pPr>
    </w:p>
    <w:p w14:paraId="2A946FE5" w14:textId="77777777" w:rsidR="002A006C" w:rsidRDefault="000A6CC2" w:rsidP="00254050">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43</w:t>
      </w:r>
      <w:r w:rsidR="009E6455">
        <w:rPr>
          <w:noProof/>
        </w:rPr>
        <w:fldChar w:fldCharType="end"/>
      </w:r>
      <w:r>
        <w:t xml:space="preserve"> </w:t>
      </w:r>
      <w:r w:rsidR="00F87C3F">
        <w:t xml:space="preserve">: </w:t>
      </w:r>
      <w:r>
        <w:t xml:space="preserve">The share of doubled up households in </w:t>
      </w:r>
      <w:r w:rsidR="004531A1">
        <w:t xml:space="preserve">urban areas </w:t>
      </w:r>
      <w:r w:rsidR="00F87C3F">
        <w:t>– by quartile of income distribution</w:t>
      </w:r>
    </w:p>
    <w:p w14:paraId="18C8EEB8" w14:textId="17DD9471" w:rsidR="00E242DF" w:rsidRDefault="00FB024A" w:rsidP="002A006C">
      <w:pPr>
        <w:pStyle w:val="Caption"/>
        <w:spacing w:after="0"/>
      </w:pPr>
      <w:r>
        <w:rPr>
          <w:noProof/>
        </w:rPr>
        <w:drawing>
          <wp:inline distT="0" distB="0" distL="0" distR="0" wp14:anchorId="04DDD255" wp14:editId="3F4FA62F">
            <wp:extent cx="5588813" cy="2260396"/>
            <wp:effectExtent l="0" t="0" r="12065" b="6985"/>
            <wp:docPr id="82" name="Grafico 8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D81ACC3" w14:textId="501A7616" w:rsidR="005D487C" w:rsidRDefault="005D487C" w:rsidP="005D487C">
      <w:pPr>
        <w:jc w:val="both"/>
        <w:rPr>
          <w:i/>
          <w:iCs/>
          <w:color w:val="44546A" w:themeColor="text2"/>
          <w:sz w:val="18"/>
          <w:szCs w:val="18"/>
        </w:rPr>
      </w:pPr>
      <w:r>
        <w:rPr>
          <w:i/>
          <w:iCs/>
          <w:color w:val="44546A" w:themeColor="text2"/>
          <w:sz w:val="18"/>
          <w:szCs w:val="18"/>
        </w:rPr>
        <w:t>Source: I</w:t>
      </w:r>
      <w:r w:rsidR="00CD6417">
        <w:rPr>
          <w:i/>
          <w:iCs/>
          <w:color w:val="44546A" w:themeColor="text2"/>
          <w:sz w:val="18"/>
          <w:szCs w:val="18"/>
        </w:rPr>
        <w:t xml:space="preserve">ntegrated Household Survey </w:t>
      </w:r>
    </w:p>
    <w:p w14:paraId="18A2B7A5" w14:textId="45E5DF59" w:rsidR="00774544" w:rsidRDefault="000A6CC2" w:rsidP="00454C26">
      <w:pPr>
        <w:pStyle w:val="Caption"/>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44</w:t>
      </w:r>
      <w:r w:rsidR="009E6455">
        <w:rPr>
          <w:noProof/>
        </w:rPr>
        <w:fldChar w:fldCharType="end"/>
      </w:r>
      <w:r>
        <w:t xml:space="preserve"> </w:t>
      </w:r>
      <w:r w:rsidR="00774544">
        <w:t xml:space="preserve">: </w:t>
      </w:r>
      <w:r>
        <w:t xml:space="preserve">The share of doubled up households in </w:t>
      </w:r>
      <w:r w:rsidR="004531A1">
        <w:t xml:space="preserve">rural areas </w:t>
      </w:r>
      <w:r w:rsidR="00774544">
        <w:t>– by quartile of income distribution</w:t>
      </w:r>
    </w:p>
    <w:p w14:paraId="59B85644" w14:textId="1992B1C7" w:rsidR="00FB024A" w:rsidRDefault="00C275E1" w:rsidP="00CD6417">
      <w:pPr>
        <w:spacing w:after="0"/>
        <w:jc w:val="both"/>
      </w:pPr>
      <w:r>
        <w:rPr>
          <w:noProof/>
        </w:rPr>
        <w:drawing>
          <wp:inline distT="0" distB="0" distL="0" distR="0" wp14:anchorId="3293D65D" wp14:editId="4414190D">
            <wp:extent cx="5743575" cy="2486025"/>
            <wp:effectExtent l="0" t="0" r="9525" b="9525"/>
            <wp:docPr id="91" name="Grafico 9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DF6AAE9" w14:textId="43AD0735" w:rsidR="00621DAF" w:rsidRDefault="00BE545D" w:rsidP="00B66D18">
      <w:pPr>
        <w:jc w:val="both"/>
      </w:pPr>
      <w:r>
        <w:rPr>
          <w:i/>
          <w:iCs/>
          <w:color w:val="44546A" w:themeColor="text2"/>
          <w:sz w:val="18"/>
          <w:szCs w:val="18"/>
        </w:rPr>
        <w:t>Source: I</w:t>
      </w:r>
      <w:r w:rsidR="00CD6417">
        <w:rPr>
          <w:i/>
          <w:iCs/>
          <w:color w:val="44546A" w:themeColor="text2"/>
          <w:sz w:val="18"/>
          <w:szCs w:val="18"/>
        </w:rPr>
        <w:t xml:space="preserve">ntegrated Household Survey </w:t>
      </w:r>
    </w:p>
    <w:p w14:paraId="2BBACFB3" w14:textId="5B9BBFEC" w:rsidR="00CD57B2" w:rsidRDefault="00CD57B2" w:rsidP="00B66D18">
      <w:pPr>
        <w:jc w:val="both"/>
      </w:pPr>
      <w:r>
        <w:t xml:space="preserve"> </w:t>
      </w:r>
      <w:r w:rsidR="00621DAF">
        <w:t>L</w:t>
      </w:r>
      <w:r>
        <w:t>ook</w:t>
      </w:r>
      <w:r w:rsidR="00621DAF">
        <w:t>ing</w:t>
      </w:r>
      <w:r>
        <w:t xml:space="preserve"> at </w:t>
      </w:r>
      <w:r w:rsidR="00E0038A">
        <w:t xml:space="preserve">the first three categories of </w:t>
      </w:r>
      <w:r w:rsidR="005C1527">
        <w:t xml:space="preserve">vulnerable </w:t>
      </w:r>
      <w:r w:rsidR="008F3E6B">
        <w:t>subgroups,</w:t>
      </w:r>
      <w:r w:rsidR="007805F6">
        <w:t xml:space="preserve"> it can be seen</w:t>
      </w:r>
      <w:r w:rsidR="005C1527">
        <w:t xml:space="preserve"> that, both in </w:t>
      </w:r>
      <w:r w:rsidR="0021680A">
        <w:t>rural</w:t>
      </w:r>
      <w:r w:rsidR="005C1527">
        <w:t xml:space="preserve"> and </w:t>
      </w:r>
      <w:r w:rsidR="0021680A">
        <w:t>urban</w:t>
      </w:r>
      <w:r w:rsidR="005C1527">
        <w:t xml:space="preserve"> areas, </w:t>
      </w:r>
      <w:r w:rsidR="006A4651">
        <w:t xml:space="preserve">vulnerable households tend show a higher incidence of doubling up. </w:t>
      </w:r>
      <w:r w:rsidR="007805F6">
        <w:t>Given what was</w:t>
      </w:r>
      <w:r w:rsidR="00291AA6">
        <w:t xml:space="preserve"> observed in the previous figures, </w:t>
      </w:r>
      <w:r w:rsidR="00C031E7">
        <w:t>this</w:t>
      </w:r>
      <w:r w:rsidR="005B1E6F">
        <w:t xml:space="preserve"> might</w:t>
      </w:r>
      <w:r w:rsidR="00C031E7">
        <w:t xml:space="preserve"> also be</w:t>
      </w:r>
      <w:r w:rsidR="005B1E6F">
        <w:t xml:space="preserve"> a coping strategy, to minimize costs and/or increase revenues.</w:t>
      </w:r>
    </w:p>
    <w:p w14:paraId="011EAAB0" w14:textId="3039B229" w:rsidR="004076AD" w:rsidRDefault="004076AD" w:rsidP="00B66D18">
      <w:pPr>
        <w:jc w:val="both"/>
      </w:pPr>
    </w:p>
    <w:p w14:paraId="30749900" w14:textId="6D2B58B2" w:rsidR="004076AD" w:rsidRDefault="004076AD" w:rsidP="00B66D18">
      <w:pPr>
        <w:jc w:val="both"/>
      </w:pPr>
    </w:p>
    <w:p w14:paraId="32F6A22C" w14:textId="71E90D43" w:rsidR="004076AD" w:rsidRDefault="004076AD" w:rsidP="00B66D18">
      <w:pPr>
        <w:jc w:val="both"/>
      </w:pPr>
    </w:p>
    <w:p w14:paraId="14AEBF46" w14:textId="17B26CB2" w:rsidR="004076AD" w:rsidRDefault="004076AD" w:rsidP="00B66D18">
      <w:pPr>
        <w:jc w:val="both"/>
      </w:pPr>
    </w:p>
    <w:p w14:paraId="3300B8EA" w14:textId="65734E67" w:rsidR="004076AD" w:rsidRDefault="004076AD" w:rsidP="00B66D18">
      <w:pPr>
        <w:jc w:val="both"/>
      </w:pPr>
    </w:p>
    <w:p w14:paraId="1393C313" w14:textId="77777777" w:rsidR="004076AD" w:rsidRDefault="004076AD" w:rsidP="00B66D18">
      <w:pPr>
        <w:jc w:val="both"/>
      </w:pPr>
    </w:p>
    <w:p w14:paraId="13EFC17A" w14:textId="6ACA9120" w:rsidR="00774544" w:rsidRDefault="000A6CC2" w:rsidP="00454C26">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45</w:t>
      </w:r>
      <w:r w:rsidR="009E6455">
        <w:rPr>
          <w:noProof/>
        </w:rPr>
        <w:fldChar w:fldCharType="end"/>
      </w:r>
      <w:r w:rsidR="00774544">
        <w:t xml:space="preserve">: </w:t>
      </w:r>
      <w:r>
        <w:t xml:space="preserve">The share of doubled up households in </w:t>
      </w:r>
      <w:r w:rsidR="004531A1">
        <w:t xml:space="preserve">urban areas </w:t>
      </w:r>
      <w:r w:rsidR="00774544">
        <w:t>– by vulnerable subgroups</w:t>
      </w:r>
    </w:p>
    <w:p w14:paraId="5A9E310F" w14:textId="3342B333" w:rsidR="00E242DF" w:rsidRDefault="00E242DF" w:rsidP="00260022">
      <w:pPr>
        <w:spacing w:after="0"/>
      </w:pPr>
      <w:r>
        <w:rPr>
          <w:noProof/>
        </w:rPr>
        <w:drawing>
          <wp:inline distT="0" distB="0" distL="0" distR="0" wp14:anchorId="543B1494" wp14:editId="48F6F5A0">
            <wp:extent cx="5791200" cy="3253740"/>
            <wp:effectExtent l="0" t="0" r="0" b="3810"/>
            <wp:docPr id="70" name="Grafico 70">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56A6879" w14:textId="609025C9" w:rsidR="00BE545D" w:rsidRDefault="00BE545D" w:rsidP="00BE545D">
      <w:pPr>
        <w:jc w:val="both"/>
        <w:rPr>
          <w:i/>
          <w:iCs/>
          <w:color w:val="44546A" w:themeColor="text2"/>
          <w:sz w:val="18"/>
          <w:szCs w:val="18"/>
        </w:rPr>
      </w:pPr>
      <w:r>
        <w:rPr>
          <w:i/>
          <w:iCs/>
          <w:color w:val="44546A" w:themeColor="text2"/>
          <w:sz w:val="18"/>
          <w:szCs w:val="18"/>
        </w:rPr>
        <w:t>Source: I</w:t>
      </w:r>
      <w:r w:rsidR="00260022">
        <w:rPr>
          <w:i/>
          <w:iCs/>
          <w:color w:val="44546A" w:themeColor="text2"/>
          <w:sz w:val="18"/>
          <w:szCs w:val="18"/>
        </w:rPr>
        <w:t xml:space="preserve">ntegrated Household Survey </w:t>
      </w:r>
    </w:p>
    <w:p w14:paraId="4B355A2F" w14:textId="77777777" w:rsidR="00260022" w:rsidRDefault="00260022" w:rsidP="00BE545D">
      <w:pPr>
        <w:jc w:val="both"/>
      </w:pPr>
    </w:p>
    <w:p w14:paraId="20E17C4D" w14:textId="15E24303" w:rsidR="00BE545D" w:rsidRDefault="000A6CC2" w:rsidP="00454C26">
      <w:pPr>
        <w:pStyle w:val="Caption"/>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46</w:t>
      </w:r>
      <w:r w:rsidR="009E6455">
        <w:rPr>
          <w:noProof/>
        </w:rPr>
        <w:fldChar w:fldCharType="end"/>
      </w:r>
      <w:r w:rsidR="00774544">
        <w:t xml:space="preserve">: </w:t>
      </w:r>
      <w:r>
        <w:t xml:space="preserve">The share of doubled up households in </w:t>
      </w:r>
      <w:r w:rsidR="004531A1">
        <w:t xml:space="preserve">rural areas </w:t>
      </w:r>
      <w:r w:rsidR="00774544">
        <w:t>– by vulnerable subgroups</w:t>
      </w:r>
    </w:p>
    <w:p w14:paraId="6F7AC742" w14:textId="24368522" w:rsidR="00E242DF" w:rsidRDefault="00E242DF" w:rsidP="00260022">
      <w:pPr>
        <w:spacing w:after="0"/>
      </w:pPr>
      <w:r>
        <w:rPr>
          <w:noProof/>
        </w:rPr>
        <w:drawing>
          <wp:inline distT="0" distB="0" distL="0" distR="0" wp14:anchorId="57CEB6CE" wp14:editId="2072E77C">
            <wp:extent cx="5772150" cy="3131820"/>
            <wp:effectExtent l="0" t="0" r="0" b="11430"/>
            <wp:docPr id="73" name="Grafico 73">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7001231" w14:textId="7FE355B8" w:rsidR="00B66D18" w:rsidRDefault="00B66D18" w:rsidP="00B66D18">
      <w:pPr>
        <w:jc w:val="both"/>
      </w:pPr>
      <w:r>
        <w:rPr>
          <w:i/>
          <w:iCs/>
          <w:color w:val="44546A" w:themeColor="text2"/>
          <w:sz w:val="18"/>
          <w:szCs w:val="18"/>
        </w:rPr>
        <w:t>Source: I</w:t>
      </w:r>
      <w:r w:rsidR="00260022">
        <w:rPr>
          <w:i/>
          <w:iCs/>
          <w:color w:val="44546A" w:themeColor="text2"/>
          <w:sz w:val="18"/>
          <w:szCs w:val="18"/>
        </w:rPr>
        <w:t xml:space="preserve">ntegrated Household Survey </w:t>
      </w:r>
    </w:p>
    <w:p w14:paraId="6B96E7FB" w14:textId="59B5613F" w:rsidR="00CC73A4" w:rsidRDefault="00CC73A4" w:rsidP="00B66D18">
      <w:pPr>
        <w:jc w:val="both"/>
        <w:rPr>
          <w:rFonts w:cstheme="minorHAnsi"/>
        </w:rPr>
      </w:pPr>
      <w:r>
        <w:rPr>
          <w:rFonts w:cstheme="minorHAnsi"/>
        </w:rPr>
        <w:t xml:space="preserve">Looking at ethnicity, </w:t>
      </w:r>
      <w:r w:rsidR="00961F50">
        <w:rPr>
          <w:rFonts w:cstheme="minorHAnsi"/>
        </w:rPr>
        <w:t xml:space="preserve">in </w:t>
      </w:r>
      <w:r w:rsidR="008F3E6B">
        <w:rPr>
          <w:rFonts w:cstheme="minorHAnsi"/>
        </w:rPr>
        <w:t>u</w:t>
      </w:r>
      <w:r w:rsidR="0021680A">
        <w:rPr>
          <w:rFonts w:cstheme="minorHAnsi"/>
        </w:rPr>
        <w:t>rban</w:t>
      </w:r>
      <w:r w:rsidR="00961F50">
        <w:rPr>
          <w:rFonts w:cstheme="minorHAnsi"/>
        </w:rPr>
        <w:t xml:space="preserve"> areas </w:t>
      </w:r>
      <w:r w:rsidR="003A7ECE">
        <w:rPr>
          <w:rFonts w:cstheme="minorHAnsi"/>
        </w:rPr>
        <w:t>a higher incidence of double up among “</w:t>
      </w:r>
      <w:r w:rsidR="00961F50">
        <w:rPr>
          <w:rFonts w:cstheme="minorHAnsi"/>
        </w:rPr>
        <w:t xml:space="preserve">ethnically </w:t>
      </w:r>
      <w:r w:rsidR="003A7ECE">
        <w:rPr>
          <w:rFonts w:cstheme="minorHAnsi"/>
        </w:rPr>
        <w:t xml:space="preserve">mixed families” (composed by both ethnic Georgians and members of other ethnicities), followed by </w:t>
      </w:r>
      <w:r w:rsidR="00961F50">
        <w:rPr>
          <w:rFonts w:cstheme="minorHAnsi"/>
        </w:rPr>
        <w:t>Georgian families and non-ethnic Georgian families</w:t>
      </w:r>
      <w:r w:rsidR="007805F6">
        <w:rPr>
          <w:rFonts w:cstheme="minorHAnsi"/>
        </w:rPr>
        <w:t xml:space="preserve"> was revealed</w:t>
      </w:r>
      <w:r w:rsidR="00961F50">
        <w:rPr>
          <w:rFonts w:cstheme="minorHAnsi"/>
        </w:rPr>
        <w:t>.</w:t>
      </w:r>
    </w:p>
    <w:p w14:paraId="10948BA8" w14:textId="199F75DE" w:rsidR="00961F50" w:rsidRDefault="000A6CC2" w:rsidP="00454C26">
      <w:pPr>
        <w:pStyle w:val="Caption"/>
        <w:rPr>
          <w:rFonts w:cstheme="minorHAnsi"/>
        </w:rPr>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47</w:t>
      </w:r>
      <w:r w:rsidR="009E6455">
        <w:rPr>
          <w:noProof/>
        </w:rPr>
        <w:fldChar w:fldCharType="end"/>
      </w:r>
      <w:r>
        <w:t xml:space="preserve">: The share of doubled up households in </w:t>
      </w:r>
      <w:r w:rsidR="004531A1">
        <w:t>u</w:t>
      </w:r>
      <w:r w:rsidR="0021680A">
        <w:t>rban</w:t>
      </w:r>
      <w:r>
        <w:t xml:space="preserve"> areas – by ethnicity </w:t>
      </w:r>
    </w:p>
    <w:p w14:paraId="7E372F4E" w14:textId="665DB425" w:rsidR="00961F50" w:rsidRDefault="000A6CC2" w:rsidP="00260022">
      <w:pPr>
        <w:spacing w:after="0"/>
        <w:jc w:val="both"/>
        <w:rPr>
          <w:noProof/>
        </w:rPr>
      </w:pPr>
      <w:r>
        <w:rPr>
          <w:noProof/>
        </w:rPr>
        <w:drawing>
          <wp:inline distT="0" distB="0" distL="0" distR="0" wp14:anchorId="65612214" wp14:editId="2DD2BF3D">
            <wp:extent cx="5838825" cy="2952750"/>
            <wp:effectExtent l="0" t="0" r="9525" b="0"/>
            <wp:docPr id="122" name="Chart 12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Del="000A6CC2">
        <w:rPr>
          <w:noProof/>
        </w:rPr>
        <w:t xml:space="preserve"> </w:t>
      </w:r>
    </w:p>
    <w:p w14:paraId="4DFF78DA" w14:textId="6EC3D480" w:rsidR="0021680A" w:rsidRPr="00454C26" w:rsidRDefault="0021680A" w:rsidP="00B66D18">
      <w:pPr>
        <w:jc w:val="both"/>
      </w:pPr>
      <w:r>
        <w:rPr>
          <w:i/>
          <w:iCs/>
          <w:color w:val="44546A" w:themeColor="text2"/>
          <w:sz w:val="18"/>
          <w:szCs w:val="18"/>
        </w:rPr>
        <w:t>Source: I</w:t>
      </w:r>
      <w:r w:rsidR="00260022">
        <w:rPr>
          <w:i/>
          <w:iCs/>
          <w:color w:val="44546A" w:themeColor="text2"/>
          <w:sz w:val="18"/>
          <w:szCs w:val="18"/>
        </w:rPr>
        <w:t xml:space="preserve">ntegrated Household Survey </w:t>
      </w:r>
    </w:p>
    <w:p w14:paraId="04C79C51" w14:textId="798F5C1C" w:rsidR="00961F50" w:rsidRDefault="00035838" w:rsidP="00B66D18">
      <w:pPr>
        <w:jc w:val="both"/>
        <w:rPr>
          <w:rFonts w:cstheme="minorHAnsi"/>
        </w:rPr>
      </w:pPr>
      <w:r>
        <w:rPr>
          <w:rFonts w:cstheme="minorHAnsi"/>
        </w:rPr>
        <w:t xml:space="preserve">In </w:t>
      </w:r>
      <w:r w:rsidR="0021680A">
        <w:rPr>
          <w:rFonts w:cstheme="minorHAnsi"/>
        </w:rPr>
        <w:t>rural</w:t>
      </w:r>
      <w:r>
        <w:rPr>
          <w:rFonts w:cstheme="minorHAnsi"/>
        </w:rPr>
        <w:t xml:space="preserve"> areas the</w:t>
      </w:r>
      <w:r w:rsidR="00961F50">
        <w:rPr>
          <w:rFonts w:cstheme="minorHAnsi"/>
        </w:rPr>
        <w:t xml:space="preserve"> pattern </w:t>
      </w:r>
      <w:r>
        <w:rPr>
          <w:rFonts w:cstheme="minorHAnsi"/>
        </w:rPr>
        <w:t>appears less pronounced, especially after</w:t>
      </w:r>
      <w:r w:rsidR="00B77FB8">
        <w:rPr>
          <w:rFonts w:cstheme="minorHAnsi"/>
        </w:rPr>
        <w:t xml:space="preserve"> </w:t>
      </w:r>
      <w:r>
        <w:rPr>
          <w:rFonts w:cstheme="minorHAnsi"/>
        </w:rPr>
        <w:t>2013.</w:t>
      </w:r>
    </w:p>
    <w:p w14:paraId="4E1F85F6" w14:textId="35336D4E" w:rsidR="000A6CC2" w:rsidRDefault="000A6CC2" w:rsidP="000A6CC2">
      <w:pPr>
        <w:pStyle w:val="Caption"/>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48</w:t>
      </w:r>
      <w:r w:rsidR="009E6455">
        <w:rPr>
          <w:noProof/>
        </w:rPr>
        <w:fldChar w:fldCharType="end"/>
      </w:r>
      <w:r>
        <w:t xml:space="preserve">: The share of doubled up households in </w:t>
      </w:r>
      <w:r w:rsidR="004531A1">
        <w:t>r</w:t>
      </w:r>
      <w:r w:rsidR="0021680A">
        <w:t>ural</w:t>
      </w:r>
      <w:r>
        <w:t xml:space="preserve"> areas – by ethnicity</w:t>
      </w:r>
    </w:p>
    <w:p w14:paraId="31D0A9C5" w14:textId="7B1252DD" w:rsidR="000A6CC2" w:rsidRDefault="000A6CC2" w:rsidP="00260022">
      <w:pPr>
        <w:spacing w:after="0"/>
      </w:pPr>
      <w:r>
        <w:rPr>
          <w:noProof/>
        </w:rPr>
        <w:drawing>
          <wp:inline distT="0" distB="0" distL="0" distR="0" wp14:anchorId="47AF155F" wp14:editId="79F4B0AF">
            <wp:extent cx="5819775" cy="3152775"/>
            <wp:effectExtent l="0" t="0" r="9525" b="9525"/>
            <wp:docPr id="123" name="Chart 123">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901D59C" w14:textId="0DF17211" w:rsidR="0021680A" w:rsidRPr="00454C26" w:rsidRDefault="0021680A" w:rsidP="00454C26">
      <w:pPr>
        <w:jc w:val="both"/>
      </w:pPr>
      <w:r>
        <w:rPr>
          <w:i/>
          <w:iCs/>
          <w:color w:val="44546A" w:themeColor="text2"/>
          <w:sz w:val="18"/>
          <w:szCs w:val="18"/>
        </w:rPr>
        <w:t>Source: I</w:t>
      </w:r>
      <w:r w:rsidR="00260022">
        <w:rPr>
          <w:i/>
          <w:iCs/>
          <w:color w:val="44546A" w:themeColor="text2"/>
          <w:sz w:val="18"/>
          <w:szCs w:val="18"/>
        </w:rPr>
        <w:t xml:space="preserve">ntegrated Household Survey </w:t>
      </w:r>
    </w:p>
    <w:p w14:paraId="64E4D773" w14:textId="60C7E04E" w:rsidR="00774544" w:rsidRDefault="005D487C" w:rsidP="00B66D18">
      <w:pPr>
        <w:jc w:val="both"/>
        <w:rPr>
          <w:rFonts w:cstheme="minorHAnsi"/>
        </w:rPr>
      </w:pPr>
      <w:r>
        <w:rPr>
          <w:rFonts w:cstheme="minorHAnsi"/>
        </w:rPr>
        <w:t>For all subcategories analyzed, the</w:t>
      </w:r>
      <w:r w:rsidR="00F87C3F">
        <w:rPr>
          <w:rFonts w:cstheme="minorHAnsi"/>
        </w:rPr>
        <w:t xml:space="preserve"> increasing trend in the incidence of doubling up is confirmed.</w:t>
      </w:r>
    </w:p>
    <w:p w14:paraId="6EF4F184" w14:textId="4DD146AB" w:rsidR="004076AD" w:rsidRDefault="004076AD" w:rsidP="00B66D18">
      <w:pPr>
        <w:jc w:val="both"/>
        <w:rPr>
          <w:rFonts w:cstheme="minorHAnsi"/>
        </w:rPr>
      </w:pPr>
    </w:p>
    <w:p w14:paraId="7090F18C" w14:textId="77777777" w:rsidR="004076AD" w:rsidRDefault="004076AD" w:rsidP="00B66D18">
      <w:pPr>
        <w:jc w:val="both"/>
        <w:rPr>
          <w:rFonts w:cstheme="minorHAnsi"/>
          <w:b/>
          <w:bCs/>
          <w:i/>
          <w:iCs/>
        </w:rPr>
      </w:pPr>
    </w:p>
    <w:p w14:paraId="43643122" w14:textId="1CA79AA8" w:rsidR="005D487C" w:rsidRDefault="005D487C" w:rsidP="00B66D18">
      <w:pPr>
        <w:jc w:val="both"/>
        <w:rPr>
          <w:rFonts w:cstheme="minorHAnsi"/>
          <w:b/>
          <w:bCs/>
          <w:i/>
          <w:iCs/>
        </w:rPr>
      </w:pPr>
      <w:r>
        <w:rPr>
          <w:rFonts w:cstheme="minorHAnsi"/>
          <w:b/>
          <w:bCs/>
          <w:i/>
          <w:iCs/>
        </w:rPr>
        <w:lastRenderedPageBreak/>
        <w:t>Unaffordable housing indicators</w:t>
      </w:r>
    </w:p>
    <w:p w14:paraId="1C4C9FFC" w14:textId="140CF11C" w:rsidR="00B66D18" w:rsidRDefault="00A35CEA" w:rsidP="00F87C3F">
      <w:pPr>
        <w:jc w:val="both"/>
        <w:rPr>
          <w:rFonts w:cstheme="minorHAnsi"/>
        </w:rPr>
      </w:pPr>
      <w:r>
        <w:rPr>
          <w:rFonts w:cstheme="minorHAnsi"/>
        </w:rPr>
        <w:t xml:space="preserve">The analysis of affordability indicators </w:t>
      </w:r>
      <w:r w:rsidR="00047B21">
        <w:rPr>
          <w:rFonts w:cstheme="minorHAnsi"/>
        </w:rPr>
        <w:t xml:space="preserve">provides </w:t>
      </w:r>
      <w:r w:rsidR="00F30082">
        <w:rPr>
          <w:rFonts w:cstheme="minorHAnsi"/>
        </w:rPr>
        <w:t xml:space="preserve">with some additional insights, most of which were not unexpected. As the </w:t>
      </w:r>
      <w:r w:rsidR="0002423F">
        <w:rPr>
          <w:rFonts w:cstheme="minorHAnsi"/>
        </w:rPr>
        <w:t xml:space="preserve">patterns identified emerge repeatedly across all different specifications, just </w:t>
      </w:r>
      <w:r w:rsidR="007B1AB8">
        <w:rPr>
          <w:rFonts w:cstheme="minorHAnsi"/>
        </w:rPr>
        <w:t>the evolution of t</w:t>
      </w:r>
      <w:r w:rsidR="00730B29">
        <w:rPr>
          <w:rFonts w:cstheme="minorHAnsi"/>
        </w:rPr>
        <w:t>hree</w:t>
      </w:r>
      <w:r w:rsidR="007B1AB8">
        <w:rPr>
          <w:rFonts w:cstheme="minorHAnsi"/>
        </w:rPr>
        <w:t xml:space="preserve"> set of indicators</w:t>
      </w:r>
      <w:r w:rsidR="00A47DAC">
        <w:rPr>
          <w:rFonts w:cstheme="minorHAnsi"/>
        </w:rPr>
        <w:t xml:space="preserve"> will be discussed</w:t>
      </w:r>
      <w:r w:rsidR="007B1AB8">
        <w:rPr>
          <w:rFonts w:cstheme="minorHAnsi"/>
        </w:rPr>
        <w:t xml:space="preserve"> and the possibility to observe the evolution of the remaining indicators</w:t>
      </w:r>
      <w:r w:rsidR="00A47DAC">
        <w:rPr>
          <w:rFonts w:cstheme="minorHAnsi"/>
        </w:rPr>
        <w:t xml:space="preserve"> will be left to the readers</w:t>
      </w:r>
      <w:r w:rsidR="007B1AB8">
        <w:rPr>
          <w:rFonts w:cstheme="minorHAnsi"/>
        </w:rPr>
        <w:t xml:space="preserve"> looking at the figures in the annex section.</w:t>
      </w:r>
    </w:p>
    <w:p w14:paraId="6D922497" w14:textId="4F3B258A" w:rsidR="007B1AB8" w:rsidRDefault="00E977B3" w:rsidP="00F87C3F">
      <w:pPr>
        <w:jc w:val="both"/>
        <w:rPr>
          <w:rFonts w:cstheme="minorHAnsi"/>
        </w:rPr>
      </w:pPr>
      <w:r>
        <w:rPr>
          <w:rFonts w:cstheme="minorHAnsi"/>
        </w:rPr>
        <w:t>The first set of indicators (Figures 4</w:t>
      </w:r>
      <w:r w:rsidR="000A6CC2">
        <w:rPr>
          <w:rFonts w:cstheme="minorHAnsi"/>
        </w:rPr>
        <w:t>9</w:t>
      </w:r>
      <w:r>
        <w:rPr>
          <w:rFonts w:cstheme="minorHAnsi"/>
        </w:rPr>
        <w:t xml:space="preserve"> and </w:t>
      </w:r>
      <w:r w:rsidR="000A6CC2">
        <w:rPr>
          <w:rFonts w:cstheme="minorHAnsi"/>
        </w:rPr>
        <w:t>50</w:t>
      </w:r>
      <w:r>
        <w:rPr>
          <w:rFonts w:cstheme="minorHAnsi"/>
        </w:rPr>
        <w:t>)</w:t>
      </w:r>
      <w:r w:rsidR="00A636A2">
        <w:rPr>
          <w:rFonts w:cstheme="minorHAnsi"/>
        </w:rPr>
        <w:t xml:space="preserve"> shows the evolution in the incidence of </w:t>
      </w:r>
      <w:r w:rsidR="0024336B">
        <w:rPr>
          <w:rFonts w:cstheme="minorHAnsi"/>
        </w:rPr>
        <w:t xml:space="preserve">unaffordability among households belonging to different </w:t>
      </w:r>
      <w:r w:rsidR="00B60C3D">
        <w:rPr>
          <w:rFonts w:cstheme="minorHAnsi"/>
        </w:rPr>
        <w:t xml:space="preserve">income </w:t>
      </w:r>
      <w:r w:rsidR="0024336B">
        <w:rPr>
          <w:rFonts w:cstheme="minorHAnsi"/>
        </w:rPr>
        <w:t xml:space="preserve">quartiles estimated looking at the ratio </w:t>
      </w:r>
      <w:r w:rsidR="00A636A2">
        <w:rPr>
          <w:rFonts w:cstheme="minorHAnsi"/>
        </w:rPr>
        <w:t>rent</w:t>
      </w:r>
      <w:r w:rsidR="00F96244">
        <w:rPr>
          <w:rFonts w:cstheme="minorHAnsi"/>
        </w:rPr>
        <w:t>/</w:t>
      </w:r>
      <w:r w:rsidR="00A636A2">
        <w:rPr>
          <w:rFonts w:cstheme="minorHAnsi"/>
        </w:rPr>
        <w:t>income</w:t>
      </w:r>
      <w:r w:rsidR="0024336B">
        <w:rPr>
          <w:rFonts w:cstheme="minorHAnsi"/>
        </w:rPr>
        <w:t>.</w:t>
      </w:r>
    </w:p>
    <w:p w14:paraId="2D5DE263" w14:textId="40B35686" w:rsidR="00730B29" w:rsidRDefault="00730B29" w:rsidP="00F87C3F">
      <w:pPr>
        <w:jc w:val="both"/>
        <w:rPr>
          <w:rFonts w:cstheme="minorHAnsi"/>
        </w:rPr>
      </w:pPr>
      <w:r>
        <w:rPr>
          <w:rFonts w:cstheme="minorHAnsi"/>
        </w:rPr>
        <w:t xml:space="preserve">The analysis of these two figures </w:t>
      </w:r>
      <w:r w:rsidR="00CB2974">
        <w:rPr>
          <w:rFonts w:cstheme="minorHAnsi"/>
        </w:rPr>
        <w:t>shows</w:t>
      </w:r>
      <w:r w:rsidR="002A26A6">
        <w:rPr>
          <w:rFonts w:cstheme="minorHAnsi"/>
        </w:rPr>
        <w:t xml:space="preserve"> a marked improvement of the</w:t>
      </w:r>
      <w:r w:rsidR="00CC6ADD">
        <w:rPr>
          <w:rFonts w:cstheme="minorHAnsi"/>
        </w:rPr>
        <w:t xml:space="preserve"> situation for the poorer families in the</w:t>
      </w:r>
      <w:r w:rsidR="00357F15">
        <w:rPr>
          <w:rFonts w:cstheme="minorHAnsi"/>
        </w:rPr>
        <w:t xml:space="preserve"> </w:t>
      </w:r>
      <w:r w:rsidR="0021680A">
        <w:rPr>
          <w:rFonts w:cstheme="minorHAnsi"/>
        </w:rPr>
        <w:t>urban</w:t>
      </w:r>
      <w:r w:rsidR="00357F15">
        <w:rPr>
          <w:rFonts w:cstheme="minorHAnsi"/>
        </w:rPr>
        <w:t xml:space="preserve"> sub</w:t>
      </w:r>
      <w:r w:rsidR="00CC6ADD">
        <w:rPr>
          <w:rFonts w:cstheme="minorHAnsi"/>
        </w:rPr>
        <w:t>sample (first quartile) until 2015</w:t>
      </w:r>
      <w:r w:rsidR="00B6481D">
        <w:rPr>
          <w:rFonts w:cstheme="minorHAnsi"/>
        </w:rPr>
        <w:t xml:space="preserve"> (down from a maximum of 7% in 2009</w:t>
      </w:r>
      <w:r w:rsidR="006C011D">
        <w:rPr>
          <w:rFonts w:cstheme="minorHAnsi"/>
        </w:rPr>
        <w:t xml:space="preserve"> to a minimum of about 1% in 2015)</w:t>
      </w:r>
      <w:r w:rsidR="00CC6ADD">
        <w:rPr>
          <w:rFonts w:cstheme="minorHAnsi"/>
        </w:rPr>
        <w:t xml:space="preserve">, </w:t>
      </w:r>
      <w:r w:rsidR="006C011D">
        <w:rPr>
          <w:rFonts w:cstheme="minorHAnsi"/>
        </w:rPr>
        <w:t>followed by a rebound in the last years.</w:t>
      </w:r>
      <w:r w:rsidR="00357F15">
        <w:rPr>
          <w:rFonts w:cstheme="minorHAnsi"/>
        </w:rPr>
        <w:t xml:space="preserve"> </w:t>
      </w:r>
      <w:r w:rsidR="006C011D">
        <w:rPr>
          <w:rFonts w:cstheme="minorHAnsi"/>
        </w:rPr>
        <w:t xml:space="preserve">The high volatility of the indicator for the lowest quartile, </w:t>
      </w:r>
      <w:r w:rsidR="00541241">
        <w:rPr>
          <w:rFonts w:cstheme="minorHAnsi"/>
        </w:rPr>
        <w:t>suggests the need to monitor on a continuous basis the conditions of the poorer households</w:t>
      </w:r>
      <w:r w:rsidR="00420294">
        <w:rPr>
          <w:rFonts w:cstheme="minorHAnsi"/>
        </w:rPr>
        <w:t xml:space="preserve"> in </w:t>
      </w:r>
      <w:r w:rsidR="0021680A">
        <w:rPr>
          <w:rFonts w:cstheme="minorHAnsi"/>
        </w:rPr>
        <w:t>urban</w:t>
      </w:r>
      <w:r w:rsidR="00420294">
        <w:rPr>
          <w:rFonts w:cstheme="minorHAnsi"/>
        </w:rPr>
        <w:t xml:space="preserve"> areas</w:t>
      </w:r>
      <w:r w:rsidR="0014303F">
        <w:rPr>
          <w:rFonts w:cstheme="minorHAnsi"/>
        </w:rPr>
        <w:t>, as economic-wide shocks can quickly affect them in a substantially negative manner.</w:t>
      </w:r>
    </w:p>
    <w:p w14:paraId="2D96D2CC" w14:textId="7C73B92F" w:rsidR="002A26A6" w:rsidRPr="00174BCB" w:rsidRDefault="002A26A6" w:rsidP="002A26A6">
      <w:pPr>
        <w:pStyle w:val="Caption"/>
        <w:jc w:val="both"/>
        <w:rPr>
          <w:rFonts w:ascii="Sylfaen" w:hAnsi="Sylfaen" w:cstheme="minorHAnsi"/>
          <w:color w:val="auto"/>
        </w:rPr>
      </w:pPr>
      <w:r>
        <w:t xml:space="preserve">Figure </w:t>
      </w:r>
      <w:r>
        <w:rPr>
          <w:noProof/>
        </w:rPr>
        <w:fldChar w:fldCharType="begin"/>
      </w:r>
      <w:r>
        <w:rPr>
          <w:noProof/>
        </w:rPr>
        <w:instrText xml:space="preserve"> SEQ Figure \* ARABIC </w:instrText>
      </w:r>
      <w:r>
        <w:rPr>
          <w:noProof/>
        </w:rPr>
        <w:fldChar w:fldCharType="separate"/>
      </w:r>
      <w:r w:rsidR="006B5103">
        <w:rPr>
          <w:noProof/>
        </w:rPr>
        <w:t>49</w:t>
      </w:r>
      <w:r>
        <w:rPr>
          <w:noProof/>
        </w:rPr>
        <w:fldChar w:fldCharType="end"/>
      </w:r>
      <w:r>
        <w:t xml:space="preserve">: The share of households exceeding the affordability threshold </w:t>
      </w:r>
      <w:r w:rsidR="00F06F83">
        <w:t>(</w:t>
      </w:r>
      <w:r w:rsidR="00420294">
        <w:t>rent/income</w:t>
      </w:r>
      <w:r w:rsidR="00F06F83">
        <w:t>)</w:t>
      </w:r>
      <w:r w:rsidR="00420294">
        <w:t xml:space="preserve"> </w:t>
      </w:r>
      <w:r>
        <w:t xml:space="preserve">in </w:t>
      </w:r>
      <w:r w:rsidR="004531A1">
        <w:t>u</w:t>
      </w:r>
      <w:r w:rsidR="0021680A">
        <w:t>rban</w:t>
      </w:r>
      <w:r>
        <w:t xml:space="preserve"> areas</w:t>
      </w:r>
      <w:r w:rsidR="00174BCB">
        <w:rPr>
          <w:rFonts w:ascii="Sylfaen" w:hAnsi="Sylfaen"/>
          <w:lang w:val="ka-GE"/>
        </w:rPr>
        <w:t xml:space="preserve"> - </w:t>
      </w:r>
      <w:r w:rsidR="00174BCB">
        <w:t>by quartile of income distribution</w:t>
      </w:r>
    </w:p>
    <w:p w14:paraId="3E07B676" w14:textId="5EB53573" w:rsidR="00420294" w:rsidRDefault="002A26A6" w:rsidP="00B60C3D">
      <w:pPr>
        <w:spacing w:after="0"/>
        <w:jc w:val="both"/>
        <w:rPr>
          <w:i/>
          <w:iCs/>
          <w:color w:val="44546A" w:themeColor="text2"/>
          <w:sz w:val="18"/>
          <w:szCs w:val="18"/>
        </w:rPr>
      </w:pPr>
      <w:r>
        <w:rPr>
          <w:noProof/>
        </w:rPr>
        <w:drawing>
          <wp:inline distT="0" distB="0" distL="0" distR="0" wp14:anchorId="4BE18039" wp14:editId="694CFCDA">
            <wp:extent cx="5791200" cy="3253740"/>
            <wp:effectExtent l="0" t="0" r="0" b="3810"/>
            <wp:docPr id="32" name="Grafico 3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cstheme="minorHAnsi"/>
        </w:rPr>
        <w:t xml:space="preserve"> </w:t>
      </w:r>
      <w:r w:rsidR="00B60C3D">
        <w:rPr>
          <w:i/>
          <w:iCs/>
          <w:color w:val="44546A" w:themeColor="text2"/>
          <w:sz w:val="18"/>
          <w:szCs w:val="18"/>
        </w:rPr>
        <w:t>S</w:t>
      </w:r>
      <w:r w:rsidR="00420294">
        <w:rPr>
          <w:i/>
          <w:iCs/>
          <w:color w:val="44546A" w:themeColor="text2"/>
          <w:sz w:val="18"/>
          <w:szCs w:val="18"/>
        </w:rPr>
        <w:t>ource: I</w:t>
      </w:r>
      <w:r w:rsidR="00B60C3D">
        <w:rPr>
          <w:i/>
          <w:iCs/>
          <w:color w:val="44546A" w:themeColor="text2"/>
          <w:sz w:val="18"/>
          <w:szCs w:val="18"/>
        </w:rPr>
        <w:t xml:space="preserve">ntegrated Household Survey </w:t>
      </w:r>
    </w:p>
    <w:p w14:paraId="68D06AEB" w14:textId="77777777" w:rsidR="00B60C3D" w:rsidRPr="00B60C3D" w:rsidRDefault="00B60C3D" w:rsidP="00B60C3D">
      <w:pPr>
        <w:spacing w:after="0"/>
        <w:jc w:val="both"/>
        <w:rPr>
          <w:rFonts w:cstheme="minorHAnsi"/>
        </w:rPr>
      </w:pPr>
    </w:p>
    <w:p w14:paraId="46BD3CDE" w14:textId="027C0116" w:rsidR="00F64504" w:rsidRDefault="00420294" w:rsidP="00B60C3D">
      <w:pPr>
        <w:jc w:val="both"/>
        <w:rPr>
          <w:rFonts w:cstheme="minorHAnsi"/>
        </w:rPr>
      </w:pPr>
      <w:r w:rsidRPr="00C108C7">
        <w:rPr>
          <w:rFonts w:cstheme="minorHAnsi"/>
        </w:rPr>
        <w:t xml:space="preserve">The situation in </w:t>
      </w:r>
      <w:r w:rsidR="0021680A">
        <w:rPr>
          <w:rFonts w:cstheme="minorHAnsi"/>
        </w:rPr>
        <w:t>rural</w:t>
      </w:r>
      <w:r w:rsidRPr="00C108C7">
        <w:rPr>
          <w:rFonts w:cstheme="minorHAnsi"/>
        </w:rPr>
        <w:t xml:space="preserve"> areas </w:t>
      </w:r>
      <w:r w:rsidR="00C108C7" w:rsidRPr="00C108C7">
        <w:rPr>
          <w:rFonts w:cstheme="minorHAnsi"/>
        </w:rPr>
        <w:t xml:space="preserve">(Figure </w:t>
      </w:r>
      <w:r w:rsidR="000A6CC2">
        <w:rPr>
          <w:rFonts w:cstheme="minorHAnsi"/>
        </w:rPr>
        <w:t>50</w:t>
      </w:r>
      <w:r w:rsidR="00C108C7" w:rsidRPr="00C108C7">
        <w:rPr>
          <w:rFonts w:cstheme="minorHAnsi"/>
        </w:rPr>
        <w:t xml:space="preserve">) </w:t>
      </w:r>
      <w:r w:rsidRPr="00C108C7">
        <w:rPr>
          <w:rFonts w:cstheme="minorHAnsi"/>
        </w:rPr>
        <w:t>appears substantially different, with</w:t>
      </w:r>
      <w:r w:rsidR="00A4456D" w:rsidRPr="00C108C7">
        <w:rPr>
          <w:rFonts w:cstheme="minorHAnsi"/>
        </w:rPr>
        <w:t xml:space="preserve"> substantially lower shares of households facing unaffordability issues. </w:t>
      </w:r>
      <w:r w:rsidR="00DC43EF">
        <w:rPr>
          <w:rFonts w:cstheme="minorHAnsi"/>
        </w:rPr>
        <w:t xml:space="preserve">In </w:t>
      </w:r>
      <w:r w:rsidR="0021680A">
        <w:rPr>
          <w:rFonts w:cstheme="minorHAnsi"/>
        </w:rPr>
        <w:t>rural</w:t>
      </w:r>
      <w:r w:rsidR="00DC43EF">
        <w:rPr>
          <w:rFonts w:cstheme="minorHAnsi"/>
        </w:rPr>
        <w:t xml:space="preserve"> areas only few households </w:t>
      </w:r>
      <w:r w:rsidR="00147A56">
        <w:rPr>
          <w:rFonts w:cstheme="minorHAnsi"/>
        </w:rPr>
        <w:t xml:space="preserve">from the fist quartile </w:t>
      </w:r>
      <w:r w:rsidR="00DC43EF">
        <w:rPr>
          <w:rFonts w:cstheme="minorHAnsi"/>
        </w:rPr>
        <w:t>seem to face unaffordability challenges</w:t>
      </w:r>
      <w:r w:rsidR="00147A56">
        <w:rPr>
          <w:rFonts w:cstheme="minorHAnsi"/>
        </w:rPr>
        <w:t>.</w:t>
      </w:r>
    </w:p>
    <w:p w14:paraId="6A425C2A" w14:textId="446B0A02" w:rsidR="004076AD" w:rsidRDefault="004076AD" w:rsidP="00B60C3D">
      <w:pPr>
        <w:jc w:val="both"/>
        <w:rPr>
          <w:rFonts w:cstheme="minorHAnsi"/>
        </w:rPr>
      </w:pPr>
    </w:p>
    <w:p w14:paraId="596BB801" w14:textId="72A19A83" w:rsidR="004076AD" w:rsidRDefault="004076AD" w:rsidP="00B60C3D">
      <w:pPr>
        <w:jc w:val="both"/>
        <w:rPr>
          <w:rFonts w:cstheme="minorHAnsi"/>
        </w:rPr>
      </w:pPr>
    </w:p>
    <w:p w14:paraId="3CB1803D" w14:textId="77777777" w:rsidR="004076AD" w:rsidRDefault="004076AD" w:rsidP="00B60C3D">
      <w:pPr>
        <w:jc w:val="both"/>
        <w:rPr>
          <w:i/>
          <w:iCs/>
          <w:color w:val="44546A" w:themeColor="text2"/>
          <w:sz w:val="18"/>
          <w:szCs w:val="18"/>
        </w:rPr>
      </w:pPr>
    </w:p>
    <w:p w14:paraId="42A2590B" w14:textId="0019FEDB" w:rsidR="00B66D18" w:rsidRDefault="00B66D18" w:rsidP="00B66D18">
      <w:pPr>
        <w:pStyle w:val="Caption"/>
        <w:jc w:val="both"/>
      </w:pPr>
      <w:r>
        <w:lastRenderedPageBreak/>
        <w:t xml:space="preserve">Figure </w:t>
      </w:r>
      <w:r>
        <w:rPr>
          <w:noProof/>
        </w:rPr>
        <w:fldChar w:fldCharType="begin"/>
      </w:r>
      <w:r>
        <w:rPr>
          <w:noProof/>
        </w:rPr>
        <w:instrText xml:space="preserve"> SEQ Figure \* ARABIC </w:instrText>
      </w:r>
      <w:r>
        <w:rPr>
          <w:noProof/>
        </w:rPr>
        <w:fldChar w:fldCharType="separate"/>
      </w:r>
      <w:r w:rsidR="006B5103">
        <w:rPr>
          <w:noProof/>
        </w:rPr>
        <w:t>50</w:t>
      </w:r>
      <w:r>
        <w:rPr>
          <w:noProof/>
        </w:rPr>
        <w:fldChar w:fldCharType="end"/>
      </w:r>
      <w:r>
        <w:t xml:space="preserve">: The share of households </w:t>
      </w:r>
      <w:r w:rsidR="0076156A">
        <w:t xml:space="preserve">exceeding the affordability threshold </w:t>
      </w:r>
      <w:r w:rsidR="00F06F83">
        <w:t>(</w:t>
      </w:r>
      <w:r w:rsidR="00C108C7">
        <w:t>rent/income</w:t>
      </w:r>
      <w:r w:rsidR="00F06F83">
        <w:t>)</w:t>
      </w:r>
      <w:r w:rsidR="00C108C7">
        <w:t xml:space="preserve"> </w:t>
      </w:r>
      <w:r w:rsidR="0076156A">
        <w:t xml:space="preserve">in </w:t>
      </w:r>
      <w:r w:rsidR="0021680A">
        <w:t>rural</w:t>
      </w:r>
      <w:r w:rsidR="0076156A">
        <w:t xml:space="preserve"> areas</w:t>
      </w:r>
      <w:r w:rsidR="00174BCB">
        <w:t xml:space="preserve"> -  by quartile of income distribution</w:t>
      </w:r>
    </w:p>
    <w:p w14:paraId="737A6B10" w14:textId="60430609" w:rsidR="00F64504" w:rsidRPr="00B60C3D" w:rsidRDefault="00DC43EF" w:rsidP="00B60C3D">
      <w:pPr>
        <w:spacing w:before="240" w:after="0"/>
        <w:jc w:val="both"/>
        <w:rPr>
          <w:i/>
          <w:iCs/>
          <w:color w:val="44546A" w:themeColor="text2"/>
          <w:sz w:val="18"/>
          <w:szCs w:val="18"/>
        </w:rPr>
      </w:pPr>
      <w:r>
        <w:rPr>
          <w:noProof/>
        </w:rPr>
        <w:drawing>
          <wp:inline distT="0" distB="0" distL="0" distR="0" wp14:anchorId="01B50CDA" wp14:editId="048F1E1D">
            <wp:extent cx="5742432" cy="2772460"/>
            <wp:effectExtent l="0" t="0" r="10795" b="8890"/>
            <wp:docPr id="62" name="Grafico 6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F64504">
        <w:rPr>
          <w:i/>
          <w:iCs/>
          <w:color w:val="44546A" w:themeColor="text2"/>
          <w:sz w:val="18"/>
          <w:szCs w:val="18"/>
        </w:rPr>
        <w:t>Source: I</w:t>
      </w:r>
      <w:r w:rsidR="00B60C3D">
        <w:rPr>
          <w:i/>
          <w:iCs/>
          <w:color w:val="44546A" w:themeColor="text2"/>
          <w:sz w:val="18"/>
          <w:szCs w:val="18"/>
        </w:rPr>
        <w:t xml:space="preserve">ntegrated Household Survey </w:t>
      </w:r>
    </w:p>
    <w:p w14:paraId="235CBA09" w14:textId="0B40F2A5" w:rsidR="00056817" w:rsidRDefault="00220508" w:rsidP="00CA453C">
      <w:pPr>
        <w:jc w:val="both"/>
      </w:pPr>
      <w:r>
        <w:t>Including</w:t>
      </w:r>
      <w:r w:rsidR="00147A56">
        <w:t xml:space="preserve"> among the housing costs house-related expenditures, the </w:t>
      </w:r>
      <w:r w:rsidR="00425A3B">
        <w:t>disaggregated analysis continues to support the message that affordability of housing has been increasing with time. However</w:t>
      </w:r>
      <w:r w:rsidR="0084365B">
        <w:t xml:space="preserve">, </w:t>
      </w:r>
      <w:r w:rsidR="00C43270">
        <w:t>now the issue o</w:t>
      </w:r>
      <w:r w:rsidR="00056817">
        <w:t xml:space="preserve">f affordability looks now more worrisome, especially </w:t>
      </w:r>
      <w:r w:rsidR="0084365B">
        <w:t>if we focus on the poorest segment of the population</w:t>
      </w:r>
      <w:r w:rsidR="00056817">
        <w:t>.</w:t>
      </w:r>
    </w:p>
    <w:p w14:paraId="04C77905" w14:textId="16BFB35A" w:rsidR="00F64504" w:rsidRDefault="00056817" w:rsidP="00CA453C">
      <w:pPr>
        <w:jc w:val="both"/>
      </w:pPr>
      <w:r>
        <w:t>For the bottom quartile of the population, t</w:t>
      </w:r>
      <w:r w:rsidR="00A32F5E">
        <w:t>he share</w:t>
      </w:r>
      <w:r w:rsidR="00EC0B6A">
        <w:t xml:space="preserve"> of households still </w:t>
      </w:r>
      <w:r w:rsidR="004E384B">
        <w:t>facing unaffordability issues</w:t>
      </w:r>
      <w:r w:rsidR="00A32F5E">
        <w:t xml:space="preserve"> has been stabilizing</w:t>
      </w:r>
      <w:r w:rsidR="00AC2271">
        <w:t xml:space="preserve"> at a relatively high level (between 15 and 20% of the population </w:t>
      </w:r>
      <w:r>
        <w:t xml:space="preserve">in </w:t>
      </w:r>
      <w:r w:rsidR="0021680A">
        <w:t>urban</w:t>
      </w:r>
      <w:r>
        <w:t xml:space="preserve"> areas and </w:t>
      </w:r>
      <w:r w:rsidR="00061A04">
        <w:t xml:space="preserve">between 10 and 15% of the population in </w:t>
      </w:r>
      <w:r w:rsidR="0021680A">
        <w:t>rural</w:t>
      </w:r>
      <w:r w:rsidR="00061A04">
        <w:t xml:space="preserve"> areas, </w:t>
      </w:r>
      <w:r w:rsidR="004E384B">
        <w:t>against less than 2%</w:t>
      </w:r>
      <w:r w:rsidR="00061A04">
        <w:t xml:space="preserve"> in </w:t>
      </w:r>
      <w:r w:rsidR="0021680A">
        <w:t>urban</w:t>
      </w:r>
      <w:r w:rsidR="00061A04">
        <w:t xml:space="preserve"> areas and </w:t>
      </w:r>
      <w:r w:rsidR="00E77F3D">
        <w:t xml:space="preserve">0% in </w:t>
      </w:r>
      <w:r w:rsidR="0021680A">
        <w:t>rural</w:t>
      </w:r>
      <w:r w:rsidR="00E77F3D">
        <w:t xml:space="preserve"> areas</w:t>
      </w:r>
      <w:r w:rsidR="004E384B">
        <w:t xml:space="preserve"> for the households in the richest quartile).</w:t>
      </w:r>
      <w:r w:rsidR="00A32F5E">
        <w:t xml:space="preserve"> </w:t>
      </w:r>
      <w:r w:rsidR="00AC2271">
        <w:t>These</w:t>
      </w:r>
      <w:r w:rsidR="00A32F5E">
        <w:t xml:space="preserve"> results </w:t>
      </w:r>
      <w:r w:rsidR="00AC2271">
        <w:t xml:space="preserve">strengthen the case </w:t>
      </w:r>
      <w:r w:rsidR="00EE59E4">
        <w:t>for a continuous</w:t>
      </w:r>
      <w:r w:rsidR="00AC2271">
        <w:t xml:space="preserve"> monitoring </w:t>
      </w:r>
      <w:r w:rsidR="00EE59E4">
        <w:t xml:space="preserve">of </w:t>
      </w:r>
      <w:r w:rsidR="00AC2271">
        <w:t xml:space="preserve">the evolution of </w:t>
      </w:r>
      <w:r w:rsidR="00EE59E4">
        <w:t xml:space="preserve">housing </w:t>
      </w:r>
      <w:r w:rsidR="00AC2271">
        <w:t>unaffordability</w:t>
      </w:r>
      <w:r w:rsidR="00EE59E4">
        <w:t xml:space="preserve"> for the poorer segments of the population in </w:t>
      </w:r>
      <w:r w:rsidR="00E77F3D">
        <w:t xml:space="preserve">both </w:t>
      </w:r>
      <w:r w:rsidR="0021680A">
        <w:t>urban</w:t>
      </w:r>
      <w:r w:rsidR="00E77F3D">
        <w:t xml:space="preserve"> and </w:t>
      </w:r>
      <w:r w:rsidR="0021680A">
        <w:t>rural</w:t>
      </w:r>
      <w:r w:rsidR="00EE59E4">
        <w:t xml:space="preserve"> areas.</w:t>
      </w:r>
    </w:p>
    <w:p w14:paraId="76FB5B39" w14:textId="28571EE0" w:rsidR="00B66D18" w:rsidRDefault="00E77F3D" w:rsidP="004076AD">
      <w:pPr>
        <w:spacing w:after="0"/>
        <w:rPr>
          <w:rFonts w:cstheme="minorHAnsi"/>
        </w:rPr>
      </w:pPr>
      <w:r w:rsidRPr="00454C26">
        <w:rPr>
          <w:i/>
          <w:iCs/>
          <w:color w:val="44546A" w:themeColor="text2"/>
          <w:sz w:val="18"/>
          <w:szCs w:val="18"/>
        </w:rPr>
        <w:t xml:space="preserve">Figure </w:t>
      </w:r>
      <w:r w:rsidRPr="00454C26">
        <w:rPr>
          <w:i/>
          <w:iCs/>
          <w:color w:val="44546A" w:themeColor="text2"/>
          <w:sz w:val="18"/>
          <w:szCs w:val="18"/>
        </w:rPr>
        <w:fldChar w:fldCharType="begin"/>
      </w:r>
      <w:r w:rsidRPr="00454C26">
        <w:rPr>
          <w:i/>
          <w:iCs/>
          <w:color w:val="44546A" w:themeColor="text2"/>
          <w:sz w:val="18"/>
          <w:szCs w:val="18"/>
        </w:rPr>
        <w:instrText xml:space="preserve"> SEQ Figure \* ARABIC </w:instrText>
      </w:r>
      <w:r w:rsidRPr="00454C26">
        <w:rPr>
          <w:i/>
          <w:iCs/>
          <w:color w:val="44546A" w:themeColor="text2"/>
          <w:sz w:val="18"/>
          <w:szCs w:val="18"/>
        </w:rPr>
        <w:fldChar w:fldCharType="separate"/>
      </w:r>
      <w:r w:rsidR="006B5103">
        <w:rPr>
          <w:i/>
          <w:iCs/>
          <w:noProof/>
          <w:color w:val="44546A" w:themeColor="text2"/>
          <w:sz w:val="18"/>
          <w:szCs w:val="18"/>
        </w:rPr>
        <w:t>51</w:t>
      </w:r>
      <w:r w:rsidRPr="00454C26">
        <w:rPr>
          <w:i/>
          <w:iCs/>
          <w:color w:val="44546A" w:themeColor="text2"/>
          <w:sz w:val="18"/>
          <w:szCs w:val="18"/>
        </w:rPr>
        <w:fldChar w:fldCharType="end"/>
      </w:r>
      <w:r w:rsidRPr="00454C26">
        <w:rPr>
          <w:i/>
          <w:iCs/>
          <w:color w:val="44546A" w:themeColor="text2"/>
          <w:sz w:val="18"/>
          <w:szCs w:val="18"/>
        </w:rPr>
        <w:t xml:space="preserve">: The share of households exceeding the </w:t>
      </w:r>
      <w:r w:rsidR="007A62D4" w:rsidRPr="007A62D4">
        <w:rPr>
          <w:i/>
          <w:iCs/>
          <w:color w:val="44546A" w:themeColor="text2"/>
          <w:sz w:val="18"/>
          <w:szCs w:val="18"/>
        </w:rPr>
        <w:t>extended</w:t>
      </w:r>
      <w:r w:rsidR="007A62D4" w:rsidRPr="00454C26">
        <w:rPr>
          <w:i/>
          <w:iCs/>
          <w:color w:val="44546A" w:themeColor="text2"/>
          <w:sz w:val="18"/>
          <w:szCs w:val="18"/>
        </w:rPr>
        <w:t xml:space="preserve"> </w:t>
      </w:r>
      <w:r w:rsidRPr="00454C26">
        <w:rPr>
          <w:i/>
          <w:iCs/>
          <w:color w:val="44546A" w:themeColor="text2"/>
          <w:sz w:val="18"/>
          <w:szCs w:val="18"/>
        </w:rPr>
        <w:t xml:space="preserve">affordability threshold </w:t>
      </w:r>
      <w:r w:rsidR="00F06F83" w:rsidRPr="00454C26">
        <w:rPr>
          <w:i/>
          <w:iCs/>
          <w:color w:val="44546A" w:themeColor="text2"/>
          <w:sz w:val="18"/>
          <w:szCs w:val="18"/>
        </w:rPr>
        <w:t>(</w:t>
      </w:r>
      <w:r w:rsidR="00DC74EF" w:rsidRPr="00454C26">
        <w:rPr>
          <w:i/>
          <w:iCs/>
          <w:color w:val="44546A" w:themeColor="text2"/>
          <w:sz w:val="18"/>
          <w:szCs w:val="18"/>
        </w:rPr>
        <w:t>(</w:t>
      </w:r>
      <w:r w:rsidRPr="00454C26">
        <w:rPr>
          <w:i/>
          <w:iCs/>
          <w:color w:val="44546A" w:themeColor="text2"/>
          <w:sz w:val="18"/>
          <w:szCs w:val="18"/>
        </w:rPr>
        <w:t>rent</w:t>
      </w:r>
      <w:r w:rsidR="00DC74EF" w:rsidRPr="00454C26">
        <w:rPr>
          <w:i/>
          <w:iCs/>
          <w:color w:val="44546A" w:themeColor="text2"/>
          <w:sz w:val="18"/>
          <w:szCs w:val="18"/>
        </w:rPr>
        <w:t>+</w:t>
      </w:r>
      <w:r w:rsidR="008F3E6B">
        <w:rPr>
          <w:i/>
          <w:iCs/>
          <w:color w:val="44546A" w:themeColor="text2"/>
          <w:sz w:val="18"/>
          <w:szCs w:val="18"/>
        </w:rPr>
        <w:t xml:space="preserve"> </w:t>
      </w:r>
      <w:r w:rsidR="00DC74EF" w:rsidRPr="00454C26">
        <w:rPr>
          <w:i/>
          <w:iCs/>
          <w:color w:val="44546A" w:themeColor="text2"/>
          <w:sz w:val="18"/>
          <w:szCs w:val="18"/>
        </w:rPr>
        <w:t>expenditure)</w:t>
      </w:r>
      <w:r w:rsidRPr="00454C26">
        <w:rPr>
          <w:i/>
          <w:iCs/>
          <w:color w:val="44546A" w:themeColor="text2"/>
          <w:sz w:val="18"/>
          <w:szCs w:val="18"/>
        </w:rPr>
        <w:t>/income</w:t>
      </w:r>
      <w:r w:rsidR="00F06F83" w:rsidRPr="00454C26">
        <w:rPr>
          <w:i/>
          <w:iCs/>
          <w:color w:val="44546A" w:themeColor="text2"/>
          <w:sz w:val="18"/>
          <w:szCs w:val="18"/>
        </w:rPr>
        <w:t>)</w:t>
      </w:r>
      <w:r w:rsidRPr="00454C26">
        <w:rPr>
          <w:i/>
          <w:iCs/>
          <w:color w:val="44546A" w:themeColor="text2"/>
          <w:sz w:val="18"/>
          <w:szCs w:val="18"/>
        </w:rPr>
        <w:t xml:space="preserve"> in </w:t>
      </w:r>
      <w:r w:rsidR="0021680A">
        <w:rPr>
          <w:i/>
          <w:iCs/>
          <w:color w:val="44546A" w:themeColor="text2"/>
          <w:sz w:val="18"/>
          <w:szCs w:val="18"/>
        </w:rPr>
        <w:t>urban</w:t>
      </w:r>
      <w:r w:rsidRPr="00454C26">
        <w:rPr>
          <w:i/>
          <w:iCs/>
          <w:color w:val="44546A" w:themeColor="text2"/>
          <w:sz w:val="18"/>
          <w:szCs w:val="18"/>
        </w:rPr>
        <w:t xml:space="preserve"> areas</w:t>
      </w:r>
      <w:r w:rsidR="00174BCB">
        <w:rPr>
          <w:i/>
          <w:iCs/>
          <w:color w:val="44546A" w:themeColor="text2"/>
          <w:sz w:val="18"/>
          <w:szCs w:val="18"/>
        </w:rPr>
        <w:t xml:space="preserve"> - </w:t>
      </w:r>
      <w:r w:rsidR="00174BCB" w:rsidRPr="00174BCB">
        <w:rPr>
          <w:i/>
          <w:iCs/>
          <w:color w:val="44546A" w:themeColor="text2"/>
          <w:sz w:val="18"/>
          <w:szCs w:val="18"/>
        </w:rPr>
        <w:t>by quartile of income distribution</w:t>
      </w:r>
      <w:r w:rsidR="003E055F">
        <w:rPr>
          <w:noProof/>
        </w:rPr>
        <w:drawing>
          <wp:inline distT="0" distB="0" distL="0" distR="0" wp14:anchorId="107C9CB7" wp14:editId="075AF452">
            <wp:extent cx="5654040" cy="2435962"/>
            <wp:effectExtent l="0" t="0" r="3810" b="2540"/>
            <wp:docPr id="59" name="Grafico 5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685D84C" w14:textId="18171FE3" w:rsidR="003E055F" w:rsidRDefault="003E055F" w:rsidP="003E055F">
      <w:pPr>
        <w:jc w:val="both"/>
      </w:pPr>
      <w:r>
        <w:rPr>
          <w:i/>
          <w:iCs/>
          <w:color w:val="44546A" w:themeColor="text2"/>
          <w:sz w:val="18"/>
          <w:szCs w:val="18"/>
        </w:rPr>
        <w:t>Source: I</w:t>
      </w:r>
      <w:r w:rsidR="00067659">
        <w:rPr>
          <w:i/>
          <w:iCs/>
          <w:color w:val="44546A" w:themeColor="text2"/>
          <w:sz w:val="18"/>
          <w:szCs w:val="18"/>
        </w:rPr>
        <w:t>ntegrated Household Survey</w:t>
      </w:r>
    </w:p>
    <w:p w14:paraId="3DD30020" w14:textId="42A43B8F" w:rsidR="00C43270" w:rsidRPr="00DC74EF" w:rsidRDefault="0021680A" w:rsidP="00454C26">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52</w:t>
      </w:r>
      <w:r w:rsidR="009E6455">
        <w:rPr>
          <w:noProof/>
        </w:rPr>
        <w:fldChar w:fldCharType="end"/>
      </w:r>
      <w:r w:rsidR="00DC74EF">
        <w:t>: The share of households exceeding the</w:t>
      </w:r>
      <w:r w:rsidR="00AE29D3">
        <w:t xml:space="preserve"> extended </w:t>
      </w:r>
      <w:r w:rsidR="00DC74EF">
        <w:t>affordability threshold</w:t>
      </w:r>
      <w:r w:rsidR="00F06F83">
        <w:t xml:space="preserve"> (</w:t>
      </w:r>
      <w:r w:rsidR="00DC74EF">
        <w:t>(rent+</w:t>
      </w:r>
      <w:r w:rsidR="008F3E6B">
        <w:t xml:space="preserve"> </w:t>
      </w:r>
      <w:r w:rsidR="00DC74EF">
        <w:t>expenditures)/income</w:t>
      </w:r>
      <w:r w:rsidR="00F06F83">
        <w:t>)</w:t>
      </w:r>
      <w:r w:rsidR="00DC74EF">
        <w:t xml:space="preserve"> in </w:t>
      </w:r>
      <w:r>
        <w:t>rural</w:t>
      </w:r>
      <w:r w:rsidR="00DC74EF">
        <w:t xml:space="preserve"> areas</w:t>
      </w:r>
      <w:r w:rsidR="00174BCB">
        <w:t>-</w:t>
      </w:r>
      <w:r w:rsidR="00174BCB" w:rsidRPr="00174BCB">
        <w:t xml:space="preserve"> </w:t>
      </w:r>
      <w:r w:rsidR="00174BCB">
        <w:t>by quartile of income distribution</w:t>
      </w:r>
    </w:p>
    <w:p w14:paraId="5FD341DC" w14:textId="71CDBE3C" w:rsidR="00C43270" w:rsidRDefault="00C43270" w:rsidP="00067659">
      <w:pPr>
        <w:spacing w:after="0"/>
        <w:jc w:val="both"/>
        <w:rPr>
          <w:rFonts w:cstheme="minorHAnsi"/>
        </w:rPr>
      </w:pPr>
      <w:r>
        <w:rPr>
          <w:noProof/>
        </w:rPr>
        <w:drawing>
          <wp:inline distT="0" distB="0" distL="0" distR="0" wp14:anchorId="7D07F5E9" wp14:editId="284C962D">
            <wp:extent cx="5695950" cy="2352675"/>
            <wp:effectExtent l="0" t="0" r="0" b="9525"/>
            <wp:docPr id="63" name="Grafico 63">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2F06887" w14:textId="1F85ABC6" w:rsidR="00C43270" w:rsidRDefault="008A6044" w:rsidP="00420294">
      <w:pPr>
        <w:jc w:val="both"/>
        <w:rPr>
          <w:rFonts w:cstheme="minorHAnsi"/>
        </w:rPr>
      </w:pPr>
      <w:r>
        <w:rPr>
          <w:i/>
          <w:iCs/>
          <w:color w:val="44546A" w:themeColor="text2"/>
          <w:sz w:val="18"/>
          <w:szCs w:val="18"/>
        </w:rPr>
        <w:t>Source: I</w:t>
      </w:r>
      <w:r w:rsidR="00067659">
        <w:rPr>
          <w:i/>
          <w:iCs/>
          <w:color w:val="44546A" w:themeColor="text2"/>
          <w:sz w:val="18"/>
          <w:szCs w:val="18"/>
        </w:rPr>
        <w:t xml:space="preserve">ntegrated Household Survey </w:t>
      </w:r>
    </w:p>
    <w:p w14:paraId="252AAFB9" w14:textId="7F9055B9" w:rsidR="00420294" w:rsidRDefault="00DD0AA2" w:rsidP="00420294">
      <w:pPr>
        <w:jc w:val="both"/>
        <w:rPr>
          <w:rFonts w:cstheme="minorHAnsi"/>
        </w:rPr>
      </w:pPr>
      <w:r>
        <w:rPr>
          <w:rFonts w:cstheme="minorHAnsi"/>
        </w:rPr>
        <w:t>T</w:t>
      </w:r>
      <w:r w:rsidR="00425134">
        <w:rPr>
          <w:rFonts w:cstheme="minorHAnsi"/>
        </w:rPr>
        <w:t xml:space="preserve">he </w:t>
      </w:r>
      <w:r w:rsidR="007A1B79">
        <w:rPr>
          <w:rFonts w:cstheme="minorHAnsi"/>
        </w:rPr>
        <w:t xml:space="preserve">figures relative to the disaggregated analysis </w:t>
      </w:r>
      <w:r w:rsidR="00DC246E">
        <w:rPr>
          <w:rFonts w:cstheme="minorHAnsi"/>
        </w:rPr>
        <w:t xml:space="preserve">(by income) </w:t>
      </w:r>
      <w:r w:rsidR="007A1B79">
        <w:rPr>
          <w:rFonts w:cstheme="minorHAnsi"/>
        </w:rPr>
        <w:t xml:space="preserve">of the </w:t>
      </w:r>
      <w:r w:rsidR="007A1B79" w:rsidRPr="006066AB">
        <w:rPr>
          <w:rFonts w:cstheme="minorHAnsi"/>
          <w:i/>
          <w:iCs/>
        </w:rPr>
        <w:t>extended shadow unaffordability</w:t>
      </w:r>
      <w:r>
        <w:rPr>
          <w:rFonts w:cstheme="minorHAnsi"/>
          <w:i/>
          <w:iCs/>
        </w:rPr>
        <w:t xml:space="preserve"> </w:t>
      </w:r>
      <w:r w:rsidRPr="00DD0AA2">
        <w:rPr>
          <w:rFonts w:cstheme="minorHAnsi"/>
        </w:rPr>
        <w:t>are not discussed here</w:t>
      </w:r>
      <w:r w:rsidR="007A1B79" w:rsidRPr="007A1B79">
        <w:rPr>
          <w:rFonts w:cstheme="minorHAnsi"/>
        </w:rPr>
        <w:t xml:space="preserve"> </w:t>
      </w:r>
      <w:r w:rsidR="00DC246E">
        <w:rPr>
          <w:rFonts w:cstheme="minorHAnsi"/>
        </w:rPr>
        <w:t>(</w:t>
      </w:r>
      <w:r>
        <w:rPr>
          <w:rFonts w:cstheme="minorHAnsi"/>
        </w:rPr>
        <w:t>s</w:t>
      </w:r>
      <w:r w:rsidRPr="00DD0AA2">
        <w:rPr>
          <w:rFonts w:cstheme="minorHAnsi"/>
        </w:rPr>
        <w:t xml:space="preserve">ee </w:t>
      </w:r>
      <w:r>
        <w:rPr>
          <w:rFonts w:cstheme="minorHAnsi"/>
        </w:rPr>
        <w:t>f</w:t>
      </w:r>
      <w:r w:rsidR="00DC246E">
        <w:rPr>
          <w:rFonts w:cstheme="minorHAnsi"/>
        </w:rPr>
        <w:t>igures in the Annex section)</w:t>
      </w:r>
      <w:r w:rsidR="00D128DD">
        <w:rPr>
          <w:rFonts w:cstheme="minorHAnsi"/>
        </w:rPr>
        <w:t>,</w:t>
      </w:r>
      <w:r w:rsidR="00DC246E">
        <w:rPr>
          <w:rFonts w:cstheme="minorHAnsi"/>
        </w:rPr>
        <w:t xml:space="preserve"> </w:t>
      </w:r>
      <w:r w:rsidR="007A1B79" w:rsidRPr="007A1B79">
        <w:rPr>
          <w:rFonts w:cstheme="minorHAnsi"/>
        </w:rPr>
        <w:t>as</w:t>
      </w:r>
      <w:r w:rsidR="00AB5582">
        <w:rPr>
          <w:rFonts w:cstheme="minorHAnsi"/>
        </w:rPr>
        <w:t xml:space="preserve"> their analysis would basically lead to the same conclusions.</w:t>
      </w:r>
    </w:p>
    <w:p w14:paraId="2D490E42" w14:textId="6BE732AD" w:rsidR="00B66D18" w:rsidRDefault="00DD0AA2" w:rsidP="00B66D18">
      <w:pPr>
        <w:jc w:val="both"/>
        <w:rPr>
          <w:rFonts w:cstheme="minorHAnsi"/>
        </w:rPr>
      </w:pPr>
      <w:r>
        <w:rPr>
          <w:rFonts w:cstheme="minorHAnsi"/>
        </w:rPr>
        <w:t>The study also</w:t>
      </w:r>
      <w:r w:rsidR="000A5F42">
        <w:rPr>
          <w:rFonts w:cstheme="minorHAnsi"/>
        </w:rPr>
        <w:t xml:space="preserve"> refrain</w:t>
      </w:r>
      <w:r>
        <w:rPr>
          <w:rFonts w:cstheme="minorHAnsi"/>
        </w:rPr>
        <w:t>s</w:t>
      </w:r>
      <w:r w:rsidR="000A5F42">
        <w:rPr>
          <w:rFonts w:cstheme="minorHAnsi"/>
        </w:rPr>
        <w:t xml:space="preserve"> from discussing the </w:t>
      </w:r>
      <w:r w:rsidR="00434EE9">
        <w:rPr>
          <w:rFonts w:cstheme="minorHAnsi"/>
        </w:rPr>
        <w:t xml:space="preserve">figures relative to IDPs, female headed households and households with disabled </w:t>
      </w:r>
      <w:r>
        <w:rPr>
          <w:rFonts w:cstheme="minorHAnsi"/>
        </w:rPr>
        <w:t>individuals as</w:t>
      </w:r>
      <w:r w:rsidR="00434EE9">
        <w:rPr>
          <w:rFonts w:cstheme="minorHAnsi"/>
        </w:rPr>
        <w:t xml:space="preserve"> they do not present significantly differences (in absolute and relative terms) with respect to the overall population trends (and values). </w:t>
      </w:r>
    </w:p>
    <w:p w14:paraId="19FBF266" w14:textId="1D4FD9F4" w:rsidR="000718A6" w:rsidRDefault="00F53EA3" w:rsidP="00454C26">
      <w:pPr>
        <w:jc w:val="both"/>
        <w:rPr>
          <w:rFonts w:cstheme="minorHAnsi"/>
        </w:rPr>
      </w:pPr>
      <w:r>
        <w:rPr>
          <w:rFonts w:cstheme="minorHAnsi"/>
        </w:rPr>
        <w:t>U</w:t>
      </w:r>
      <w:r w:rsidR="000C2094">
        <w:rPr>
          <w:rFonts w:cstheme="minorHAnsi"/>
        </w:rPr>
        <w:t>naffordability trend</w:t>
      </w:r>
      <w:r w:rsidR="006F4538">
        <w:rPr>
          <w:rFonts w:cstheme="minorHAnsi"/>
        </w:rPr>
        <w:t>s by ethnicity in</w:t>
      </w:r>
      <w:r>
        <w:rPr>
          <w:rFonts w:cstheme="minorHAnsi"/>
        </w:rPr>
        <w:t xml:space="preserve">stead deserve a closer look. </w:t>
      </w:r>
      <w:r w:rsidR="00DD0AA2">
        <w:rPr>
          <w:rFonts w:cstheme="minorHAnsi"/>
        </w:rPr>
        <w:t>Concentrating</w:t>
      </w:r>
      <w:r>
        <w:rPr>
          <w:rFonts w:cstheme="minorHAnsi"/>
        </w:rPr>
        <w:t xml:space="preserve"> on</w:t>
      </w:r>
      <w:r w:rsidR="001713DA">
        <w:rPr>
          <w:rFonts w:cstheme="minorHAnsi"/>
        </w:rPr>
        <w:t xml:space="preserve"> the rent/income ratios, </w:t>
      </w:r>
      <w:r w:rsidR="00DD0AA2">
        <w:rPr>
          <w:rFonts w:cstheme="minorHAnsi"/>
        </w:rPr>
        <w:t xml:space="preserve">it can be noticed that </w:t>
      </w:r>
      <w:r w:rsidR="00F96D81">
        <w:rPr>
          <w:rFonts w:cstheme="minorHAnsi"/>
        </w:rPr>
        <w:t xml:space="preserve">in </w:t>
      </w:r>
      <w:r w:rsidR="0021680A">
        <w:rPr>
          <w:rFonts w:cstheme="minorHAnsi"/>
        </w:rPr>
        <w:t>urban</w:t>
      </w:r>
      <w:r w:rsidR="00F96D81">
        <w:rPr>
          <w:rFonts w:cstheme="minorHAnsi"/>
        </w:rPr>
        <w:t xml:space="preserve"> areas </w:t>
      </w:r>
      <w:r w:rsidR="00D44350">
        <w:rPr>
          <w:rFonts w:cstheme="minorHAnsi"/>
        </w:rPr>
        <w:t xml:space="preserve">ethnically mixed and ethnically non-Georgian </w:t>
      </w:r>
      <w:r w:rsidR="00A943B1">
        <w:rPr>
          <w:rFonts w:cstheme="minorHAnsi"/>
        </w:rPr>
        <w:t xml:space="preserve">households </w:t>
      </w:r>
      <w:r w:rsidR="00D44350">
        <w:rPr>
          <w:rFonts w:cstheme="minorHAnsi"/>
        </w:rPr>
        <w:t xml:space="preserve">show </w:t>
      </w:r>
      <w:r w:rsidR="008340E9">
        <w:rPr>
          <w:rFonts w:cstheme="minorHAnsi"/>
        </w:rPr>
        <w:t>historically a lower incidence of unaffordability with respect to ethnically Georgian households. This might be due either to higher incomes</w:t>
      </w:r>
      <w:r w:rsidR="00F96D81">
        <w:rPr>
          <w:rFonts w:cstheme="minorHAnsi"/>
        </w:rPr>
        <w:t>, or to lower rents, or a combination of the two.</w:t>
      </w:r>
      <w:r w:rsidR="000718A6">
        <w:rPr>
          <w:rFonts w:cstheme="minorHAnsi"/>
        </w:rPr>
        <w:t xml:space="preserve"> In </w:t>
      </w:r>
      <w:r w:rsidR="0021680A">
        <w:rPr>
          <w:rFonts w:cstheme="minorHAnsi"/>
        </w:rPr>
        <w:t>rural</w:t>
      </w:r>
      <w:r w:rsidR="000718A6">
        <w:rPr>
          <w:rFonts w:cstheme="minorHAnsi"/>
        </w:rPr>
        <w:t xml:space="preserve"> areas, the incidence of unaffordability seems to be almost zero among all categories.</w:t>
      </w:r>
    </w:p>
    <w:p w14:paraId="16390629" w14:textId="2DAA6EA9" w:rsidR="008F3E6B" w:rsidRDefault="0021680A" w:rsidP="008F3E6B">
      <w:pPr>
        <w:pStyle w:val="Caption"/>
        <w:spacing w:before="240"/>
        <w:rPr>
          <w:noProof/>
        </w:rPr>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53</w:t>
      </w:r>
      <w:r w:rsidR="009E6455">
        <w:rPr>
          <w:noProof/>
        </w:rPr>
        <w:fldChar w:fldCharType="end"/>
      </w:r>
      <w:r>
        <w:t xml:space="preserve">:  </w:t>
      </w:r>
      <w:r w:rsidRPr="003066B6">
        <w:t xml:space="preserve">The share of households exceeding the affordability threshold (rent/income) in </w:t>
      </w:r>
      <w:r>
        <w:t>urban</w:t>
      </w:r>
      <w:r w:rsidRPr="003066B6">
        <w:t xml:space="preserve"> areas</w:t>
      </w:r>
      <w:r>
        <w:t xml:space="preserve"> – by ethnicity</w:t>
      </w:r>
      <w:r w:rsidRPr="0021680A">
        <w:rPr>
          <w:noProof/>
        </w:rPr>
        <w:t xml:space="preserve"> </w:t>
      </w:r>
    </w:p>
    <w:p w14:paraId="31100A32" w14:textId="200C62DA" w:rsidR="0021680A" w:rsidRDefault="0021680A" w:rsidP="00D128DD">
      <w:pPr>
        <w:pStyle w:val="Caption"/>
        <w:spacing w:before="240" w:after="0"/>
        <w:rPr>
          <w:noProof/>
        </w:rPr>
      </w:pPr>
      <w:r>
        <w:rPr>
          <w:noProof/>
        </w:rPr>
        <w:drawing>
          <wp:inline distT="0" distB="0" distL="0" distR="0" wp14:anchorId="560713C4" wp14:editId="1004BA80">
            <wp:extent cx="5683910" cy="2143354"/>
            <wp:effectExtent l="0" t="0" r="12065" b="9525"/>
            <wp:docPr id="124" name="Chart 124">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0DDA0DB" w14:textId="05A86151" w:rsidR="0021680A" w:rsidRDefault="0021680A" w:rsidP="0021680A">
      <w:pPr>
        <w:jc w:val="both"/>
        <w:rPr>
          <w:i/>
          <w:iCs/>
          <w:color w:val="44546A" w:themeColor="text2"/>
          <w:sz w:val="18"/>
          <w:szCs w:val="18"/>
        </w:rPr>
      </w:pPr>
      <w:r>
        <w:rPr>
          <w:i/>
          <w:iCs/>
          <w:color w:val="44546A" w:themeColor="text2"/>
          <w:sz w:val="18"/>
          <w:szCs w:val="18"/>
        </w:rPr>
        <w:t>Source: I</w:t>
      </w:r>
      <w:r w:rsidR="00D128DD">
        <w:rPr>
          <w:i/>
          <w:iCs/>
          <w:color w:val="44546A" w:themeColor="text2"/>
          <w:sz w:val="18"/>
          <w:szCs w:val="18"/>
        </w:rPr>
        <w:t xml:space="preserve">ntegrated Household Survey </w:t>
      </w:r>
    </w:p>
    <w:p w14:paraId="27AA22AA" w14:textId="77777777" w:rsidR="004076AD" w:rsidRDefault="004076AD" w:rsidP="0021680A">
      <w:pPr>
        <w:jc w:val="both"/>
      </w:pPr>
    </w:p>
    <w:p w14:paraId="444CC991" w14:textId="3398AFCA" w:rsidR="0021680A" w:rsidRPr="00454C26" w:rsidRDefault="0021680A" w:rsidP="00454C26">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54</w:t>
      </w:r>
      <w:r w:rsidR="009E6455">
        <w:rPr>
          <w:noProof/>
        </w:rPr>
        <w:fldChar w:fldCharType="end"/>
      </w:r>
      <w:r>
        <w:t xml:space="preserve">: </w:t>
      </w:r>
      <w:r w:rsidRPr="003066B6">
        <w:t>The share of households exceeding the affordability threshold (ren</w:t>
      </w:r>
      <w:r w:rsidR="008C3A8A">
        <w:t>t</w:t>
      </w:r>
      <w:r w:rsidRPr="003066B6">
        <w:t xml:space="preserve">/income) in </w:t>
      </w:r>
      <w:r w:rsidR="00501A83">
        <w:t>r</w:t>
      </w:r>
      <w:r>
        <w:t>ural</w:t>
      </w:r>
      <w:r w:rsidRPr="003066B6">
        <w:t xml:space="preserve"> areas</w:t>
      </w:r>
      <w:r>
        <w:t xml:space="preserve"> – by ethnicity</w:t>
      </w:r>
    </w:p>
    <w:p w14:paraId="4789F83E" w14:textId="1ABD30BB" w:rsidR="0021680A" w:rsidRDefault="0021680A" w:rsidP="00D128DD">
      <w:pPr>
        <w:spacing w:after="0"/>
        <w:jc w:val="both"/>
        <w:rPr>
          <w:rFonts w:cstheme="minorHAnsi"/>
        </w:rPr>
      </w:pPr>
      <w:r>
        <w:rPr>
          <w:noProof/>
        </w:rPr>
        <w:drawing>
          <wp:inline distT="0" distB="0" distL="0" distR="0" wp14:anchorId="484C7112" wp14:editId="77DD0526">
            <wp:extent cx="5815584" cy="2677363"/>
            <wp:effectExtent l="0" t="0" r="13970" b="8890"/>
            <wp:docPr id="125" name="Chart 125">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67034654" w14:textId="2EA43490" w:rsidR="008A0A72" w:rsidRPr="00454C26" w:rsidRDefault="008A0A72" w:rsidP="00B66D18">
      <w:pPr>
        <w:jc w:val="both"/>
      </w:pPr>
      <w:r>
        <w:rPr>
          <w:i/>
          <w:iCs/>
          <w:color w:val="44546A" w:themeColor="text2"/>
          <w:sz w:val="18"/>
          <w:szCs w:val="18"/>
        </w:rPr>
        <w:t>Source: I</w:t>
      </w:r>
      <w:r w:rsidR="00D128DD">
        <w:rPr>
          <w:i/>
          <w:iCs/>
          <w:color w:val="44546A" w:themeColor="text2"/>
          <w:sz w:val="18"/>
          <w:szCs w:val="18"/>
        </w:rPr>
        <w:t xml:space="preserve">ntegrated Household Survey </w:t>
      </w:r>
    </w:p>
    <w:p w14:paraId="3E32EE86" w14:textId="0C8E117F" w:rsidR="001862BB" w:rsidRDefault="000718A6" w:rsidP="00B66D18">
      <w:pPr>
        <w:jc w:val="both"/>
        <w:rPr>
          <w:rFonts w:cstheme="minorHAnsi"/>
        </w:rPr>
      </w:pPr>
      <w:r>
        <w:rPr>
          <w:rFonts w:cstheme="minorHAnsi"/>
        </w:rPr>
        <w:t xml:space="preserve">The picture changes substantially </w:t>
      </w:r>
      <w:r w:rsidR="00DD0AA2">
        <w:rPr>
          <w:rFonts w:cstheme="minorHAnsi"/>
        </w:rPr>
        <w:t>while</w:t>
      </w:r>
      <w:r>
        <w:rPr>
          <w:rFonts w:cstheme="minorHAnsi"/>
        </w:rPr>
        <w:t xml:space="preserve"> look at</w:t>
      </w:r>
      <w:r w:rsidR="003F20B6">
        <w:rPr>
          <w:rFonts w:cstheme="minorHAnsi"/>
        </w:rPr>
        <w:t xml:space="preserve"> a broader</w:t>
      </w:r>
      <w:r w:rsidR="00A943B1">
        <w:rPr>
          <w:rFonts w:cstheme="minorHAnsi"/>
        </w:rPr>
        <w:t xml:space="preserve"> definition of unaffordability, adding the cost of utilities to the rent</w:t>
      </w:r>
      <w:r w:rsidR="001862BB">
        <w:rPr>
          <w:rFonts w:cstheme="minorHAnsi"/>
        </w:rPr>
        <w:t>. Under this indicator, non</w:t>
      </w:r>
      <w:r w:rsidR="009B68F9">
        <w:rPr>
          <w:rFonts w:cstheme="minorHAnsi"/>
        </w:rPr>
        <w:t xml:space="preserve">-ethnically Georgian households in </w:t>
      </w:r>
      <w:r w:rsidR="0021680A">
        <w:rPr>
          <w:rFonts w:cstheme="minorHAnsi"/>
        </w:rPr>
        <w:t>urban</w:t>
      </w:r>
      <w:r w:rsidR="009B68F9">
        <w:rPr>
          <w:rFonts w:cstheme="minorHAnsi"/>
        </w:rPr>
        <w:t xml:space="preserve"> areas show an historically higher incidence of unaffordability, which converges to the level of the other two groups over the last years.</w:t>
      </w:r>
      <w:r w:rsidR="00DD0AA2">
        <w:rPr>
          <w:rFonts w:cstheme="minorHAnsi"/>
        </w:rPr>
        <w:t xml:space="preserve"> Given what was</w:t>
      </w:r>
      <w:r w:rsidR="00045FB8">
        <w:rPr>
          <w:rFonts w:cstheme="minorHAnsi"/>
        </w:rPr>
        <w:t xml:space="preserve"> observed looking solely at rents, it appears the apparent “advantage” of </w:t>
      </w:r>
      <w:r w:rsidR="00501A83">
        <w:rPr>
          <w:rFonts w:cstheme="minorHAnsi"/>
        </w:rPr>
        <w:t>non-ethnically</w:t>
      </w:r>
      <w:r w:rsidR="00045FB8">
        <w:rPr>
          <w:rFonts w:cstheme="minorHAnsi"/>
        </w:rPr>
        <w:t xml:space="preserve"> Georgian households in </w:t>
      </w:r>
      <w:r w:rsidR="0021680A">
        <w:rPr>
          <w:rFonts w:cstheme="minorHAnsi"/>
        </w:rPr>
        <w:t>urban</w:t>
      </w:r>
      <w:r w:rsidR="00045FB8">
        <w:rPr>
          <w:rFonts w:cstheme="minorHAnsi"/>
        </w:rPr>
        <w:t xml:space="preserve"> areas </w:t>
      </w:r>
      <w:r w:rsidR="00501A83">
        <w:rPr>
          <w:rFonts w:cstheme="minorHAnsi"/>
        </w:rPr>
        <w:t>were</w:t>
      </w:r>
      <w:r w:rsidR="00045FB8">
        <w:rPr>
          <w:rFonts w:cstheme="minorHAnsi"/>
        </w:rPr>
        <w:t xml:space="preserve"> </w:t>
      </w:r>
      <w:r w:rsidR="00F41672">
        <w:rPr>
          <w:rFonts w:cstheme="minorHAnsi"/>
        </w:rPr>
        <w:t>very likely</w:t>
      </w:r>
      <w:r w:rsidR="00045FB8">
        <w:rPr>
          <w:rFonts w:cstheme="minorHAnsi"/>
        </w:rPr>
        <w:t xml:space="preserve"> due to lower rents paid</w:t>
      </w:r>
      <w:r w:rsidR="00F41672">
        <w:rPr>
          <w:rFonts w:cstheme="minorHAnsi"/>
        </w:rPr>
        <w:t xml:space="preserve"> (maybe because of </w:t>
      </w:r>
      <w:r w:rsidR="003A7DD2">
        <w:rPr>
          <w:rFonts w:cstheme="minorHAnsi"/>
        </w:rPr>
        <w:t>house location)</w:t>
      </w:r>
      <w:r w:rsidR="00F41672">
        <w:rPr>
          <w:rFonts w:cstheme="minorHAnsi"/>
        </w:rPr>
        <w:t>.</w:t>
      </w:r>
    </w:p>
    <w:p w14:paraId="5BD9FF91" w14:textId="2A4821C6" w:rsidR="003A7DD2" w:rsidRDefault="003A7DD2" w:rsidP="00B66D18">
      <w:pPr>
        <w:jc w:val="both"/>
        <w:rPr>
          <w:rFonts w:cstheme="minorHAnsi"/>
        </w:rPr>
      </w:pPr>
      <w:r>
        <w:rPr>
          <w:rFonts w:cstheme="minorHAnsi"/>
        </w:rPr>
        <w:t xml:space="preserve">Where the difference </w:t>
      </w:r>
      <w:r w:rsidR="00116119">
        <w:rPr>
          <w:rFonts w:cstheme="minorHAnsi"/>
        </w:rPr>
        <w:t xml:space="preserve">with respect to the previous indicator is most striking, however, is in </w:t>
      </w:r>
      <w:r w:rsidR="00501A83">
        <w:rPr>
          <w:rFonts w:cstheme="minorHAnsi"/>
        </w:rPr>
        <w:t>r</w:t>
      </w:r>
      <w:r w:rsidR="0021680A">
        <w:rPr>
          <w:rFonts w:cstheme="minorHAnsi"/>
        </w:rPr>
        <w:t>ural</w:t>
      </w:r>
      <w:r w:rsidR="00116119">
        <w:rPr>
          <w:rFonts w:cstheme="minorHAnsi"/>
        </w:rPr>
        <w:t xml:space="preserve"> areas. In these areas, </w:t>
      </w:r>
      <w:r w:rsidR="00A935CC">
        <w:rPr>
          <w:rFonts w:cstheme="minorHAnsi"/>
        </w:rPr>
        <w:t xml:space="preserve">not only the gap between </w:t>
      </w:r>
      <w:r w:rsidR="00501A83">
        <w:rPr>
          <w:rFonts w:cstheme="minorHAnsi"/>
        </w:rPr>
        <w:t>non-ethnically</w:t>
      </w:r>
      <w:r w:rsidR="00A935CC">
        <w:rPr>
          <w:rFonts w:cstheme="minorHAnsi"/>
        </w:rPr>
        <w:t xml:space="preserve"> Georgian households and the other households emerges clearly, but shrinks less over time, with the incidence of unaffordability among non-ethnically Georgian households</w:t>
      </w:r>
      <w:r w:rsidR="00E7673E">
        <w:rPr>
          <w:rFonts w:cstheme="minorHAnsi"/>
        </w:rPr>
        <w:t xml:space="preserve"> remaining substantially higher (7.1% in 2018) than</w:t>
      </w:r>
      <w:r w:rsidR="00720DC2">
        <w:rPr>
          <w:rFonts w:cstheme="minorHAnsi"/>
        </w:rPr>
        <w:t xml:space="preserve"> among</w:t>
      </w:r>
      <w:r w:rsidR="00A935CC">
        <w:rPr>
          <w:rFonts w:cstheme="minorHAnsi"/>
        </w:rPr>
        <w:t xml:space="preserve"> the other two categories </w:t>
      </w:r>
      <w:r w:rsidR="00720DC2">
        <w:rPr>
          <w:rFonts w:cstheme="minorHAnsi"/>
        </w:rPr>
        <w:t>(2.6% in 2018).</w:t>
      </w:r>
    </w:p>
    <w:p w14:paraId="75B89CB6" w14:textId="7EC96C61" w:rsidR="006B0DBB" w:rsidRDefault="00501A83" w:rsidP="004076AD">
      <w:pPr>
        <w:pStyle w:val="Caption"/>
        <w:spacing w:after="0"/>
        <w:rPr>
          <w:noProof/>
        </w:rPr>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55</w:t>
      </w:r>
      <w:r w:rsidR="009E6455">
        <w:rPr>
          <w:noProof/>
        </w:rPr>
        <w:fldChar w:fldCharType="end"/>
      </w:r>
      <w:r>
        <w:t xml:space="preserve">: </w:t>
      </w:r>
      <w:r w:rsidRPr="003066B6">
        <w:t xml:space="preserve">The share of households exceeding the </w:t>
      </w:r>
      <w:r w:rsidR="002B5AE1">
        <w:t xml:space="preserve">extended </w:t>
      </w:r>
      <w:r w:rsidRPr="003066B6">
        <w:t>affordability threshold ((rent+</w:t>
      </w:r>
      <w:r w:rsidR="008F3E6B">
        <w:t xml:space="preserve"> </w:t>
      </w:r>
      <w:r w:rsidRPr="003066B6">
        <w:t xml:space="preserve">expenditures)/income) in </w:t>
      </w:r>
      <w:r>
        <w:t>urban</w:t>
      </w:r>
      <w:r w:rsidRPr="003066B6">
        <w:t xml:space="preserve"> areas</w:t>
      </w:r>
      <w:r>
        <w:t xml:space="preserve"> – by ethnicity</w:t>
      </w:r>
      <w:r w:rsidRPr="00501A83">
        <w:rPr>
          <w:noProof/>
        </w:rPr>
        <w:t xml:space="preserve"> </w:t>
      </w:r>
      <w:r>
        <w:rPr>
          <w:noProof/>
        </w:rPr>
        <w:drawing>
          <wp:inline distT="0" distB="0" distL="0" distR="0" wp14:anchorId="61706559" wp14:editId="67FC778A">
            <wp:extent cx="5866790" cy="2472538"/>
            <wp:effectExtent l="0" t="0" r="635" b="4445"/>
            <wp:docPr id="126" name="Chart 126">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641491A" w14:textId="174CB9E5" w:rsidR="008A0A72" w:rsidRDefault="008A0A72" w:rsidP="008A0A72">
      <w:pPr>
        <w:jc w:val="both"/>
      </w:pPr>
      <w:r>
        <w:rPr>
          <w:i/>
          <w:iCs/>
          <w:color w:val="44546A" w:themeColor="text2"/>
          <w:sz w:val="18"/>
          <w:szCs w:val="18"/>
        </w:rPr>
        <w:t>Source: I</w:t>
      </w:r>
      <w:r w:rsidR="003A035A">
        <w:rPr>
          <w:i/>
          <w:iCs/>
          <w:color w:val="44546A" w:themeColor="text2"/>
          <w:sz w:val="18"/>
          <w:szCs w:val="18"/>
        </w:rPr>
        <w:t xml:space="preserve">ntegrated Household Survey </w:t>
      </w:r>
    </w:p>
    <w:p w14:paraId="6BB753E3" w14:textId="62A6A9BC" w:rsidR="008A0A72" w:rsidRDefault="00CA453C" w:rsidP="00454C26">
      <w:pPr>
        <w:pStyle w:val="Caption"/>
      </w:pPr>
      <w:r>
        <w:lastRenderedPageBreak/>
        <w:t>F</w:t>
      </w:r>
      <w:r w:rsidR="008A0A72">
        <w:t xml:space="preserve">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56</w:t>
      </w:r>
      <w:r w:rsidR="009E6455">
        <w:rPr>
          <w:noProof/>
        </w:rPr>
        <w:fldChar w:fldCharType="end"/>
      </w:r>
      <w:r w:rsidR="008A0A72">
        <w:t xml:space="preserve">:  </w:t>
      </w:r>
      <w:r w:rsidR="008A0A72" w:rsidRPr="003066B6">
        <w:t>The share of households exceeding the</w:t>
      </w:r>
      <w:r w:rsidR="00AE29D3">
        <w:t xml:space="preserve"> extended </w:t>
      </w:r>
      <w:r w:rsidR="008A0A72" w:rsidRPr="003066B6">
        <w:t>affordability threshold ((rent+</w:t>
      </w:r>
      <w:r w:rsidR="008F3E6B">
        <w:t xml:space="preserve"> </w:t>
      </w:r>
      <w:r w:rsidR="008A0A72" w:rsidRPr="003066B6">
        <w:t xml:space="preserve">expenditures)/income) in </w:t>
      </w:r>
      <w:r w:rsidR="008A0A72">
        <w:t>rural</w:t>
      </w:r>
      <w:r w:rsidR="008A0A72" w:rsidRPr="003066B6">
        <w:t xml:space="preserve"> areas</w:t>
      </w:r>
      <w:r w:rsidR="008A0A72">
        <w:t xml:space="preserve"> – by ethnicity</w:t>
      </w:r>
    </w:p>
    <w:p w14:paraId="6B76ABCE" w14:textId="119E1F20" w:rsidR="00501A83" w:rsidRDefault="00501A83" w:rsidP="003A035A">
      <w:pPr>
        <w:spacing w:after="0"/>
        <w:jc w:val="both"/>
        <w:rPr>
          <w:rFonts w:cstheme="minorHAnsi"/>
        </w:rPr>
      </w:pPr>
      <w:r>
        <w:rPr>
          <w:noProof/>
        </w:rPr>
        <w:drawing>
          <wp:inline distT="0" distB="0" distL="0" distR="0" wp14:anchorId="7B498850" wp14:editId="4634890E">
            <wp:extent cx="5876925" cy="3114675"/>
            <wp:effectExtent l="0" t="0" r="9525" b="9525"/>
            <wp:docPr id="127" name="Chart 127">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A1CB655" w14:textId="303207D0" w:rsidR="008A0A72" w:rsidRPr="00454C26" w:rsidRDefault="008A0A72" w:rsidP="00B66D18">
      <w:pPr>
        <w:jc w:val="both"/>
      </w:pPr>
      <w:r>
        <w:rPr>
          <w:i/>
          <w:iCs/>
          <w:color w:val="44546A" w:themeColor="text2"/>
          <w:sz w:val="18"/>
          <w:szCs w:val="18"/>
        </w:rPr>
        <w:t>Source: I</w:t>
      </w:r>
      <w:r w:rsidR="003A035A">
        <w:rPr>
          <w:i/>
          <w:iCs/>
          <w:color w:val="44546A" w:themeColor="text2"/>
          <w:sz w:val="18"/>
          <w:szCs w:val="18"/>
        </w:rPr>
        <w:t xml:space="preserve">ntegrated Household Survey </w:t>
      </w:r>
    </w:p>
    <w:p w14:paraId="1205A493" w14:textId="10E7B442" w:rsidR="00720DC2" w:rsidRDefault="00720DC2" w:rsidP="00B66D18">
      <w:pPr>
        <w:jc w:val="both"/>
        <w:rPr>
          <w:rFonts w:cstheme="minorHAnsi"/>
        </w:rPr>
      </w:pPr>
      <w:r>
        <w:rPr>
          <w:rFonts w:cstheme="minorHAnsi"/>
        </w:rPr>
        <w:t>The causes of these difference should be monitored and explored in greater detail</w:t>
      </w:r>
      <w:r w:rsidR="003E2D7A">
        <w:rPr>
          <w:rFonts w:cstheme="minorHAnsi"/>
        </w:rPr>
        <w:t xml:space="preserve">, as seem to indicate a higher vulnerability of </w:t>
      </w:r>
      <w:r w:rsidR="00BC7AC0">
        <w:rPr>
          <w:rFonts w:cstheme="minorHAnsi"/>
        </w:rPr>
        <w:t>non-ethnically Georgian household</w:t>
      </w:r>
      <w:r w:rsidR="00562FE4">
        <w:rPr>
          <w:rFonts w:cstheme="minorHAnsi"/>
        </w:rPr>
        <w:t xml:space="preserve">s in </w:t>
      </w:r>
      <w:r w:rsidR="0021680A">
        <w:rPr>
          <w:rFonts w:cstheme="minorHAnsi"/>
        </w:rPr>
        <w:t>rural</w:t>
      </w:r>
      <w:r w:rsidR="00562FE4">
        <w:rPr>
          <w:rFonts w:cstheme="minorHAnsi"/>
        </w:rPr>
        <w:t xml:space="preserve"> areas (where access to information</w:t>
      </w:r>
      <w:r w:rsidR="00DD0F23">
        <w:rPr>
          <w:rFonts w:cstheme="minorHAnsi"/>
        </w:rPr>
        <w:t>, especially concerning anti-poverty programs is less easy)</w:t>
      </w:r>
      <w:r w:rsidR="00DD0F23">
        <w:rPr>
          <w:rStyle w:val="FootnoteReference"/>
          <w:rFonts w:cstheme="minorHAnsi"/>
        </w:rPr>
        <w:footnoteReference w:id="40"/>
      </w:r>
      <w:r w:rsidR="00BC7AC0">
        <w:rPr>
          <w:rFonts w:cstheme="minorHAnsi"/>
        </w:rPr>
        <w:t xml:space="preserve"> to housing unaffordability</w:t>
      </w:r>
      <w:r w:rsidR="00562FE4">
        <w:rPr>
          <w:rFonts w:cstheme="minorHAnsi"/>
        </w:rPr>
        <w:t>.</w:t>
      </w:r>
    </w:p>
    <w:p w14:paraId="3C9966FC" w14:textId="55B72577" w:rsidR="008870ED" w:rsidRDefault="008870ED" w:rsidP="00B66D18">
      <w:pPr>
        <w:jc w:val="both"/>
        <w:rPr>
          <w:rFonts w:cstheme="minorHAnsi"/>
          <w:b/>
          <w:bCs/>
          <w:i/>
          <w:iCs/>
        </w:rPr>
      </w:pPr>
      <w:r>
        <w:rPr>
          <w:rFonts w:cstheme="minorHAnsi"/>
          <w:b/>
          <w:bCs/>
          <w:i/>
          <w:iCs/>
        </w:rPr>
        <w:t>U</w:t>
      </w:r>
      <w:r w:rsidR="00B66D18" w:rsidRPr="006066AB">
        <w:rPr>
          <w:rFonts w:cstheme="minorHAnsi"/>
          <w:b/>
          <w:bCs/>
          <w:i/>
          <w:iCs/>
        </w:rPr>
        <w:t>nfit housing</w:t>
      </w:r>
    </w:p>
    <w:p w14:paraId="0155D62F" w14:textId="38622AAE" w:rsidR="00164DD2" w:rsidRDefault="00E017F3" w:rsidP="00B66D18">
      <w:pPr>
        <w:jc w:val="both"/>
        <w:rPr>
          <w:rFonts w:cstheme="minorHAnsi"/>
        </w:rPr>
      </w:pPr>
      <w:r>
        <w:rPr>
          <w:rFonts w:cstheme="minorHAnsi"/>
        </w:rPr>
        <w:t xml:space="preserve">Unsurprisingly, </w:t>
      </w:r>
      <w:r w:rsidR="00CE6DC3">
        <w:rPr>
          <w:rFonts w:cstheme="minorHAnsi"/>
        </w:rPr>
        <w:t xml:space="preserve">all the self-assessed indicators of fitness of housing show </w:t>
      </w:r>
      <w:r w:rsidR="000827F3">
        <w:rPr>
          <w:rFonts w:cstheme="minorHAnsi"/>
        </w:rPr>
        <w:t xml:space="preserve">a </w:t>
      </w:r>
      <w:r w:rsidR="00712455">
        <w:rPr>
          <w:rFonts w:cstheme="minorHAnsi"/>
        </w:rPr>
        <w:t xml:space="preserve">substantially </w:t>
      </w:r>
      <w:r w:rsidR="000827F3">
        <w:rPr>
          <w:rFonts w:cstheme="minorHAnsi"/>
        </w:rPr>
        <w:t xml:space="preserve">higher incidence of unfit housing among </w:t>
      </w:r>
      <w:r w:rsidR="00CE6DC3">
        <w:rPr>
          <w:rFonts w:cstheme="minorHAnsi"/>
        </w:rPr>
        <w:t>the</w:t>
      </w:r>
      <w:r w:rsidR="000827F3">
        <w:rPr>
          <w:rFonts w:cstheme="minorHAnsi"/>
        </w:rPr>
        <w:t xml:space="preserve"> households at the bottom of the distribution, and relatively lower shares </w:t>
      </w:r>
      <w:r w:rsidR="00CA453C">
        <w:rPr>
          <w:rFonts w:cstheme="minorHAnsi"/>
        </w:rPr>
        <w:t>for those at the top (Figures 57–</w:t>
      </w:r>
      <w:r w:rsidR="00AA75B2">
        <w:rPr>
          <w:rFonts w:cstheme="minorHAnsi"/>
        </w:rPr>
        <w:t>60</w:t>
      </w:r>
      <w:r w:rsidR="000827F3">
        <w:rPr>
          <w:rFonts w:cstheme="minorHAnsi"/>
        </w:rPr>
        <w:t xml:space="preserve">). </w:t>
      </w:r>
      <w:r w:rsidR="004B2DFA">
        <w:rPr>
          <w:rFonts w:cstheme="minorHAnsi"/>
        </w:rPr>
        <w:t xml:space="preserve">The gap between the poorer and richer households has been widening over time, particularly in </w:t>
      </w:r>
      <w:r w:rsidR="0021680A">
        <w:rPr>
          <w:rFonts w:cstheme="minorHAnsi"/>
        </w:rPr>
        <w:t>rural</w:t>
      </w:r>
      <w:r w:rsidR="004B2DFA">
        <w:rPr>
          <w:rFonts w:cstheme="minorHAnsi"/>
        </w:rPr>
        <w:t xml:space="preserve"> areas, adopting the broader definition of house fitness. </w:t>
      </w:r>
      <w:r w:rsidR="00A55071">
        <w:rPr>
          <w:rFonts w:cstheme="minorHAnsi"/>
        </w:rPr>
        <w:t>I</w:t>
      </w:r>
      <w:r w:rsidR="00631070">
        <w:rPr>
          <w:rFonts w:cstheme="minorHAnsi"/>
        </w:rPr>
        <w:t xml:space="preserve">nstead </w:t>
      </w:r>
      <w:r w:rsidR="00A55071">
        <w:rPr>
          <w:rFonts w:cstheme="minorHAnsi"/>
        </w:rPr>
        <w:t>observing the</w:t>
      </w:r>
      <w:r w:rsidR="00631070">
        <w:rPr>
          <w:rFonts w:cstheme="minorHAnsi"/>
        </w:rPr>
        <w:t xml:space="preserve"> most worrisome measure, the share of households living in </w:t>
      </w:r>
      <w:r w:rsidR="00932EFA">
        <w:rPr>
          <w:rFonts w:cstheme="minorHAnsi"/>
        </w:rPr>
        <w:t xml:space="preserve">houses at risk of collapse, the gap has slightly declined in </w:t>
      </w:r>
      <w:r w:rsidR="0021680A">
        <w:rPr>
          <w:rFonts w:cstheme="minorHAnsi"/>
        </w:rPr>
        <w:t>urban</w:t>
      </w:r>
      <w:r w:rsidR="00932EFA">
        <w:rPr>
          <w:rFonts w:cstheme="minorHAnsi"/>
        </w:rPr>
        <w:t xml:space="preserve"> areas</w:t>
      </w:r>
      <w:r w:rsidR="00D26E29">
        <w:rPr>
          <w:rFonts w:cstheme="minorHAnsi"/>
        </w:rPr>
        <w:t xml:space="preserve"> and remained relatively stable in </w:t>
      </w:r>
      <w:r w:rsidR="0021680A">
        <w:rPr>
          <w:rFonts w:cstheme="minorHAnsi"/>
        </w:rPr>
        <w:t>rural</w:t>
      </w:r>
      <w:r w:rsidR="00D26E29">
        <w:rPr>
          <w:rFonts w:cstheme="minorHAnsi"/>
        </w:rPr>
        <w:t xml:space="preserve"> areas</w:t>
      </w:r>
      <w:r w:rsidR="0000692C">
        <w:rPr>
          <w:rFonts w:cstheme="minorHAnsi"/>
        </w:rPr>
        <w:t>. In all cases t</w:t>
      </w:r>
      <w:r w:rsidR="00D26E29">
        <w:rPr>
          <w:rFonts w:cstheme="minorHAnsi"/>
        </w:rPr>
        <w:t xml:space="preserve">he share of </w:t>
      </w:r>
      <w:r w:rsidR="0000692C">
        <w:rPr>
          <w:rFonts w:cstheme="minorHAnsi"/>
        </w:rPr>
        <w:t xml:space="preserve">poorer households </w:t>
      </w:r>
      <w:r w:rsidR="001830C2">
        <w:rPr>
          <w:rFonts w:cstheme="minorHAnsi"/>
        </w:rPr>
        <w:t xml:space="preserve">(bottom quartile) </w:t>
      </w:r>
      <w:r w:rsidR="0000692C">
        <w:rPr>
          <w:rFonts w:cstheme="minorHAnsi"/>
        </w:rPr>
        <w:t>living in ho</w:t>
      </w:r>
      <w:r w:rsidR="00A55071">
        <w:rPr>
          <w:rFonts w:cstheme="minorHAnsi"/>
        </w:rPr>
        <w:t>uses at risk of collapse remained</w:t>
      </w:r>
      <w:r w:rsidR="0000692C">
        <w:rPr>
          <w:rFonts w:cstheme="minorHAnsi"/>
        </w:rPr>
        <w:t xml:space="preserve"> substantially larger than</w:t>
      </w:r>
      <w:r w:rsidR="00932EFA">
        <w:rPr>
          <w:rFonts w:cstheme="minorHAnsi"/>
        </w:rPr>
        <w:t xml:space="preserve"> </w:t>
      </w:r>
      <w:r w:rsidR="0000692C">
        <w:rPr>
          <w:rFonts w:cstheme="minorHAnsi"/>
        </w:rPr>
        <w:t>the</w:t>
      </w:r>
      <w:r w:rsidR="001830C2">
        <w:rPr>
          <w:rFonts w:cstheme="minorHAnsi"/>
        </w:rPr>
        <w:t xml:space="preserve"> corresponding share for richer households (top quartile). Th</w:t>
      </w:r>
      <w:r w:rsidR="00A55071">
        <w:rPr>
          <w:rFonts w:cstheme="minorHAnsi"/>
        </w:rPr>
        <w:t>e respective shares for 2018 were</w:t>
      </w:r>
      <w:r w:rsidR="001830C2">
        <w:rPr>
          <w:rFonts w:cstheme="minorHAnsi"/>
        </w:rPr>
        <w:t xml:space="preserve"> </w:t>
      </w:r>
      <w:r w:rsidR="00680EE0">
        <w:rPr>
          <w:rFonts w:cstheme="minorHAnsi"/>
        </w:rPr>
        <w:t xml:space="preserve">3.4% and 0.9% in </w:t>
      </w:r>
      <w:r w:rsidR="0021680A">
        <w:rPr>
          <w:rFonts w:cstheme="minorHAnsi"/>
        </w:rPr>
        <w:t>urban</w:t>
      </w:r>
      <w:r w:rsidR="00680EE0">
        <w:rPr>
          <w:rFonts w:cstheme="minorHAnsi"/>
        </w:rPr>
        <w:t xml:space="preserve"> areas and 9.2% and 1.4% in </w:t>
      </w:r>
      <w:r w:rsidR="0021680A">
        <w:rPr>
          <w:rFonts w:cstheme="minorHAnsi"/>
        </w:rPr>
        <w:t>rural</w:t>
      </w:r>
      <w:r w:rsidR="00164DD2">
        <w:rPr>
          <w:rFonts w:cstheme="minorHAnsi"/>
        </w:rPr>
        <w:t xml:space="preserve"> areas.</w:t>
      </w:r>
    </w:p>
    <w:p w14:paraId="14A538C9" w14:textId="471205BD" w:rsidR="00164DD2" w:rsidRDefault="00164DD2" w:rsidP="00B66D18">
      <w:pPr>
        <w:jc w:val="both"/>
        <w:rPr>
          <w:rFonts w:cstheme="minorHAnsi"/>
        </w:rPr>
      </w:pPr>
      <w:r>
        <w:rPr>
          <w:rFonts w:cstheme="minorHAnsi"/>
        </w:rPr>
        <w:t xml:space="preserve">The high incidence of unfit housing for poor households in </w:t>
      </w:r>
      <w:r w:rsidR="0021680A">
        <w:rPr>
          <w:rFonts w:cstheme="minorHAnsi"/>
        </w:rPr>
        <w:t>rural</w:t>
      </w:r>
      <w:r>
        <w:rPr>
          <w:rFonts w:cstheme="minorHAnsi"/>
        </w:rPr>
        <w:t xml:space="preserve"> areas (and, to some extent, in </w:t>
      </w:r>
      <w:r w:rsidR="0021680A">
        <w:rPr>
          <w:rFonts w:cstheme="minorHAnsi"/>
        </w:rPr>
        <w:t>urban</w:t>
      </w:r>
      <w:r>
        <w:rPr>
          <w:rFonts w:cstheme="minorHAnsi"/>
        </w:rPr>
        <w:t xml:space="preserve"> areas), </w:t>
      </w:r>
      <w:r w:rsidR="00EB6BF8">
        <w:rPr>
          <w:rFonts w:cstheme="minorHAnsi"/>
        </w:rPr>
        <w:t xml:space="preserve">emerges as a problematic issue. Poor households </w:t>
      </w:r>
      <w:r w:rsidR="000F5ECE">
        <w:rPr>
          <w:rFonts w:cstheme="minorHAnsi"/>
        </w:rPr>
        <w:t xml:space="preserve">in absence of external interventions are unlikely to be able to </w:t>
      </w:r>
      <w:r w:rsidR="007654F9">
        <w:rPr>
          <w:rFonts w:cstheme="minorHAnsi"/>
        </w:rPr>
        <w:t xml:space="preserve">move away from unfit houses, and </w:t>
      </w:r>
      <w:r w:rsidR="000F5ECE">
        <w:rPr>
          <w:rFonts w:cstheme="minorHAnsi"/>
        </w:rPr>
        <w:t>at the same time</w:t>
      </w:r>
      <w:r w:rsidR="007654F9">
        <w:rPr>
          <w:rFonts w:cstheme="minorHAnsi"/>
        </w:rPr>
        <w:t xml:space="preserve"> cannot </w:t>
      </w:r>
      <w:r w:rsidR="001B665F">
        <w:rPr>
          <w:rFonts w:cstheme="minorHAnsi"/>
        </w:rPr>
        <w:t xml:space="preserve">invest in making the houses fit for living, with potentially </w:t>
      </w:r>
      <w:r w:rsidR="000F5ECE">
        <w:rPr>
          <w:rFonts w:cstheme="minorHAnsi"/>
        </w:rPr>
        <w:t xml:space="preserve">severe and </w:t>
      </w:r>
      <w:r w:rsidR="001B665F">
        <w:rPr>
          <w:rFonts w:cstheme="minorHAnsi"/>
        </w:rPr>
        <w:t>costly consequences</w:t>
      </w:r>
      <w:r w:rsidR="000F5ECE">
        <w:rPr>
          <w:rFonts w:cstheme="minorHAnsi"/>
        </w:rPr>
        <w:t>.</w:t>
      </w:r>
    </w:p>
    <w:p w14:paraId="2EBC77AE" w14:textId="693AF390" w:rsidR="008A6044" w:rsidRPr="008A6044" w:rsidRDefault="008A0A72" w:rsidP="00454C26">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57</w:t>
      </w:r>
      <w:r w:rsidR="009E6455">
        <w:rPr>
          <w:noProof/>
        </w:rPr>
        <w:fldChar w:fldCharType="end"/>
      </w:r>
      <w:r>
        <w:t xml:space="preserve"> </w:t>
      </w:r>
      <w:r w:rsidR="008A6044">
        <w:t xml:space="preserve">: </w:t>
      </w:r>
      <w:r w:rsidR="00F32604">
        <w:t xml:space="preserve">Self-assessment of fitness status (need for capital renovation and/or at risk of collapse) of housing for </w:t>
      </w:r>
      <w:r>
        <w:t>u</w:t>
      </w:r>
      <w:r w:rsidR="0021680A">
        <w:t>rban</w:t>
      </w:r>
      <w:r w:rsidR="00F32604">
        <w:t xml:space="preserve"> </w:t>
      </w:r>
      <w:r>
        <w:t>a</w:t>
      </w:r>
      <w:r w:rsidR="00F32604">
        <w:t xml:space="preserve">reas </w:t>
      </w:r>
      <w:r w:rsidR="008A6044">
        <w:t>–</w:t>
      </w:r>
      <w:r w:rsidR="00CC5D95">
        <w:t>by quartile of income distribution</w:t>
      </w:r>
    </w:p>
    <w:p w14:paraId="4F45340E" w14:textId="77777777" w:rsidR="008A6044" w:rsidRDefault="00C90DE4" w:rsidP="00AA75B2">
      <w:pPr>
        <w:spacing w:after="0"/>
      </w:pPr>
      <w:r>
        <w:rPr>
          <w:noProof/>
        </w:rPr>
        <w:drawing>
          <wp:inline distT="0" distB="0" distL="0" distR="0" wp14:anchorId="7B03BD55" wp14:editId="28F3C538">
            <wp:extent cx="5657850" cy="3038475"/>
            <wp:effectExtent l="0" t="0" r="0" b="9525"/>
            <wp:docPr id="100" name="Grafico 10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CEAD115" w14:textId="76EB46EC" w:rsidR="008A6044" w:rsidRDefault="008A6044" w:rsidP="008A6044">
      <w:pPr>
        <w:jc w:val="both"/>
        <w:rPr>
          <w:i/>
          <w:iCs/>
          <w:color w:val="44546A" w:themeColor="text2"/>
          <w:sz w:val="18"/>
          <w:szCs w:val="18"/>
        </w:rPr>
      </w:pPr>
      <w:r>
        <w:rPr>
          <w:i/>
          <w:iCs/>
          <w:color w:val="44546A" w:themeColor="text2"/>
          <w:sz w:val="18"/>
          <w:szCs w:val="18"/>
        </w:rPr>
        <w:t xml:space="preserve">Source: </w:t>
      </w:r>
      <w:r w:rsidR="00AA75B2">
        <w:rPr>
          <w:i/>
          <w:iCs/>
          <w:color w:val="44546A" w:themeColor="text2"/>
          <w:sz w:val="18"/>
          <w:szCs w:val="18"/>
        </w:rPr>
        <w:t xml:space="preserve">Integrated Household Survey </w:t>
      </w:r>
    </w:p>
    <w:p w14:paraId="637594FB" w14:textId="77777777" w:rsidR="008A6044" w:rsidRDefault="008A6044" w:rsidP="008A6044">
      <w:pPr>
        <w:jc w:val="both"/>
        <w:rPr>
          <w:i/>
          <w:iCs/>
          <w:color w:val="44546A" w:themeColor="text2"/>
          <w:sz w:val="18"/>
          <w:szCs w:val="18"/>
        </w:rPr>
      </w:pPr>
    </w:p>
    <w:p w14:paraId="20D73364" w14:textId="696EC7F2" w:rsidR="00C90DE4" w:rsidRDefault="008A0A72" w:rsidP="00AA75B2">
      <w:pPr>
        <w:pStyle w:val="Caption"/>
        <w:spacing w:after="0"/>
        <w:rPr>
          <w:noProof/>
        </w:rPr>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58</w:t>
      </w:r>
      <w:r w:rsidR="009E6455">
        <w:rPr>
          <w:noProof/>
        </w:rPr>
        <w:fldChar w:fldCharType="end"/>
      </w:r>
      <w:r w:rsidR="008A6044">
        <w:t xml:space="preserve">: </w:t>
      </w:r>
      <w:r w:rsidR="00F32604">
        <w:t xml:space="preserve">Self-assessment of fitness status (need for capital renovation and/or at risk of collapse) of housing for </w:t>
      </w:r>
      <w:r>
        <w:t>r</w:t>
      </w:r>
      <w:r w:rsidR="0021680A">
        <w:t>ural</w:t>
      </w:r>
      <w:r w:rsidR="00F32604">
        <w:t xml:space="preserve"> </w:t>
      </w:r>
      <w:r>
        <w:t>a</w:t>
      </w:r>
      <w:r w:rsidR="00F32604">
        <w:t xml:space="preserve">reas </w:t>
      </w:r>
      <w:r w:rsidR="008A6044">
        <w:t xml:space="preserve">– </w:t>
      </w:r>
      <w:r w:rsidR="00CC5D95">
        <w:t>by quartile of income distribution</w:t>
      </w:r>
      <w:r w:rsidR="00CC5D95">
        <w:rPr>
          <w:noProof/>
        </w:rPr>
        <w:t xml:space="preserve"> </w:t>
      </w:r>
      <w:r w:rsidR="00C90DE4">
        <w:rPr>
          <w:noProof/>
        </w:rPr>
        <w:drawing>
          <wp:inline distT="0" distB="0" distL="0" distR="0" wp14:anchorId="20CAA722" wp14:editId="20F9B195">
            <wp:extent cx="5619750" cy="2990850"/>
            <wp:effectExtent l="0" t="0" r="0" b="0"/>
            <wp:docPr id="101" name="Grafico 10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B19064B" w14:textId="1CDF96A0" w:rsidR="008A6044" w:rsidRDefault="008A6044" w:rsidP="008A6044">
      <w:pPr>
        <w:jc w:val="both"/>
        <w:rPr>
          <w:i/>
          <w:iCs/>
          <w:color w:val="44546A" w:themeColor="text2"/>
          <w:sz w:val="18"/>
          <w:szCs w:val="18"/>
        </w:rPr>
      </w:pPr>
      <w:r>
        <w:rPr>
          <w:i/>
          <w:iCs/>
          <w:color w:val="44546A" w:themeColor="text2"/>
          <w:sz w:val="18"/>
          <w:szCs w:val="18"/>
        </w:rPr>
        <w:t>Source: I</w:t>
      </w:r>
      <w:r w:rsidR="007D3BF2">
        <w:rPr>
          <w:i/>
          <w:iCs/>
          <w:color w:val="44546A" w:themeColor="text2"/>
          <w:sz w:val="18"/>
          <w:szCs w:val="18"/>
        </w:rPr>
        <w:t xml:space="preserve">ntegrated Household Survey </w:t>
      </w:r>
    </w:p>
    <w:p w14:paraId="0D1B9A87" w14:textId="466CB23E" w:rsidR="007D3BF2" w:rsidRDefault="007D3BF2" w:rsidP="008A6044">
      <w:pPr>
        <w:jc w:val="both"/>
        <w:rPr>
          <w:i/>
          <w:iCs/>
          <w:color w:val="44546A" w:themeColor="text2"/>
          <w:sz w:val="18"/>
          <w:szCs w:val="18"/>
        </w:rPr>
      </w:pPr>
    </w:p>
    <w:p w14:paraId="52FEDBB3" w14:textId="310C11CE" w:rsidR="00CA453C" w:rsidRDefault="00CA453C" w:rsidP="008A6044">
      <w:pPr>
        <w:jc w:val="both"/>
        <w:rPr>
          <w:i/>
          <w:iCs/>
          <w:color w:val="44546A" w:themeColor="text2"/>
          <w:sz w:val="18"/>
          <w:szCs w:val="18"/>
        </w:rPr>
      </w:pPr>
    </w:p>
    <w:p w14:paraId="3713D531" w14:textId="77777777" w:rsidR="00CA453C" w:rsidRDefault="00CA453C" w:rsidP="008A6044">
      <w:pPr>
        <w:jc w:val="both"/>
        <w:rPr>
          <w:i/>
          <w:iCs/>
          <w:color w:val="44546A" w:themeColor="text2"/>
          <w:sz w:val="18"/>
          <w:szCs w:val="18"/>
        </w:rPr>
      </w:pPr>
    </w:p>
    <w:p w14:paraId="337EB243" w14:textId="27FFC536" w:rsidR="008A6044" w:rsidRPr="008A6044" w:rsidRDefault="008A0A72" w:rsidP="00454C26">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59</w:t>
      </w:r>
      <w:r w:rsidR="009E6455">
        <w:rPr>
          <w:noProof/>
        </w:rPr>
        <w:fldChar w:fldCharType="end"/>
      </w:r>
      <w:r w:rsidR="008A6044">
        <w:t xml:space="preserve">: </w:t>
      </w:r>
      <w:r w:rsidR="00CD6CB4">
        <w:t>Self-assessment of</w:t>
      </w:r>
      <w:r w:rsidR="00606063">
        <w:t xml:space="preserve"> fitness status</w:t>
      </w:r>
      <w:r w:rsidR="00CD6CB4">
        <w:t xml:space="preserve"> </w:t>
      </w:r>
      <w:r w:rsidR="00385BD0">
        <w:t>(</w:t>
      </w:r>
      <w:r w:rsidR="00CD6CB4">
        <w:t xml:space="preserve"> at risk of collapse</w:t>
      </w:r>
      <w:r w:rsidR="00385BD0">
        <w:t>)</w:t>
      </w:r>
      <w:r w:rsidR="00606063">
        <w:t xml:space="preserve"> of housing </w:t>
      </w:r>
      <w:r w:rsidR="00CD6CB4">
        <w:t xml:space="preserve"> for</w:t>
      </w:r>
      <w:r w:rsidR="00CD6CB4" w:rsidRPr="00AA5768">
        <w:t xml:space="preserve"> </w:t>
      </w:r>
      <w:r w:rsidR="0021680A">
        <w:t>urban</w:t>
      </w:r>
      <w:r w:rsidR="008A6044">
        <w:t xml:space="preserve"> areas–</w:t>
      </w:r>
      <w:r w:rsidR="00CC5D95">
        <w:t>by quartile of income distribution</w:t>
      </w:r>
    </w:p>
    <w:p w14:paraId="7A13302D" w14:textId="3AB67ADB" w:rsidR="008A6044" w:rsidRDefault="00C90DE4" w:rsidP="008A6044">
      <w:pPr>
        <w:jc w:val="both"/>
        <w:rPr>
          <w:i/>
          <w:iCs/>
          <w:color w:val="44546A" w:themeColor="text2"/>
          <w:sz w:val="18"/>
          <w:szCs w:val="18"/>
        </w:rPr>
      </w:pPr>
      <w:r>
        <w:rPr>
          <w:noProof/>
        </w:rPr>
        <w:drawing>
          <wp:inline distT="0" distB="0" distL="0" distR="0" wp14:anchorId="0E7A6329" wp14:editId="37C759C1">
            <wp:extent cx="5619750" cy="3253740"/>
            <wp:effectExtent l="0" t="0" r="0" b="3810"/>
            <wp:docPr id="102" name="Grafico 102">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008A6044" w:rsidRPr="008A6044">
        <w:rPr>
          <w:i/>
          <w:iCs/>
          <w:color w:val="44546A" w:themeColor="text2"/>
          <w:sz w:val="18"/>
          <w:szCs w:val="18"/>
        </w:rPr>
        <w:t xml:space="preserve"> </w:t>
      </w:r>
      <w:r w:rsidR="008A6044">
        <w:rPr>
          <w:i/>
          <w:iCs/>
          <w:color w:val="44546A" w:themeColor="text2"/>
          <w:sz w:val="18"/>
          <w:szCs w:val="18"/>
        </w:rPr>
        <w:t>Source: I</w:t>
      </w:r>
      <w:r w:rsidR="007D3BF2">
        <w:rPr>
          <w:i/>
          <w:iCs/>
          <w:color w:val="44546A" w:themeColor="text2"/>
          <w:sz w:val="18"/>
          <w:szCs w:val="18"/>
        </w:rPr>
        <w:t xml:space="preserve">ntegrated Household Survey </w:t>
      </w:r>
    </w:p>
    <w:p w14:paraId="1E109811" w14:textId="7DA67566" w:rsidR="008A0A72" w:rsidRDefault="008A0A72" w:rsidP="008A0A72"/>
    <w:p w14:paraId="6782BC23" w14:textId="4CE8058D" w:rsidR="008A6044" w:rsidRDefault="008A0A72" w:rsidP="008A6044">
      <w:pPr>
        <w:pStyle w:val="Caption"/>
        <w:jc w:val="both"/>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60</w:t>
      </w:r>
      <w:r w:rsidR="009E6455">
        <w:rPr>
          <w:noProof/>
        </w:rPr>
        <w:fldChar w:fldCharType="end"/>
      </w:r>
      <w:r w:rsidR="008A6044">
        <w:t xml:space="preserve">: </w:t>
      </w:r>
      <w:r w:rsidR="00CD6CB4">
        <w:t xml:space="preserve"> Self-assessment </w:t>
      </w:r>
      <w:r w:rsidR="00317F00">
        <w:t xml:space="preserve">of fitness status ( at risk of collapse) of housing  </w:t>
      </w:r>
      <w:r w:rsidR="00CD6CB4">
        <w:t xml:space="preserve"> for</w:t>
      </w:r>
      <w:r w:rsidR="00CD6CB4" w:rsidRPr="00AA5768">
        <w:t xml:space="preserve"> </w:t>
      </w:r>
      <w:r w:rsidR="0021680A">
        <w:t>rural</w:t>
      </w:r>
      <w:r w:rsidR="008A6044">
        <w:t xml:space="preserve"> areas – </w:t>
      </w:r>
      <w:r w:rsidR="00201FF2">
        <w:t xml:space="preserve">by quartile of income distribution </w:t>
      </w:r>
    </w:p>
    <w:p w14:paraId="4905B529" w14:textId="77777777" w:rsidR="00C90DE4" w:rsidRDefault="00C90DE4" w:rsidP="007D3BF2">
      <w:pPr>
        <w:spacing w:after="0"/>
      </w:pPr>
      <w:r>
        <w:rPr>
          <w:noProof/>
        </w:rPr>
        <w:drawing>
          <wp:inline distT="0" distB="0" distL="0" distR="0" wp14:anchorId="524F2B66" wp14:editId="09FFC6C6">
            <wp:extent cx="5829300" cy="3108960"/>
            <wp:effectExtent l="0" t="0" r="0" b="15240"/>
            <wp:docPr id="26" name="Grafico 2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3A3A1BA" w14:textId="659E5F91" w:rsidR="008A6044" w:rsidRDefault="008A6044" w:rsidP="008A6044">
      <w:pPr>
        <w:jc w:val="both"/>
        <w:rPr>
          <w:i/>
          <w:iCs/>
          <w:color w:val="44546A" w:themeColor="text2"/>
          <w:sz w:val="18"/>
          <w:szCs w:val="18"/>
        </w:rPr>
      </w:pPr>
      <w:r>
        <w:rPr>
          <w:i/>
          <w:iCs/>
          <w:color w:val="44546A" w:themeColor="text2"/>
          <w:sz w:val="18"/>
          <w:szCs w:val="18"/>
        </w:rPr>
        <w:t>Source: I</w:t>
      </w:r>
      <w:r w:rsidR="007D3BF2">
        <w:rPr>
          <w:i/>
          <w:iCs/>
          <w:color w:val="44546A" w:themeColor="text2"/>
          <w:sz w:val="18"/>
          <w:szCs w:val="18"/>
        </w:rPr>
        <w:t xml:space="preserve">ntegrated Household Survey </w:t>
      </w:r>
    </w:p>
    <w:p w14:paraId="07C526F4" w14:textId="77777777" w:rsidR="007D3BF2" w:rsidRDefault="007D3BF2" w:rsidP="008A6044">
      <w:pPr>
        <w:jc w:val="both"/>
        <w:rPr>
          <w:i/>
          <w:iCs/>
          <w:color w:val="44546A" w:themeColor="text2"/>
          <w:sz w:val="18"/>
          <w:szCs w:val="18"/>
        </w:rPr>
      </w:pPr>
    </w:p>
    <w:p w14:paraId="3110EC60" w14:textId="7148E6F4" w:rsidR="00F20BFB" w:rsidRDefault="00F20BFB" w:rsidP="008A6044">
      <w:pPr>
        <w:jc w:val="both"/>
        <w:rPr>
          <w:i/>
          <w:iCs/>
          <w:color w:val="44546A" w:themeColor="text2"/>
          <w:sz w:val="18"/>
          <w:szCs w:val="18"/>
        </w:rPr>
      </w:pPr>
    </w:p>
    <w:p w14:paraId="14D114CE" w14:textId="68AB84E2" w:rsidR="00F20BFB" w:rsidRDefault="00F20BFB" w:rsidP="008A6044">
      <w:pPr>
        <w:jc w:val="both"/>
        <w:rPr>
          <w:rFonts w:cstheme="minorHAnsi"/>
        </w:rPr>
      </w:pPr>
      <w:r w:rsidRPr="00F20BFB">
        <w:rPr>
          <w:rFonts w:cstheme="minorHAnsi"/>
        </w:rPr>
        <w:lastRenderedPageBreak/>
        <w:t>The analysis of unfit housing by vulnerable group</w:t>
      </w:r>
      <w:r>
        <w:rPr>
          <w:rFonts w:cstheme="minorHAnsi"/>
        </w:rPr>
        <w:t xml:space="preserve"> (Figures </w:t>
      </w:r>
      <w:r w:rsidR="008A0A72">
        <w:rPr>
          <w:rFonts w:cstheme="minorHAnsi"/>
        </w:rPr>
        <w:t>61</w:t>
      </w:r>
      <w:r w:rsidR="00CA453C">
        <w:rPr>
          <w:rFonts w:cstheme="minorHAnsi"/>
        </w:rPr>
        <w:t>–</w:t>
      </w:r>
      <w:r w:rsidR="007D3BF2">
        <w:rPr>
          <w:rFonts w:cstheme="minorHAnsi"/>
        </w:rPr>
        <w:t>64</w:t>
      </w:r>
      <w:r w:rsidR="00791993">
        <w:rPr>
          <w:rFonts w:cstheme="minorHAnsi"/>
        </w:rPr>
        <w:t>)</w:t>
      </w:r>
      <w:r w:rsidRPr="00F20BFB">
        <w:rPr>
          <w:rFonts w:cstheme="minorHAnsi"/>
        </w:rPr>
        <w:t xml:space="preserve"> reveals</w:t>
      </w:r>
      <w:r w:rsidR="00791993">
        <w:rPr>
          <w:rFonts w:cstheme="minorHAnsi"/>
        </w:rPr>
        <w:t xml:space="preserve"> a few interesting patterns:</w:t>
      </w:r>
    </w:p>
    <w:p w14:paraId="60D4DDAC" w14:textId="77777777" w:rsidR="00593E6B" w:rsidRDefault="009C0B17" w:rsidP="00454C26">
      <w:pPr>
        <w:pStyle w:val="ListParagraph"/>
        <w:numPr>
          <w:ilvl w:val="0"/>
          <w:numId w:val="23"/>
        </w:numPr>
        <w:jc w:val="both"/>
        <w:rPr>
          <w:rFonts w:cstheme="minorHAnsi"/>
        </w:rPr>
      </w:pPr>
      <w:r>
        <w:rPr>
          <w:rFonts w:cstheme="minorHAnsi"/>
        </w:rPr>
        <w:t xml:space="preserve">The situation of IDP households has been </w:t>
      </w:r>
      <w:r w:rsidR="009D4F17">
        <w:rPr>
          <w:rFonts w:cstheme="minorHAnsi"/>
        </w:rPr>
        <w:t xml:space="preserve">improving over time, not only </w:t>
      </w:r>
      <w:r>
        <w:rPr>
          <w:rFonts w:cstheme="minorHAnsi"/>
        </w:rPr>
        <w:t>converging towards the national average over t</w:t>
      </w:r>
      <w:r w:rsidR="001537CB">
        <w:rPr>
          <w:rFonts w:cstheme="minorHAnsi"/>
        </w:rPr>
        <w:t>ime,</w:t>
      </w:r>
      <w:r w:rsidR="009D4F17">
        <w:rPr>
          <w:rFonts w:cstheme="minorHAnsi"/>
        </w:rPr>
        <w:t xml:space="preserve"> but – in some instances – even </w:t>
      </w:r>
      <w:r w:rsidR="00593E6B">
        <w:rPr>
          <w:rFonts w:cstheme="minorHAnsi"/>
        </w:rPr>
        <w:t>improving with respect to the national average;</w:t>
      </w:r>
    </w:p>
    <w:p w14:paraId="0EEF0C66" w14:textId="53AA506F" w:rsidR="00791993" w:rsidRDefault="009C0B17" w:rsidP="00454C26">
      <w:pPr>
        <w:pStyle w:val="ListParagraph"/>
        <w:numPr>
          <w:ilvl w:val="0"/>
          <w:numId w:val="23"/>
        </w:numPr>
        <w:jc w:val="both"/>
        <w:rPr>
          <w:rFonts w:cstheme="minorHAnsi"/>
        </w:rPr>
      </w:pPr>
      <w:r w:rsidRPr="009D4F17">
        <w:rPr>
          <w:rFonts w:cstheme="minorHAnsi"/>
        </w:rPr>
        <w:t>Female headed househol</w:t>
      </w:r>
      <w:r w:rsidR="00593E6B">
        <w:rPr>
          <w:rFonts w:cstheme="minorHAnsi"/>
        </w:rPr>
        <w:t>ds and households with disabled individuals instead have been systematically showing higher exposure to unfit housing</w:t>
      </w:r>
      <w:r w:rsidR="0055357E">
        <w:rPr>
          <w:rFonts w:cstheme="minorHAnsi"/>
        </w:rPr>
        <w:t xml:space="preserve"> compared to the national average, suggesting the need for monitoring and – whenever necessary – targeted interventions to </w:t>
      </w:r>
      <w:r w:rsidR="00020242">
        <w:rPr>
          <w:rFonts w:cstheme="minorHAnsi"/>
        </w:rPr>
        <w:t xml:space="preserve">help them improving the fitness of the houses in which they live. The situation is particularly critical in </w:t>
      </w:r>
      <w:r w:rsidR="0021680A">
        <w:rPr>
          <w:rFonts w:cstheme="minorHAnsi"/>
        </w:rPr>
        <w:t>rural</w:t>
      </w:r>
      <w:r w:rsidR="00020242">
        <w:rPr>
          <w:rFonts w:cstheme="minorHAnsi"/>
        </w:rPr>
        <w:t xml:space="preserve"> areas, where the share of female headed households exposed to the risk of collapse has been continuously on the rise </w:t>
      </w:r>
      <w:r w:rsidR="00120F43">
        <w:rPr>
          <w:rFonts w:cstheme="minorHAnsi"/>
        </w:rPr>
        <w:t>over the time interval analyz</w:t>
      </w:r>
      <w:r w:rsidR="00CE7C81">
        <w:rPr>
          <w:rFonts w:cstheme="minorHAnsi"/>
        </w:rPr>
        <w:t>e</w:t>
      </w:r>
      <w:r w:rsidR="00120F43">
        <w:rPr>
          <w:rFonts w:cstheme="minorHAnsi"/>
        </w:rPr>
        <w:t>d (</w:t>
      </w:r>
      <w:r w:rsidR="00CE7C81">
        <w:rPr>
          <w:rFonts w:cstheme="minorHAnsi"/>
        </w:rPr>
        <w:t xml:space="preserve">from 2% to almost 7% over a </w:t>
      </w:r>
      <w:r w:rsidR="008A0A72">
        <w:rPr>
          <w:rFonts w:cstheme="minorHAnsi"/>
        </w:rPr>
        <w:t>seven-year</w:t>
      </w:r>
      <w:r w:rsidR="00CE7C81">
        <w:rPr>
          <w:rFonts w:cstheme="minorHAnsi"/>
        </w:rPr>
        <w:t xml:space="preserve"> period) and where the share of households with disabled individuals living in </w:t>
      </w:r>
      <w:r w:rsidR="00767D00">
        <w:rPr>
          <w:rFonts w:cstheme="minorHAnsi"/>
        </w:rPr>
        <w:t>houses at risk of collapse has steadily remained above 6%, approaching 8% in the last years.</w:t>
      </w:r>
    </w:p>
    <w:p w14:paraId="79F84229" w14:textId="440F07A5" w:rsidR="00767D00" w:rsidRDefault="00767D00" w:rsidP="00767D00">
      <w:pPr>
        <w:pStyle w:val="ListParagraph"/>
        <w:ind w:left="768"/>
        <w:jc w:val="both"/>
        <w:rPr>
          <w:rFonts w:cstheme="minorHAnsi"/>
        </w:rPr>
      </w:pPr>
    </w:p>
    <w:p w14:paraId="4C3EB477" w14:textId="7138F9AA" w:rsidR="00767D00" w:rsidRDefault="008A0A72" w:rsidP="00454C26">
      <w:pPr>
        <w:pStyle w:val="Caption"/>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61</w:t>
      </w:r>
      <w:r w:rsidR="009E6455">
        <w:rPr>
          <w:noProof/>
        </w:rPr>
        <w:fldChar w:fldCharType="end"/>
      </w:r>
      <w:r w:rsidR="00767D00">
        <w:t xml:space="preserve">: </w:t>
      </w:r>
      <w:r w:rsidR="00F32604">
        <w:t xml:space="preserve">Self-assessment of fitness status (need for capital renovation and/or at risk of collapse) of housing for </w:t>
      </w:r>
      <w:r w:rsidR="005E5500">
        <w:t>u</w:t>
      </w:r>
      <w:r w:rsidR="0021680A">
        <w:t>rban</w:t>
      </w:r>
      <w:r w:rsidR="00F32604">
        <w:t xml:space="preserve"> </w:t>
      </w:r>
      <w:r w:rsidR="005E5500">
        <w:t>a</w:t>
      </w:r>
      <w:r w:rsidR="00F32604">
        <w:t xml:space="preserve">reas </w:t>
      </w:r>
      <w:r w:rsidR="00767D00">
        <w:t xml:space="preserve">– </w:t>
      </w:r>
      <w:r w:rsidR="00F510E2">
        <w:t xml:space="preserve">by </w:t>
      </w:r>
      <w:r w:rsidR="00D46EC1">
        <w:t>vulnerable groups</w:t>
      </w:r>
    </w:p>
    <w:p w14:paraId="6859E0C4" w14:textId="77777777" w:rsidR="00767D00" w:rsidRDefault="00F20BFB" w:rsidP="007D3BF2">
      <w:pPr>
        <w:spacing w:after="0"/>
        <w:ind w:right="-990"/>
        <w:jc w:val="both"/>
        <w:rPr>
          <w:i/>
          <w:iCs/>
          <w:color w:val="44546A" w:themeColor="text2"/>
          <w:sz w:val="18"/>
          <w:szCs w:val="18"/>
        </w:rPr>
      </w:pPr>
      <w:r>
        <w:rPr>
          <w:noProof/>
        </w:rPr>
        <w:drawing>
          <wp:inline distT="0" distB="0" distL="0" distR="0" wp14:anchorId="2C8D4F86" wp14:editId="07759F5F">
            <wp:extent cx="5810250" cy="3000375"/>
            <wp:effectExtent l="0" t="0" r="0" b="9525"/>
            <wp:docPr id="105" name="Grafico 10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767D00" w:rsidRPr="00767D00">
        <w:rPr>
          <w:i/>
          <w:iCs/>
          <w:color w:val="44546A" w:themeColor="text2"/>
          <w:sz w:val="18"/>
          <w:szCs w:val="18"/>
        </w:rPr>
        <w:t xml:space="preserve"> </w:t>
      </w:r>
    </w:p>
    <w:p w14:paraId="383CF408" w14:textId="4569ADD7" w:rsidR="00767D00" w:rsidRDefault="00767D00" w:rsidP="00767D00">
      <w:pPr>
        <w:ind w:right="-990"/>
        <w:jc w:val="both"/>
        <w:rPr>
          <w:i/>
          <w:iCs/>
          <w:color w:val="44546A" w:themeColor="text2"/>
          <w:sz w:val="18"/>
          <w:szCs w:val="18"/>
        </w:rPr>
      </w:pPr>
      <w:r>
        <w:rPr>
          <w:i/>
          <w:iCs/>
          <w:color w:val="44546A" w:themeColor="text2"/>
          <w:sz w:val="18"/>
          <w:szCs w:val="18"/>
        </w:rPr>
        <w:t xml:space="preserve">Source: Integrated Household </w:t>
      </w:r>
      <w:r w:rsidR="007D3BF2">
        <w:rPr>
          <w:i/>
          <w:iCs/>
          <w:color w:val="44546A" w:themeColor="text2"/>
          <w:sz w:val="18"/>
          <w:szCs w:val="18"/>
        </w:rPr>
        <w:t xml:space="preserve">Survey </w:t>
      </w:r>
    </w:p>
    <w:p w14:paraId="74BA6ED0" w14:textId="2F3A2297" w:rsidR="00C34557" w:rsidRDefault="00C34557" w:rsidP="00767D00">
      <w:pPr>
        <w:ind w:right="-990"/>
        <w:jc w:val="both"/>
        <w:rPr>
          <w:i/>
          <w:iCs/>
          <w:color w:val="44546A" w:themeColor="text2"/>
          <w:sz w:val="18"/>
          <w:szCs w:val="18"/>
        </w:rPr>
      </w:pPr>
    </w:p>
    <w:p w14:paraId="644DCC9A" w14:textId="17AF104E" w:rsidR="00C34557" w:rsidRDefault="00C34557" w:rsidP="00767D00">
      <w:pPr>
        <w:ind w:right="-990"/>
        <w:jc w:val="both"/>
        <w:rPr>
          <w:i/>
          <w:iCs/>
          <w:color w:val="44546A" w:themeColor="text2"/>
          <w:sz w:val="18"/>
          <w:szCs w:val="18"/>
        </w:rPr>
      </w:pPr>
    </w:p>
    <w:p w14:paraId="32114A71" w14:textId="3FF14B32" w:rsidR="00C34557" w:rsidRDefault="00C34557" w:rsidP="00767D00">
      <w:pPr>
        <w:ind w:right="-990"/>
        <w:jc w:val="both"/>
        <w:rPr>
          <w:i/>
          <w:iCs/>
          <w:color w:val="44546A" w:themeColor="text2"/>
          <w:sz w:val="18"/>
          <w:szCs w:val="18"/>
        </w:rPr>
      </w:pPr>
    </w:p>
    <w:p w14:paraId="26DEA6AA" w14:textId="77777777" w:rsidR="004076AD" w:rsidRDefault="004076AD" w:rsidP="00767D00">
      <w:pPr>
        <w:ind w:right="-990"/>
        <w:jc w:val="both"/>
        <w:rPr>
          <w:i/>
          <w:iCs/>
          <w:color w:val="44546A" w:themeColor="text2"/>
          <w:sz w:val="18"/>
          <w:szCs w:val="18"/>
        </w:rPr>
      </w:pPr>
    </w:p>
    <w:p w14:paraId="27D7B62B" w14:textId="049A9495" w:rsidR="00C34557" w:rsidRDefault="00C34557" w:rsidP="00767D00">
      <w:pPr>
        <w:ind w:right="-990"/>
        <w:jc w:val="both"/>
        <w:rPr>
          <w:rFonts w:ascii="Sylfaen" w:hAnsi="Sylfaen"/>
          <w:i/>
          <w:iCs/>
          <w:color w:val="44546A" w:themeColor="text2"/>
          <w:sz w:val="18"/>
          <w:szCs w:val="18"/>
          <w:lang w:val="ka-GE"/>
        </w:rPr>
      </w:pPr>
    </w:p>
    <w:p w14:paraId="3942CDB4" w14:textId="77777777" w:rsidR="00AF6E92" w:rsidRPr="00AF6E92" w:rsidRDefault="00AF6E92" w:rsidP="00767D00">
      <w:pPr>
        <w:ind w:right="-990"/>
        <w:jc w:val="both"/>
        <w:rPr>
          <w:rFonts w:ascii="Sylfaen" w:hAnsi="Sylfaen"/>
          <w:i/>
          <w:iCs/>
          <w:color w:val="44546A" w:themeColor="text2"/>
          <w:sz w:val="18"/>
          <w:szCs w:val="18"/>
          <w:lang w:val="ka-GE"/>
        </w:rPr>
      </w:pPr>
    </w:p>
    <w:p w14:paraId="1FF65CF3" w14:textId="49589A50" w:rsidR="00C34557" w:rsidRDefault="00C34557" w:rsidP="00767D00">
      <w:pPr>
        <w:ind w:right="-990"/>
        <w:jc w:val="both"/>
        <w:rPr>
          <w:i/>
          <w:iCs/>
          <w:color w:val="44546A" w:themeColor="text2"/>
          <w:sz w:val="18"/>
          <w:szCs w:val="18"/>
        </w:rPr>
      </w:pPr>
    </w:p>
    <w:p w14:paraId="6724C634" w14:textId="77777777" w:rsidR="00C34557" w:rsidRDefault="00C34557" w:rsidP="00767D00">
      <w:pPr>
        <w:ind w:right="-990"/>
        <w:jc w:val="both"/>
        <w:rPr>
          <w:i/>
          <w:iCs/>
          <w:color w:val="44546A" w:themeColor="text2"/>
          <w:sz w:val="18"/>
          <w:szCs w:val="18"/>
        </w:rPr>
      </w:pPr>
    </w:p>
    <w:p w14:paraId="708D772A" w14:textId="0957EDE3" w:rsidR="00767D00" w:rsidRDefault="008A0A72" w:rsidP="00454C26">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62</w:t>
      </w:r>
      <w:r w:rsidR="009E6455">
        <w:rPr>
          <w:noProof/>
        </w:rPr>
        <w:fldChar w:fldCharType="end"/>
      </w:r>
      <w:r w:rsidR="00767D00">
        <w:t xml:space="preserve">: </w:t>
      </w:r>
      <w:r w:rsidR="003C204B">
        <w:t xml:space="preserve">Self-assessment of fitness status (need for capital renovation and/or at risk of collapse) of housing for </w:t>
      </w:r>
      <w:r>
        <w:t>r</w:t>
      </w:r>
      <w:r w:rsidR="0021680A">
        <w:t>ural</w:t>
      </w:r>
      <w:r w:rsidR="003C204B">
        <w:t xml:space="preserve"> </w:t>
      </w:r>
      <w:r>
        <w:t>a</w:t>
      </w:r>
      <w:r w:rsidR="003C204B">
        <w:t xml:space="preserve">reas – </w:t>
      </w:r>
      <w:r w:rsidR="00F510E2">
        <w:t xml:space="preserve">by </w:t>
      </w:r>
      <w:r w:rsidR="003C204B">
        <w:t>vulnerable groups</w:t>
      </w:r>
    </w:p>
    <w:p w14:paraId="6BFCB422" w14:textId="77777777" w:rsidR="009C48A0" w:rsidRDefault="00F20BFB" w:rsidP="007D3BF2">
      <w:pPr>
        <w:spacing w:after="0"/>
        <w:ind w:right="-990"/>
        <w:jc w:val="both"/>
        <w:rPr>
          <w:i/>
          <w:iCs/>
          <w:color w:val="44546A" w:themeColor="text2"/>
          <w:sz w:val="18"/>
          <w:szCs w:val="18"/>
        </w:rPr>
      </w:pPr>
      <w:r>
        <w:rPr>
          <w:noProof/>
        </w:rPr>
        <w:drawing>
          <wp:inline distT="0" distB="0" distL="0" distR="0" wp14:anchorId="1513A6A2" wp14:editId="715ECE53">
            <wp:extent cx="5810250" cy="3133725"/>
            <wp:effectExtent l="0" t="0" r="0" b="9525"/>
            <wp:docPr id="106" name="Grafico 106">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767D00" w:rsidRPr="00767D00">
        <w:rPr>
          <w:i/>
          <w:iCs/>
          <w:color w:val="44546A" w:themeColor="text2"/>
          <w:sz w:val="18"/>
          <w:szCs w:val="18"/>
        </w:rPr>
        <w:t xml:space="preserve"> </w:t>
      </w:r>
    </w:p>
    <w:p w14:paraId="438126BA" w14:textId="51888903" w:rsidR="00767D00" w:rsidRDefault="00767D00" w:rsidP="00767D00">
      <w:pPr>
        <w:ind w:right="-990"/>
        <w:jc w:val="both"/>
        <w:rPr>
          <w:i/>
          <w:iCs/>
          <w:color w:val="44546A" w:themeColor="text2"/>
          <w:sz w:val="18"/>
          <w:szCs w:val="18"/>
        </w:rPr>
      </w:pPr>
      <w:r>
        <w:rPr>
          <w:i/>
          <w:iCs/>
          <w:color w:val="44546A" w:themeColor="text2"/>
          <w:sz w:val="18"/>
          <w:szCs w:val="18"/>
        </w:rPr>
        <w:t>Source: I</w:t>
      </w:r>
      <w:r w:rsidR="00C803EC">
        <w:rPr>
          <w:i/>
          <w:iCs/>
          <w:color w:val="44546A" w:themeColor="text2"/>
          <w:sz w:val="18"/>
          <w:szCs w:val="18"/>
        </w:rPr>
        <w:t xml:space="preserve">ntegrated Household Survey </w:t>
      </w:r>
    </w:p>
    <w:p w14:paraId="36AFC055" w14:textId="0C08AF8D" w:rsidR="00F20BFB" w:rsidRDefault="008A0A72" w:rsidP="00454C26">
      <w:pPr>
        <w:pStyle w:val="Caption"/>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63</w:t>
      </w:r>
      <w:r w:rsidR="009E6455">
        <w:rPr>
          <w:noProof/>
        </w:rPr>
        <w:fldChar w:fldCharType="end"/>
      </w:r>
      <w:r w:rsidR="00767D00">
        <w:t xml:space="preserve">: </w:t>
      </w:r>
      <w:r w:rsidR="00AC4D2E">
        <w:t xml:space="preserve"> Self-assessment </w:t>
      </w:r>
      <w:r w:rsidR="000B6666">
        <w:t xml:space="preserve">of fitness status ( at risk of collapse) of housing  </w:t>
      </w:r>
      <w:r w:rsidR="00AC4D2E">
        <w:t>for</w:t>
      </w:r>
      <w:r w:rsidR="00AC4D2E" w:rsidRPr="00AA5768">
        <w:t xml:space="preserve"> </w:t>
      </w:r>
      <w:r w:rsidR="0021680A">
        <w:t>urban</w:t>
      </w:r>
      <w:r w:rsidR="00767D00">
        <w:t xml:space="preserve"> areas –</w:t>
      </w:r>
      <w:r w:rsidR="00F510E2">
        <w:t xml:space="preserve"> by </w:t>
      </w:r>
      <w:r w:rsidR="00767D00">
        <w:t xml:space="preserve"> </w:t>
      </w:r>
      <w:r w:rsidR="00D46EC1">
        <w:t>vulnerable groups</w:t>
      </w:r>
    </w:p>
    <w:p w14:paraId="0AC4033B" w14:textId="77777777" w:rsidR="008A0A72" w:rsidRDefault="00F20BFB" w:rsidP="002E64F3">
      <w:pPr>
        <w:spacing w:after="0"/>
        <w:ind w:right="-990"/>
        <w:jc w:val="both"/>
        <w:rPr>
          <w:i/>
          <w:iCs/>
          <w:color w:val="44546A" w:themeColor="text2"/>
          <w:sz w:val="18"/>
          <w:szCs w:val="18"/>
        </w:rPr>
      </w:pPr>
      <w:r>
        <w:rPr>
          <w:noProof/>
        </w:rPr>
        <w:drawing>
          <wp:inline distT="0" distB="0" distL="0" distR="0" wp14:anchorId="5FF269E8" wp14:editId="5A58DCED">
            <wp:extent cx="5810250" cy="3238500"/>
            <wp:effectExtent l="0" t="0" r="0" b="0"/>
            <wp:docPr id="107" name="Grafico 10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767D00" w:rsidRPr="00767D00">
        <w:rPr>
          <w:i/>
          <w:iCs/>
          <w:color w:val="44546A" w:themeColor="text2"/>
          <w:sz w:val="18"/>
          <w:szCs w:val="18"/>
        </w:rPr>
        <w:t xml:space="preserve"> </w:t>
      </w:r>
    </w:p>
    <w:p w14:paraId="5537C8B7" w14:textId="5E4732B0" w:rsidR="00767D00" w:rsidRDefault="00767D00" w:rsidP="00767D00">
      <w:pPr>
        <w:ind w:right="-990"/>
        <w:jc w:val="both"/>
        <w:rPr>
          <w:i/>
          <w:iCs/>
          <w:color w:val="44546A" w:themeColor="text2"/>
          <w:sz w:val="18"/>
          <w:szCs w:val="18"/>
        </w:rPr>
      </w:pPr>
      <w:r>
        <w:rPr>
          <w:i/>
          <w:iCs/>
          <w:color w:val="44546A" w:themeColor="text2"/>
          <w:sz w:val="18"/>
          <w:szCs w:val="18"/>
        </w:rPr>
        <w:t>Source: Integrated House</w:t>
      </w:r>
      <w:r w:rsidR="002E64F3">
        <w:rPr>
          <w:i/>
          <w:iCs/>
          <w:color w:val="44546A" w:themeColor="text2"/>
          <w:sz w:val="18"/>
          <w:szCs w:val="18"/>
        </w:rPr>
        <w:t xml:space="preserve">hold Survey </w:t>
      </w:r>
    </w:p>
    <w:p w14:paraId="5F7AF12E" w14:textId="0A8358D1" w:rsidR="00C34557" w:rsidRDefault="00C34557" w:rsidP="00767D00">
      <w:pPr>
        <w:ind w:right="-990"/>
        <w:jc w:val="both"/>
        <w:rPr>
          <w:i/>
          <w:iCs/>
          <w:color w:val="44546A" w:themeColor="text2"/>
          <w:sz w:val="18"/>
          <w:szCs w:val="18"/>
        </w:rPr>
      </w:pPr>
    </w:p>
    <w:p w14:paraId="6BF2FB00" w14:textId="723BEB42" w:rsidR="00C34557" w:rsidRDefault="00C34557" w:rsidP="00767D00">
      <w:pPr>
        <w:ind w:right="-990"/>
        <w:jc w:val="both"/>
        <w:rPr>
          <w:i/>
          <w:iCs/>
          <w:color w:val="44546A" w:themeColor="text2"/>
          <w:sz w:val="18"/>
          <w:szCs w:val="18"/>
        </w:rPr>
      </w:pPr>
    </w:p>
    <w:p w14:paraId="7FBD322B" w14:textId="77777777" w:rsidR="002E64F3" w:rsidRDefault="002E64F3" w:rsidP="00767D00">
      <w:pPr>
        <w:ind w:right="-990"/>
        <w:jc w:val="both"/>
        <w:rPr>
          <w:i/>
          <w:iCs/>
          <w:color w:val="44546A" w:themeColor="text2"/>
          <w:sz w:val="18"/>
          <w:szCs w:val="18"/>
        </w:rPr>
      </w:pPr>
    </w:p>
    <w:p w14:paraId="6643AF50" w14:textId="3AE7A9D3" w:rsidR="00767D00" w:rsidRPr="00767D00" w:rsidRDefault="008A0A72" w:rsidP="00454C26">
      <w:pPr>
        <w:pStyle w:val="Caption"/>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64</w:t>
      </w:r>
      <w:r w:rsidR="009E6455">
        <w:rPr>
          <w:noProof/>
        </w:rPr>
        <w:fldChar w:fldCharType="end"/>
      </w:r>
      <w:r w:rsidR="00767D00">
        <w:t xml:space="preserve">: </w:t>
      </w:r>
      <w:r w:rsidR="00AC4D2E">
        <w:t xml:space="preserve"> Self-assessment </w:t>
      </w:r>
      <w:r w:rsidR="00F510E2">
        <w:t xml:space="preserve">of fitness status ( at risk of collapse) of housing  </w:t>
      </w:r>
      <w:r w:rsidR="00AC4D2E">
        <w:t xml:space="preserve"> for</w:t>
      </w:r>
      <w:r w:rsidR="00AC4D2E" w:rsidRPr="00AA5768">
        <w:t xml:space="preserve"> </w:t>
      </w:r>
      <w:r w:rsidR="0021680A">
        <w:t>rural</w:t>
      </w:r>
      <w:r w:rsidR="00767D00">
        <w:t xml:space="preserve"> areas –</w:t>
      </w:r>
      <w:r w:rsidR="00F510E2">
        <w:t xml:space="preserve"> by </w:t>
      </w:r>
      <w:r w:rsidR="00767D00">
        <w:t xml:space="preserve"> </w:t>
      </w:r>
      <w:r w:rsidR="00D46EC1">
        <w:t>vulnerable groups</w:t>
      </w:r>
    </w:p>
    <w:p w14:paraId="0F723CA5" w14:textId="77777777" w:rsidR="00F20BFB" w:rsidRDefault="00F20BFB" w:rsidP="002E64F3">
      <w:pPr>
        <w:spacing w:after="0"/>
      </w:pPr>
      <w:r>
        <w:rPr>
          <w:noProof/>
        </w:rPr>
        <w:drawing>
          <wp:inline distT="0" distB="0" distL="0" distR="0" wp14:anchorId="31C50143" wp14:editId="1538BA8A">
            <wp:extent cx="5791200" cy="3505200"/>
            <wp:effectExtent l="0" t="0" r="0" b="0"/>
            <wp:docPr id="108" name="Grafico 108">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DC50040" w14:textId="4C7C0D9D" w:rsidR="00B66D18" w:rsidRPr="00776AB0" w:rsidRDefault="00B66D18" w:rsidP="00B66D18">
      <w:pPr>
        <w:ind w:right="-990"/>
        <w:jc w:val="both"/>
        <w:rPr>
          <w:rFonts w:cstheme="minorHAnsi"/>
          <w:color w:val="FF0000"/>
        </w:rPr>
      </w:pPr>
      <w:r>
        <w:rPr>
          <w:i/>
          <w:iCs/>
          <w:color w:val="44546A" w:themeColor="text2"/>
          <w:sz w:val="18"/>
          <w:szCs w:val="18"/>
        </w:rPr>
        <w:t xml:space="preserve">Source: </w:t>
      </w:r>
      <w:r w:rsidR="002E64F3">
        <w:rPr>
          <w:i/>
          <w:iCs/>
          <w:color w:val="44546A" w:themeColor="text2"/>
          <w:sz w:val="18"/>
          <w:szCs w:val="18"/>
        </w:rPr>
        <w:t xml:space="preserve">Integrated Household Survey </w:t>
      </w:r>
    </w:p>
    <w:p w14:paraId="54BBAFF7" w14:textId="77777777" w:rsidR="00075E30" w:rsidRDefault="001966FC" w:rsidP="004076AD">
      <w:pPr>
        <w:spacing w:line="240" w:lineRule="auto"/>
        <w:jc w:val="both"/>
        <w:rPr>
          <w:rFonts w:cstheme="minorHAnsi"/>
        </w:rPr>
      </w:pPr>
      <w:r>
        <w:rPr>
          <w:rFonts w:cstheme="minorHAnsi"/>
        </w:rPr>
        <w:t>Looking at the ethnic dimension</w:t>
      </w:r>
      <w:r w:rsidR="005E5BE0">
        <w:rPr>
          <w:rFonts w:cstheme="minorHAnsi"/>
        </w:rPr>
        <w:t xml:space="preserve"> shows a mixed picture, </w:t>
      </w:r>
      <w:r w:rsidR="00837434">
        <w:rPr>
          <w:rFonts w:cstheme="minorHAnsi"/>
        </w:rPr>
        <w:t>with</w:t>
      </w:r>
      <w:r w:rsidR="00075E30">
        <w:rPr>
          <w:rFonts w:cstheme="minorHAnsi"/>
        </w:rPr>
        <w:t>:</w:t>
      </w:r>
    </w:p>
    <w:p w14:paraId="4603F4C2" w14:textId="5ECC4F95" w:rsidR="00075E30" w:rsidRDefault="00075E30" w:rsidP="004076AD">
      <w:pPr>
        <w:spacing w:line="240" w:lineRule="auto"/>
        <w:jc w:val="both"/>
        <w:rPr>
          <w:rFonts w:cstheme="minorHAnsi"/>
        </w:rPr>
      </w:pPr>
      <w:r>
        <w:rPr>
          <w:rFonts w:cstheme="minorHAnsi"/>
        </w:rPr>
        <w:t>-</w:t>
      </w:r>
      <w:r w:rsidR="00837434">
        <w:rPr>
          <w:rFonts w:cstheme="minorHAnsi"/>
        </w:rPr>
        <w:t xml:space="preserve"> </w:t>
      </w:r>
      <w:r w:rsidR="00CF2A24">
        <w:rPr>
          <w:rFonts w:cstheme="minorHAnsi"/>
        </w:rPr>
        <w:t xml:space="preserve">ethnically mixed households more exposed to unfit housing and to the risk of collapse both in </w:t>
      </w:r>
      <w:r w:rsidR="0021680A">
        <w:rPr>
          <w:rFonts w:cstheme="minorHAnsi"/>
        </w:rPr>
        <w:t>urban</w:t>
      </w:r>
      <w:r w:rsidR="00CF2A24">
        <w:rPr>
          <w:rFonts w:cstheme="minorHAnsi"/>
        </w:rPr>
        <w:t xml:space="preserve"> and </w:t>
      </w:r>
      <w:r w:rsidR="0021680A">
        <w:rPr>
          <w:rFonts w:cstheme="minorHAnsi"/>
        </w:rPr>
        <w:t>rural</w:t>
      </w:r>
      <w:r w:rsidR="00CF2A24">
        <w:rPr>
          <w:rFonts w:cstheme="minorHAnsi"/>
        </w:rPr>
        <w:t xml:space="preserve"> areas</w:t>
      </w:r>
      <w:r>
        <w:rPr>
          <w:rFonts w:cstheme="minorHAnsi"/>
        </w:rPr>
        <w:t>;</w:t>
      </w:r>
    </w:p>
    <w:p w14:paraId="6F6B8918" w14:textId="3A6B3597" w:rsidR="00E66886" w:rsidRDefault="00075E30" w:rsidP="004076AD">
      <w:pPr>
        <w:spacing w:line="240" w:lineRule="auto"/>
        <w:jc w:val="both"/>
        <w:rPr>
          <w:rFonts w:cstheme="minorHAnsi"/>
        </w:rPr>
      </w:pPr>
      <w:r>
        <w:rPr>
          <w:rFonts w:cstheme="minorHAnsi"/>
        </w:rPr>
        <w:t xml:space="preserve">- </w:t>
      </w:r>
      <w:r w:rsidR="00914E0C">
        <w:rPr>
          <w:rFonts w:cstheme="minorHAnsi"/>
        </w:rPr>
        <w:t>non-ethnically</w:t>
      </w:r>
      <w:r w:rsidR="00A44232">
        <w:rPr>
          <w:rFonts w:cstheme="minorHAnsi"/>
        </w:rPr>
        <w:t xml:space="preserve"> Georgian household more exposed to unfit housing</w:t>
      </w:r>
      <w:r w:rsidR="00710B6F">
        <w:rPr>
          <w:rFonts w:cstheme="minorHAnsi"/>
        </w:rPr>
        <w:t xml:space="preserve"> – and</w:t>
      </w:r>
      <w:r w:rsidR="00E66886">
        <w:rPr>
          <w:rFonts w:cstheme="minorHAnsi"/>
        </w:rPr>
        <w:t>,</w:t>
      </w:r>
      <w:r w:rsidR="00710B6F">
        <w:rPr>
          <w:rFonts w:cstheme="minorHAnsi"/>
        </w:rPr>
        <w:t xml:space="preserve"> possibly</w:t>
      </w:r>
      <w:r w:rsidR="00E66886">
        <w:rPr>
          <w:rFonts w:cstheme="minorHAnsi"/>
        </w:rPr>
        <w:t>,</w:t>
      </w:r>
      <w:r w:rsidR="00710B6F">
        <w:rPr>
          <w:rFonts w:cstheme="minorHAnsi"/>
        </w:rPr>
        <w:t xml:space="preserve"> to the risk of collapse -</w:t>
      </w:r>
      <w:r w:rsidR="00A44232">
        <w:rPr>
          <w:rFonts w:cstheme="minorHAnsi"/>
        </w:rPr>
        <w:t xml:space="preserve"> in </w:t>
      </w:r>
      <w:r w:rsidR="0021680A">
        <w:rPr>
          <w:rFonts w:cstheme="minorHAnsi"/>
        </w:rPr>
        <w:t>urban</w:t>
      </w:r>
      <w:r w:rsidR="00A44232">
        <w:rPr>
          <w:rFonts w:cstheme="minorHAnsi"/>
        </w:rPr>
        <w:t xml:space="preserve"> areas</w:t>
      </w:r>
      <w:r w:rsidR="00E66886">
        <w:rPr>
          <w:rFonts w:cstheme="minorHAnsi"/>
        </w:rPr>
        <w:t xml:space="preserve">, </w:t>
      </w:r>
      <w:r w:rsidR="00A44232">
        <w:rPr>
          <w:rFonts w:cstheme="minorHAnsi"/>
        </w:rPr>
        <w:t xml:space="preserve">but less exposed in </w:t>
      </w:r>
      <w:r w:rsidR="0021680A">
        <w:rPr>
          <w:rFonts w:cstheme="minorHAnsi"/>
        </w:rPr>
        <w:t>rural</w:t>
      </w:r>
      <w:r w:rsidR="00710B6F">
        <w:rPr>
          <w:rFonts w:cstheme="minorHAnsi"/>
        </w:rPr>
        <w:t xml:space="preserve"> areas</w:t>
      </w:r>
      <w:r w:rsidR="00E66886">
        <w:rPr>
          <w:rFonts w:cstheme="minorHAnsi"/>
        </w:rPr>
        <w:t>;</w:t>
      </w:r>
    </w:p>
    <w:p w14:paraId="34BBAFC4" w14:textId="2A427662" w:rsidR="00E66886" w:rsidRDefault="00E66886" w:rsidP="004076AD">
      <w:pPr>
        <w:spacing w:line="240" w:lineRule="auto"/>
        <w:jc w:val="both"/>
        <w:rPr>
          <w:rFonts w:cstheme="minorHAnsi"/>
        </w:rPr>
      </w:pPr>
      <w:r>
        <w:rPr>
          <w:rFonts w:cstheme="minorHAnsi"/>
        </w:rPr>
        <w:t xml:space="preserve">- ethnically Georgian household less exposed to unfit housing – and, possibly, to the risk of collapse - in </w:t>
      </w:r>
      <w:r w:rsidR="0021680A">
        <w:rPr>
          <w:rFonts w:cstheme="minorHAnsi"/>
        </w:rPr>
        <w:t>urban</w:t>
      </w:r>
      <w:r>
        <w:rPr>
          <w:rFonts w:cstheme="minorHAnsi"/>
        </w:rPr>
        <w:t xml:space="preserve"> areas, but more exposed in </w:t>
      </w:r>
      <w:r w:rsidR="0021680A">
        <w:rPr>
          <w:rFonts w:cstheme="minorHAnsi"/>
        </w:rPr>
        <w:t>rural</w:t>
      </w:r>
      <w:r>
        <w:rPr>
          <w:rFonts w:cstheme="minorHAnsi"/>
        </w:rPr>
        <w:t xml:space="preserve"> areas.</w:t>
      </w:r>
    </w:p>
    <w:p w14:paraId="5F096A40" w14:textId="2A247EF6" w:rsidR="00107E8E" w:rsidRDefault="00914E0C" w:rsidP="004076AD">
      <w:pPr>
        <w:pStyle w:val="Caption"/>
        <w:spacing w:after="0"/>
        <w:rPr>
          <w:rFonts w:cstheme="minorHAnsi"/>
          <w:b/>
          <w:bCs/>
          <w:i w:val="0"/>
          <w:iCs w:val="0"/>
        </w:rPr>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65</w:t>
      </w:r>
      <w:r w:rsidR="009E6455">
        <w:rPr>
          <w:noProof/>
        </w:rPr>
        <w:fldChar w:fldCharType="end"/>
      </w:r>
      <w:r>
        <w:t xml:space="preserve">:  Self-assessment of fitness status (need for capital renovation and/or at risk of collapse) of </w:t>
      </w:r>
      <w:r w:rsidR="006B1DDE">
        <w:t>housing for</w:t>
      </w:r>
      <w:r>
        <w:t xml:space="preserve"> urban areas</w:t>
      </w:r>
      <w:r w:rsidR="00C34557">
        <w:t xml:space="preserve"> </w:t>
      </w:r>
      <w:r>
        <w:t>– by ethnicity</w:t>
      </w:r>
      <w:r w:rsidRPr="00914E0C">
        <w:rPr>
          <w:noProof/>
        </w:rPr>
        <w:t xml:space="preserve"> </w:t>
      </w:r>
      <w:r>
        <w:rPr>
          <w:noProof/>
        </w:rPr>
        <w:drawing>
          <wp:inline distT="0" distB="0" distL="0" distR="0" wp14:anchorId="6FDAA730" wp14:editId="02ABCB57">
            <wp:extent cx="5757062" cy="2275027"/>
            <wp:effectExtent l="0" t="0" r="15240" b="11430"/>
            <wp:docPr id="128" name="Chart 12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D0A06B7" w14:textId="18619C3E" w:rsidR="00914E0C" w:rsidRDefault="00914E0C" w:rsidP="00914E0C">
      <w:pPr>
        <w:ind w:right="-990"/>
        <w:jc w:val="both"/>
        <w:rPr>
          <w:i/>
          <w:iCs/>
          <w:color w:val="44546A" w:themeColor="text2"/>
          <w:sz w:val="18"/>
          <w:szCs w:val="18"/>
        </w:rPr>
      </w:pPr>
      <w:r>
        <w:rPr>
          <w:i/>
          <w:iCs/>
          <w:color w:val="44546A" w:themeColor="text2"/>
          <w:sz w:val="18"/>
          <w:szCs w:val="18"/>
        </w:rPr>
        <w:t>Source: I</w:t>
      </w:r>
      <w:r w:rsidR="002E64F3">
        <w:rPr>
          <w:i/>
          <w:iCs/>
          <w:color w:val="44546A" w:themeColor="text2"/>
          <w:sz w:val="18"/>
          <w:szCs w:val="18"/>
        </w:rPr>
        <w:t xml:space="preserve">ntegrated Household Survey </w:t>
      </w:r>
    </w:p>
    <w:p w14:paraId="2E4E7D41" w14:textId="59B10B01" w:rsidR="00914E0C" w:rsidRPr="00454C26" w:rsidRDefault="00914E0C" w:rsidP="00454C26">
      <w:pPr>
        <w:pStyle w:val="Caption"/>
        <w:rPr>
          <w:rFonts w:cstheme="minorHAnsi"/>
        </w:rPr>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66</w:t>
      </w:r>
      <w:r w:rsidR="009E6455">
        <w:rPr>
          <w:noProof/>
        </w:rPr>
        <w:fldChar w:fldCharType="end"/>
      </w:r>
      <w:r>
        <w:t>: Self-assessment of fitness status (need for capital renovation and/or at risk of collapse) of housing for rural areas – by ethnicity</w:t>
      </w:r>
    </w:p>
    <w:p w14:paraId="20760242" w14:textId="1F2F919D" w:rsidR="00837434" w:rsidRDefault="00914E0C" w:rsidP="002E64F3">
      <w:pPr>
        <w:spacing w:after="0"/>
        <w:rPr>
          <w:rFonts w:cstheme="minorHAnsi"/>
          <w:b/>
          <w:bCs/>
          <w:i/>
          <w:iCs/>
        </w:rPr>
      </w:pPr>
      <w:r>
        <w:rPr>
          <w:noProof/>
        </w:rPr>
        <w:drawing>
          <wp:inline distT="0" distB="0" distL="0" distR="0" wp14:anchorId="3FC92B6C" wp14:editId="53B9AACA">
            <wp:extent cx="5819775" cy="2743200"/>
            <wp:effectExtent l="0" t="0" r="9525" b="0"/>
            <wp:docPr id="129" name="Chart 129">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8286D9F" w14:textId="52C5F347" w:rsidR="00914E0C" w:rsidRDefault="00914E0C" w:rsidP="00914E0C">
      <w:pPr>
        <w:ind w:right="-990"/>
        <w:jc w:val="both"/>
        <w:rPr>
          <w:i/>
          <w:iCs/>
          <w:color w:val="44546A" w:themeColor="text2"/>
          <w:sz w:val="18"/>
          <w:szCs w:val="18"/>
        </w:rPr>
      </w:pPr>
      <w:r>
        <w:rPr>
          <w:i/>
          <w:iCs/>
          <w:color w:val="44546A" w:themeColor="text2"/>
          <w:sz w:val="18"/>
          <w:szCs w:val="18"/>
        </w:rPr>
        <w:t xml:space="preserve">Source: Integrated Household Survey </w:t>
      </w:r>
    </w:p>
    <w:p w14:paraId="0DB30736" w14:textId="20A31707" w:rsidR="00914E0C" w:rsidRDefault="00914E0C" w:rsidP="00454C26">
      <w:pPr>
        <w:pStyle w:val="Caption"/>
        <w:rPr>
          <w:rFonts w:cstheme="minorHAnsi"/>
          <w:b/>
          <w:bCs/>
          <w:i w:val="0"/>
          <w:iCs w:val="0"/>
        </w:rPr>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67</w:t>
      </w:r>
      <w:r w:rsidR="009E6455">
        <w:rPr>
          <w:noProof/>
        </w:rPr>
        <w:fldChar w:fldCharType="end"/>
      </w:r>
      <w:r>
        <w:t xml:space="preserve">: </w:t>
      </w:r>
      <w:r w:rsidR="004042B9">
        <w:t xml:space="preserve"> Self-assessment </w:t>
      </w:r>
      <w:r w:rsidR="00BB360D">
        <w:t xml:space="preserve">of fitness status ( at risk of collapse) of housing  </w:t>
      </w:r>
      <w:r w:rsidR="004042B9">
        <w:t xml:space="preserve"> for</w:t>
      </w:r>
      <w:r w:rsidR="004042B9" w:rsidRPr="00AA5768">
        <w:t xml:space="preserve"> </w:t>
      </w:r>
      <w:r>
        <w:t>urban areas – by ethnicity</w:t>
      </w:r>
    </w:p>
    <w:p w14:paraId="715E0B99" w14:textId="4DDDFF18" w:rsidR="00107E8E" w:rsidRDefault="00914E0C" w:rsidP="002E64F3">
      <w:pPr>
        <w:spacing w:after="0"/>
        <w:rPr>
          <w:noProof/>
        </w:rPr>
      </w:pPr>
      <w:r>
        <w:rPr>
          <w:noProof/>
        </w:rPr>
        <w:drawing>
          <wp:inline distT="0" distB="0" distL="0" distR="0" wp14:anchorId="37187CA3" wp14:editId="0B1D13E1">
            <wp:extent cx="5781675" cy="3381375"/>
            <wp:effectExtent l="0" t="0" r="9525" b="9525"/>
            <wp:docPr id="130" name="Chart 13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Del="00914E0C">
        <w:rPr>
          <w:noProof/>
        </w:rPr>
        <w:t xml:space="preserve"> </w:t>
      </w:r>
    </w:p>
    <w:p w14:paraId="5AFA7895" w14:textId="1CF8BCC0" w:rsidR="00914E0C" w:rsidRDefault="00914E0C" w:rsidP="00914E0C">
      <w:pPr>
        <w:ind w:right="-990"/>
        <w:jc w:val="both"/>
        <w:rPr>
          <w:rFonts w:cstheme="minorHAnsi"/>
          <w:color w:val="FF0000"/>
        </w:rPr>
      </w:pPr>
      <w:r>
        <w:rPr>
          <w:i/>
          <w:iCs/>
          <w:color w:val="44546A" w:themeColor="text2"/>
          <w:sz w:val="18"/>
          <w:szCs w:val="18"/>
        </w:rPr>
        <w:t>Source: I</w:t>
      </w:r>
      <w:r w:rsidR="002E64F3">
        <w:rPr>
          <w:i/>
          <w:iCs/>
          <w:color w:val="44546A" w:themeColor="text2"/>
          <w:sz w:val="18"/>
          <w:szCs w:val="18"/>
        </w:rPr>
        <w:t xml:space="preserve">ntegrated Household Survey </w:t>
      </w:r>
    </w:p>
    <w:p w14:paraId="537594C7" w14:textId="344F6DCA" w:rsidR="00914E0C" w:rsidRDefault="00914E0C" w:rsidP="00454C26">
      <w:pPr>
        <w:ind w:right="-990"/>
        <w:jc w:val="both"/>
        <w:rPr>
          <w:rFonts w:cstheme="minorHAnsi"/>
          <w:color w:val="FF0000"/>
        </w:rPr>
      </w:pPr>
    </w:p>
    <w:p w14:paraId="6633A02B" w14:textId="7998AA59" w:rsidR="004076AD" w:rsidRDefault="004076AD" w:rsidP="00454C26">
      <w:pPr>
        <w:ind w:right="-990"/>
        <w:jc w:val="both"/>
        <w:rPr>
          <w:rFonts w:cstheme="minorHAnsi"/>
          <w:color w:val="FF0000"/>
        </w:rPr>
      </w:pPr>
    </w:p>
    <w:p w14:paraId="70CC18E8" w14:textId="72B4E46D" w:rsidR="004076AD" w:rsidRDefault="004076AD" w:rsidP="00454C26">
      <w:pPr>
        <w:ind w:right="-990"/>
        <w:jc w:val="both"/>
        <w:rPr>
          <w:rFonts w:cstheme="minorHAnsi"/>
          <w:color w:val="FF0000"/>
        </w:rPr>
      </w:pPr>
    </w:p>
    <w:p w14:paraId="20AC0F94" w14:textId="77777777" w:rsidR="004076AD" w:rsidRPr="00454C26" w:rsidRDefault="004076AD" w:rsidP="00454C26">
      <w:pPr>
        <w:ind w:right="-990"/>
        <w:jc w:val="both"/>
        <w:rPr>
          <w:rFonts w:cstheme="minorHAnsi"/>
          <w:color w:val="FF0000"/>
        </w:rPr>
      </w:pPr>
    </w:p>
    <w:p w14:paraId="25CFDA54" w14:textId="52F3FA14" w:rsidR="00914E0C" w:rsidRDefault="00914E0C" w:rsidP="00454C26">
      <w:pPr>
        <w:pStyle w:val="Caption"/>
        <w:rPr>
          <w:rFonts w:cstheme="minorHAnsi"/>
          <w:b/>
          <w:bCs/>
          <w:i w:val="0"/>
          <w:iCs w:val="0"/>
        </w:rPr>
      </w:pPr>
      <w:r>
        <w:t xml:space="preserve">Figure </w:t>
      </w:r>
      <w:r w:rsidR="009E6455">
        <w:rPr>
          <w:noProof/>
        </w:rPr>
        <w:fldChar w:fldCharType="begin"/>
      </w:r>
      <w:r w:rsidR="009E6455">
        <w:rPr>
          <w:noProof/>
        </w:rPr>
        <w:instrText xml:space="preserve"> SEQ Figure \* ARABIC </w:instrText>
      </w:r>
      <w:r w:rsidR="009E6455">
        <w:rPr>
          <w:noProof/>
        </w:rPr>
        <w:fldChar w:fldCharType="separate"/>
      </w:r>
      <w:r w:rsidR="006B5103">
        <w:rPr>
          <w:noProof/>
        </w:rPr>
        <w:t>68</w:t>
      </w:r>
      <w:r w:rsidR="009E6455">
        <w:rPr>
          <w:noProof/>
        </w:rPr>
        <w:fldChar w:fldCharType="end"/>
      </w:r>
      <w:r>
        <w:t xml:space="preserve">:  </w:t>
      </w:r>
      <w:r w:rsidR="004042B9">
        <w:t xml:space="preserve"> Self-assessment </w:t>
      </w:r>
      <w:r w:rsidR="000D3948">
        <w:t xml:space="preserve">of fitness status ( at risk of collapse) of housing  </w:t>
      </w:r>
      <w:r w:rsidR="004042B9">
        <w:t xml:space="preserve"> for</w:t>
      </w:r>
      <w:r w:rsidR="004042B9" w:rsidRPr="00AA5768">
        <w:t xml:space="preserve"> </w:t>
      </w:r>
      <w:r>
        <w:t>rural areas – by ethnicity</w:t>
      </w:r>
    </w:p>
    <w:p w14:paraId="71B21452" w14:textId="03D92B43" w:rsidR="00107E8E" w:rsidRDefault="00914E0C" w:rsidP="002E64F3">
      <w:pPr>
        <w:spacing w:after="0"/>
        <w:rPr>
          <w:noProof/>
        </w:rPr>
      </w:pPr>
      <w:r>
        <w:rPr>
          <w:noProof/>
        </w:rPr>
        <w:drawing>
          <wp:inline distT="0" distB="0" distL="0" distR="0" wp14:anchorId="7E9672DF" wp14:editId="05840587">
            <wp:extent cx="5705475" cy="3048000"/>
            <wp:effectExtent l="0" t="0" r="9525" b="0"/>
            <wp:docPr id="131" name="Chart 13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Del="00914E0C">
        <w:rPr>
          <w:noProof/>
        </w:rPr>
        <w:t xml:space="preserve"> </w:t>
      </w:r>
    </w:p>
    <w:p w14:paraId="356473D8" w14:textId="7C9BDEB4" w:rsidR="00914E0C" w:rsidRDefault="00914E0C" w:rsidP="00914E0C">
      <w:pPr>
        <w:ind w:right="-990"/>
        <w:jc w:val="both"/>
        <w:rPr>
          <w:rFonts w:cstheme="minorHAnsi"/>
          <w:color w:val="FF0000"/>
        </w:rPr>
      </w:pPr>
      <w:r>
        <w:rPr>
          <w:i/>
          <w:iCs/>
          <w:color w:val="44546A" w:themeColor="text2"/>
          <w:sz w:val="18"/>
          <w:szCs w:val="18"/>
        </w:rPr>
        <w:t>Source: I</w:t>
      </w:r>
      <w:r w:rsidR="002E64F3">
        <w:rPr>
          <w:i/>
          <w:iCs/>
          <w:color w:val="44546A" w:themeColor="text2"/>
          <w:sz w:val="18"/>
          <w:szCs w:val="18"/>
        </w:rPr>
        <w:t xml:space="preserve">ntegrated Household Survey </w:t>
      </w:r>
    </w:p>
    <w:p w14:paraId="64E2F346" w14:textId="428D782C" w:rsidR="00001CF2" w:rsidRPr="00454C26" w:rsidRDefault="00107E8E" w:rsidP="00454C26">
      <w:pPr>
        <w:jc w:val="both"/>
        <w:rPr>
          <w:rFonts w:cstheme="minorHAnsi"/>
        </w:rPr>
      </w:pPr>
      <w:r w:rsidRPr="00454C26">
        <w:rPr>
          <w:rFonts w:cstheme="minorHAnsi"/>
        </w:rPr>
        <w:t>A further investigation of these pattern</w:t>
      </w:r>
      <w:r w:rsidR="00001CF2" w:rsidRPr="00454C26">
        <w:rPr>
          <w:rFonts w:cstheme="minorHAnsi"/>
        </w:rPr>
        <w:t>s might be worth considering.</w:t>
      </w:r>
    </w:p>
    <w:p w14:paraId="439650F9" w14:textId="3639DD13" w:rsidR="00C1269A" w:rsidRDefault="00C1269A" w:rsidP="00C1269A">
      <w:pPr>
        <w:rPr>
          <w:rFonts w:cstheme="minorHAnsi"/>
          <w:b/>
          <w:bCs/>
          <w:i/>
          <w:iCs/>
        </w:rPr>
      </w:pPr>
      <w:r>
        <w:rPr>
          <w:rFonts w:cstheme="minorHAnsi"/>
          <w:b/>
          <w:bCs/>
          <w:i/>
          <w:iCs/>
        </w:rPr>
        <w:t>H</w:t>
      </w:r>
      <w:r w:rsidR="00B66D18" w:rsidRPr="006066AB">
        <w:rPr>
          <w:rFonts w:cstheme="minorHAnsi"/>
          <w:b/>
          <w:bCs/>
          <w:i/>
          <w:iCs/>
        </w:rPr>
        <w:t>ouseholds living in overcrowded spaces</w:t>
      </w:r>
    </w:p>
    <w:p w14:paraId="76093938" w14:textId="0D9F5DFE" w:rsidR="000E69CF" w:rsidRDefault="00794588" w:rsidP="00976D0B">
      <w:pPr>
        <w:jc w:val="both"/>
        <w:rPr>
          <w:rFonts w:cstheme="minorHAnsi"/>
        </w:rPr>
      </w:pPr>
      <w:r>
        <w:rPr>
          <w:rFonts w:cstheme="minorHAnsi"/>
        </w:rPr>
        <w:t>The disaggregate analysis of overcrowding confirms the</w:t>
      </w:r>
      <w:r w:rsidR="004D2C40">
        <w:rPr>
          <w:rFonts w:cstheme="minorHAnsi"/>
        </w:rPr>
        <w:t xml:space="preserve"> existence of the downward trend highlighted in the previous section. </w:t>
      </w:r>
    </w:p>
    <w:p w14:paraId="5662E5B9" w14:textId="77777777" w:rsidR="003C2946" w:rsidRDefault="004D2C40" w:rsidP="00976D0B">
      <w:pPr>
        <w:jc w:val="both"/>
        <w:rPr>
          <w:rFonts w:cstheme="minorHAnsi"/>
        </w:rPr>
      </w:pPr>
      <w:r>
        <w:rPr>
          <w:rFonts w:cstheme="minorHAnsi"/>
        </w:rPr>
        <w:t xml:space="preserve">The only notable insights from the disaggregated analysis is that </w:t>
      </w:r>
      <w:r w:rsidR="00DC61D1">
        <w:rPr>
          <w:rFonts w:cstheme="minorHAnsi"/>
        </w:rPr>
        <w:t xml:space="preserve">for all vulnerable groups the situation has been </w:t>
      </w:r>
      <w:r w:rsidR="00310B3B">
        <w:rPr>
          <w:rFonts w:cstheme="minorHAnsi"/>
        </w:rPr>
        <w:t>converging towards</w:t>
      </w:r>
      <w:r w:rsidR="00DC61D1">
        <w:rPr>
          <w:rFonts w:cstheme="minorHAnsi"/>
        </w:rPr>
        <w:t xml:space="preserve"> the </w:t>
      </w:r>
      <w:r w:rsidR="00310B3B">
        <w:rPr>
          <w:rFonts w:cstheme="minorHAnsi"/>
        </w:rPr>
        <w:t xml:space="preserve">(declining) </w:t>
      </w:r>
      <w:r w:rsidR="00DC61D1">
        <w:rPr>
          <w:rFonts w:cstheme="minorHAnsi"/>
        </w:rPr>
        <w:t>national average over time</w:t>
      </w:r>
      <w:r w:rsidR="00E80C7D">
        <w:rPr>
          <w:rFonts w:cstheme="minorHAnsi"/>
        </w:rPr>
        <w:t xml:space="preserve">, which </w:t>
      </w:r>
      <w:r w:rsidR="006109BB">
        <w:rPr>
          <w:rFonts w:cstheme="minorHAnsi"/>
        </w:rPr>
        <w:t>leads to a significant reduction in the</w:t>
      </w:r>
      <w:r w:rsidR="00310B3B">
        <w:rPr>
          <w:rFonts w:cstheme="minorHAnsi"/>
        </w:rPr>
        <w:t xml:space="preserve"> </w:t>
      </w:r>
      <w:r w:rsidR="00B710A2">
        <w:rPr>
          <w:rFonts w:cstheme="minorHAnsi"/>
        </w:rPr>
        <w:t xml:space="preserve">share of households living in overcrowded spaces. </w:t>
      </w:r>
    </w:p>
    <w:p w14:paraId="233AD231" w14:textId="427775CA" w:rsidR="00EA6A80" w:rsidRDefault="003C2946" w:rsidP="00976D0B">
      <w:pPr>
        <w:jc w:val="both"/>
        <w:rPr>
          <w:rFonts w:cstheme="minorHAnsi"/>
        </w:rPr>
      </w:pPr>
      <w:r>
        <w:rPr>
          <w:rFonts w:cstheme="minorHAnsi"/>
        </w:rPr>
        <w:t>Only one of the subcategories of the population under analysis shows a d</w:t>
      </w:r>
      <w:r w:rsidR="00547FC0">
        <w:rPr>
          <w:rFonts w:cstheme="minorHAnsi"/>
        </w:rPr>
        <w:t>ifferent trend, in</w:t>
      </w:r>
      <w:r>
        <w:rPr>
          <w:rFonts w:cstheme="minorHAnsi"/>
        </w:rPr>
        <w:t xml:space="preserve"> </w:t>
      </w:r>
      <w:r w:rsidR="0021680A">
        <w:rPr>
          <w:rFonts w:cstheme="minorHAnsi"/>
        </w:rPr>
        <w:t>urban</w:t>
      </w:r>
      <w:r>
        <w:rPr>
          <w:rFonts w:cstheme="minorHAnsi"/>
        </w:rPr>
        <w:t xml:space="preserve"> areas adopting the UN definition. As </w:t>
      </w:r>
      <w:r w:rsidR="0087782B">
        <w:rPr>
          <w:rFonts w:cstheme="minorHAnsi"/>
        </w:rPr>
        <w:t xml:space="preserve">it can be seen in </w:t>
      </w:r>
      <w:r w:rsidR="006B5103">
        <w:rPr>
          <w:rFonts w:cstheme="minorHAnsi"/>
        </w:rPr>
        <w:t>F</w:t>
      </w:r>
      <w:r w:rsidR="0087782B">
        <w:rPr>
          <w:rFonts w:cstheme="minorHAnsi"/>
        </w:rPr>
        <w:t>igure</w:t>
      </w:r>
      <w:r w:rsidR="006B5103">
        <w:rPr>
          <w:rFonts w:cstheme="minorHAnsi"/>
        </w:rPr>
        <w:t xml:space="preserve"> 69</w:t>
      </w:r>
      <w:r w:rsidR="00EA6A80">
        <w:rPr>
          <w:rFonts w:cstheme="minorHAnsi"/>
        </w:rPr>
        <w:t xml:space="preserve"> below</w:t>
      </w:r>
      <w:r w:rsidR="0087782B">
        <w:rPr>
          <w:rFonts w:cstheme="minorHAnsi"/>
        </w:rPr>
        <w:t xml:space="preserve"> this category is that of ethnically mixed households, </w:t>
      </w:r>
      <w:r w:rsidR="00EA6A80">
        <w:rPr>
          <w:rFonts w:cstheme="minorHAnsi"/>
        </w:rPr>
        <w:t xml:space="preserve">where no declining </w:t>
      </w:r>
      <w:r w:rsidR="00614EF9">
        <w:rPr>
          <w:rFonts w:cstheme="minorHAnsi"/>
        </w:rPr>
        <w:t xml:space="preserve">(or even increasing) </w:t>
      </w:r>
      <w:r w:rsidR="00EA6A80">
        <w:rPr>
          <w:rFonts w:cstheme="minorHAnsi"/>
        </w:rPr>
        <w:t>trend can be observed.</w:t>
      </w:r>
      <w:r w:rsidR="00614EF9">
        <w:rPr>
          <w:rFonts w:cstheme="minorHAnsi"/>
        </w:rPr>
        <w:t xml:space="preserve"> </w:t>
      </w:r>
    </w:p>
    <w:p w14:paraId="7BEEA89C" w14:textId="6A040BB3" w:rsidR="004076AD" w:rsidRDefault="004076AD" w:rsidP="00976D0B">
      <w:pPr>
        <w:jc w:val="both"/>
        <w:rPr>
          <w:rFonts w:cstheme="minorHAnsi"/>
        </w:rPr>
      </w:pPr>
    </w:p>
    <w:p w14:paraId="3841BDDA" w14:textId="3B21D313" w:rsidR="004076AD" w:rsidRDefault="004076AD" w:rsidP="00976D0B">
      <w:pPr>
        <w:jc w:val="both"/>
        <w:rPr>
          <w:rFonts w:cstheme="minorHAnsi"/>
        </w:rPr>
      </w:pPr>
    </w:p>
    <w:p w14:paraId="1BAB5626" w14:textId="7ADD0677" w:rsidR="004076AD" w:rsidRDefault="004076AD" w:rsidP="00976D0B">
      <w:pPr>
        <w:jc w:val="both"/>
        <w:rPr>
          <w:rFonts w:cstheme="minorHAnsi"/>
        </w:rPr>
      </w:pPr>
    </w:p>
    <w:p w14:paraId="0C4E0443" w14:textId="3A33357A" w:rsidR="004076AD" w:rsidRDefault="004076AD" w:rsidP="00976D0B">
      <w:pPr>
        <w:jc w:val="both"/>
        <w:rPr>
          <w:rFonts w:cstheme="minorHAnsi"/>
        </w:rPr>
      </w:pPr>
    </w:p>
    <w:p w14:paraId="599755AC" w14:textId="7D39EBD0" w:rsidR="004076AD" w:rsidRDefault="004076AD" w:rsidP="00976D0B">
      <w:pPr>
        <w:jc w:val="both"/>
        <w:rPr>
          <w:rFonts w:cstheme="minorHAnsi"/>
        </w:rPr>
      </w:pPr>
    </w:p>
    <w:p w14:paraId="32189076" w14:textId="2CF43ABD" w:rsidR="004076AD" w:rsidRDefault="004076AD" w:rsidP="00976D0B">
      <w:pPr>
        <w:jc w:val="both"/>
        <w:rPr>
          <w:rFonts w:cstheme="minorHAnsi"/>
        </w:rPr>
      </w:pPr>
    </w:p>
    <w:p w14:paraId="307E392E" w14:textId="77777777" w:rsidR="004076AD" w:rsidRDefault="004076AD" w:rsidP="00976D0B">
      <w:pPr>
        <w:jc w:val="both"/>
        <w:rPr>
          <w:rFonts w:cstheme="minorHAnsi"/>
        </w:rPr>
      </w:pPr>
    </w:p>
    <w:p w14:paraId="35BDE55E" w14:textId="1281E422" w:rsidR="006B5103" w:rsidRDefault="006B5103" w:rsidP="00454C26">
      <w:pPr>
        <w:pStyle w:val="Caption"/>
        <w:rPr>
          <w:rFonts w:cstheme="minorHAnsi"/>
        </w:rPr>
      </w:pPr>
      <w:r>
        <w:lastRenderedPageBreak/>
        <w:t xml:space="preserve">Figure </w:t>
      </w:r>
      <w:r w:rsidR="009E6455">
        <w:rPr>
          <w:noProof/>
        </w:rPr>
        <w:fldChar w:fldCharType="begin"/>
      </w:r>
      <w:r w:rsidR="009E6455">
        <w:rPr>
          <w:noProof/>
        </w:rPr>
        <w:instrText xml:space="preserve"> SEQ Figure \* ARABIC </w:instrText>
      </w:r>
      <w:r w:rsidR="009E6455">
        <w:rPr>
          <w:noProof/>
        </w:rPr>
        <w:fldChar w:fldCharType="separate"/>
      </w:r>
      <w:r>
        <w:rPr>
          <w:noProof/>
        </w:rPr>
        <w:t>69</w:t>
      </w:r>
      <w:r w:rsidR="009E6455">
        <w:rPr>
          <w:noProof/>
        </w:rPr>
        <w:fldChar w:fldCharType="end"/>
      </w:r>
      <w:r>
        <w:t xml:space="preserve">: </w:t>
      </w:r>
      <w:r w:rsidRPr="00454C26">
        <w:t>The share of households living in overcrowded houses</w:t>
      </w:r>
      <w:r>
        <w:t xml:space="preserve"> in urban areas – by ethnicity</w:t>
      </w:r>
    </w:p>
    <w:p w14:paraId="7962394E" w14:textId="3388582B" w:rsidR="00614EF9" w:rsidRDefault="006B5103" w:rsidP="00F64688">
      <w:pPr>
        <w:spacing w:after="0"/>
        <w:jc w:val="both"/>
        <w:rPr>
          <w:noProof/>
        </w:rPr>
      </w:pPr>
      <w:r w:rsidRPr="006B5103">
        <w:rPr>
          <w:noProof/>
        </w:rPr>
        <w:t xml:space="preserve"> </w:t>
      </w:r>
      <w:r>
        <w:rPr>
          <w:noProof/>
        </w:rPr>
        <w:drawing>
          <wp:inline distT="0" distB="0" distL="0" distR="0" wp14:anchorId="08D0EBC1" wp14:editId="1BA7F7BA">
            <wp:extent cx="5867400" cy="3248025"/>
            <wp:effectExtent l="0" t="0" r="0" b="9525"/>
            <wp:docPr id="133" name="Chart 13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D299C50" w14:textId="3E16F86E" w:rsidR="002E4305" w:rsidRPr="00454C26" w:rsidRDefault="001B26ED" w:rsidP="00454C26">
      <w:pPr>
        <w:ind w:right="-990"/>
        <w:jc w:val="both"/>
        <w:rPr>
          <w:rFonts w:cstheme="minorHAnsi"/>
          <w:color w:val="FF0000"/>
        </w:rPr>
      </w:pPr>
      <w:r>
        <w:rPr>
          <w:i/>
          <w:iCs/>
          <w:color w:val="44546A" w:themeColor="text2"/>
          <w:sz w:val="18"/>
          <w:szCs w:val="18"/>
        </w:rPr>
        <w:t>Source: I</w:t>
      </w:r>
      <w:r w:rsidR="00F64688">
        <w:rPr>
          <w:i/>
          <w:iCs/>
          <w:color w:val="44546A" w:themeColor="text2"/>
          <w:sz w:val="18"/>
          <w:szCs w:val="18"/>
        </w:rPr>
        <w:t xml:space="preserve">ntegrated Household Survey </w:t>
      </w:r>
    </w:p>
    <w:p w14:paraId="35E591B2" w14:textId="683ED637" w:rsidR="004D2C40" w:rsidRDefault="00614EF9" w:rsidP="00976D0B">
      <w:pPr>
        <w:jc w:val="both"/>
        <w:rPr>
          <w:rFonts w:cstheme="minorHAnsi"/>
        </w:rPr>
      </w:pPr>
      <w:r>
        <w:rPr>
          <w:rFonts w:cstheme="minorHAnsi"/>
        </w:rPr>
        <w:t xml:space="preserve">All the other </w:t>
      </w:r>
      <w:r w:rsidR="00B710A2">
        <w:rPr>
          <w:rFonts w:cstheme="minorHAnsi"/>
        </w:rPr>
        <w:t>disaggregated figures relative to overcrowding can be found in the Annex section.</w:t>
      </w:r>
    </w:p>
    <w:p w14:paraId="5A7C116D" w14:textId="77777777" w:rsidR="00C1269A" w:rsidRDefault="00C1269A">
      <w:pPr>
        <w:rPr>
          <w:rFonts w:asciiTheme="majorHAnsi" w:eastAsiaTheme="majorEastAsia" w:hAnsiTheme="majorHAnsi" w:cstheme="majorBidi"/>
          <w:color w:val="2E74B5" w:themeColor="accent1" w:themeShade="BF"/>
          <w:sz w:val="26"/>
          <w:szCs w:val="26"/>
        </w:rPr>
      </w:pPr>
      <w:r>
        <w:br w:type="page"/>
      </w:r>
    </w:p>
    <w:p w14:paraId="52871C15" w14:textId="1F7E80AD" w:rsidR="00D74D8C" w:rsidRPr="004076AD" w:rsidRDefault="004076AD" w:rsidP="00F64688">
      <w:pPr>
        <w:pStyle w:val="Heading1"/>
        <w:rPr>
          <w:b/>
          <w:color w:val="002060"/>
        </w:rPr>
      </w:pPr>
      <w:bookmarkStart w:id="27" w:name="_Toc28008595"/>
      <w:bookmarkStart w:id="28" w:name="_Toc28010451"/>
      <w:r>
        <w:rPr>
          <w:b/>
          <w:color w:val="002060"/>
        </w:rPr>
        <w:lastRenderedPageBreak/>
        <w:t>Summary and C</w:t>
      </w:r>
      <w:r w:rsidR="00D74D8C" w:rsidRPr="004076AD">
        <w:rPr>
          <w:b/>
          <w:color w:val="002060"/>
        </w:rPr>
        <w:t>onclusions</w:t>
      </w:r>
      <w:bookmarkEnd w:id="27"/>
      <w:bookmarkEnd w:id="28"/>
    </w:p>
    <w:p w14:paraId="5C221B38" w14:textId="5947C894" w:rsidR="003F5D0A" w:rsidRDefault="003F5D0A" w:rsidP="00976D0B">
      <w:pPr>
        <w:jc w:val="both"/>
        <w:rPr>
          <w:rFonts w:cstheme="minorHAnsi"/>
        </w:rPr>
      </w:pPr>
    </w:p>
    <w:p w14:paraId="34539F74" w14:textId="043B1544" w:rsidR="00F308A2" w:rsidRDefault="00547FC0" w:rsidP="00454C26">
      <w:pPr>
        <w:pStyle w:val="ListParagraph"/>
        <w:numPr>
          <w:ilvl w:val="0"/>
          <w:numId w:val="24"/>
        </w:numPr>
        <w:jc w:val="both"/>
        <w:rPr>
          <w:rFonts w:cstheme="minorHAnsi"/>
        </w:rPr>
      </w:pPr>
      <w:r>
        <w:rPr>
          <w:rFonts w:cstheme="minorHAnsi"/>
        </w:rPr>
        <w:t xml:space="preserve">The given </w:t>
      </w:r>
      <w:r w:rsidR="00207726">
        <w:rPr>
          <w:rFonts w:cstheme="minorHAnsi"/>
        </w:rPr>
        <w:t xml:space="preserve">review of </w:t>
      </w:r>
      <w:r w:rsidR="00621091">
        <w:rPr>
          <w:rFonts w:cstheme="minorHAnsi"/>
        </w:rPr>
        <w:t>the</w:t>
      </w:r>
      <w:r w:rsidR="00207726">
        <w:rPr>
          <w:rFonts w:cstheme="minorHAnsi"/>
        </w:rPr>
        <w:t xml:space="preserve"> </w:t>
      </w:r>
      <w:r w:rsidR="00621091">
        <w:rPr>
          <w:rFonts w:cstheme="minorHAnsi"/>
        </w:rPr>
        <w:t xml:space="preserve">theoretical and empirical </w:t>
      </w:r>
      <w:r w:rsidR="00207726">
        <w:rPr>
          <w:rFonts w:cstheme="minorHAnsi"/>
        </w:rPr>
        <w:t xml:space="preserve">literature </w:t>
      </w:r>
      <w:r w:rsidR="00621091">
        <w:rPr>
          <w:rFonts w:cstheme="minorHAnsi"/>
        </w:rPr>
        <w:t>about the</w:t>
      </w:r>
      <w:r w:rsidR="00F308A2">
        <w:rPr>
          <w:rFonts w:cstheme="minorHAnsi"/>
        </w:rPr>
        <w:t xml:space="preserve"> issue of unstable housing</w:t>
      </w:r>
      <w:r w:rsidR="00563A96">
        <w:rPr>
          <w:rFonts w:cstheme="minorHAnsi"/>
        </w:rPr>
        <w:t xml:space="preserve"> shows that the issue</w:t>
      </w:r>
      <w:r w:rsidR="00F308A2">
        <w:rPr>
          <w:rFonts w:cstheme="minorHAnsi"/>
        </w:rPr>
        <w:t xml:space="preserve"> is relevant from social as well as economic perspectives</w:t>
      </w:r>
      <w:r w:rsidR="00677CE8">
        <w:rPr>
          <w:rFonts w:cstheme="minorHAnsi"/>
        </w:rPr>
        <w:t>;</w:t>
      </w:r>
    </w:p>
    <w:p w14:paraId="25B4B663" w14:textId="1E8325A6" w:rsidR="00677CE8" w:rsidRDefault="00F53D44" w:rsidP="00454C26">
      <w:pPr>
        <w:pStyle w:val="ListParagraph"/>
        <w:numPr>
          <w:ilvl w:val="0"/>
          <w:numId w:val="24"/>
        </w:numPr>
        <w:jc w:val="both"/>
        <w:rPr>
          <w:rFonts w:cstheme="minorHAnsi"/>
        </w:rPr>
      </w:pPr>
      <w:r>
        <w:rPr>
          <w:rFonts w:cstheme="minorHAnsi"/>
        </w:rPr>
        <w:t xml:space="preserve">In general, </w:t>
      </w:r>
      <w:r w:rsidR="00AC6DB6">
        <w:rPr>
          <w:rFonts w:cstheme="minorHAnsi"/>
        </w:rPr>
        <w:t>d</w:t>
      </w:r>
      <w:r w:rsidR="00677CE8">
        <w:rPr>
          <w:rFonts w:cstheme="minorHAnsi"/>
        </w:rPr>
        <w:t xml:space="preserve">ue to the presence of spillovers </w:t>
      </w:r>
      <w:r>
        <w:rPr>
          <w:rFonts w:cstheme="minorHAnsi"/>
        </w:rPr>
        <w:t>and potential market failures there</w:t>
      </w:r>
      <w:r w:rsidR="00677CE8">
        <w:rPr>
          <w:rFonts w:cstheme="minorHAnsi"/>
        </w:rPr>
        <w:t xml:space="preserve"> is a clear </w:t>
      </w:r>
      <w:r>
        <w:rPr>
          <w:rFonts w:cstheme="minorHAnsi"/>
        </w:rPr>
        <w:t>role</w:t>
      </w:r>
      <w:r w:rsidR="00677CE8">
        <w:rPr>
          <w:rFonts w:cstheme="minorHAnsi"/>
        </w:rPr>
        <w:t xml:space="preserve"> for government intervention</w:t>
      </w:r>
      <w:r>
        <w:rPr>
          <w:rFonts w:cstheme="minorHAnsi"/>
        </w:rPr>
        <w:t>;</w:t>
      </w:r>
    </w:p>
    <w:p w14:paraId="3512A648" w14:textId="41F4F5EB" w:rsidR="00AC6DB6" w:rsidRDefault="00AC6DB6" w:rsidP="00454C26">
      <w:pPr>
        <w:pStyle w:val="ListParagraph"/>
        <w:numPr>
          <w:ilvl w:val="0"/>
          <w:numId w:val="24"/>
        </w:numPr>
        <w:jc w:val="both"/>
        <w:rPr>
          <w:rFonts w:cstheme="minorHAnsi"/>
        </w:rPr>
      </w:pPr>
      <w:r>
        <w:rPr>
          <w:rFonts w:cstheme="minorHAnsi"/>
        </w:rPr>
        <w:t xml:space="preserve">The review of evidence about the </w:t>
      </w:r>
      <w:r w:rsidR="005347CB">
        <w:rPr>
          <w:rFonts w:cstheme="minorHAnsi"/>
        </w:rPr>
        <w:t xml:space="preserve">phenomenon of </w:t>
      </w:r>
      <w:r>
        <w:rPr>
          <w:rFonts w:cstheme="minorHAnsi"/>
        </w:rPr>
        <w:t xml:space="preserve">unstable housing </w:t>
      </w:r>
      <w:r w:rsidR="005347CB">
        <w:rPr>
          <w:rFonts w:cstheme="minorHAnsi"/>
        </w:rPr>
        <w:t xml:space="preserve">in Georgia </w:t>
      </w:r>
      <w:r w:rsidR="00B46C09">
        <w:rPr>
          <w:rFonts w:cstheme="minorHAnsi"/>
        </w:rPr>
        <w:t>led to the following conclusions:</w:t>
      </w:r>
    </w:p>
    <w:p w14:paraId="55E265DB" w14:textId="6ED610D9" w:rsidR="00B46C09" w:rsidRDefault="00B46C09" w:rsidP="00454C26">
      <w:pPr>
        <w:pStyle w:val="ListParagraph"/>
        <w:numPr>
          <w:ilvl w:val="1"/>
          <w:numId w:val="24"/>
        </w:numPr>
        <w:jc w:val="both"/>
        <w:rPr>
          <w:rFonts w:cstheme="minorHAnsi"/>
        </w:rPr>
      </w:pPr>
      <w:r>
        <w:rPr>
          <w:rFonts w:cstheme="minorHAnsi"/>
        </w:rPr>
        <w:t xml:space="preserve">The incidence of </w:t>
      </w:r>
      <w:r w:rsidR="00F64688">
        <w:rPr>
          <w:rFonts w:cstheme="minorHAnsi"/>
        </w:rPr>
        <w:t>roof</w:t>
      </w:r>
      <w:r w:rsidR="00623250">
        <w:rPr>
          <w:rFonts w:cstheme="minorHAnsi"/>
        </w:rPr>
        <w:t>lessness</w:t>
      </w:r>
      <w:r>
        <w:rPr>
          <w:rFonts w:cstheme="minorHAnsi"/>
        </w:rPr>
        <w:t xml:space="preserve"> in the country is relatively limited</w:t>
      </w:r>
      <w:r w:rsidR="00BD151A">
        <w:rPr>
          <w:rFonts w:cstheme="minorHAnsi"/>
        </w:rPr>
        <w:t>. However, a proper analysis of the phenomenon</w:t>
      </w:r>
      <w:r w:rsidR="00FB4C25">
        <w:rPr>
          <w:rFonts w:cstheme="minorHAnsi"/>
        </w:rPr>
        <w:t xml:space="preserve"> would require the collection and dissemination of more and higher quality information</w:t>
      </w:r>
      <w:r>
        <w:rPr>
          <w:rFonts w:cstheme="minorHAnsi"/>
        </w:rPr>
        <w:t>;</w:t>
      </w:r>
    </w:p>
    <w:p w14:paraId="52E30A5D" w14:textId="240A3BA0" w:rsidR="001D0CC4" w:rsidRDefault="001D0CC4" w:rsidP="00454C26">
      <w:pPr>
        <w:pStyle w:val="ListParagraph"/>
        <w:numPr>
          <w:ilvl w:val="1"/>
          <w:numId w:val="24"/>
        </w:numPr>
        <w:jc w:val="both"/>
        <w:rPr>
          <w:rFonts w:cstheme="minorHAnsi"/>
        </w:rPr>
      </w:pPr>
      <w:r>
        <w:rPr>
          <w:rFonts w:cstheme="minorHAnsi"/>
        </w:rPr>
        <w:t xml:space="preserve">The system of assistance to </w:t>
      </w:r>
      <w:r w:rsidR="00143FE1">
        <w:rPr>
          <w:rFonts w:cstheme="minorHAnsi"/>
        </w:rPr>
        <w:t>support households and individuals exposed to unstable housing is fragmented and uncoordinated. This limits its effectiveness;</w:t>
      </w:r>
    </w:p>
    <w:p w14:paraId="601C67AA" w14:textId="6F82DFA1" w:rsidR="00B46C09" w:rsidRDefault="00FA1022" w:rsidP="00454C26">
      <w:pPr>
        <w:pStyle w:val="ListParagraph"/>
        <w:numPr>
          <w:ilvl w:val="1"/>
          <w:numId w:val="24"/>
        </w:numPr>
        <w:jc w:val="both"/>
        <w:rPr>
          <w:rFonts w:cstheme="minorHAnsi"/>
        </w:rPr>
      </w:pPr>
      <w:r>
        <w:rPr>
          <w:rFonts w:cstheme="minorHAnsi"/>
        </w:rPr>
        <w:t>Potential h</w:t>
      </w:r>
      <w:r w:rsidR="00B46C09">
        <w:rPr>
          <w:rFonts w:cstheme="minorHAnsi"/>
        </w:rPr>
        <w:t>omelessness</w:t>
      </w:r>
      <w:r w:rsidR="00810B13">
        <w:rPr>
          <w:rFonts w:cstheme="minorHAnsi"/>
        </w:rPr>
        <w:t xml:space="preserve"> appear</w:t>
      </w:r>
      <w:r w:rsidR="00EB6A42">
        <w:rPr>
          <w:rFonts w:cstheme="minorHAnsi"/>
        </w:rPr>
        <w:t>s</w:t>
      </w:r>
      <w:r w:rsidR="00810B13">
        <w:rPr>
          <w:rFonts w:cstheme="minorHAnsi"/>
        </w:rPr>
        <w:t xml:space="preserve"> to be an issue for vulnerable categories not covered by social assistance of any kind (e.g. </w:t>
      </w:r>
      <w:r w:rsidR="004974A3">
        <w:rPr>
          <w:rFonts w:cstheme="minorHAnsi"/>
        </w:rPr>
        <w:t>substance abusers) or for other categories that are covered just for limited periods of time</w:t>
      </w:r>
      <w:r w:rsidR="00881948">
        <w:rPr>
          <w:rFonts w:cstheme="minorHAnsi"/>
        </w:rPr>
        <w:t xml:space="preserve"> (e.g. victims of violence – numbers on the rise)</w:t>
      </w:r>
      <w:r w:rsidR="004974A3">
        <w:rPr>
          <w:rFonts w:cstheme="minorHAnsi"/>
        </w:rPr>
        <w:t>. The absence of follow up monitoring and/or specific housing assistance increases the likelihood of</w:t>
      </w:r>
      <w:r w:rsidR="00881948">
        <w:rPr>
          <w:rFonts w:cstheme="minorHAnsi"/>
        </w:rPr>
        <w:t xml:space="preserve"> these groups falling into</w:t>
      </w:r>
      <w:r w:rsidR="004974A3">
        <w:rPr>
          <w:rFonts w:cstheme="minorHAnsi"/>
        </w:rPr>
        <w:t xml:space="preserve"> </w:t>
      </w:r>
      <w:r w:rsidR="00881948">
        <w:rPr>
          <w:rFonts w:cstheme="minorHAnsi"/>
        </w:rPr>
        <w:t>unstable housing</w:t>
      </w:r>
      <w:r w:rsidR="00EB6A42">
        <w:rPr>
          <w:rFonts w:cstheme="minorHAnsi"/>
        </w:rPr>
        <w:t>;</w:t>
      </w:r>
    </w:p>
    <w:p w14:paraId="575E6D59" w14:textId="728F68EA" w:rsidR="00483363" w:rsidRDefault="00263506" w:rsidP="00483363">
      <w:pPr>
        <w:pStyle w:val="ListParagraph"/>
        <w:numPr>
          <w:ilvl w:val="1"/>
          <w:numId w:val="24"/>
        </w:numPr>
        <w:jc w:val="both"/>
        <w:rPr>
          <w:rFonts w:cstheme="minorHAnsi"/>
        </w:rPr>
      </w:pPr>
      <w:r>
        <w:rPr>
          <w:rFonts w:cstheme="minorHAnsi"/>
        </w:rPr>
        <w:t>A substantial share of households live</w:t>
      </w:r>
      <w:r w:rsidR="00754A4B">
        <w:rPr>
          <w:rFonts w:cstheme="minorHAnsi"/>
        </w:rPr>
        <w:t>s</w:t>
      </w:r>
      <w:r>
        <w:rPr>
          <w:rFonts w:cstheme="minorHAnsi"/>
        </w:rPr>
        <w:t xml:space="preserve"> in houses that are unfit and need substantial renovation. This is a phenomenon that affects mostly </w:t>
      </w:r>
      <w:r w:rsidR="00754A4B">
        <w:rPr>
          <w:rFonts w:cstheme="minorHAnsi"/>
        </w:rPr>
        <w:t xml:space="preserve">households in the lowest quartile of the income distribution. </w:t>
      </w:r>
      <w:r w:rsidR="00F54222">
        <w:rPr>
          <w:rFonts w:cstheme="minorHAnsi"/>
        </w:rPr>
        <w:t xml:space="preserve">The most pressing and crucial challenge in this area is </w:t>
      </w:r>
      <w:r w:rsidR="005F58BA">
        <w:rPr>
          <w:rFonts w:cstheme="minorHAnsi"/>
        </w:rPr>
        <w:t>reducing the share of households living in houses at risk of collapse. Again, the most exposed to this risk are the poorest families that cannot afford either to move or to</w:t>
      </w:r>
      <w:r w:rsidR="00BD151A">
        <w:rPr>
          <w:rFonts w:cstheme="minorHAnsi"/>
        </w:rPr>
        <w:t xml:space="preserve"> fix the house</w:t>
      </w:r>
      <w:r w:rsidR="004E09CD">
        <w:rPr>
          <w:rFonts w:cstheme="minorHAnsi"/>
        </w:rPr>
        <w:t>;</w:t>
      </w:r>
    </w:p>
    <w:p w14:paraId="45607481" w14:textId="103F752D" w:rsidR="00D2698E" w:rsidRDefault="004E09CD" w:rsidP="00454C26">
      <w:pPr>
        <w:pStyle w:val="ListParagraph"/>
        <w:numPr>
          <w:ilvl w:val="1"/>
          <w:numId w:val="24"/>
        </w:numPr>
        <w:jc w:val="both"/>
        <w:rPr>
          <w:rFonts w:cstheme="minorHAnsi"/>
        </w:rPr>
      </w:pPr>
      <w:r>
        <w:rPr>
          <w:rFonts w:cstheme="minorHAnsi"/>
        </w:rPr>
        <w:t>The condition of IDPs seems to have improved significantly over time, however for a more precise assessment it would be necessary to have access to the most updated and comprehensive data about this category.</w:t>
      </w:r>
    </w:p>
    <w:p w14:paraId="6D7EFD76" w14:textId="77777777" w:rsidR="00D2698E" w:rsidRDefault="00D2698E">
      <w:pPr>
        <w:rPr>
          <w:rFonts w:cstheme="minorHAnsi"/>
        </w:rPr>
      </w:pPr>
      <w:r>
        <w:rPr>
          <w:rFonts w:cstheme="minorHAnsi"/>
        </w:rPr>
        <w:br w:type="page"/>
      </w:r>
    </w:p>
    <w:p w14:paraId="70329890" w14:textId="5AE35104" w:rsidR="00D2698E" w:rsidRPr="004076AD" w:rsidRDefault="00D2698E" w:rsidP="00D2698E">
      <w:pPr>
        <w:pStyle w:val="Heading1"/>
        <w:rPr>
          <w:b/>
          <w:color w:val="002060"/>
        </w:rPr>
      </w:pPr>
      <w:bookmarkStart w:id="29" w:name="_Toc28008596"/>
      <w:bookmarkStart w:id="30" w:name="_Toc28010452"/>
      <w:r w:rsidRPr="00D2698E">
        <w:rPr>
          <w:b/>
          <w:bCs/>
          <w:color w:val="002060"/>
        </w:rPr>
        <w:lastRenderedPageBreak/>
        <w:t>Possible Priorities for the Strategy to Tackle Unstable Housing in Georgia</w:t>
      </w:r>
      <w:bookmarkEnd w:id="29"/>
      <w:bookmarkEnd w:id="30"/>
    </w:p>
    <w:p w14:paraId="685B43A8" w14:textId="7F28510D" w:rsidR="004E09CD" w:rsidRDefault="004E09CD" w:rsidP="00D2698E">
      <w:pPr>
        <w:jc w:val="both"/>
        <w:rPr>
          <w:rFonts w:cstheme="minorHAnsi"/>
        </w:rPr>
      </w:pPr>
    </w:p>
    <w:p w14:paraId="682ECEBE" w14:textId="6C5B79D2" w:rsidR="007C6ECB" w:rsidRDefault="00686F15" w:rsidP="007C6ECB">
      <w:pPr>
        <w:jc w:val="both"/>
        <w:rPr>
          <w:rFonts w:cstheme="minorHAnsi"/>
        </w:rPr>
      </w:pPr>
      <w:r>
        <w:rPr>
          <w:rFonts w:cstheme="minorHAnsi"/>
        </w:rPr>
        <w:t xml:space="preserve">On the basis of the literature review, data analysis and consultation process that led to the realization of this background paper, we identified several possible priorities that might be incorporated in – and constitute the basis for – the strategy to tackle unstable housing in Georgia. We are going to </w:t>
      </w:r>
      <w:r w:rsidR="007C6ECB">
        <w:rPr>
          <w:rFonts w:cstheme="minorHAnsi"/>
        </w:rPr>
        <w:t>mention</w:t>
      </w:r>
      <w:r>
        <w:rPr>
          <w:rFonts w:cstheme="minorHAnsi"/>
        </w:rPr>
        <w:t xml:space="preserve"> them below</w:t>
      </w:r>
      <w:r w:rsidR="007C6ECB">
        <w:rPr>
          <w:rFonts w:cstheme="minorHAnsi"/>
        </w:rPr>
        <w:t>, after a brief discussion of general preconditions for the development and implementation of an effective strategy.</w:t>
      </w:r>
    </w:p>
    <w:p w14:paraId="289153B1" w14:textId="55CB7694" w:rsidR="007C6ECB" w:rsidRPr="007C6ECB" w:rsidRDefault="007C6ECB" w:rsidP="007C6ECB">
      <w:pPr>
        <w:jc w:val="both"/>
        <w:rPr>
          <w:rFonts w:cstheme="minorHAnsi"/>
          <w:b/>
          <w:bCs/>
          <w:i/>
          <w:iCs/>
        </w:rPr>
      </w:pPr>
      <w:r w:rsidRPr="007C6ECB">
        <w:rPr>
          <w:rFonts w:cstheme="minorHAnsi"/>
          <w:b/>
          <w:bCs/>
          <w:i/>
          <w:iCs/>
        </w:rPr>
        <w:t>General p</w:t>
      </w:r>
      <w:r w:rsidR="00E43D84">
        <w:rPr>
          <w:rFonts w:cstheme="minorHAnsi"/>
          <w:b/>
          <w:bCs/>
          <w:i/>
          <w:iCs/>
        </w:rPr>
        <w:t>reconditions</w:t>
      </w:r>
    </w:p>
    <w:p w14:paraId="17AA5B78" w14:textId="77777777" w:rsidR="00582D94" w:rsidRPr="00B8685D" w:rsidRDefault="00686F15" w:rsidP="00B8685D">
      <w:pPr>
        <w:jc w:val="both"/>
        <w:rPr>
          <w:rFonts w:cstheme="minorHAnsi"/>
          <w:i/>
          <w:iCs/>
        </w:rPr>
      </w:pPr>
      <w:r w:rsidRPr="00B8685D">
        <w:rPr>
          <w:rFonts w:cstheme="minorHAnsi"/>
          <w:i/>
          <w:iCs/>
        </w:rPr>
        <w:t xml:space="preserve">Collecting more comprehensive, standardized and better-quality </w:t>
      </w:r>
      <w:r w:rsidRPr="00B8685D">
        <w:rPr>
          <w:rFonts w:cstheme="minorHAnsi"/>
          <w:b/>
          <w:bCs/>
          <w:i/>
          <w:iCs/>
        </w:rPr>
        <w:t>data</w:t>
      </w:r>
      <w:r w:rsidRPr="00B8685D">
        <w:rPr>
          <w:rFonts w:cstheme="minorHAnsi"/>
          <w:i/>
          <w:iCs/>
        </w:rPr>
        <w:t xml:space="preserve"> to quantify and understand better the phenomenon.</w:t>
      </w:r>
    </w:p>
    <w:p w14:paraId="13CA69C0" w14:textId="31CF59DE" w:rsidR="00582D94" w:rsidRDefault="007C6ECB" w:rsidP="00582D94">
      <w:pPr>
        <w:jc w:val="both"/>
        <w:rPr>
          <w:rFonts w:cstheme="minorHAnsi"/>
        </w:rPr>
      </w:pPr>
      <w:r>
        <w:rPr>
          <w:rFonts w:cstheme="minorHAnsi"/>
        </w:rPr>
        <w:t>Ideally, data collection should be performed on a regular basis</w:t>
      </w:r>
      <w:r w:rsidR="00582D94">
        <w:rPr>
          <w:rFonts w:cstheme="minorHAnsi"/>
        </w:rPr>
        <w:t xml:space="preserve"> (at least yearly), in all municipalities, according to a common methodology and a common survey instrument</w:t>
      </w:r>
      <w:r w:rsidR="00B8685D">
        <w:rPr>
          <w:rFonts w:cstheme="minorHAnsi"/>
        </w:rPr>
        <w:t>. The survey instrument may be</w:t>
      </w:r>
      <w:r w:rsidR="00582D94">
        <w:rPr>
          <w:rFonts w:cstheme="minorHAnsi"/>
        </w:rPr>
        <w:t xml:space="preserve"> developed with the support of the National Statistical Office of Georgia. Data collectors should be trained in data collection and follow standardized procedures. </w:t>
      </w:r>
    </w:p>
    <w:p w14:paraId="02E02494" w14:textId="072DE948" w:rsidR="00686F15" w:rsidRDefault="00686F15" w:rsidP="00582D94">
      <w:pPr>
        <w:jc w:val="both"/>
        <w:rPr>
          <w:rFonts w:cstheme="minorHAnsi"/>
          <w:i/>
          <w:iCs/>
        </w:rPr>
      </w:pPr>
      <w:r w:rsidRPr="00B8685D">
        <w:rPr>
          <w:rFonts w:cstheme="minorHAnsi"/>
          <w:i/>
          <w:iCs/>
        </w:rPr>
        <w:t xml:space="preserve">Ensuring </w:t>
      </w:r>
      <w:r w:rsidRPr="00B8685D">
        <w:rPr>
          <w:rFonts w:cstheme="minorHAnsi"/>
          <w:b/>
          <w:bCs/>
          <w:i/>
          <w:iCs/>
        </w:rPr>
        <w:t xml:space="preserve">common definitions of rooflessness, homelessness and </w:t>
      </w:r>
      <w:r w:rsidRPr="00B8685D">
        <w:rPr>
          <w:rFonts w:cstheme="minorHAnsi"/>
          <w:i/>
          <w:iCs/>
        </w:rPr>
        <w:t xml:space="preserve">(more generally) </w:t>
      </w:r>
      <w:r w:rsidRPr="00B8685D">
        <w:rPr>
          <w:rFonts w:cstheme="minorHAnsi"/>
          <w:b/>
          <w:bCs/>
          <w:i/>
          <w:iCs/>
        </w:rPr>
        <w:t xml:space="preserve">unstable housing categories </w:t>
      </w:r>
      <w:r w:rsidRPr="00B8685D">
        <w:rPr>
          <w:rFonts w:cstheme="minorHAnsi"/>
          <w:i/>
          <w:iCs/>
        </w:rPr>
        <w:t>are adopted across the country.</w:t>
      </w:r>
    </w:p>
    <w:p w14:paraId="55DDDC93" w14:textId="3B63D27D" w:rsidR="009118EC" w:rsidRPr="00B8685D" w:rsidRDefault="00B8685D" w:rsidP="00582D94">
      <w:pPr>
        <w:jc w:val="both"/>
        <w:rPr>
          <w:rFonts w:cstheme="minorHAnsi"/>
        </w:rPr>
      </w:pPr>
      <w:r>
        <w:rPr>
          <w:rFonts w:cstheme="minorHAnsi"/>
        </w:rPr>
        <w:t xml:space="preserve">The working group has suggested to adopt the definitions spelled out in the </w:t>
      </w:r>
      <w:r w:rsidRPr="00FF4CC9">
        <w:t>European Typology on Homelessness and Housing Exclusion</w:t>
      </w:r>
      <w:r>
        <w:t xml:space="preserve"> (ETHOS).</w:t>
      </w:r>
      <w:r>
        <w:rPr>
          <w:rFonts w:cstheme="minorHAnsi"/>
        </w:rPr>
        <w:t xml:space="preserve"> </w:t>
      </w:r>
      <w:r w:rsidR="00414BDB">
        <w:rPr>
          <w:rFonts w:cstheme="minorHAnsi"/>
        </w:rPr>
        <w:t xml:space="preserve">These definitions should </w:t>
      </w:r>
      <w:r w:rsidR="000317C3">
        <w:rPr>
          <w:rFonts w:cstheme="minorHAnsi"/>
        </w:rPr>
        <w:t>be clearly adopted and referred to by all actors involved in the development and implementation of the strategy against unstable housing, both at the local and central level.</w:t>
      </w:r>
    </w:p>
    <w:p w14:paraId="6BE7ED39" w14:textId="77777777" w:rsidR="00686F15" w:rsidRPr="00B8685D" w:rsidRDefault="00686F15" w:rsidP="00B8685D">
      <w:pPr>
        <w:jc w:val="both"/>
        <w:rPr>
          <w:rFonts w:cstheme="minorHAnsi"/>
          <w:i/>
          <w:iCs/>
        </w:rPr>
      </w:pPr>
      <w:r w:rsidRPr="00B8685D">
        <w:rPr>
          <w:rFonts w:cstheme="minorHAnsi"/>
          <w:b/>
          <w:bCs/>
          <w:i/>
          <w:iCs/>
        </w:rPr>
        <w:t xml:space="preserve">Deciding a framework in which responsibilities </w:t>
      </w:r>
      <w:r w:rsidRPr="00B8685D">
        <w:rPr>
          <w:rFonts w:cstheme="minorHAnsi"/>
          <w:i/>
          <w:iCs/>
        </w:rPr>
        <w:t xml:space="preserve">for preventive and remedial actions to be put in place </w:t>
      </w:r>
      <w:r w:rsidRPr="00B8685D">
        <w:rPr>
          <w:rFonts w:cstheme="minorHAnsi"/>
          <w:b/>
          <w:bCs/>
          <w:i/>
          <w:iCs/>
        </w:rPr>
        <w:t>are clearly specified and needed resources are provided</w:t>
      </w:r>
      <w:r w:rsidRPr="00B8685D">
        <w:rPr>
          <w:rFonts w:cstheme="minorHAnsi"/>
          <w:i/>
          <w:iCs/>
        </w:rPr>
        <w:t>.</w:t>
      </w:r>
    </w:p>
    <w:p w14:paraId="1D49FF37" w14:textId="0AE93350" w:rsidR="00686F15" w:rsidRDefault="009118EC" w:rsidP="00D2698E">
      <w:pPr>
        <w:jc w:val="both"/>
      </w:pPr>
      <w:r>
        <w:rPr>
          <w:rFonts w:cstheme="minorHAnsi"/>
        </w:rPr>
        <w:t xml:space="preserve">There is a general understanding that the </w:t>
      </w:r>
      <w:r w:rsidRPr="00FF4CC9">
        <w:t xml:space="preserve">Ministry of Internally Displaced Persons from the Occupied Territories, </w:t>
      </w:r>
      <w:proofErr w:type="spellStart"/>
      <w:r w:rsidRPr="00FF4CC9">
        <w:t>Labour</w:t>
      </w:r>
      <w:proofErr w:type="spellEnd"/>
      <w:r w:rsidRPr="00FF4CC9">
        <w:t>, Health and Social Affairs of Georgia</w:t>
      </w:r>
      <w:r>
        <w:t xml:space="preserve"> should play a key role in the strategy against unstable housing, leading the</w:t>
      </w:r>
      <w:r w:rsidR="00E43D84">
        <w:t xml:space="preserve"> </w:t>
      </w:r>
      <w:r>
        <w:t xml:space="preserve">development and implementation of the national strategy and ensuring the coordination among all actors involved. </w:t>
      </w:r>
      <w:r w:rsidR="00E43D84">
        <w:t>The ministry</w:t>
      </w:r>
      <w:r>
        <w:t xml:space="preserve"> will also have to ensure the consistency between local strategies and the national one. As for the practical implementation of the strategy, at the local level, municipal authorities will likely be in charge. </w:t>
      </w:r>
      <w:r w:rsidR="00E43D84">
        <w:t>All this, however, should clearly be specified. Moreover, attention should be paid to ensure the consistency between the tasks assigned and the resources made available.</w:t>
      </w:r>
    </w:p>
    <w:p w14:paraId="0192C794" w14:textId="77777777" w:rsidR="00E43D84" w:rsidRDefault="00E43D84" w:rsidP="00E43D84">
      <w:pPr>
        <w:jc w:val="both"/>
        <w:rPr>
          <w:rFonts w:cstheme="minorHAnsi"/>
          <w:i/>
          <w:iCs/>
        </w:rPr>
      </w:pPr>
      <w:r>
        <w:rPr>
          <w:rFonts w:cstheme="minorHAnsi"/>
          <w:b/>
          <w:bCs/>
          <w:i/>
          <w:iCs/>
        </w:rPr>
        <w:t xml:space="preserve">Priority 1: </w:t>
      </w:r>
      <w:r w:rsidRPr="00E43D84">
        <w:rPr>
          <w:rFonts w:cstheme="minorHAnsi"/>
          <w:i/>
          <w:iCs/>
        </w:rPr>
        <w:t>Address permanently the issue of rooflessness in the country, with all categories of roofless having access to an acceptable housing option</w:t>
      </w:r>
      <w:r>
        <w:rPr>
          <w:rFonts w:cstheme="minorHAnsi"/>
          <w:i/>
          <w:iCs/>
        </w:rPr>
        <w:t>.</w:t>
      </w:r>
    </w:p>
    <w:p w14:paraId="5E19E5DF" w14:textId="74E58485" w:rsidR="00E43D84" w:rsidRDefault="00E43D84" w:rsidP="00E43D84">
      <w:pPr>
        <w:jc w:val="both"/>
        <w:rPr>
          <w:rFonts w:cstheme="minorHAnsi"/>
        </w:rPr>
      </w:pPr>
      <w:r>
        <w:rPr>
          <w:rFonts w:cstheme="minorHAnsi"/>
        </w:rPr>
        <w:t xml:space="preserve">This has been highlighted as one of the two top priorities emerging from the analysis of unstable housing. Addressing this priority </w:t>
      </w:r>
      <w:r w:rsidRPr="00E43D84">
        <w:rPr>
          <w:rFonts w:cstheme="minorHAnsi"/>
        </w:rPr>
        <w:t xml:space="preserve">would require, in addition to the </w:t>
      </w:r>
      <w:r>
        <w:rPr>
          <w:rFonts w:cstheme="minorHAnsi"/>
        </w:rPr>
        <w:t>satisfaction of the general preconditions mentioned above</w:t>
      </w:r>
      <w:r w:rsidRPr="00E43D84">
        <w:rPr>
          <w:rFonts w:cstheme="minorHAnsi"/>
        </w:rPr>
        <w:t>, decoupling the housing issue from other issues (e.g. violence, drug abuse, etc.) making sure every roofless is considered</w:t>
      </w:r>
      <w:r>
        <w:rPr>
          <w:rFonts w:cstheme="minorHAnsi"/>
        </w:rPr>
        <w:t xml:space="preserve"> and his needs are satisfied,</w:t>
      </w:r>
      <w:r w:rsidRPr="00E43D84">
        <w:rPr>
          <w:rFonts w:cstheme="minorHAnsi"/>
        </w:rPr>
        <w:t xml:space="preserve"> regardless of the cause</w:t>
      </w:r>
      <w:r>
        <w:rPr>
          <w:rFonts w:cstheme="minorHAnsi"/>
        </w:rPr>
        <w:t>s.</w:t>
      </w:r>
    </w:p>
    <w:p w14:paraId="511A20BE" w14:textId="77777777" w:rsidR="00206485" w:rsidRDefault="00E43D84" w:rsidP="00206485">
      <w:pPr>
        <w:jc w:val="both"/>
        <w:rPr>
          <w:rFonts w:cstheme="minorHAnsi"/>
          <w:b/>
          <w:bCs/>
          <w:i/>
          <w:iCs/>
        </w:rPr>
      </w:pPr>
      <w:r>
        <w:rPr>
          <w:rFonts w:cstheme="minorHAnsi"/>
          <w:b/>
          <w:bCs/>
          <w:i/>
          <w:iCs/>
        </w:rPr>
        <w:lastRenderedPageBreak/>
        <w:t xml:space="preserve">Priority </w:t>
      </w:r>
      <w:r w:rsidR="00206485">
        <w:rPr>
          <w:rFonts w:cstheme="minorHAnsi"/>
          <w:b/>
          <w:bCs/>
          <w:i/>
          <w:iCs/>
        </w:rPr>
        <w:t xml:space="preserve">2: </w:t>
      </w:r>
      <w:r w:rsidR="00206485" w:rsidRPr="00206485">
        <w:rPr>
          <w:rFonts w:cstheme="minorHAnsi"/>
          <w:i/>
          <w:iCs/>
        </w:rPr>
        <w:t>Address permanently the issue of unfit housing, especially for houses at risk of collapse</w:t>
      </w:r>
      <w:r w:rsidR="00206485" w:rsidRPr="00206485">
        <w:rPr>
          <w:rFonts w:cstheme="minorHAnsi"/>
          <w:b/>
          <w:bCs/>
          <w:i/>
          <w:iCs/>
        </w:rPr>
        <w:t xml:space="preserve"> </w:t>
      </w:r>
    </w:p>
    <w:p w14:paraId="29A03AD6" w14:textId="77777777" w:rsidR="00206485" w:rsidRDefault="00206485" w:rsidP="00206485">
      <w:pPr>
        <w:tabs>
          <w:tab w:val="num" w:pos="1440"/>
        </w:tabs>
        <w:jc w:val="both"/>
        <w:rPr>
          <w:rFonts w:cstheme="minorHAnsi"/>
        </w:rPr>
      </w:pPr>
      <w:r w:rsidRPr="00206485">
        <w:rPr>
          <w:rFonts w:cstheme="minorHAnsi"/>
        </w:rPr>
        <w:t xml:space="preserve">This is the other top priority emerging </w:t>
      </w:r>
      <w:r>
        <w:rPr>
          <w:rFonts w:cstheme="minorHAnsi"/>
        </w:rPr>
        <w:t xml:space="preserve">from the analysis of unstable housing. Addressing this priority </w:t>
      </w:r>
      <w:r w:rsidR="00E43D84" w:rsidRPr="00E43D84">
        <w:rPr>
          <w:rFonts w:cstheme="minorHAnsi"/>
        </w:rPr>
        <w:t xml:space="preserve">would require, in addition to the </w:t>
      </w:r>
      <w:r>
        <w:rPr>
          <w:rFonts w:cstheme="minorHAnsi"/>
        </w:rPr>
        <w:t>satisfaction of the general preconditions mentioned above:</w:t>
      </w:r>
    </w:p>
    <w:p w14:paraId="470F221C" w14:textId="570D0165" w:rsidR="00206485" w:rsidRPr="00206485" w:rsidRDefault="00206485" w:rsidP="00B66D66">
      <w:pPr>
        <w:pStyle w:val="ListParagraph"/>
        <w:numPr>
          <w:ilvl w:val="0"/>
          <w:numId w:val="27"/>
        </w:numPr>
        <w:tabs>
          <w:tab w:val="num" w:pos="1440"/>
        </w:tabs>
        <w:jc w:val="both"/>
        <w:rPr>
          <w:rFonts w:cstheme="minorHAnsi"/>
        </w:rPr>
      </w:pPr>
      <w:r w:rsidRPr="00206485">
        <w:rPr>
          <w:rFonts w:cstheme="minorHAnsi"/>
        </w:rPr>
        <w:t>Setting up a system of thorough technical screening of the existing housing stock;</w:t>
      </w:r>
    </w:p>
    <w:p w14:paraId="2A9C5946" w14:textId="77777777" w:rsidR="00206485" w:rsidRPr="00206485" w:rsidRDefault="00206485" w:rsidP="00B66D66">
      <w:pPr>
        <w:pStyle w:val="ListParagraph"/>
        <w:numPr>
          <w:ilvl w:val="0"/>
          <w:numId w:val="27"/>
        </w:numPr>
        <w:tabs>
          <w:tab w:val="num" w:pos="1440"/>
        </w:tabs>
        <w:jc w:val="both"/>
        <w:rPr>
          <w:rFonts w:cstheme="minorHAnsi"/>
        </w:rPr>
      </w:pPr>
      <w:r w:rsidRPr="00206485">
        <w:rPr>
          <w:rFonts w:cstheme="minorHAnsi"/>
        </w:rPr>
        <w:t>Providing adequate resources for rehabilitation and/or relocation support when rehabilitation not possible.</w:t>
      </w:r>
    </w:p>
    <w:p w14:paraId="171D9475" w14:textId="2E993B80" w:rsidR="00206485" w:rsidRDefault="00206485" w:rsidP="00206485">
      <w:pPr>
        <w:jc w:val="both"/>
        <w:rPr>
          <w:rFonts w:cstheme="minorHAnsi"/>
        </w:rPr>
      </w:pPr>
      <w:r>
        <w:rPr>
          <w:rFonts w:cstheme="minorHAnsi"/>
          <w:b/>
          <w:bCs/>
          <w:i/>
          <w:iCs/>
        </w:rPr>
        <w:t xml:space="preserve">Priority 3: </w:t>
      </w:r>
      <w:r w:rsidRPr="00206485">
        <w:rPr>
          <w:rFonts w:cstheme="minorHAnsi"/>
          <w:i/>
          <w:iCs/>
        </w:rPr>
        <w:t>Address permanently the issue of homelessness</w:t>
      </w:r>
      <w:r>
        <w:rPr>
          <w:rFonts w:cstheme="minorHAnsi"/>
          <w:i/>
          <w:iCs/>
        </w:rPr>
        <w:t xml:space="preserve"> and rooflessness</w:t>
      </w:r>
      <w:r w:rsidRPr="00206485">
        <w:rPr>
          <w:rFonts w:cstheme="minorHAnsi"/>
          <w:i/>
          <w:iCs/>
        </w:rPr>
        <w:t xml:space="preserve"> in the country, with all categories of homeless having access to an acceptable housing option</w:t>
      </w:r>
      <w:r w:rsidRPr="00206485">
        <w:rPr>
          <w:rFonts w:cstheme="minorHAnsi"/>
        </w:rPr>
        <w:t xml:space="preserve"> </w:t>
      </w:r>
    </w:p>
    <w:p w14:paraId="59599B63" w14:textId="77777777" w:rsidR="00206485" w:rsidRDefault="00206485" w:rsidP="00206485">
      <w:pPr>
        <w:jc w:val="both"/>
        <w:rPr>
          <w:rFonts w:cstheme="minorHAnsi"/>
        </w:rPr>
      </w:pPr>
      <w:r w:rsidRPr="00206485">
        <w:rPr>
          <w:rFonts w:cstheme="minorHAnsi"/>
        </w:rPr>
        <w:t xml:space="preserve">This priority was identified as a third priority, right below priorities one and two. </w:t>
      </w:r>
      <w:r>
        <w:rPr>
          <w:rFonts w:cstheme="minorHAnsi"/>
        </w:rPr>
        <w:t xml:space="preserve">It is broader in scope, as it adds homelessness to rooflessness as an issue to be addressed. Addressing this priority </w:t>
      </w:r>
      <w:r w:rsidRPr="00206485">
        <w:rPr>
          <w:rFonts w:cstheme="minorHAnsi"/>
        </w:rPr>
        <w:t>would require, in addition to the general actions, and like we mentioned in the case of rooflessness, decoupling the housing issue from other issues (e.g. violence, drug abuse, etc.) making sure every homeless is considered, regardless of the causes.</w:t>
      </w:r>
    </w:p>
    <w:p w14:paraId="5A35AB5F" w14:textId="77777777" w:rsidR="00206485" w:rsidRDefault="00206485" w:rsidP="00206485">
      <w:pPr>
        <w:jc w:val="both"/>
        <w:rPr>
          <w:rFonts w:cstheme="minorHAnsi"/>
          <w:i/>
          <w:iCs/>
        </w:rPr>
      </w:pPr>
      <w:r>
        <w:rPr>
          <w:rFonts w:cstheme="minorHAnsi"/>
          <w:b/>
          <w:bCs/>
          <w:i/>
          <w:iCs/>
        </w:rPr>
        <w:t xml:space="preserve">Priority 4: </w:t>
      </w:r>
      <w:r w:rsidRPr="00206485">
        <w:rPr>
          <w:rFonts w:cstheme="minorHAnsi"/>
          <w:i/>
          <w:iCs/>
        </w:rPr>
        <w:t>Address permanently the general issue of unstable housing in the country (particularly the condition of the homeless), ensuring all individuals have access to a stable and acceptable housing optio</w:t>
      </w:r>
      <w:r>
        <w:rPr>
          <w:rFonts w:cstheme="minorHAnsi"/>
          <w:i/>
          <w:iCs/>
        </w:rPr>
        <w:t>n</w:t>
      </w:r>
    </w:p>
    <w:p w14:paraId="7B6E7E98" w14:textId="6F9A84F7" w:rsidR="00206485" w:rsidRPr="00206485" w:rsidRDefault="00206485" w:rsidP="00206485">
      <w:pPr>
        <w:jc w:val="both"/>
        <w:rPr>
          <w:rFonts w:cstheme="minorHAnsi"/>
        </w:rPr>
      </w:pPr>
      <w:r w:rsidRPr="00206485">
        <w:rPr>
          <w:rFonts w:cstheme="minorHAnsi"/>
        </w:rPr>
        <w:t>This is the broadest definition of priorities that was identified. Addressing it would require undertaking all the steps mentioned until now:</w:t>
      </w:r>
    </w:p>
    <w:p w14:paraId="58FB7B96" w14:textId="77777777" w:rsidR="00206485" w:rsidRPr="00206485" w:rsidRDefault="00206485" w:rsidP="00B66D66">
      <w:pPr>
        <w:numPr>
          <w:ilvl w:val="1"/>
          <w:numId w:val="28"/>
        </w:numPr>
        <w:jc w:val="both"/>
        <w:rPr>
          <w:rFonts w:cstheme="minorHAnsi"/>
          <w:lang w:val="it-IT"/>
        </w:rPr>
      </w:pPr>
      <w:r w:rsidRPr="00206485">
        <w:rPr>
          <w:rFonts w:cstheme="minorHAnsi"/>
        </w:rPr>
        <w:t>General steps</w:t>
      </w:r>
    </w:p>
    <w:p w14:paraId="45A8D2E2" w14:textId="77777777" w:rsidR="00206485" w:rsidRPr="00206485" w:rsidRDefault="00206485" w:rsidP="00B66D66">
      <w:pPr>
        <w:numPr>
          <w:ilvl w:val="1"/>
          <w:numId w:val="28"/>
        </w:numPr>
        <w:jc w:val="both"/>
        <w:rPr>
          <w:rFonts w:cstheme="minorHAnsi"/>
        </w:rPr>
      </w:pPr>
      <w:r w:rsidRPr="00206485">
        <w:rPr>
          <w:rFonts w:cstheme="minorHAnsi"/>
        </w:rPr>
        <w:t>Priority 1 steps</w:t>
      </w:r>
    </w:p>
    <w:p w14:paraId="672E981A" w14:textId="78AF0263" w:rsidR="00E43D84" w:rsidRPr="00206485" w:rsidRDefault="00206485" w:rsidP="00B66D66">
      <w:pPr>
        <w:numPr>
          <w:ilvl w:val="1"/>
          <w:numId w:val="28"/>
        </w:numPr>
        <w:jc w:val="both"/>
        <w:rPr>
          <w:rFonts w:cstheme="minorHAnsi"/>
        </w:rPr>
      </w:pPr>
      <w:r w:rsidRPr="00206485">
        <w:rPr>
          <w:rFonts w:cstheme="minorHAnsi"/>
        </w:rPr>
        <w:t>Priority 2 steps</w:t>
      </w:r>
    </w:p>
    <w:p w14:paraId="6CFB8B72" w14:textId="0B68BAE6" w:rsidR="00E43D84" w:rsidRPr="00E43D84" w:rsidRDefault="00206485" w:rsidP="00B66D66">
      <w:pPr>
        <w:numPr>
          <w:ilvl w:val="1"/>
          <w:numId w:val="28"/>
        </w:numPr>
        <w:jc w:val="both"/>
        <w:rPr>
          <w:rFonts w:cstheme="minorHAnsi"/>
        </w:rPr>
      </w:pPr>
      <w:r w:rsidRPr="00206485">
        <w:rPr>
          <w:rFonts w:cstheme="minorHAnsi"/>
        </w:rPr>
        <w:t>Priority 3 steps</w:t>
      </w:r>
    </w:p>
    <w:p w14:paraId="14311E04" w14:textId="6AC3E672" w:rsidR="00206485" w:rsidRPr="004076AD" w:rsidRDefault="00C1269A" w:rsidP="00F00940">
      <w:pPr>
        <w:pStyle w:val="Heading1"/>
        <w:jc w:val="both"/>
        <w:rPr>
          <w:b/>
          <w:color w:val="002060"/>
        </w:rPr>
      </w:pPr>
      <w:r>
        <w:br w:type="page"/>
      </w:r>
      <w:bookmarkStart w:id="31" w:name="_Toc28008597"/>
      <w:bookmarkStart w:id="32" w:name="_Toc28010453"/>
      <w:r w:rsidR="00206485" w:rsidRPr="00D2698E">
        <w:rPr>
          <w:b/>
          <w:bCs/>
          <w:color w:val="002060"/>
        </w:rPr>
        <w:lastRenderedPageBreak/>
        <w:t>Possible Options for the Strategy to Tackle Unstable Housing in Georgia</w:t>
      </w:r>
      <w:bookmarkEnd w:id="31"/>
      <w:bookmarkEnd w:id="32"/>
    </w:p>
    <w:p w14:paraId="78E7EBEC" w14:textId="060C0528" w:rsidR="00206485" w:rsidRDefault="00206485" w:rsidP="00F00940">
      <w:pPr>
        <w:jc w:val="both"/>
      </w:pPr>
    </w:p>
    <w:p w14:paraId="162E91B2" w14:textId="0D8BB5B7" w:rsidR="0037020F" w:rsidRDefault="0037020F" w:rsidP="00F00940">
      <w:pPr>
        <w:jc w:val="both"/>
      </w:pPr>
      <w:r>
        <w:t>In preparation to the future work for the definition of policy options for the upcoming strategy to tackle unstable housing in Georgia we have decided to highlight the major choices faced by (and the main options in front of) the workgroup.</w:t>
      </w:r>
    </w:p>
    <w:p w14:paraId="21BC651C" w14:textId="43C6D617" w:rsidR="00206485" w:rsidRPr="0037020F" w:rsidRDefault="00206485" w:rsidP="00F00940">
      <w:pPr>
        <w:jc w:val="both"/>
        <w:rPr>
          <w:b/>
          <w:bCs/>
          <w:i/>
          <w:iCs/>
        </w:rPr>
      </w:pPr>
      <w:r w:rsidRPr="00206485">
        <w:rPr>
          <w:b/>
          <w:bCs/>
          <w:i/>
          <w:iCs/>
        </w:rPr>
        <w:t>Institutional setup</w:t>
      </w:r>
    </w:p>
    <w:p w14:paraId="3E101B6E" w14:textId="1F22F682" w:rsidR="00206485" w:rsidRPr="006E2A71" w:rsidRDefault="0037020F" w:rsidP="00F00940">
      <w:pPr>
        <w:jc w:val="both"/>
        <w:rPr>
          <w:rFonts w:ascii="Sylfaen" w:hAnsi="Sylfaen"/>
          <w:lang w:val="ka-GE"/>
        </w:rPr>
      </w:pPr>
      <w:r w:rsidRPr="0037020F">
        <w:t>The workgroup will have t</w:t>
      </w:r>
      <w:r>
        <w:t>o decide between a range of options, as far as the institutional setup is concerned. We have identified the following as the main ones:</w:t>
      </w:r>
    </w:p>
    <w:p w14:paraId="537FA6AE" w14:textId="7CA793B4" w:rsidR="00206485" w:rsidRPr="00206485" w:rsidRDefault="00206485" w:rsidP="00F00940">
      <w:pPr>
        <w:pStyle w:val="ListParagraph"/>
        <w:numPr>
          <w:ilvl w:val="0"/>
          <w:numId w:val="29"/>
        </w:numPr>
        <w:jc w:val="both"/>
      </w:pPr>
      <w:r w:rsidRPr="00206485">
        <w:t>Public (centralized)</w:t>
      </w:r>
      <w:r w:rsidR="0037020F">
        <w:t xml:space="preserve">: the system is designed to be developed and run centrally, with the </w:t>
      </w:r>
      <w:r w:rsidR="0037020F" w:rsidRPr="00FF4CC9">
        <w:t xml:space="preserve">Ministry of Internally Displaced Persons from the Occupied Territories, </w:t>
      </w:r>
      <w:proofErr w:type="spellStart"/>
      <w:r w:rsidR="0037020F" w:rsidRPr="00FF4CC9">
        <w:t>Labour</w:t>
      </w:r>
      <w:proofErr w:type="spellEnd"/>
      <w:r w:rsidR="0037020F" w:rsidRPr="00FF4CC9">
        <w:t>, Health and Social Affairs of Georgia</w:t>
      </w:r>
      <w:r w:rsidR="0037020F">
        <w:t xml:space="preserve"> in charge of all elements of the strategy, with a direct control on both design and implementation. This does not really appear to be a feasible option at this stage, as the Georgian system seems to have been already gearing towards decentralization.</w:t>
      </w:r>
    </w:p>
    <w:p w14:paraId="632A544D" w14:textId="2BF45C64" w:rsidR="00206485" w:rsidRPr="00206485" w:rsidRDefault="00206485" w:rsidP="00F00940">
      <w:pPr>
        <w:pStyle w:val="ListParagraph"/>
        <w:numPr>
          <w:ilvl w:val="0"/>
          <w:numId w:val="29"/>
        </w:numPr>
        <w:jc w:val="both"/>
      </w:pPr>
      <w:r w:rsidRPr="00206485">
        <w:t>Public (</w:t>
      </w:r>
      <w:r w:rsidR="0037020F">
        <w:t xml:space="preserve">fully </w:t>
      </w:r>
      <w:r w:rsidRPr="00206485">
        <w:t>decentralized)</w:t>
      </w:r>
      <w:r w:rsidR="0037020F">
        <w:t xml:space="preserve">: this system would allow total independence and autonomy to local authorities, without any residual role for the central government. </w:t>
      </w:r>
      <w:proofErr w:type="gramStart"/>
      <w:r w:rsidR="0037020F">
        <w:t>Also</w:t>
      </w:r>
      <w:proofErr w:type="gramEnd"/>
      <w:r w:rsidR="0037020F">
        <w:t xml:space="preserve"> this approach seems partially unfeasible, </w:t>
      </w:r>
      <w:r w:rsidR="00D60F6A">
        <w:t>because of the complexity of ensuring full coordination and consistency among actions in complete absence of central governments’ intervention.</w:t>
      </w:r>
    </w:p>
    <w:p w14:paraId="69F0E7CF" w14:textId="422AEA60" w:rsidR="00206485" w:rsidRPr="00206485" w:rsidRDefault="00206485" w:rsidP="00F00940">
      <w:pPr>
        <w:pStyle w:val="ListParagraph"/>
        <w:numPr>
          <w:ilvl w:val="0"/>
          <w:numId w:val="29"/>
        </w:numPr>
        <w:jc w:val="both"/>
      </w:pPr>
      <w:r w:rsidRPr="00206485">
        <w:t>Public (semi-decentralized)</w:t>
      </w:r>
      <w:r w:rsidR="0037020F">
        <w:t>: this method w</w:t>
      </w:r>
      <w:r w:rsidR="00D60F6A">
        <w:t xml:space="preserve">ould see the </w:t>
      </w:r>
      <w:proofErr w:type="spellStart"/>
      <w:r w:rsidR="00D60F6A">
        <w:t>MoHSLA</w:t>
      </w:r>
      <w:proofErr w:type="spellEnd"/>
      <w:r w:rsidR="00D60F6A">
        <w:t xml:space="preserve"> performing the coordinator’s and monitor’s role, while leaving the practical implementation to local authorities.</w:t>
      </w:r>
    </w:p>
    <w:p w14:paraId="59F9E83C" w14:textId="599C6DEF" w:rsidR="00206485" w:rsidRDefault="00206485" w:rsidP="00F00940">
      <w:pPr>
        <w:pStyle w:val="ListParagraph"/>
        <w:numPr>
          <w:ilvl w:val="0"/>
          <w:numId w:val="29"/>
        </w:numPr>
        <w:jc w:val="both"/>
      </w:pPr>
      <w:r w:rsidRPr="00206485">
        <w:t>Mixed (Public plus private, semi-decentralized)</w:t>
      </w:r>
      <w:r w:rsidR="00D60F6A">
        <w:t>: this setup would look similar to the semi-decentralized public setup, with the possibility for private actors (such as NGOs) to be effectively incorporated in the picture and to contribute to the achievement of the strategic goals.</w:t>
      </w:r>
    </w:p>
    <w:p w14:paraId="634F1F2F" w14:textId="5A3C9EB8" w:rsidR="00206485" w:rsidRDefault="00D60F6A" w:rsidP="00F00940">
      <w:pPr>
        <w:jc w:val="both"/>
        <w:rPr>
          <w:b/>
          <w:bCs/>
          <w:i/>
          <w:iCs/>
        </w:rPr>
      </w:pPr>
      <w:r w:rsidRPr="00D60F6A">
        <w:rPr>
          <w:b/>
          <w:bCs/>
          <w:i/>
          <w:iCs/>
        </w:rPr>
        <w:t>Approach</w:t>
      </w:r>
    </w:p>
    <w:p w14:paraId="62A1E770" w14:textId="576C53E0" w:rsidR="00206485" w:rsidRDefault="00D60F6A" w:rsidP="00F00940">
      <w:pPr>
        <w:jc w:val="both"/>
      </w:pPr>
      <w:r>
        <w:t>The strategic approach might focus on past and present, on the future or on both.</w:t>
      </w:r>
    </w:p>
    <w:p w14:paraId="71DA968F" w14:textId="19A3342E" w:rsidR="00206485" w:rsidRDefault="00D60F6A" w:rsidP="00F00940">
      <w:pPr>
        <w:jc w:val="both"/>
      </w:pPr>
      <w:r>
        <w:t>In the first case, the strategy would mainly focus on ex-post/remedial actions, taking stock of what is the current situation and addressing mostly the need of the relevant groups (e.g. roofless).</w:t>
      </w:r>
    </w:p>
    <w:p w14:paraId="2515858E" w14:textId="1906A6B0" w:rsidR="00206485" w:rsidRDefault="00D60F6A" w:rsidP="00F00940">
      <w:pPr>
        <w:jc w:val="both"/>
      </w:pPr>
      <w:r>
        <w:t xml:space="preserve">In the second case, the strategy would mainly focus on ex-ante/preventive actions, focusing on individuals at risk of becoming roofless or homeless. </w:t>
      </w:r>
    </w:p>
    <w:p w14:paraId="2F355C2B" w14:textId="0062961C" w:rsidR="00206485" w:rsidRPr="00206485" w:rsidRDefault="00D60F6A" w:rsidP="00F00940">
      <w:pPr>
        <w:jc w:val="both"/>
      </w:pPr>
      <w:r>
        <w:t>The combined preventive and remedial approach would try to achieve both strategic roles simultaneously. This is likely to require significantly more resources but also to provide a better and more systemic approach to the issue.</w:t>
      </w:r>
    </w:p>
    <w:p w14:paraId="25FBCB5E" w14:textId="0745CB27" w:rsidR="00206485" w:rsidRDefault="00D60F6A" w:rsidP="00F00940">
      <w:pPr>
        <w:jc w:val="both"/>
        <w:rPr>
          <w:b/>
          <w:bCs/>
          <w:i/>
          <w:iCs/>
        </w:rPr>
      </w:pPr>
      <w:r w:rsidRPr="00D60F6A">
        <w:rPr>
          <w:b/>
          <w:bCs/>
          <w:i/>
          <w:iCs/>
        </w:rPr>
        <w:t>Concrete actions</w:t>
      </w:r>
    </w:p>
    <w:p w14:paraId="1B8F4B52" w14:textId="10B769AE" w:rsidR="00D60F6A" w:rsidRPr="00D60F6A" w:rsidRDefault="00D60F6A" w:rsidP="00F00940">
      <w:pPr>
        <w:jc w:val="both"/>
      </w:pPr>
      <w:r>
        <w:t>While defining specific alternative options</w:t>
      </w:r>
      <w:r w:rsidR="00B66D66">
        <w:t xml:space="preserve"> </w:t>
      </w:r>
      <w:bookmarkStart w:id="33" w:name="_Hlk27997455"/>
      <w:r w:rsidR="00B66D66">
        <w:t>in order to address one or more of the priorities above mentioned</w:t>
      </w:r>
      <w:bookmarkEnd w:id="33"/>
      <w:r w:rsidR="00B66D66">
        <w:t xml:space="preserve">, given the chosen institutional setup and approach, </w:t>
      </w:r>
      <w:r>
        <w:t xml:space="preserve">the workgroup might want to consider </w:t>
      </w:r>
      <w:r w:rsidR="00B66D66">
        <w:t>incorporating</w:t>
      </w:r>
      <w:r>
        <w:t xml:space="preserve"> one or more of the following </w:t>
      </w:r>
      <w:r w:rsidR="00B66D66">
        <w:t>concrete actions:</w:t>
      </w:r>
    </w:p>
    <w:p w14:paraId="566BE708" w14:textId="77777777" w:rsidR="0037020F" w:rsidRPr="0037020F" w:rsidRDefault="0037020F" w:rsidP="00F00940">
      <w:pPr>
        <w:pStyle w:val="ListParagraph"/>
        <w:numPr>
          <w:ilvl w:val="0"/>
          <w:numId w:val="30"/>
        </w:numPr>
        <w:jc w:val="both"/>
      </w:pPr>
      <w:r w:rsidRPr="0037020F">
        <w:t xml:space="preserve">Development of a </w:t>
      </w:r>
      <w:r w:rsidRPr="00B66D66">
        <w:rPr>
          <w:b/>
          <w:bCs/>
        </w:rPr>
        <w:t>housing strategy delineating responsibilities and committing to the provision of resources</w:t>
      </w:r>
      <w:r w:rsidRPr="0037020F">
        <w:t>, both at the central and at the municipal level, for:</w:t>
      </w:r>
    </w:p>
    <w:p w14:paraId="048AEFF5" w14:textId="4A02CE3F" w:rsidR="0037020F" w:rsidRPr="00B66D66" w:rsidRDefault="0037020F" w:rsidP="00F00940">
      <w:pPr>
        <w:pStyle w:val="ListParagraph"/>
        <w:numPr>
          <w:ilvl w:val="1"/>
          <w:numId w:val="30"/>
        </w:numPr>
        <w:jc w:val="both"/>
      </w:pPr>
      <w:r w:rsidRPr="00B66D66">
        <w:lastRenderedPageBreak/>
        <w:t>High-quality data collection procedures (decentralization of collection based on common standards)</w:t>
      </w:r>
      <w:r w:rsidR="00734333">
        <w:rPr>
          <w:rFonts w:ascii="Sylfaen" w:hAnsi="Sylfaen"/>
          <w:lang w:val="ka-GE"/>
        </w:rPr>
        <w:t>;</w:t>
      </w:r>
    </w:p>
    <w:p w14:paraId="61243982" w14:textId="68AF2E10" w:rsidR="0037020F" w:rsidRPr="00B66D66" w:rsidRDefault="0037020F" w:rsidP="00F00940">
      <w:pPr>
        <w:pStyle w:val="ListParagraph"/>
        <w:numPr>
          <w:ilvl w:val="1"/>
          <w:numId w:val="30"/>
        </w:numPr>
        <w:jc w:val="both"/>
      </w:pPr>
      <w:r w:rsidRPr="00B66D66">
        <w:t>Definition and implementation of national and local strategies against unstable housing</w:t>
      </w:r>
      <w:r w:rsidR="00734333">
        <w:rPr>
          <w:rFonts w:ascii="Sylfaen" w:hAnsi="Sylfaen"/>
          <w:lang w:val="ka-GE"/>
        </w:rPr>
        <w:t>.</w:t>
      </w:r>
    </w:p>
    <w:p w14:paraId="45BF1036" w14:textId="77777777" w:rsidR="0037020F" w:rsidRPr="0037020F" w:rsidRDefault="0037020F" w:rsidP="00F00940">
      <w:pPr>
        <w:pStyle w:val="ListParagraph"/>
        <w:numPr>
          <w:ilvl w:val="0"/>
          <w:numId w:val="30"/>
        </w:numPr>
        <w:jc w:val="both"/>
      </w:pPr>
      <w:r w:rsidRPr="0037020F">
        <w:t xml:space="preserve">Establishing </w:t>
      </w:r>
      <w:r w:rsidRPr="00B66D66">
        <w:rPr>
          <w:b/>
          <w:bCs/>
        </w:rPr>
        <w:t>specialized unit within the responsible ministry</w:t>
      </w:r>
      <w:r w:rsidRPr="0037020F">
        <w:t xml:space="preserve"> focusing on unstable housing issues in charge of implementing the national housing strategy and coordinating the implementation of the housing strategy at the national and at the municipal level.</w:t>
      </w:r>
    </w:p>
    <w:p w14:paraId="0915A531" w14:textId="77777777" w:rsidR="0037020F" w:rsidRPr="0037020F" w:rsidRDefault="0037020F" w:rsidP="00F00940">
      <w:pPr>
        <w:pStyle w:val="ListParagraph"/>
        <w:numPr>
          <w:ilvl w:val="0"/>
          <w:numId w:val="30"/>
        </w:numPr>
        <w:jc w:val="both"/>
      </w:pPr>
      <w:r w:rsidRPr="0037020F">
        <w:t xml:space="preserve">Development of a </w:t>
      </w:r>
      <w:r w:rsidRPr="00B66D66">
        <w:rPr>
          <w:b/>
          <w:bCs/>
        </w:rPr>
        <w:t xml:space="preserve">network of municipal support centers </w:t>
      </w:r>
      <w:r w:rsidRPr="0037020F">
        <w:t>(could be also NGOs) and a national reference number for those exposed to unstable housing.</w:t>
      </w:r>
    </w:p>
    <w:p w14:paraId="1E6EFE4D" w14:textId="77777777" w:rsidR="0037020F" w:rsidRPr="0037020F" w:rsidRDefault="0037020F" w:rsidP="00F00940">
      <w:pPr>
        <w:pStyle w:val="ListParagraph"/>
        <w:numPr>
          <w:ilvl w:val="0"/>
          <w:numId w:val="30"/>
        </w:numPr>
        <w:jc w:val="both"/>
      </w:pPr>
      <w:r w:rsidRPr="0037020F">
        <w:t>Establishment of direct contact lines between housing centers and other institutional actors caring for vulnerable individual/categories for coordinated approach.</w:t>
      </w:r>
    </w:p>
    <w:p w14:paraId="231E9DFA" w14:textId="77777777" w:rsidR="0037020F" w:rsidRPr="0037020F" w:rsidRDefault="0037020F" w:rsidP="00F00940">
      <w:pPr>
        <w:pStyle w:val="ListParagraph"/>
        <w:numPr>
          <w:ilvl w:val="0"/>
          <w:numId w:val="30"/>
        </w:numPr>
        <w:jc w:val="both"/>
      </w:pPr>
      <w:r w:rsidRPr="0037020F">
        <w:t xml:space="preserve">Establishment of </w:t>
      </w:r>
      <w:r w:rsidRPr="00B66D66">
        <w:rPr>
          <w:b/>
          <w:bCs/>
        </w:rPr>
        <w:t xml:space="preserve">authority/service </w:t>
      </w:r>
      <w:r w:rsidRPr="0037020F">
        <w:t>(could be also NGOs) in charge of monitoring and assessing the safety of the existing housing stocks, suggest remedial actions and, when impossible to remedy, activate the support centers.</w:t>
      </w:r>
    </w:p>
    <w:p w14:paraId="2A1D8821" w14:textId="77777777" w:rsidR="0037020F" w:rsidRPr="00B66D66" w:rsidRDefault="0037020F" w:rsidP="00F00940">
      <w:pPr>
        <w:jc w:val="both"/>
      </w:pPr>
    </w:p>
    <w:p w14:paraId="0D3A6493" w14:textId="7D9D2CA7" w:rsidR="00C1269A" w:rsidRPr="0038326B" w:rsidRDefault="00206485" w:rsidP="0038326B">
      <w:pPr>
        <w:jc w:val="both"/>
      </w:pPr>
      <w:r>
        <w:br w:type="page"/>
      </w:r>
    </w:p>
    <w:p w14:paraId="66C4CA58" w14:textId="1EDED6D2" w:rsidR="00C179DF" w:rsidRPr="004076AD" w:rsidRDefault="00683E3C" w:rsidP="00AE4B0B">
      <w:pPr>
        <w:pStyle w:val="Heading1"/>
        <w:rPr>
          <w:rFonts w:asciiTheme="minorHAnsi" w:hAnsiTheme="minorHAnsi" w:cstheme="minorHAnsi"/>
          <w:b/>
          <w:color w:val="002060"/>
        </w:rPr>
      </w:pPr>
      <w:bookmarkStart w:id="34" w:name="_Toc28008598"/>
      <w:bookmarkStart w:id="35" w:name="_Toc28010454"/>
      <w:r w:rsidRPr="004076AD">
        <w:rPr>
          <w:rFonts w:asciiTheme="minorHAnsi" w:hAnsiTheme="minorHAnsi" w:cstheme="minorHAnsi"/>
          <w:b/>
          <w:color w:val="002060"/>
        </w:rPr>
        <w:lastRenderedPageBreak/>
        <w:t>ANNEXES</w:t>
      </w:r>
      <w:bookmarkEnd w:id="34"/>
      <w:bookmarkEnd w:id="35"/>
    </w:p>
    <w:p w14:paraId="058D6C84" w14:textId="6DE38459" w:rsidR="00C179DF" w:rsidRPr="004076AD" w:rsidRDefault="003610CD">
      <w:pPr>
        <w:pStyle w:val="Heading2"/>
        <w:jc w:val="both"/>
        <w:rPr>
          <w:rFonts w:asciiTheme="minorHAnsi" w:hAnsiTheme="minorHAnsi" w:cstheme="minorHAnsi"/>
          <w:b/>
          <w:color w:val="002060"/>
        </w:rPr>
      </w:pPr>
      <w:bookmarkStart w:id="36" w:name="_Toc28008599"/>
      <w:bookmarkStart w:id="37" w:name="_Toc28010455"/>
      <w:r w:rsidRPr="004076AD">
        <w:rPr>
          <w:rFonts w:asciiTheme="minorHAnsi" w:hAnsiTheme="minorHAnsi" w:cstheme="minorHAnsi"/>
          <w:b/>
          <w:color w:val="002060"/>
        </w:rPr>
        <w:t xml:space="preserve">ANNEX A. </w:t>
      </w:r>
      <w:r w:rsidR="004076AD">
        <w:rPr>
          <w:rFonts w:asciiTheme="minorHAnsi" w:hAnsiTheme="minorHAnsi" w:cstheme="minorHAnsi"/>
          <w:b/>
          <w:color w:val="002060"/>
        </w:rPr>
        <w:t>Tables and F</w:t>
      </w:r>
      <w:r w:rsidR="00C179DF" w:rsidRPr="004076AD">
        <w:rPr>
          <w:rFonts w:asciiTheme="minorHAnsi" w:hAnsiTheme="minorHAnsi" w:cstheme="minorHAnsi"/>
          <w:b/>
          <w:color w:val="002060"/>
        </w:rPr>
        <w:t>igures</w:t>
      </w:r>
      <w:bookmarkEnd w:id="36"/>
      <w:bookmarkEnd w:id="37"/>
    </w:p>
    <w:p w14:paraId="01B6FE42" w14:textId="6A0DCBB7" w:rsidR="00003F02" w:rsidRPr="00E562C9" w:rsidRDefault="00E562C9" w:rsidP="00AA086A">
      <w:pPr>
        <w:pStyle w:val="Caption"/>
        <w:jc w:val="both"/>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1</w:t>
      </w:r>
      <w:r w:rsidR="00D656F6">
        <w:rPr>
          <w:noProof/>
        </w:rPr>
        <w:fldChar w:fldCharType="end"/>
      </w:r>
      <w:r>
        <w:t xml:space="preserve">: </w:t>
      </w:r>
      <w:r w:rsidR="00C97410">
        <w:t>The share of households exceeding the</w:t>
      </w:r>
      <w:r w:rsidR="00CF5778">
        <w:t xml:space="preserve"> </w:t>
      </w:r>
      <w:r w:rsidR="00CF5778" w:rsidRPr="00CF5778">
        <w:t xml:space="preserve">shadow </w:t>
      </w:r>
      <w:r w:rsidR="00C97410">
        <w:t xml:space="preserve"> affordability threshold</w:t>
      </w:r>
      <w:r w:rsidR="00792A30">
        <w:t xml:space="preserve"> (imaginary rent /</w:t>
      </w:r>
      <w:r w:rsidR="008C3A8A">
        <w:t xml:space="preserve"> (I</w:t>
      </w:r>
      <w:r w:rsidR="00792A30">
        <w:t>ncome+ imaginary rent</w:t>
      </w:r>
      <w:r w:rsidR="008C3A8A">
        <w:t>)</w:t>
      </w:r>
      <w:r w:rsidR="00792A30">
        <w:t>)</w:t>
      </w:r>
      <w:r w:rsidR="00AC4266">
        <w:t xml:space="preserve"> in urban areas</w:t>
      </w:r>
      <w:r>
        <w:t xml:space="preserve"> – </w:t>
      </w:r>
      <w:r w:rsidR="00AA086A">
        <w:t>by quartile of income distribution</w:t>
      </w:r>
    </w:p>
    <w:p w14:paraId="776948FE" w14:textId="23A27177" w:rsidR="00003F02" w:rsidRDefault="00683E3C" w:rsidP="00AE4B0B">
      <w:pPr>
        <w:spacing w:after="0"/>
        <w:rPr>
          <w:noProof/>
        </w:rPr>
      </w:pPr>
      <w:r>
        <w:rPr>
          <w:noProof/>
        </w:rPr>
        <w:drawing>
          <wp:inline distT="0" distB="0" distL="0" distR="0" wp14:anchorId="6D4292B9" wp14:editId="2E03B7CC">
            <wp:extent cx="5724525" cy="3253740"/>
            <wp:effectExtent l="0" t="0" r="9525" b="3810"/>
            <wp:docPr id="76" name="Grafico 7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29E7A658" w14:textId="2704DA52" w:rsidR="0066387E" w:rsidRPr="0066387E"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2CA1551A" w14:textId="036DEFDA" w:rsidR="00E562C9" w:rsidRDefault="00E562C9" w:rsidP="005322FA">
      <w:pPr>
        <w:pStyle w:val="Caption"/>
        <w:jc w:val="both"/>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w:t>
      </w:r>
      <w:r w:rsidR="00D656F6">
        <w:rPr>
          <w:noProof/>
        </w:rPr>
        <w:fldChar w:fldCharType="end"/>
      </w:r>
      <w:r>
        <w:t>: The share of households exceeding the</w:t>
      </w:r>
      <w:r w:rsidR="006D60D0">
        <w:t xml:space="preserve"> </w:t>
      </w:r>
      <w:r w:rsidR="00CF5778" w:rsidRPr="00CF5778">
        <w:t>shadow</w:t>
      </w:r>
      <w:r w:rsidR="00CF5778">
        <w:t xml:space="preserve"> </w:t>
      </w:r>
      <w:r>
        <w:t>affordability threshold</w:t>
      </w:r>
      <w:r w:rsidR="00792A30">
        <w:t xml:space="preserve"> </w:t>
      </w:r>
      <w:r w:rsidR="008C3A8A">
        <w:t>(</w:t>
      </w:r>
      <w:r w:rsidR="001A7C46">
        <w:t>imaginary ren</w:t>
      </w:r>
      <w:r w:rsidR="001A7C46">
        <w:rPr>
          <w:rFonts w:ascii="Sylfaen" w:hAnsi="Sylfaen"/>
        </w:rPr>
        <w:t>t</w:t>
      </w:r>
      <w:r w:rsidR="00792A30">
        <w:t xml:space="preserve"> /</w:t>
      </w:r>
      <w:r w:rsidR="008C3A8A">
        <w:t>(</w:t>
      </w:r>
      <w:r w:rsidR="00792A30">
        <w:t>income+ imaginary rent</w:t>
      </w:r>
      <w:r w:rsidR="008C3A8A">
        <w:t>)</w:t>
      </w:r>
      <w:r w:rsidR="00792A30">
        <w:t>)</w:t>
      </w:r>
      <w:r w:rsidR="002A7ADC">
        <w:t xml:space="preserve"> in rural areas</w:t>
      </w:r>
      <w:r>
        <w:t xml:space="preserve"> – by </w:t>
      </w:r>
      <w:r w:rsidR="005322FA">
        <w:t>quartile of income distribution</w:t>
      </w:r>
    </w:p>
    <w:p w14:paraId="44E44349" w14:textId="124A8CB8" w:rsidR="00003F02" w:rsidRDefault="00683E3C" w:rsidP="00AE4B0B">
      <w:pPr>
        <w:spacing w:after="0"/>
        <w:rPr>
          <w:noProof/>
        </w:rPr>
      </w:pPr>
      <w:r>
        <w:rPr>
          <w:noProof/>
        </w:rPr>
        <w:drawing>
          <wp:inline distT="0" distB="0" distL="0" distR="0" wp14:anchorId="5FAED8DC" wp14:editId="62566D80">
            <wp:extent cx="5669280" cy="3145536"/>
            <wp:effectExtent l="0" t="0" r="7620" b="17145"/>
            <wp:docPr id="83" name="Grafico 83">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Pr="00174144">
        <w:rPr>
          <w:noProof/>
        </w:rPr>
        <w:t xml:space="preserve"> </w:t>
      </w:r>
    </w:p>
    <w:p w14:paraId="51051D26" w14:textId="7E59573C" w:rsidR="0066387E" w:rsidRPr="0066387E"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2D817062" w14:textId="1FBBE591" w:rsidR="00E562C9" w:rsidRPr="008B4594" w:rsidRDefault="00E562C9" w:rsidP="008B4594">
      <w:pPr>
        <w:pStyle w:val="Caption"/>
        <w:jc w:val="both"/>
        <w:rPr>
          <w:rFonts w:cstheme="minorHAnsi"/>
        </w:rPr>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3</w:t>
      </w:r>
      <w:r w:rsidR="00D656F6">
        <w:rPr>
          <w:noProof/>
        </w:rPr>
        <w:fldChar w:fldCharType="end"/>
      </w:r>
      <w:r>
        <w:t>: The share of households exceeding the</w:t>
      </w:r>
      <w:r w:rsidR="001A521B">
        <w:t xml:space="preserve"> extended</w:t>
      </w:r>
      <w:r w:rsidR="006D60D0">
        <w:t xml:space="preserve"> shadow</w:t>
      </w:r>
      <w:r w:rsidR="00CD1FD3">
        <w:t xml:space="preserve"> </w:t>
      </w:r>
      <w:r>
        <w:t>affordability threshold</w:t>
      </w:r>
      <w:r w:rsidR="00792A30">
        <w:t xml:space="preserve"> (</w:t>
      </w:r>
      <w:r w:rsidR="008C3A8A">
        <w:t>(</w:t>
      </w:r>
      <w:r w:rsidR="00792A30">
        <w:t>imaginary rent + exp</w:t>
      </w:r>
      <w:r w:rsidR="008C3A8A">
        <w:t>enditure)</w:t>
      </w:r>
      <w:r w:rsidR="00792A30">
        <w:t>/</w:t>
      </w:r>
      <w:r w:rsidR="008C3A8A">
        <w:t xml:space="preserve"> (</w:t>
      </w:r>
      <w:r w:rsidR="00792A30">
        <w:t>income+ imaginary rent</w:t>
      </w:r>
      <w:r w:rsidR="008C3A8A">
        <w:t>)</w:t>
      </w:r>
      <w:r w:rsidR="00792A30">
        <w:t>)</w:t>
      </w:r>
      <w:r w:rsidR="002A7ADC">
        <w:t xml:space="preserve"> in urban areas</w:t>
      </w:r>
      <w:r>
        <w:t xml:space="preserve"> –</w:t>
      </w:r>
      <w:r w:rsidR="005322FA">
        <w:t xml:space="preserve"> by </w:t>
      </w:r>
      <w:r>
        <w:t xml:space="preserve"> </w:t>
      </w:r>
      <w:r w:rsidR="005322FA">
        <w:t>quartile of income distribution</w:t>
      </w:r>
      <w:r w:rsidR="005322FA">
        <w:rPr>
          <w:noProof/>
        </w:rPr>
        <w:t xml:space="preserve">  </w:t>
      </w:r>
    </w:p>
    <w:p w14:paraId="423B5297" w14:textId="41383799" w:rsidR="00003F02" w:rsidRDefault="00683E3C" w:rsidP="00AE4B0B">
      <w:pPr>
        <w:spacing w:after="0"/>
        <w:rPr>
          <w:noProof/>
        </w:rPr>
      </w:pPr>
      <w:r>
        <w:rPr>
          <w:noProof/>
        </w:rPr>
        <w:drawing>
          <wp:inline distT="0" distB="0" distL="0" distR="0" wp14:anchorId="29408539" wp14:editId="2B43B03A">
            <wp:extent cx="5724525" cy="3253740"/>
            <wp:effectExtent l="0" t="0" r="9525" b="3810"/>
            <wp:docPr id="38" name="Grafico 3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4B9B071" w14:textId="799AA047" w:rsidR="0066387E" w:rsidRPr="0066387E" w:rsidRDefault="0066387E" w:rsidP="0066387E">
      <w:pPr>
        <w:ind w:right="-990"/>
        <w:jc w:val="both"/>
        <w:rPr>
          <w:rFonts w:cstheme="minorHAnsi"/>
          <w:color w:val="FF0000"/>
        </w:rPr>
      </w:pPr>
      <w:r>
        <w:rPr>
          <w:i/>
          <w:iCs/>
          <w:color w:val="44546A" w:themeColor="text2"/>
          <w:sz w:val="18"/>
          <w:szCs w:val="18"/>
        </w:rPr>
        <w:t xml:space="preserve">Source: </w:t>
      </w:r>
      <w:r w:rsidR="00AE4B0B">
        <w:rPr>
          <w:i/>
          <w:iCs/>
          <w:color w:val="44546A" w:themeColor="text2"/>
          <w:sz w:val="18"/>
          <w:szCs w:val="18"/>
        </w:rPr>
        <w:t xml:space="preserve">Integrated Household Survey </w:t>
      </w:r>
    </w:p>
    <w:p w14:paraId="383D4DD7" w14:textId="6147B9E7" w:rsidR="00E562C9" w:rsidRDefault="00E562C9" w:rsidP="005322FA">
      <w:pPr>
        <w:pStyle w:val="Caption"/>
        <w:jc w:val="both"/>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4</w:t>
      </w:r>
      <w:r w:rsidR="00D656F6">
        <w:rPr>
          <w:noProof/>
        </w:rPr>
        <w:fldChar w:fldCharType="end"/>
      </w:r>
      <w:r>
        <w:t>: The share of households exceeding the</w:t>
      </w:r>
      <w:r w:rsidR="00CD1FD3" w:rsidRPr="00CD1FD3">
        <w:t xml:space="preserve"> </w:t>
      </w:r>
      <w:r w:rsidR="00CD1FD3">
        <w:t>extended  shadow</w:t>
      </w:r>
      <w:r>
        <w:t xml:space="preserve"> affordability threshold</w:t>
      </w:r>
      <w:r w:rsidR="00792A30">
        <w:t xml:space="preserve"> (</w:t>
      </w:r>
      <w:r w:rsidR="008C3A8A">
        <w:t>(</w:t>
      </w:r>
      <w:r w:rsidR="00792A30">
        <w:t>imaginary rent + exp</w:t>
      </w:r>
      <w:r w:rsidR="008C3A8A">
        <w:t>enditure)</w:t>
      </w:r>
      <w:r w:rsidR="00792A30">
        <w:t xml:space="preserve"> /</w:t>
      </w:r>
      <w:r w:rsidR="008C3A8A">
        <w:t xml:space="preserve"> (</w:t>
      </w:r>
      <w:r w:rsidR="00792A30">
        <w:t>income+ imaginary rent</w:t>
      </w:r>
      <w:r w:rsidR="008C3A8A">
        <w:t>)</w:t>
      </w:r>
      <w:r w:rsidR="00792A30">
        <w:t>)</w:t>
      </w:r>
      <w:r w:rsidR="002A7ADC">
        <w:t xml:space="preserve"> in rural areas</w:t>
      </w:r>
      <w:r>
        <w:t xml:space="preserve"> – by </w:t>
      </w:r>
      <w:r w:rsidR="005322FA">
        <w:t>quartile of income distribution</w:t>
      </w:r>
    </w:p>
    <w:p w14:paraId="54FF9D4E" w14:textId="2FB4B420" w:rsidR="00683E3C" w:rsidRDefault="00683E3C" w:rsidP="00AE4B0B">
      <w:pPr>
        <w:spacing w:after="0"/>
        <w:rPr>
          <w:noProof/>
        </w:rPr>
      </w:pPr>
      <w:r>
        <w:rPr>
          <w:noProof/>
        </w:rPr>
        <w:drawing>
          <wp:inline distT="0" distB="0" distL="0" distR="0" wp14:anchorId="5ECC76B6" wp14:editId="181D1B80">
            <wp:extent cx="5753100" cy="3267075"/>
            <wp:effectExtent l="0" t="0" r="0" b="9525"/>
            <wp:docPr id="39" name="Grafico 39">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Pr="00832B7F">
        <w:rPr>
          <w:noProof/>
        </w:rPr>
        <w:t xml:space="preserve"> </w:t>
      </w:r>
    </w:p>
    <w:p w14:paraId="02F67F8B" w14:textId="1F70ED93" w:rsidR="00E562C9" w:rsidRDefault="00AE4B0B" w:rsidP="0066387E">
      <w:pPr>
        <w:ind w:right="-990"/>
        <w:jc w:val="both"/>
        <w:rPr>
          <w:i/>
          <w:iCs/>
          <w:color w:val="44546A" w:themeColor="text2"/>
          <w:sz w:val="18"/>
          <w:szCs w:val="18"/>
        </w:rPr>
      </w:pPr>
      <w:r>
        <w:rPr>
          <w:i/>
          <w:iCs/>
          <w:color w:val="44546A" w:themeColor="text2"/>
          <w:sz w:val="18"/>
          <w:szCs w:val="18"/>
        </w:rPr>
        <w:t>Source:</w:t>
      </w:r>
      <w:r w:rsidR="0066387E">
        <w:rPr>
          <w:i/>
          <w:iCs/>
          <w:color w:val="44546A" w:themeColor="text2"/>
          <w:sz w:val="18"/>
          <w:szCs w:val="18"/>
        </w:rPr>
        <w:t xml:space="preserve"> I</w:t>
      </w:r>
      <w:r>
        <w:rPr>
          <w:i/>
          <w:iCs/>
          <w:color w:val="44546A" w:themeColor="text2"/>
          <w:sz w:val="18"/>
          <w:szCs w:val="18"/>
        </w:rPr>
        <w:t xml:space="preserve">ntegrated Household Survey </w:t>
      </w:r>
    </w:p>
    <w:p w14:paraId="2E2769A3" w14:textId="77777777" w:rsidR="00AE4B0B" w:rsidRPr="0066387E" w:rsidRDefault="00AE4B0B" w:rsidP="0066387E">
      <w:pPr>
        <w:ind w:right="-990"/>
        <w:jc w:val="both"/>
        <w:rPr>
          <w:rFonts w:cstheme="minorHAnsi"/>
          <w:color w:val="FF0000"/>
        </w:rPr>
      </w:pPr>
    </w:p>
    <w:p w14:paraId="27E6947C" w14:textId="5A2B368D" w:rsidR="0014722D" w:rsidRPr="00AB1080" w:rsidRDefault="00E562C9" w:rsidP="00AB1080">
      <w:pPr>
        <w:pStyle w:val="Caption"/>
        <w:rPr>
          <w:noProof/>
        </w:rPr>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5</w:t>
      </w:r>
      <w:r w:rsidR="00D656F6">
        <w:rPr>
          <w:noProof/>
        </w:rPr>
        <w:fldChar w:fldCharType="end"/>
      </w:r>
      <w:r w:rsidR="00AB1080">
        <w:t xml:space="preserve">: </w:t>
      </w:r>
      <w:r w:rsidR="007E1276">
        <w:t>The share of households exceeding the</w:t>
      </w:r>
      <w:r w:rsidR="00902347">
        <w:rPr>
          <w:lang w:val="ka-GE"/>
        </w:rPr>
        <w:t xml:space="preserve"> </w:t>
      </w:r>
      <w:r w:rsidR="007E1276">
        <w:t>affordability threshold (rent /income)</w:t>
      </w:r>
      <w:r w:rsidR="002A7ADC">
        <w:t xml:space="preserve"> in urban areas</w:t>
      </w:r>
      <w:r w:rsidR="007E1276">
        <w:t xml:space="preserve"> – by vulnerable </w:t>
      </w:r>
      <w:r w:rsidR="00D025AC">
        <w:t>sub</w:t>
      </w:r>
      <w:r w:rsidR="007E1276">
        <w:t xml:space="preserve">groups </w:t>
      </w:r>
    </w:p>
    <w:p w14:paraId="0267C0A5" w14:textId="5E4E5E85" w:rsidR="008870ED" w:rsidRDefault="00E95670" w:rsidP="008870ED">
      <w:pPr>
        <w:jc w:val="both"/>
        <w:rPr>
          <w:rFonts w:cstheme="minorHAnsi"/>
        </w:rPr>
      </w:pPr>
      <w:r>
        <w:rPr>
          <w:noProof/>
        </w:rPr>
        <w:drawing>
          <wp:inline distT="0" distB="0" distL="0" distR="0" wp14:anchorId="79B7A9E4" wp14:editId="15FD8B3D">
            <wp:extent cx="5867400" cy="3253740"/>
            <wp:effectExtent l="0" t="0" r="0" b="3810"/>
            <wp:docPr id="92" name="Grafico 9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8870ED" w:rsidRPr="008870ED">
        <w:rPr>
          <w:rFonts w:cstheme="minorHAnsi"/>
        </w:rPr>
        <w:t xml:space="preserve"> </w:t>
      </w:r>
    </w:p>
    <w:p w14:paraId="7F8CF725" w14:textId="2838724B" w:rsidR="0066387E" w:rsidRPr="0066387E"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1F30DE15" w14:textId="2190675A" w:rsidR="008870ED" w:rsidRDefault="007E1276" w:rsidP="007E1276">
      <w:pPr>
        <w:pStyle w:val="Caption"/>
        <w:jc w:val="both"/>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6</w:t>
      </w:r>
      <w:r w:rsidR="00D656F6">
        <w:rPr>
          <w:noProof/>
        </w:rPr>
        <w:fldChar w:fldCharType="end"/>
      </w:r>
      <w:r>
        <w:t xml:space="preserve"> : The shar</w:t>
      </w:r>
      <w:r w:rsidR="00B802C4">
        <w:t xml:space="preserve">e of households exceeding the </w:t>
      </w:r>
      <w:r>
        <w:t>affordability threshold (rent /income)</w:t>
      </w:r>
      <w:r w:rsidR="002A7ADC">
        <w:t xml:space="preserve"> groups in rural areas</w:t>
      </w:r>
      <w:r>
        <w:t xml:space="preserve"> – by vulnerable </w:t>
      </w:r>
      <w:r w:rsidR="000D6786">
        <w:t>sub</w:t>
      </w:r>
      <w:r w:rsidR="002A7ADC">
        <w:t>groups</w:t>
      </w:r>
    </w:p>
    <w:p w14:paraId="4D93EC5C" w14:textId="24C07A75" w:rsidR="00E95670" w:rsidRDefault="00E95670" w:rsidP="00AE4B0B">
      <w:pPr>
        <w:spacing w:after="0"/>
      </w:pPr>
      <w:r>
        <w:rPr>
          <w:noProof/>
        </w:rPr>
        <w:drawing>
          <wp:inline distT="0" distB="0" distL="0" distR="0" wp14:anchorId="3AD35CEE" wp14:editId="59A0F206">
            <wp:extent cx="5867400" cy="3225165"/>
            <wp:effectExtent l="0" t="0" r="0" b="13335"/>
            <wp:docPr id="93" name="Grafico 93">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F71CD36" w14:textId="1192820E" w:rsidR="0066387E" w:rsidRPr="00776AB0"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3EDF5AC4" w14:textId="7BDA8B6C" w:rsidR="00E95670" w:rsidRDefault="00E95670" w:rsidP="00E95670"/>
    <w:p w14:paraId="26815078" w14:textId="64767088" w:rsidR="008870ED" w:rsidRPr="008B4594" w:rsidRDefault="008B4594" w:rsidP="008B4594">
      <w:pPr>
        <w:pStyle w:val="Caption"/>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7</w:t>
      </w:r>
      <w:r w:rsidR="00D656F6">
        <w:rPr>
          <w:noProof/>
        </w:rPr>
        <w:fldChar w:fldCharType="end"/>
      </w:r>
      <w:r>
        <w:t>: The share of households exceeding the</w:t>
      </w:r>
      <w:r w:rsidR="00CD1FD3">
        <w:t xml:space="preserve"> extended</w:t>
      </w:r>
      <w:r>
        <w:t xml:space="preserve"> affordability threshold (</w:t>
      </w:r>
      <w:r w:rsidR="008C3A8A">
        <w:t>(</w:t>
      </w:r>
      <w:r>
        <w:t>rent+</w:t>
      </w:r>
      <w:r w:rsidR="00C34557">
        <w:t xml:space="preserve"> </w:t>
      </w:r>
      <w:r>
        <w:t>exp</w:t>
      </w:r>
      <w:r w:rsidR="00C34557">
        <w:t>enditure</w:t>
      </w:r>
      <w:r w:rsidR="008C3A8A">
        <w:t>)</w:t>
      </w:r>
      <w:r>
        <w:t xml:space="preserve"> /income)</w:t>
      </w:r>
      <w:r w:rsidR="00730215">
        <w:t xml:space="preserve"> in urban areas</w:t>
      </w:r>
      <w:r>
        <w:t xml:space="preserve"> – by vulnerable </w:t>
      </w:r>
      <w:r w:rsidR="00B638BA">
        <w:t>sub</w:t>
      </w:r>
      <w:r>
        <w:t xml:space="preserve">groups </w:t>
      </w:r>
    </w:p>
    <w:p w14:paraId="59FD338B" w14:textId="0A23A35A" w:rsidR="008870ED" w:rsidRDefault="00E95670" w:rsidP="00AE4B0B">
      <w:pPr>
        <w:spacing w:after="0"/>
      </w:pPr>
      <w:r>
        <w:rPr>
          <w:noProof/>
        </w:rPr>
        <w:drawing>
          <wp:inline distT="0" distB="0" distL="0" distR="0" wp14:anchorId="0E71A8AC" wp14:editId="012311D8">
            <wp:extent cx="5724525" cy="3272790"/>
            <wp:effectExtent l="0" t="0" r="9525" b="3810"/>
            <wp:docPr id="94" name="Grafico 94">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43E6394" w14:textId="03B9B579" w:rsidR="0066387E" w:rsidRPr="0066387E" w:rsidRDefault="0066387E" w:rsidP="0066387E">
      <w:pPr>
        <w:ind w:right="-990"/>
        <w:jc w:val="both"/>
        <w:rPr>
          <w:rFonts w:cstheme="minorHAnsi"/>
          <w:color w:val="FF0000"/>
        </w:rPr>
      </w:pPr>
      <w:r>
        <w:rPr>
          <w:i/>
          <w:iCs/>
          <w:color w:val="44546A" w:themeColor="text2"/>
          <w:sz w:val="18"/>
          <w:szCs w:val="18"/>
        </w:rPr>
        <w:t xml:space="preserve">Source: Integrated Household </w:t>
      </w:r>
      <w:r w:rsidR="00AE4B0B">
        <w:rPr>
          <w:i/>
          <w:iCs/>
          <w:color w:val="44546A" w:themeColor="text2"/>
          <w:sz w:val="18"/>
          <w:szCs w:val="18"/>
        </w:rPr>
        <w:t xml:space="preserve">Survey </w:t>
      </w:r>
    </w:p>
    <w:p w14:paraId="3BCE63E1" w14:textId="42294D92" w:rsidR="008B4594" w:rsidRDefault="008B4594" w:rsidP="008B4594">
      <w:pPr>
        <w:pStyle w:val="Caption"/>
        <w:rPr>
          <w:noProof/>
        </w:rPr>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8</w:t>
      </w:r>
      <w:r w:rsidR="00D656F6">
        <w:rPr>
          <w:noProof/>
        </w:rPr>
        <w:fldChar w:fldCharType="end"/>
      </w:r>
      <w:r>
        <w:t>:  The share of households exceeding the</w:t>
      </w:r>
      <w:r w:rsidR="00CD1FD3">
        <w:t xml:space="preserve"> extended</w:t>
      </w:r>
      <w:r>
        <w:t xml:space="preserve"> affordability threshold (</w:t>
      </w:r>
      <w:r w:rsidR="008C3A8A">
        <w:t>(</w:t>
      </w:r>
      <w:r>
        <w:t>rent+</w:t>
      </w:r>
      <w:r w:rsidR="00C34557">
        <w:t xml:space="preserve"> </w:t>
      </w:r>
      <w:r>
        <w:t>exp</w:t>
      </w:r>
      <w:r w:rsidR="00C34557">
        <w:t>enditure</w:t>
      </w:r>
      <w:r w:rsidR="008C3A8A">
        <w:t>)</w:t>
      </w:r>
      <w:r>
        <w:t xml:space="preserve"> /income)</w:t>
      </w:r>
      <w:r w:rsidR="00730215">
        <w:t xml:space="preserve"> in rural areas</w:t>
      </w:r>
      <w:r>
        <w:t xml:space="preserve"> – by vulnerable </w:t>
      </w:r>
      <w:r w:rsidR="00102031">
        <w:t>sub</w:t>
      </w:r>
      <w:r>
        <w:t xml:space="preserve">groups </w:t>
      </w:r>
    </w:p>
    <w:p w14:paraId="781FEB4A" w14:textId="200F33E7" w:rsidR="008870ED" w:rsidRDefault="00E95670" w:rsidP="00AE4B0B">
      <w:pPr>
        <w:spacing w:after="0"/>
      </w:pPr>
      <w:r>
        <w:rPr>
          <w:noProof/>
        </w:rPr>
        <w:drawing>
          <wp:inline distT="0" distB="0" distL="0" distR="0" wp14:anchorId="496049C4" wp14:editId="3B344285">
            <wp:extent cx="5762625" cy="3196590"/>
            <wp:effectExtent l="0" t="0" r="9525" b="3810"/>
            <wp:docPr id="95" name="Grafico 95">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606FE0B" w14:textId="3C1DE662" w:rsidR="00E95670" w:rsidRDefault="0066387E" w:rsidP="0066387E">
      <w:pPr>
        <w:ind w:right="-990"/>
        <w:jc w:val="both"/>
        <w:rPr>
          <w:i/>
          <w:iCs/>
          <w:color w:val="44546A" w:themeColor="text2"/>
          <w:sz w:val="18"/>
          <w:szCs w:val="18"/>
        </w:rPr>
      </w:pPr>
      <w:r>
        <w:rPr>
          <w:i/>
          <w:iCs/>
          <w:color w:val="44546A" w:themeColor="text2"/>
          <w:sz w:val="18"/>
          <w:szCs w:val="18"/>
        </w:rPr>
        <w:t>Source: In</w:t>
      </w:r>
      <w:r w:rsidR="00AE4B0B">
        <w:rPr>
          <w:i/>
          <w:iCs/>
          <w:color w:val="44546A" w:themeColor="text2"/>
          <w:sz w:val="18"/>
          <w:szCs w:val="18"/>
        </w:rPr>
        <w:t xml:space="preserve">tegrated Household Survey </w:t>
      </w:r>
    </w:p>
    <w:p w14:paraId="621C211B" w14:textId="77777777" w:rsidR="00AE4B0B" w:rsidRPr="0066387E" w:rsidRDefault="00AE4B0B" w:rsidP="0066387E">
      <w:pPr>
        <w:ind w:right="-990"/>
        <w:jc w:val="both"/>
        <w:rPr>
          <w:rFonts w:cstheme="minorHAnsi"/>
          <w:color w:val="FF0000"/>
        </w:rPr>
      </w:pPr>
    </w:p>
    <w:p w14:paraId="03562C0C" w14:textId="4041230E" w:rsidR="008B4594" w:rsidRDefault="008B4594" w:rsidP="008B4594">
      <w:pPr>
        <w:pStyle w:val="Caption"/>
        <w:jc w:val="both"/>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9</w:t>
      </w:r>
      <w:r w:rsidR="00D656F6">
        <w:rPr>
          <w:noProof/>
        </w:rPr>
        <w:fldChar w:fldCharType="end"/>
      </w:r>
      <w:r>
        <w:t>:</w:t>
      </w:r>
      <w:r w:rsidRPr="008B4594">
        <w:t xml:space="preserve"> </w:t>
      </w:r>
      <w:r>
        <w:t>The share of households exceeding the</w:t>
      </w:r>
      <w:r w:rsidR="002F52DA">
        <w:t xml:space="preserve"> shadow</w:t>
      </w:r>
      <w:r>
        <w:t xml:space="preserve"> affordability threshold (imaginary rent /</w:t>
      </w:r>
      <w:r w:rsidR="008C3A8A">
        <w:t>(</w:t>
      </w:r>
      <w:r>
        <w:t>income+</w:t>
      </w:r>
      <w:r w:rsidRPr="008B4594">
        <w:t xml:space="preserve"> </w:t>
      </w:r>
      <w:r>
        <w:t>imaginary rent</w:t>
      </w:r>
      <w:r w:rsidR="008C3A8A">
        <w:t>)</w:t>
      </w:r>
      <w:r>
        <w:t>)</w:t>
      </w:r>
      <w:r w:rsidR="00A16E57">
        <w:t xml:space="preserve"> in urban areas</w:t>
      </w:r>
      <w:r>
        <w:t xml:space="preserve"> – by vulnerable </w:t>
      </w:r>
      <w:r w:rsidR="004F144E">
        <w:t>sub</w:t>
      </w:r>
      <w:r>
        <w:t xml:space="preserve">groups </w:t>
      </w:r>
    </w:p>
    <w:p w14:paraId="2C57FE6D" w14:textId="1D00C078" w:rsidR="008870ED" w:rsidRDefault="00E95670" w:rsidP="00AE4B0B">
      <w:pPr>
        <w:spacing w:after="0"/>
      </w:pPr>
      <w:r>
        <w:rPr>
          <w:noProof/>
        </w:rPr>
        <w:drawing>
          <wp:inline distT="0" distB="0" distL="0" distR="0" wp14:anchorId="6A58FB23" wp14:editId="72A75351">
            <wp:extent cx="5850255" cy="3253740"/>
            <wp:effectExtent l="0" t="0" r="17145" b="3810"/>
            <wp:docPr id="96" name="Grafico 96">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40E46ABA" w14:textId="471B64E0" w:rsidR="0066387E" w:rsidRPr="0066387E"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7B03C704" w14:textId="3B598AE5" w:rsidR="008B4594" w:rsidRDefault="008B4594" w:rsidP="008B4594">
      <w:pPr>
        <w:pStyle w:val="Caption"/>
        <w:jc w:val="both"/>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10</w:t>
      </w:r>
      <w:r w:rsidR="00D656F6">
        <w:rPr>
          <w:noProof/>
        </w:rPr>
        <w:fldChar w:fldCharType="end"/>
      </w:r>
      <w:r>
        <w:t>: The share of households exceeding the</w:t>
      </w:r>
      <w:r w:rsidR="002F52DA">
        <w:t xml:space="preserve"> shadow</w:t>
      </w:r>
      <w:r>
        <w:t xml:space="preserve"> affordability threshold (imaginary rent /</w:t>
      </w:r>
      <w:r w:rsidR="008C3A8A">
        <w:t xml:space="preserve"> (</w:t>
      </w:r>
      <w:r>
        <w:t>income+</w:t>
      </w:r>
      <w:r w:rsidRPr="008B4594">
        <w:t xml:space="preserve"> </w:t>
      </w:r>
      <w:r>
        <w:t>imaginary rent</w:t>
      </w:r>
      <w:r w:rsidR="008C3A8A">
        <w:t>)</w:t>
      </w:r>
      <w:r>
        <w:t>)</w:t>
      </w:r>
      <w:r w:rsidR="00890982">
        <w:t xml:space="preserve"> in rural areas</w:t>
      </w:r>
      <w:r>
        <w:t xml:space="preserve"> – by vulnerable </w:t>
      </w:r>
      <w:r w:rsidR="001658C3">
        <w:t>sub</w:t>
      </w:r>
      <w:r>
        <w:t xml:space="preserve">groups </w:t>
      </w:r>
    </w:p>
    <w:p w14:paraId="754CA3BD" w14:textId="552C5979" w:rsidR="00E95670" w:rsidRDefault="00E95670" w:rsidP="00AE4B0B">
      <w:pPr>
        <w:spacing w:after="0"/>
      </w:pPr>
      <w:r>
        <w:rPr>
          <w:noProof/>
        </w:rPr>
        <w:drawing>
          <wp:inline distT="0" distB="0" distL="0" distR="0" wp14:anchorId="18342FF5" wp14:editId="25208247">
            <wp:extent cx="5850255" cy="3225165"/>
            <wp:effectExtent l="0" t="0" r="17145" b="13335"/>
            <wp:docPr id="97" name="Grafico 97">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343D323" w14:textId="00C35B3D" w:rsidR="0066387E" w:rsidRPr="00776AB0"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18328F43" w14:textId="2C07AA80" w:rsidR="00E95670" w:rsidRDefault="00E95670" w:rsidP="00E95670"/>
    <w:p w14:paraId="0DE036B5" w14:textId="54E9DBD9" w:rsidR="008B4594" w:rsidRDefault="008B4594" w:rsidP="008B4594">
      <w:pPr>
        <w:pStyle w:val="Caption"/>
        <w:jc w:val="both"/>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11</w:t>
      </w:r>
      <w:r w:rsidR="00D656F6">
        <w:rPr>
          <w:noProof/>
        </w:rPr>
        <w:fldChar w:fldCharType="end"/>
      </w:r>
      <w:r w:rsidR="0033558E">
        <w:t xml:space="preserve"> : The share of households exceeding the </w:t>
      </w:r>
      <w:r w:rsidR="002F52DA">
        <w:t xml:space="preserve">extended shadow </w:t>
      </w:r>
      <w:r w:rsidR="0033558E">
        <w:t>affordability threshold (</w:t>
      </w:r>
      <w:r w:rsidR="008C3A8A">
        <w:t>(</w:t>
      </w:r>
      <w:r w:rsidR="0033558E">
        <w:t>imaginary rent+</w:t>
      </w:r>
      <w:r w:rsidR="00C34557">
        <w:t xml:space="preserve"> </w:t>
      </w:r>
      <w:r w:rsidR="0033558E">
        <w:t>exp</w:t>
      </w:r>
      <w:r w:rsidR="00C34557">
        <w:t>enditure</w:t>
      </w:r>
      <w:r w:rsidR="008C3A8A">
        <w:t>)</w:t>
      </w:r>
      <w:r w:rsidR="0033558E">
        <w:t xml:space="preserve"> /</w:t>
      </w:r>
      <w:r w:rsidR="008C3A8A">
        <w:t xml:space="preserve"> (</w:t>
      </w:r>
      <w:r w:rsidR="0033558E">
        <w:t>income+</w:t>
      </w:r>
      <w:r w:rsidR="0033558E" w:rsidRPr="008B4594">
        <w:t xml:space="preserve"> </w:t>
      </w:r>
      <w:r w:rsidR="0033558E">
        <w:t>imaginary rent</w:t>
      </w:r>
      <w:r w:rsidR="008C3A8A">
        <w:t>)</w:t>
      </w:r>
      <w:r w:rsidR="0033558E">
        <w:t>)</w:t>
      </w:r>
      <w:r w:rsidR="00890982">
        <w:t xml:space="preserve"> in urban areas</w:t>
      </w:r>
      <w:r w:rsidR="0033558E">
        <w:t xml:space="preserve"> – by vulnerable </w:t>
      </w:r>
      <w:r w:rsidR="00F62E5A">
        <w:t>sub</w:t>
      </w:r>
      <w:r w:rsidR="0033558E">
        <w:t xml:space="preserve">groups </w:t>
      </w:r>
    </w:p>
    <w:p w14:paraId="1A8FE55D" w14:textId="3D24C099" w:rsidR="008870ED" w:rsidRDefault="00E95670" w:rsidP="00AE4B0B">
      <w:pPr>
        <w:spacing w:after="0"/>
      </w:pPr>
      <w:r>
        <w:rPr>
          <w:noProof/>
        </w:rPr>
        <w:drawing>
          <wp:inline distT="0" distB="0" distL="0" distR="0" wp14:anchorId="6B32A114" wp14:editId="105A5A74">
            <wp:extent cx="5867400" cy="3253740"/>
            <wp:effectExtent l="0" t="0" r="0" b="3810"/>
            <wp:docPr id="98" name="Grafico 98">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5FD8E17" w14:textId="1360F23A" w:rsidR="0066387E" w:rsidRPr="0066387E"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1472EA2A" w14:textId="65085E92" w:rsidR="0033558E" w:rsidRDefault="0033558E" w:rsidP="0033558E">
      <w:pPr>
        <w:pStyle w:val="Caption"/>
        <w:jc w:val="both"/>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12</w:t>
      </w:r>
      <w:r w:rsidR="00D656F6">
        <w:rPr>
          <w:noProof/>
        </w:rPr>
        <w:fldChar w:fldCharType="end"/>
      </w:r>
      <w:r w:rsidR="0005413D">
        <w:t>:  The share of households exceeding the</w:t>
      </w:r>
      <w:r w:rsidR="002F52DA">
        <w:t xml:space="preserve"> extended shadow</w:t>
      </w:r>
      <w:r w:rsidR="0005413D">
        <w:t xml:space="preserve"> affordability threshold (</w:t>
      </w:r>
      <w:r w:rsidR="008C3A8A">
        <w:t>(</w:t>
      </w:r>
      <w:r w:rsidR="0005413D">
        <w:t>imaginary rent+</w:t>
      </w:r>
      <w:r w:rsidR="00C34557">
        <w:t xml:space="preserve"> </w:t>
      </w:r>
      <w:r w:rsidR="0005413D">
        <w:t>exp</w:t>
      </w:r>
      <w:r w:rsidR="00C34557">
        <w:t>enditure</w:t>
      </w:r>
      <w:r w:rsidR="008C3A8A">
        <w:t>)</w:t>
      </w:r>
      <w:r w:rsidR="0005413D">
        <w:t xml:space="preserve"> /</w:t>
      </w:r>
      <w:r w:rsidR="008C3A8A">
        <w:t>(</w:t>
      </w:r>
      <w:r w:rsidR="0005413D">
        <w:t>income+</w:t>
      </w:r>
      <w:r w:rsidR="0005413D" w:rsidRPr="008B4594">
        <w:t xml:space="preserve"> </w:t>
      </w:r>
      <w:r w:rsidR="0005413D">
        <w:t>imaginary rent</w:t>
      </w:r>
      <w:r w:rsidR="008C3A8A">
        <w:t>)</w:t>
      </w:r>
      <w:r w:rsidR="0005413D">
        <w:t>)</w:t>
      </w:r>
      <w:r w:rsidR="00890982">
        <w:t xml:space="preserve"> in rural areas</w:t>
      </w:r>
      <w:r w:rsidR="0005413D">
        <w:t xml:space="preserve"> – by vulnerable </w:t>
      </w:r>
      <w:r w:rsidR="00741DED">
        <w:t>sub</w:t>
      </w:r>
      <w:r w:rsidR="0005413D">
        <w:t xml:space="preserve">groups </w:t>
      </w:r>
    </w:p>
    <w:p w14:paraId="66AEABB8" w14:textId="197922C2" w:rsidR="00E95670" w:rsidRDefault="00E95670" w:rsidP="00AE4B0B">
      <w:pPr>
        <w:spacing w:after="0"/>
      </w:pPr>
      <w:r>
        <w:rPr>
          <w:noProof/>
        </w:rPr>
        <w:drawing>
          <wp:inline distT="0" distB="0" distL="0" distR="0" wp14:anchorId="754CD40D" wp14:editId="1F6FF49B">
            <wp:extent cx="5867400" cy="3225165"/>
            <wp:effectExtent l="0" t="0" r="0" b="13335"/>
            <wp:docPr id="99" name="Grafico 99">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B7DC688" w14:textId="15B2DB0E" w:rsidR="0066387E" w:rsidRDefault="0066387E" w:rsidP="0066387E">
      <w:pPr>
        <w:ind w:right="-990"/>
        <w:jc w:val="both"/>
        <w:rPr>
          <w:i/>
          <w:iCs/>
          <w:color w:val="44546A" w:themeColor="text2"/>
          <w:sz w:val="18"/>
          <w:szCs w:val="18"/>
        </w:rPr>
      </w:pPr>
      <w:r>
        <w:rPr>
          <w:i/>
          <w:iCs/>
          <w:color w:val="44546A" w:themeColor="text2"/>
          <w:sz w:val="18"/>
          <w:szCs w:val="18"/>
        </w:rPr>
        <w:t>Source: I</w:t>
      </w:r>
      <w:r w:rsidR="00AE4B0B">
        <w:rPr>
          <w:i/>
          <w:iCs/>
          <w:color w:val="44546A" w:themeColor="text2"/>
          <w:sz w:val="18"/>
          <w:szCs w:val="18"/>
        </w:rPr>
        <w:t xml:space="preserve">ntegrated Household Survey </w:t>
      </w:r>
    </w:p>
    <w:p w14:paraId="23D50BF5" w14:textId="3F3874F2" w:rsidR="006B5103" w:rsidRDefault="006B5103" w:rsidP="0066387E">
      <w:pPr>
        <w:ind w:right="-990"/>
        <w:jc w:val="both"/>
        <w:rPr>
          <w:i/>
          <w:iCs/>
          <w:color w:val="44546A" w:themeColor="text2"/>
          <w:sz w:val="18"/>
          <w:szCs w:val="18"/>
        </w:rPr>
      </w:pPr>
    </w:p>
    <w:p w14:paraId="573731C9" w14:textId="4C3697E1" w:rsidR="0066387E" w:rsidRDefault="006B5103" w:rsidP="00454C26">
      <w:pPr>
        <w:pStyle w:val="Caption"/>
      </w:pPr>
      <w:r>
        <w:lastRenderedPageBreak/>
        <w:t>Figure A</w:t>
      </w:r>
      <w:r w:rsidR="009E6455">
        <w:rPr>
          <w:noProof/>
        </w:rPr>
        <w:fldChar w:fldCharType="begin"/>
      </w:r>
      <w:r w:rsidR="009E6455">
        <w:rPr>
          <w:noProof/>
        </w:rPr>
        <w:instrText xml:space="preserve"> SEQ Figure_A \* ARABIC </w:instrText>
      </w:r>
      <w:r w:rsidR="009E6455">
        <w:rPr>
          <w:noProof/>
        </w:rPr>
        <w:fldChar w:fldCharType="separate"/>
      </w:r>
      <w:r w:rsidR="001B26ED">
        <w:rPr>
          <w:noProof/>
        </w:rPr>
        <w:t>13</w:t>
      </w:r>
      <w:r w:rsidR="009E6455">
        <w:rPr>
          <w:noProof/>
        </w:rPr>
        <w:fldChar w:fldCharType="end"/>
      </w:r>
      <w:r>
        <w:t>:</w:t>
      </w:r>
      <w:r w:rsidR="001B26ED" w:rsidRPr="001B26ED">
        <w:t xml:space="preserve"> </w:t>
      </w:r>
      <w:r w:rsidR="001B26ED">
        <w:t>The share of households exceeding the shadow affordability threshold (imaginary rent /</w:t>
      </w:r>
      <w:r w:rsidR="008C3A8A">
        <w:t xml:space="preserve"> (</w:t>
      </w:r>
      <w:r w:rsidR="001B26ED">
        <w:t>income+</w:t>
      </w:r>
      <w:r w:rsidR="001B26ED" w:rsidRPr="008B4594">
        <w:t xml:space="preserve"> </w:t>
      </w:r>
      <w:r w:rsidR="001B26ED">
        <w:t>imaginary rent</w:t>
      </w:r>
      <w:r w:rsidR="008C3A8A">
        <w:t>)</w:t>
      </w:r>
      <w:r w:rsidR="001B26ED">
        <w:t>) in urban areas – by ethnicity</w:t>
      </w:r>
    </w:p>
    <w:p w14:paraId="737AC9F1" w14:textId="227EE726" w:rsidR="006B5103" w:rsidRDefault="008B2DE2" w:rsidP="00AE4B0B">
      <w:pPr>
        <w:spacing w:after="0"/>
      </w:pPr>
      <w:r>
        <w:rPr>
          <w:noProof/>
        </w:rPr>
        <w:drawing>
          <wp:inline distT="0" distB="0" distL="0" distR="0" wp14:anchorId="2E2B589B" wp14:editId="44EC5A95">
            <wp:extent cx="5800725" cy="3171825"/>
            <wp:effectExtent l="0" t="0" r="9525" b="9525"/>
            <wp:docPr id="57" name="Grafico 5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79766F26" w14:textId="41A9D737" w:rsidR="00674D24" w:rsidRPr="00454C26" w:rsidRDefault="00674D24" w:rsidP="00454C26">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ntegrated Household Survey</w:t>
      </w:r>
    </w:p>
    <w:p w14:paraId="68B5D4E7" w14:textId="26217D46" w:rsidR="006B5103" w:rsidRDefault="006B5103" w:rsidP="00454C26">
      <w:pPr>
        <w:pStyle w:val="Caption"/>
      </w:pPr>
      <w:r>
        <w:t>Figure A</w:t>
      </w:r>
      <w:r w:rsidR="009E6455">
        <w:rPr>
          <w:noProof/>
        </w:rPr>
        <w:fldChar w:fldCharType="begin"/>
      </w:r>
      <w:r w:rsidR="009E6455">
        <w:rPr>
          <w:noProof/>
        </w:rPr>
        <w:instrText xml:space="preserve"> SEQ Figure_A \* ARABIC </w:instrText>
      </w:r>
      <w:r w:rsidR="009E6455">
        <w:rPr>
          <w:noProof/>
        </w:rPr>
        <w:fldChar w:fldCharType="separate"/>
      </w:r>
      <w:r w:rsidR="001B26ED">
        <w:rPr>
          <w:noProof/>
        </w:rPr>
        <w:t>14</w:t>
      </w:r>
      <w:r w:rsidR="009E6455">
        <w:rPr>
          <w:noProof/>
        </w:rPr>
        <w:fldChar w:fldCharType="end"/>
      </w:r>
      <w:r w:rsidR="001B26ED">
        <w:t>: The share of households exceeding the shadow affordability threshold (imaginary rent /</w:t>
      </w:r>
      <w:r w:rsidR="008C3A8A">
        <w:t xml:space="preserve"> (</w:t>
      </w:r>
      <w:r w:rsidR="001B26ED">
        <w:t>income+</w:t>
      </w:r>
      <w:r w:rsidR="001B26ED" w:rsidRPr="008B4594">
        <w:t xml:space="preserve"> </w:t>
      </w:r>
      <w:r w:rsidR="001B26ED">
        <w:t>imaginary rent</w:t>
      </w:r>
      <w:r w:rsidR="008C3A8A">
        <w:t>)</w:t>
      </w:r>
      <w:r w:rsidR="001B26ED">
        <w:t>) in rural areas – by ethnicity</w:t>
      </w:r>
    </w:p>
    <w:p w14:paraId="14486320" w14:textId="54092882" w:rsidR="00F32604" w:rsidRDefault="008B2DE2" w:rsidP="00AE4B0B">
      <w:pPr>
        <w:spacing w:after="0"/>
      </w:pPr>
      <w:r>
        <w:rPr>
          <w:noProof/>
        </w:rPr>
        <w:drawing>
          <wp:inline distT="0" distB="0" distL="0" distR="0" wp14:anchorId="356E95CB" wp14:editId="6E756AA1">
            <wp:extent cx="5829300" cy="3213735"/>
            <wp:effectExtent l="0" t="0" r="0" b="5715"/>
            <wp:docPr id="58" name="Grafico 58">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F2272CD" w14:textId="32D111ED" w:rsidR="006B5103" w:rsidRDefault="00AE4B0B" w:rsidP="00454C26">
      <w:pPr>
        <w:ind w:right="-990"/>
        <w:jc w:val="both"/>
        <w:rPr>
          <w:i/>
          <w:iCs/>
          <w:color w:val="44546A" w:themeColor="text2"/>
          <w:sz w:val="18"/>
          <w:szCs w:val="18"/>
        </w:rPr>
      </w:pPr>
      <w:r>
        <w:rPr>
          <w:i/>
          <w:iCs/>
          <w:color w:val="44546A" w:themeColor="text2"/>
          <w:sz w:val="18"/>
          <w:szCs w:val="18"/>
        </w:rPr>
        <w:t>Source:</w:t>
      </w:r>
      <w:r w:rsidR="00674D24">
        <w:rPr>
          <w:i/>
          <w:iCs/>
          <w:color w:val="44546A" w:themeColor="text2"/>
          <w:sz w:val="18"/>
          <w:szCs w:val="18"/>
        </w:rPr>
        <w:t xml:space="preserve"> I</w:t>
      </w:r>
      <w:r>
        <w:rPr>
          <w:i/>
          <w:iCs/>
          <w:color w:val="44546A" w:themeColor="text2"/>
          <w:sz w:val="18"/>
          <w:szCs w:val="18"/>
        </w:rPr>
        <w:t xml:space="preserve">ntegrated Household Survey </w:t>
      </w:r>
    </w:p>
    <w:p w14:paraId="3CFD51A4" w14:textId="77777777" w:rsidR="00C34557" w:rsidRPr="00454C26" w:rsidRDefault="00C34557" w:rsidP="00454C26">
      <w:pPr>
        <w:ind w:right="-990"/>
        <w:jc w:val="both"/>
        <w:rPr>
          <w:rFonts w:cstheme="minorHAnsi"/>
          <w:color w:val="FF0000"/>
        </w:rPr>
      </w:pPr>
    </w:p>
    <w:p w14:paraId="1C3A7A08" w14:textId="38EB7B5C" w:rsidR="006B5103" w:rsidRDefault="006B5103" w:rsidP="00454C26">
      <w:pPr>
        <w:pStyle w:val="Caption"/>
      </w:pPr>
      <w:r>
        <w:t>Figure A</w:t>
      </w:r>
      <w:r w:rsidR="009E6455">
        <w:rPr>
          <w:noProof/>
        </w:rPr>
        <w:fldChar w:fldCharType="begin"/>
      </w:r>
      <w:r w:rsidR="009E6455">
        <w:rPr>
          <w:noProof/>
        </w:rPr>
        <w:instrText xml:space="preserve"> SEQ Figure_A \* ARABIC </w:instrText>
      </w:r>
      <w:r w:rsidR="009E6455">
        <w:rPr>
          <w:noProof/>
        </w:rPr>
        <w:fldChar w:fldCharType="separate"/>
      </w:r>
      <w:r w:rsidR="001B26ED">
        <w:rPr>
          <w:noProof/>
        </w:rPr>
        <w:t>15</w:t>
      </w:r>
      <w:r w:rsidR="009E6455">
        <w:rPr>
          <w:noProof/>
        </w:rPr>
        <w:fldChar w:fldCharType="end"/>
      </w:r>
      <w:r>
        <w:t>:</w:t>
      </w:r>
      <w:r w:rsidR="001B26ED">
        <w:t xml:space="preserve"> The share of households exceeding the extended shadow affordability threshold (</w:t>
      </w:r>
      <w:r w:rsidR="008C3A8A">
        <w:t>(</w:t>
      </w:r>
      <w:r w:rsidR="001B26ED">
        <w:t>imaginary rent+</w:t>
      </w:r>
      <w:r w:rsidR="00C34557">
        <w:t xml:space="preserve"> </w:t>
      </w:r>
      <w:r w:rsidR="001B26ED">
        <w:t>exp</w:t>
      </w:r>
      <w:r w:rsidR="00C34557">
        <w:t>enditure</w:t>
      </w:r>
      <w:r w:rsidR="008C3A8A">
        <w:t>)</w:t>
      </w:r>
      <w:r w:rsidR="001B26ED">
        <w:t xml:space="preserve"> /</w:t>
      </w:r>
      <w:r w:rsidR="008C3A8A">
        <w:t>(</w:t>
      </w:r>
      <w:r w:rsidR="001B26ED">
        <w:t>income+</w:t>
      </w:r>
      <w:r w:rsidR="001B26ED" w:rsidRPr="008B4594">
        <w:t xml:space="preserve"> </w:t>
      </w:r>
      <w:r w:rsidR="001B26ED">
        <w:t>imaginary rent</w:t>
      </w:r>
      <w:r w:rsidR="008C3A8A">
        <w:t>)</w:t>
      </w:r>
      <w:r w:rsidR="001B26ED">
        <w:t>) in urban areas – by ethnicity</w:t>
      </w:r>
      <w:r w:rsidR="00C34557">
        <w:t xml:space="preserve"> </w:t>
      </w:r>
    </w:p>
    <w:p w14:paraId="058B069D" w14:textId="61AD2D85" w:rsidR="006B5103" w:rsidRDefault="006A3265" w:rsidP="00AE4B0B">
      <w:pPr>
        <w:spacing w:after="0"/>
      </w:pPr>
      <w:r>
        <w:rPr>
          <w:noProof/>
        </w:rPr>
        <w:lastRenderedPageBreak/>
        <w:drawing>
          <wp:inline distT="0" distB="0" distL="0" distR="0" wp14:anchorId="26E4374E" wp14:editId="1C2A7345">
            <wp:extent cx="5724525" cy="3253740"/>
            <wp:effectExtent l="0" t="0" r="9525" b="3810"/>
            <wp:docPr id="61" name="Grafico 6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4BB83755" w14:textId="1A103CEE" w:rsidR="00674D24" w:rsidRPr="00454C26" w:rsidRDefault="00674D24" w:rsidP="00454C26">
      <w:pPr>
        <w:ind w:right="-990"/>
        <w:jc w:val="both"/>
        <w:rPr>
          <w:rFonts w:cstheme="minorHAnsi"/>
          <w:color w:val="FF0000"/>
        </w:rPr>
      </w:pPr>
      <w:r>
        <w:rPr>
          <w:i/>
          <w:iCs/>
          <w:color w:val="44546A" w:themeColor="text2"/>
          <w:sz w:val="18"/>
          <w:szCs w:val="18"/>
        </w:rPr>
        <w:t>Source: Int</w:t>
      </w:r>
      <w:r w:rsidR="00AE4B0B">
        <w:rPr>
          <w:i/>
          <w:iCs/>
          <w:color w:val="44546A" w:themeColor="text2"/>
          <w:sz w:val="18"/>
          <w:szCs w:val="18"/>
        </w:rPr>
        <w:t xml:space="preserve">egrated Household Survey </w:t>
      </w:r>
    </w:p>
    <w:p w14:paraId="3C338942" w14:textId="270D2974" w:rsidR="006B5103" w:rsidRDefault="006B5103" w:rsidP="00454C26">
      <w:pPr>
        <w:pStyle w:val="Caption"/>
      </w:pPr>
      <w:r>
        <w:t>Figure A</w:t>
      </w:r>
      <w:r w:rsidR="009E6455">
        <w:rPr>
          <w:noProof/>
        </w:rPr>
        <w:fldChar w:fldCharType="begin"/>
      </w:r>
      <w:r w:rsidR="009E6455">
        <w:rPr>
          <w:noProof/>
        </w:rPr>
        <w:instrText xml:space="preserve"> SEQ Figure_A \* ARABIC </w:instrText>
      </w:r>
      <w:r w:rsidR="009E6455">
        <w:rPr>
          <w:noProof/>
        </w:rPr>
        <w:fldChar w:fldCharType="separate"/>
      </w:r>
      <w:r w:rsidR="001B26ED">
        <w:rPr>
          <w:noProof/>
        </w:rPr>
        <w:t>16</w:t>
      </w:r>
      <w:r w:rsidR="009E6455">
        <w:rPr>
          <w:noProof/>
        </w:rPr>
        <w:fldChar w:fldCharType="end"/>
      </w:r>
      <w:r w:rsidR="001B26ED">
        <w:t xml:space="preserve">: The share of households exceeding the extended shadow affordability threshold </w:t>
      </w:r>
      <w:r w:rsidR="007E0892">
        <w:t>(</w:t>
      </w:r>
      <w:r w:rsidR="001B26ED">
        <w:t>(imaginary rent+</w:t>
      </w:r>
      <w:r w:rsidR="00C34557">
        <w:t xml:space="preserve"> </w:t>
      </w:r>
      <w:r w:rsidR="001B26ED">
        <w:t>exp</w:t>
      </w:r>
      <w:r w:rsidR="00C34557">
        <w:t>enditure</w:t>
      </w:r>
      <w:r w:rsidR="007E0892">
        <w:t>)</w:t>
      </w:r>
      <w:r w:rsidR="001B26ED">
        <w:t xml:space="preserve"> /</w:t>
      </w:r>
      <w:r w:rsidR="007E0892">
        <w:t>(</w:t>
      </w:r>
      <w:r w:rsidR="001B26ED">
        <w:t>income+</w:t>
      </w:r>
      <w:r w:rsidR="001B26ED" w:rsidRPr="008B4594">
        <w:t xml:space="preserve"> </w:t>
      </w:r>
      <w:r w:rsidR="001B26ED">
        <w:t>imaginary rent</w:t>
      </w:r>
      <w:r w:rsidR="007E0892">
        <w:t>)</w:t>
      </w:r>
      <w:r w:rsidR="001B26ED">
        <w:t xml:space="preserve">) in urban areas – by </w:t>
      </w:r>
      <w:r w:rsidR="00C34557">
        <w:t>ethnicity</w:t>
      </w:r>
    </w:p>
    <w:p w14:paraId="37719EF9" w14:textId="40238CEB" w:rsidR="00F7499E" w:rsidRDefault="006A3265" w:rsidP="00AE4B0B">
      <w:pPr>
        <w:spacing w:after="0"/>
      </w:pPr>
      <w:r>
        <w:rPr>
          <w:noProof/>
        </w:rPr>
        <w:drawing>
          <wp:inline distT="0" distB="0" distL="0" distR="0" wp14:anchorId="2394DFEE" wp14:editId="0AFDE05C">
            <wp:extent cx="5648325" cy="3181350"/>
            <wp:effectExtent l="0" t="0" r="9525" b="0"/>
            <wp:docPr id="64" name="Grafico 64">
              <a:extLst xmlns:a="http://schemas.openxmlformats.org/drawingml/2006/main">
                <a:ext uri="{FF2B5EF4-FFF2-40B4-BE49-F238E27FC236}">
                  <a16:creationId xmlns:a16="http://schemas.microsoft.com/office/drawing/2014/main"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9FA5D73" w14:textId="41F00BBD" w:rsidR="00674D24" w:rsidRDefault="00674D24" w:rsidP="00674D24">
      <w:pPr>
        <w:ind w:right="-990"/>
        <w:jc w:val="both"/>
        <w:rPr>
          <w:i/>
          <w:iCs/>
          <w:color w:val="44546A" w:themeColor="text2"/>
          <w:sz w:val="18"/>
          <w:szCs w:val="18"/>
        </w:rPr>
      </w:pPr>
      <w:r>
        <w:rPr>
          <w:i/>
          <w:iCs/>
          <w:color w:val="44546A" w:themeColor="text2"/>
          <w:sz w:val="18"/>
          <w:szCs w:val="18"/>
        </w:rPr>
        <w:t>Source:), I</w:t>
      </w:r>
      <w:r w:rsidR="00AE4B0B">
        <w:rPr>
          <w:i/>
          <w:iCs/>
          <w:color w:val="44546A" w:themeColor="text2"/>
          <w:sz w:val="18"/>
          <w:szCs w:val="18"/>
        </w:rPr>
        <w:t>ntegrated Household Survey</w:t>
      </w:r>
    </w:p>
    <w:p w14:paraId="30FF16D2" w14:textId="77777777" w:rsidR="00AE4B0B" w:rsidRPr="0066387E" w:rsidRDefault="00AE4B0B" w:rsidP="00674D24">
      <w:pPr>
        <w:ind w:right="-990"/>
        <w:jc w:val="both"/>
        <w:rPr>
          <w:rFonts w:cstheme="minorHAnsi"/>
          <w:color w:val="FF0000"/>
        </w:rPr>
      </w:pPr>
    </w:p>
    <w:p w14:paraId="109DC43B" w14:textId="11C70EF0" w:rsidR="006B5103" w:rsidRDefault="006B5103" w:rsidP="00E95670"/>
    <w:p w14:paraId="1C94C1DD" w14:textId="77777777" w:rsidR="0038326B" w:rsidRDefault="0038326B" w:rsidP="00E95670"/>
    <w:p w14:paraId="3851DD56" w14:textId="12B3F16F" w:rsidR="00F7499E" w:rsidRDefault="00F32604" w:rsidP="00757892">
      <w:pPr>
        <w:pStyle w:val="Caption"/>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17</w:t>
      </w:r>
      <w:r w:rsidR="00D656F6">
        <w:rPr>
          <w:noProof/>
        </w:rPr>
        <w:fldChar w:fldCharType="end"/>
      </w:r>
      <w:r>
        <w:t xml:space="preserve">: </w:t>
      </w:r>
      <w:r w:rsidR="0039335E">
        <w:t xml:space="preserve"> The share of households living in unfit houses in </w:t>
      </w:r>
      <w:r w:rsidR="00C34557">
        <w:t>u</w:t>
      </w:r>
      <w:r w:rsidR="0021680A">
        <w:t>rban</w:t>
      </w:r>
      <w:r w:rsidR="0039335E">
        <w:t xml:space="preserve"> </w:t>
      </w:r>
      <w:r w:rsidR="00C34557">
        <w:t>a</w:t>
      </w:r>
      <w:r w:rsidR="0039335E">
        <w:t xml:space="preserve">reas – by </w:t>
      </w:r>
      <w:r w:rsidR="00757892">
        <w:t>quartile of income distribution</w:t>
      </w:r>
    </w:p>
    <w:p w14:paraId="23C28D69" w14:textId="2336396F" w:rsidR="00E95670" w:rsidRDefault="00F32604" w:rsidP="00AE4B0B">
      <w:pPr>
        <w:spacing w:after="0"/>
      </w:pPr>
      <w:r>
        <w:rPr>
          <w:noProof/>
        </w:rPr>
        <w:drawing>
          <wp:inline distT="0" distB="0" distL="0" distR="0" wp14:anchorId="296B5257" wp14:editId="15429A91">
            <wp:extent cx="5724525" cy="3253740"/>
            <wp:effectExtent l="0" t="0" r="9525" b="3810"/>
            <wp:docPr id="103" name="Grafico 10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043BAA99" w14:textId="297D8118" w:rsidR="0066387E" w:rsidRPr="00776AB0" w:rsidRDefault="0066387E" w:rsidP="0066387E">
      <w:pPr>
        <w:ind w:right="-990"/>
        <w:jc w:val="both"/>
        <w:rPr>
          <w:rFonts w:cstheme="minorHAnsi"/>
          <w:color w:val="FF0000"/>
        </w:rPr>
      </w:pPr>
      <w:r>
        <w:rPr>
          <w:i/>
          <w:iCs/>
          <w:color w:val="44546A" w:themeColor="text2"/>
          <w:sz w:val="18"/>
          <w:szCs w:val="18"/>
        </w:rPr>
        <w:t>Source: I</w:t>
      </w:r>
      <w:r w:rsidR="00AE4B0B">
        <w:rPr>
          <w:i/>
          <w:iCs/>
          <w:color w:val="44546A" w:themeColor="text2"/>
          <w:sz w:val="18"/>
          <w:szCs w:val="18"/>
        </w:rPr>
        <w:t xml:space="preserve">ntegrated Household Survey </w:t>
      </w:r>
    </w:p>
    <w:p w14:paraId="72460BB2" w14:textId="77777777" w:rsidR="0066387E" w:rsidRDefault="0066387E" w:rsidP="00E95670"/>
    <w:p w14:paraId="10D3670B" w14:textId="0338954C" w:rsidR="0039335E" w:rsidRDefault="0039335E" w:rsidP="00757892">
      <w:pPr>
        <w:pStyle w:val="Caption"/>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18</w:t>
      </w:r>
      <w:r w:rsidR="00D656F6">
        <w:rPr>
          <w:noProof/>
        </w:rPr>
        <w:fldChar w:fldCharType="end"/>
      </w:r>
      <w:r>
        <w:t xml:space="preserve">: The share of households living in unfit houses in </w:t>
      </w:r>
      <w:r w:rsidR="00C34557">
        <w:t>r</w:t>
      </w:r>
      <w:r w:rsidR="0021680A">
        <w:t>ural</w:t>
      </w:r>
      <w:r>
        <w:t xml:space="preserve"> </w:t>
      </w:r>
      <w:r w:rsidR="00C34557">
        <w:t>a</w:t>
      </w:r>
      <w:r>
        <w:t xml:space="preserve">reas – by </w:t>
      </w:r>
      <w:r w:rsidR="00757892">
        <w:t>quartile of income distribution</w:t>
      </w:r>
    </w:p>
    <w:p w14:paraId="414A89CE" w14:textId="1B143B14" w:rsidR="00C0416F" w:rsidRDefault="00C0416F" w:rsidP="00D30AD3">
      <w:pPr>
        <w:spacing w:after="0"/>
      </w:pPr>
      <w:r>
        <w:rPr>
          <w:noProof/>
        </w:rPr>
        <w:drawing>
          <wp:inline distT="0" distB="0" distL="0" distR="0" wp14:anchorId="601F6DAF" wp14:editId="4B085E3E">
            <wp:extent cx="5629275" cy="2514600"/>
            <wp:effectExtent l="0" t="0" r="9525" b="0"/>
            <wp:docPr id="104" name="Grafico 10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FF03732" w14:textId="51C30FCF" w:rsidR="0066387E" w:rsidRPr="00776AB0" w:rsidRDefault="0066387E" w:rsidP="0066387E">
      <w:pPr>
        <w:ind w:right="-990"/>
        <w:jc w:val="both"/>
        <w:rPr>
          <w:rFonts w:cstheme="minorHAnsi"/>
          <w:color w:val="FF0000"/>
        </w:rPr>
      </w:pPr>
      <w:r>
        <w:rPr>
          <w:i/>
          <w:iCs/>
          <w:color w:val="44546A" w:themeColor="text2"/>
          <w:sz w:val="18"/>
          <w:szCs w:val="18"/>
        </w:rPr>
        <w:t>Source: Integrat</w:t>
      </w:r>
      <w:r w:rsidR="00D30AD3">
        <w:rPr>
          <w:i/>
          <w:iCs/>
          <w:color w:val="44546A" w:themeColor="text2"/>
          <w:sz w:val="18"/>
          <w:szCs w:val="18"/>
        </w:rPr>
        <w:t>ed Household Survey</w:t>
      </w:r>
    </w:p>
    <w:p w14:paraId="722B3DD6" w14:textId="77777777" w:rsidR="0066387E" w:rsidRDefault="0066387E" w:rsidP="00D74D8C"/>
    <w:p w14:paraId="1451D1A5" w14:textId="21E45DF1" w:rsidR="0039335E" w:rsidRDefault="0039335E" w:rsidP="00D74D8C"/>
    <w:p w14:paraId="50F4A677" w14:textId="54A2FABF" w:rsidR="0039335E" w:rsidRDefault="0039335E" w:rsidP="00D74D8C"/>
    <w:p w14:paraId="0B7A5139" w14:textId="170DF363" w:rsidR="0039335E" w:rsidRDefault="0039335E" w:rsidP="00D74D8C"/>
    <w:p w14:paraId="5D28AAF8" w14:textId="3C2DF8D4" w:rsidR="004076AD" w:rsidRDefault="004076AD" w:rsidP="00D74D8C"/>
    <w:p w14:paraId="0A86211A" w14:textId="0C00EE2C" w:rsidR="00C0416F" w:rsidRDefault="0039335E" w:rsidP="0039335E">
      <w:pPr>
        <w:pStyle w:val="Caption"/>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19</w:t>
      </w:r>
      <w:r w:rsidR="00D656F6">
        <w:rPr>
          <w:noProof/>
        </w:rPr>
        <w:fldChar w:fldCharType="end"/>
      </w:r>
      <w:r>
        <w:t xml:space="preserve">: The share of households living in unfit houses in </w:t>
      </w:r>
      <w:r w:rsidR="00C34557">
        <w:t>u</w:t>
      </w:r>
      <w:r w:rsidR="0021680A">
        <w:t>rban</w:t>
      </w:r>
      <w:r>
        <w:t xml:space="preserve"> </w:t>
      </w:r>
      <w:r w:rsidR="00C34557">
        <w:t>a</w:t>
      </w:r>
      <w:r>
        <w:t xml:space="preserve">reas – </w:t>
      </w:r>
      <w:r w:rsidR="00757892">
        <w:t xml:space="preserve">by </w:t>
      </w:r>
      <w:r>
        <w:t xml:space="preserve">vulnerable </w:t>
      </w:r>
      <w:r w:rsidR="007D5AEB">
        <w:t>sub</w:t>
      </w:r>
      <w:r>
        <w:t>groups</w:t>
      </w:r>
    </w:p>
    <w:p w14:paraId="2AC851D6" w14:textId="3D826E21" w:rsidR="0039335E" w:rsidRDefault="00C1269A" w:rsidP="00D30AD3">
      <w:pPr>
        <w:spacing w:after="0"/>
      </w:pPr>
      <w:r>
        <w:rPr>
          <w:noProof/>
        </w:rPr>
        <w:drawing>
          <wp:inline distT="0" distB="0" distL="0" distR="0" wp14:anchorId="1BAFC6E3" wp14:editId="416DA0C5">
            <wp:extent cx="5981700" cy="3253740"/>
            <wp:effectExtent l="0" t="0" r="0" b="3810"/>
            <wp:docPr id="109" name="Grafico 10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FC7B04B" w14:textId="6EB3F90A" w:rsidR="0066387E" w:rsidRPr="0066387E" w:rsidRDefault="0066387E" w:rsidP="0066387E">
      <w:pPr>
        <w:ind w:right="-990"/>
        <w:jc w:val="both"/>
        <w:rPr>
          <w:rFonts w:cstheme="minorHAnsi"/>
          <w:color w:val="FF0000"/>
        </w:rPr>
      </w:pPr>
      <w:r>
        <w:rPr>
          <w:i/>
          <w:iCs/>
          <w:color w:val="44546A" w:themeColor="text2"/>
          <w:sz w:val="18"/>
          <w:szCs w:val="18"/>
        </w:rPr>
        <w:t>Source: I</w:t>
      </w:r>
      <w:r w:rsidR="00D30AD3">
        <w:rPr>
          <w:i/>
          <w:iCs/>
          <w:color w:val="44546A" w:themeColor="text2"/>
          <w:sz w:val="18"/>
          <w:szCs w:val="18"/>
        </w:rPr>
        <w:t>ntegrated Household Survey</w:t>
      </w:r>
    </w:p>
    <w:p w14:paraId="0BCD8772" w14:textId="58BD3A8F" w:rsidR="0039335E" w:rsidRDefault="0039335E" w:rsidP="0039335E">
      <w:pPr>
        <w:pStyle w:val="Caption"/>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20</w:t>
      </w:r>
      <w:r w:rsidR="00D656F6">
        <w:rPr>
          <w:noProof/>
        </w:rPr>
        <w:fldChar w:fldCharType="end"/>
      </w:r>
      <w:r>
        <w:t xml:space="preserve">: The share of households living in unfit houses in </w:t>
      </w:r>
      <w:r w:rsidR="00C34557">
        <w:t>r</w:t>
      </w:r>
      <w:r w:rsidR="0021680A">
        <w:t>ural</w:t>
      </w:r>
      <w:r>
        <w:t xml:space="preserve"> </w:t>
      </w:r>
      <w:r w:rsidR="00C34557">
        <w:t>a</w:t>
      </w:r>
      <w:r>
        <w:t xml:space="preserve">reas – </w:t>
      </w:r>
      <w:r w:rsidR="00757892">
        <w:t xml:space="preserve">by </w:t>
      </w:r>
      <w:r>
        <w:t xml:space="preserve">vulnerable </w:t>
      </w:r>
      <w:r w:rsidR="00F758F7">
        <w:t>sub</w:t>
      </w:r>
      <w:r>
        <w:t>groups</w:t>
      </w:r>
    </w:p>
    <w:p w14:paraId="28C7FFDF" w14:textId="721B3510" w:rsidR="00C1269A" w:rsidRDefault="00C1269A" w:rsidP="00D30AD3">
      <w:pPr>
        <w:spacing w:after="0"/>
      </w:pPr>
      <w:r>
        <w:rPr>
          <w:noProof/>
        </w:rPr>
        <w:drawing>
          <wp:inline distT="0" distB="0" distL="0" distR="0" wp14:anchorId="25BD8926" wp14:editId="7DA8C2AE">
            <wp:extent cx="5991225" cy="2714625"/>
            <wp:effectExtent l="0" t="0" r="9525" b="9525"/>
            <wp:docPr id="110" name="Grafico 11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69412390" w14:textId="68C9A03E" w:rsidR="0039335E" w:rsidRDefault="0066387E" w:rsidP="0066387E">
      <w:pPr>
        <w:ind w:right="-990"/>
        <w:jc w:val="both"/>
        <w:rPr>
          <w:i/>
          <w:iCs/>
          <w:color w:val="44546A" w:themeColor="text2"/>
          <w:sz w:val="18"/>
          <w:szCs w:val="18"/>
        </w:rPr>
      </w:pPr>
      <w:r>
        <w:rPr>
          <w:i/>
          <w:iCs/>
          <w:color w:val="44546A" w:themeColor="text2"/>
          <w:sz w:val="18"/>
          <w:szCs w:val="18"/>
        </w:rPr>
        <w:t>Source: I</w:t>
      </w:r>
      <w:r w:rsidR="00D30AD3">
        <w:rPr>
          <w:i/>
          <w:iCs/>
          <w:color w:val="44546A" w:themeColor="text2"/>
          <w:sz w:val="18"/>
          <w:szCs w:val="18"/>
        </w:rPr>
        <w:t xml:space="preserve">ntegrated Household Survey </w:t>
      </w:r>
    </w:p>
    <w:p w14:paraId="00C16267" w14:textId="7E6ADE21" w:rsidR="00C34557" w:rsidRDefault="00C34557" w:rsidP="0066387E">
      <w:pPr>
        <w:ind w:right="-990"/>
        <w:jc w:val="both"/>
        <w:rPr>
          <w:i/>
          <w:iCs/>
          <w:color w:val="44546A" w:themeColor="text2"/>
          <w:sz w:val="18"/>
          <w:szCs w:val="18"/>
        </w:rPr>
      </w:pPr>
    </w:p>
    <w:p w14:paraId="64D8889B" w14:textId="77777777" w:rsidR="004076AD" w:rsidRDefault="004076AD" w:rsidP="0066387E">
      <w:pPr>
        <w:ind w:right="-990"/>
        <w:jc w:val="both"/>
        <w:rPr>
          <w:i/>
          <w:iCs/>
          <w:color w:val="44546A" w:themeColor="text2"/>
          <w:sz w:val="18"/>
          <w:szCs w:val="18"/>
        </w:rPr>
      </w:pPr>
    </w:p>
    <w:p w14:paraId="19DD6ED0" w14:textId="1B882426" w:rsidR="00C34557" w:rsidRDefault="00C34557" w:rsidP="0066387E">
      <w:pPr>
        <w:ind w:right="-990"/>
        <w:jc w:val="both"/>
        <w:rPr>
          <w:rFonts w:cstheme="minorHAnsi"/>
          <w:color w:val="FF0000"/>
        </w:rPr>
      </w:pPr>
    </w:p>
    <w:p w14:paraId="50DF7469" w14:textId="77777777" w:rsidR="00C34557" w:rsidRPr="0066387E" w:rsidRDefault="00C34557" w:rsidP="0066387E">
      <w:pPr>
        <w:ind w:right="-990"/>
        <w:jc w:val="both"/>
        <w:rPr>
          <w:rFonts w:cstheme="minorHAnsi"/>
          <w:color w:val="FF0000"/>
        </w:rPr>
      </w:pPr>
    </w:p>
    <w:p w14:paraId="2ECAD02A" w14:textId="513D0749" w:rsidR="00104EFC" w:rsidRDefault="0039335E" w:rsidP="00104EFC">
      <w:pPr>
        <w:pStyle w:val="Caption"/>
        <w:rPr>
          <w:noProof/>
        </w:rPr>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21</w:t>
      </w:r>
      <w:r w:rsidR="00D656F6">
        <w:rPr>
          <w:noProof/>
        </w:rPr>
        <w:fldChar w:fldCharType="end"/>
      </w:r>
      <w:r>
        <w:t xml:space="preserve">: </w:t>
      </w:r>
      <w:r w:rsidR="00104EFC">
        <w:t>The share of households living in overcrowded houses (UN habitat definition) in</w:t>
      </w:r>
      <w:r w:rsidR="00C34557">
        <w:t xml:space="preserve"> ur</w:t>
      </w:r>
      <w:r w:rsidR="0021680A">
        <w:t>ban</w:t>
      </w:r>
      <w:r w:rsidR="00104EFC">
        <w:t xml:space="preserve"> </w:t>
      </w:r>
      <w:r w:rsidR="00C34557">
        <w:t>a</w:t>
      </w:r>
      <w:r w:rsidR="00104EFC">
        <w:t xml:space="preserve">reas – by </w:t>
      </w:r>
      <w:r w:rsidR="002F0FC7">
        <w:t>quartile of income distribution</w:t>
      </w:r>
      <w:r w:rsidR="00104EFC">
        <w:rPr>
          <w:noProof/>
        </w:rPr>
        <w:t xml:space="preserve"> </w:t>
      </w:r>
    </w:p>
    <w:p w14:paraId="323DAFA3" w14:textId="6D8B263E" w:rsidR="0039335E" w:rsidRDefault="00CC0627" w:rsidP="00D30AD3">
      <w:pPr>
        <w:pStyle w:val="Caption"/>
        <w:spacing w:after="0"/>
      </w:pPr>
      <w:r>
        <w:rPr>
          <w:noProof/>
        </w:rPr>
        <w:drawing>
          <wp:inline distT="0" distB="0" distL="0" distR="0" wp14:anchorId="00C0BD58" wp14:editId="7D2C7C8E">
            <wp:extent cx="5724525" cy="3253740"/>
            <wp:effectExtent l="0" t="0" r="9525" b="3810"/>
            <wp:docPr id="28" name="Grafico 2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0E4703AD" w14:textId="0C26A283" w:rsidR="0066387E" w:rsidRPr="0066387E" w:rsidRDefault="0066387E" w:rsidP="0066387E">
      <w:pPr>
        <w:ind w:right="-990"/>
        <w:jc w:val="both"/>
        <w:rPr>
          <w:rFonts w:cstheme="minorHAnsi"/>
          <w:color w:val="FF0000"/>
        </w:rPr>
      </w:pPr>
      <w:r>
        <w:rPr>
          <w:i/>
          <w:iCs/>
          <w:color w:val="44546A" w:themeColor="text2"/>
          <w:sz w:val="18"/>
          <w:szCs w:val="18"/>
        </w:rPr>
        <w:t xml:space="preserve">Source: </w:t>
      </w:r>
      <w:r w:rsidR="00D30AD3">
        <w:rPr>
          <w:i/>
          <w:iCs/>
          <w:color w:val="44546A" w:themeColor="text2"/>
          <w:sz w:val="18"/>
          <w:szCs w:val="18"/>
        </w:rPr>
        <w:t xml:space="preserve">Integrated Household Survey </w:t>
      </w:r>
    </w:p>
    <w:p w14:paraId="0D71C083" w14:textId="23EA30C9" w:rsidR="0039335E" w:rsidRDefault="0039335E" w:rsidP="002F0FC7">
      <w:pPr>
        <w:pStyle w:val="Caption"/>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22</w:t>
      </w:r>
      <w:r w:rsidR="00D656F6">
        <w:rPr>
          <w:noProof/>
        </w:rPr>
        <w:fldChar w:fldCharType="end"/>
      </w:r>
      <w:r>
        <w:t>: The share of households living in overcrowded houses (UN habitat</w:t>
      </w:r>
      <w:r w:rsidR="00104EFC">
        <w:t xml:space="preserve"> definition</w:t>
      </w:r>
      <w:r>
        <w:t xml:space="preserve">) in </w:t>
      </w:r>
      <w:r w:rsidR="00C34557">
        <w:t>r</w:t>
      </w:r>
      <w:r w:rsidR="0021680A">
        <w:t>ural</w:t>
      </w:r>
      <w:r>
        <w:t xml:space="preserve"> </w:t>
      </w:r>
      <w:r w:rsidR="00C34557">
        <w:t>a</w:t>
      </w:r>
      <w:r>
        <w:t xml:space="preserve">reas – by </w:t>
      </w:r>
      <w:r w:rsidR="002F0FC7">
        <w:t>quartile of income distribution</w:t>
      </w:r>
    </w:p>
    <w:p w14:paraId="053C1CEC" w14:textId="7FF8D209" w:rsidR="00CC0627" w:rsidRDefault="00CC0627" w:rsidP="00D30AD3">
      <w:pPr>
        <w:spacing w:after="0"/>
      </w:pPr>
      <w:r>
        <w:rPr>
          <w:noProof/>
        </w:rPr>
        <w:drawing>
          <wp:inline distT="0" distB="0" distL="0" distR="0" wp14:anchorId="2EB35E81" wp14:editId="3DA13CB4">
            <wp:extent cx="5743575" cy="2771775"/>
            <wp:effectExtent l="0" t="0" r="9525" b="9525"/>
            <wp:docPr id="29" name="Grafico 29">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8C4AF3A" w14:textId="14A52EC8" w:rsidR="0066387E" w:rsidRDefault="0066387E" w:rsidP="0066387E">
      <w:pPr>
        <w:ind w:right="-990"/>
        <w:jc w:val="both"/>
        <w:rPr>
          <w:i/>
          <w:iCs/>
          <w:color w:val="44546A" w:themeColor="text2"/>
          <w:sz w:val="18"/>
          <w:szCs w:val="18"/>
        </w:rPr>
      </w:pPr>
      <w:r>
        <w:rPr>
          <w:i/>
          <w:iCs/>
          <w:color w:val="44546A" w:themeColor="text2"/>
          <w:sz w:val="18"/>
          <w:szCs w:val="18"/>
        </w:rPr>
        <w:t>Source: I</w:t>
      </w:r>
      <w:r w:rsidR="00D30AD3">
        <w:rPr>
          <w:i/>
          <w:iCs/>
          <w:color w:val="44546A" w:themeColor="text2"/>
          <w:sz w:val="18"/>
          <w:szCs w:val="18"/>
        </w:rPr>
        <w:t xml:space="preserve">ntegrated Household Survey </w:t>
      </w:r>
    </w:p>
    <w:p w14:paraId="6AF79CD4" w14:textId="3217A538" w:rsidR="00D30AD3" w:rsidRPr="00776AB0" w:rsidRDefault="00D30AD3" w:rsidP="0066387E">
      <w:pPr>
        <w:ind w:right="-990"/>
        <w:jc w:val="both"/>
        <w:rPr>
          <w:rFonts w:cstheme="minorHAnsi"/>
          <w:color w:val="FF0000"/>
        </w:rPr>
      </w:pPr>
    </w:p>
    <w:p w14:paraId="079E8E45" w14:textId="77777777" w:rsidR="0066387E" w:rsidRDefault="0066387E" w:rsidP="00CC0627"/>
    <w:p w14:paraId="1BC6869D" w14:textId="2A2705CF" w:rsidR="00104EFC" w:rsidRDefault="00104EFC" w:rsidP="00CC0627"/>
    <w:p w14:paraId="4B203959" w14:textId="1FF036F7" w:rsidR="00104EFC" w:rsidRDefault="00104EFC" w:rsidP="002F0FC7">
      <w:pPr>
        <w:pStyle w:val="Caption"/>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23</w:t>
      </w:r>
      <w:r w:rsidR="00D656F6">
        <w:rPr>
          <w:noProof/>
        </w:rPr>
        <w:fldChar w:fldCharType="end"/>
      </w:r>
      <w:r>
        <w:t xml:space="preserve">: The share of households living in overcrowded houses (SDG definition) in </w:t>
      </w:r>
      <w:r w:rsidR="00C34557">
        <w:t>u</w:t>
      </w:r>
      <w:r w:rsidR="0021680A">
        <w:t>rban</w:t>
      </w:r>
      <w:r>
        <w:t xml:space="preserve"> </w:t>
      </w:r>
      <w:r w:rsidR="00C34557">
        <w:t>a</w:t>
      </w:r>
      <w:r>
        <w:t xml:space="preserve">reas – by </w:t>
      </w:r>
      <w:r w:rsidR="002F0FC7">
        <w:t>quartile of income distribution</w:t>
      </w:r>
    </w:p>
    <w:p w14:paraId="09476E17" w14:textId="5C832CD2" w:rsidR="00104EFC" w:rsidRDefault="00CC0627" w:rsidP="00D30AD3">
      <w:pPr>
        <w:spacing w:after="0"/>
      </w:pPr>
      <w:r>
        <w:rPr>
          <w:noProof/>
        </w:rPr>
        <w:drawing>
          <wp:inline distT="0" distB="0" distL="0" distR="0" wp14:anchorId="76434AEC" wp14:editId="0E9E2EB5">
            <wp:extent cx="5724525" cy="3253740"/>
            <wp:effectExtent l="0" t="0" r="9525" b="3810"/>
            <wp:docPr id="30" name="Grafico 3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C6F5E0E" w14:textId="19FFD4DF" w:rsidR="0066387E" w:rsidRPr="00776AB0" w:rsidRDefault="0066387E" w:rsidP="0066387E">
      <w:pPr>
        <w:ind w:right="-990"/>
        <w:jc w:val="both"/>
        <w:rPr>
          <w:rFonts w:cstheme="minorHAnsi"/>
          <w:color w:val="FF0000"/>
        </w:rPr>
      </w:pPr>
      <w:r>
        <w:rPr>
          <w:i/>
          <w:iCs/>
          <w:color w:val="44546A" w:themeColor="text2"/>
          <w:sz w:val="18"/>
          <w:szCs w:val="18"/>
        </w:rPr>
        <w:t>Source: I</w:t>
      </w:r>
      <w:r w:rsidR="00D30AD3">
        <w:rPr>
          <w:i/>
          <w:iCs/>
          <w:color w:val="44546A" w:themeColor="text2"/>
          <w:sz w:val="18"/>
          <w:szCs w:val="18"/>
        </w:rPr>
        <w:t xml:space="preserve">ntegrated Household Survey </w:t>
      </w:r>
    </w:p>
    <w:p w14:paraId="6F490FBA" w14:textId="4F734CA9" w:rsidR="00104EFC" w:rsidRDefault="00104EFC" w:rsidP="002F0FC7">
      <w:pPr>
        <w:pStyle w:val="Caption"/>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24</w:t>
      </w:r>
      <w:r w:rsidR="00D656F6">
        <w:rPr>
          <w:noProof/>
        </w:rPr>
        <w:fldChar w:fldCharType="end"/>
      </w:r>
      <w:r>
        <w:t xml:space="preserve">: The share of households living in overcrowded houses (SDG definition) in </w:t>
      </w:r>
      <w:r w:rsidR="00C34557">
        <w:t>r</w:t>
      </w:r>
      <w:r w:rsidR="0021680A">
        <w:t>ural</w:t>
      </w:r>
      <w:r>
        <w:t xml:space="preserve"> </w:t>
      </w:r>
      <w:r w:rsidR="00C34557">
        <w:t>a</w:t>
      </w:r>
      <w:r>
        <w:t xml:space="preserve">reas – by </w:t>
      </w:r>
      <w:r w:rsidR="002F0FC7">
        <w:t>quartile of income distribution</w:t>
      </w:r>
    </w:p>
    <w:p w14:paraId="6E2E4959" w14:textId="7C57C55B" w:rsidR="00CC0627" w:rsidRDefault="00CC0627" w:rsidP="00D30AD3">
      <w:pPr>
        <w:spacing w:after="0"/>
      </w:pPr>
      <w:r>
        <w:rPr>
          <w:noProof/>
        </w:rPr>
        <w:drawing>
          <wp:inline distT="0" distB="0" distL="0" distR="0" wp14:anchorId="657289AD" wp14:editId="3D6F9299">
            <wp:extent cx="5715000" cy="3267075"/>
            <wp:effectExtent l="0" t="0" r="0" b="9525"/>
            <wp:docPr id="31" name="Grafico 3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DAE5C6F" w14:textId="20156BFC" w:rsidR="00104EFC" w:rsidRDefault="00D30AD3" w:rsidP="0066387E">
      <w:pPr>
        <w:ind w:right="-990"/>
        <w:jc w:val="both"/>
        <w:rPr>
          <w:i/>
          <w:iCs/>
          <w:color w:val="44546A" w:themeColor="text2"/>
          <w:sz w:val="18"/>
          <w:szCs w:val="18"/>
        </w:rPr>
      </w:pPr>
      <w:r>
        <w:rPr>
          <w:i/>
          <w:iCs/>
          <w:color w:val="44546A" w:themeColor="text2"/>
          <w:sz w:val="18"/>
          <w:szCs w:val="18"/>
        </w:rPr>
        <w:t xml:space="preserve">Source: </w:t>
      </w:r>
      <w:r w:rsidR="0066387E">
        <w:rPr>
          <w:i/>
          <w:iCs/>
          <w:color w:val="44546A" w:themeColor="text2"/>
          <w:sz w:val="18"/>
          <w:szCs w:val="18"/>
        </w:rPr>
        <w:t>I</w:t>
      </w:r>
      <w:r>
        <w:rPr>
          <w:i/>
          <w:iCs/>
          <w:color w:val="44546A" w:themeColor="text2"/>
          <w:sz w:val="18"/>
          <w:szCs w:val="18"/>
        </w:rPr>
        <w:t>ntegrated Household Survey</w:t>
      </w:r>
    </w:p>
    <w:p w14:paraId="5C508482" w14:textId="159D2920" w:rsidR="0066387E" w:rsidRDefault="0066387E" w:rsidP="0066387E">
      <w:pPr>
        <w:ind w:right="-990"/>
        <w:jc w:val="both"/>
        <w:rPr>
          <w:rFonts w:cstheme="minorHAnsi"/>
          <w:color w:val="FF0000"/>
        </w:rPr>
      </w:pPr>
    </w:p>
    <w:p w14:paraId="4AE26D5F" w14:textId="77777777" w:rsidR="00C34557" w:rsidRDefault="00C34557" w:rsidP="00104EFC">
      <w:pPr>
        <w:pStyle w:val="Caption"/>
      </w:pPr>
    </w:p>
    <w:p w14:paraId="321A3863" w14:textId="65E000D5" w:rsidR="00104EFC" w:rsidRDefault="00104EFC" w:rsidP="00104EFC">
      <w:pPr>
        <w:pStyle w:val="Caption"/>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25</w:t>
      </w:r>
      <w:r w:rsidR="00D656F6">
        <w:rPr>
          <w:noProof/>
        </w:rPr>
        <w:fldChar w:fldCharType="end"/>
      </w:r>
      <w:r>
        <w:t xml:space="preserve">: The share of households living in overcrowded houses (UN habitat definition) in </w:t>
      </w:r>
      <w:r w:rsidR="00C34557">
        <w:t>u</w:t>
      </w:r>
      <w:r w:rsidR="0021680A">
        <w:t>rban</w:t>
      </w:r>
      <w:r>
        <w:t xml:space="preserve"> </w:t>
      </w:r>
      <w:r w:rsidR="00C34557">
        <w:t>a</w:t>
      </w:r>
      <w:r>
        <w:t xml:space="preserve">reas – </w:t>
      </w:r>
      <w:r w:rsidR="002F0FC7">
        <w:t xml:space="preserve">by </w:t>
      </w:r>
      <w:r>
        <w:t xml:space="preserve">vulnerable </w:t>
      </w:r>
      <w:r w:rsidR="000431F6">
        <w:t>sub</w:t>
      </w:r>
      <w:r>
        <w:t>groups</w:t>
      </w:r>
    </w:p>
    <w:p w14:paraId="23F19630" w14:textId="17F85BCD" w:rsidR="00104EFC" w:rsidRDefault="00262ED8" w:rsidP="00D30AD3">
      <w:pPr>
        <w:spacing w:after="0"/>
      </w:pPr>
      <w:r>
        <w:rPr>
          <w:noProof/>
        </w:rPr>
        <w:drawing>
          <wp:inline distT="0" distB="0" distL="0" distR="0" wp14:anchorId="4C6AFA9C" wp14:editId="386BDF7A">
            <wp:extent cx="5724525" cy="3253740"/>
            <wp:effectExtent l="0" t="0" r="9525" b="3810"/>
            <wp:docPr id="111" name="Grafico 11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7F29E0E2" w14:textId="0749D0AB" w:rsidR="0066387E" w:rsidRPr="00776AB0" w:rsidRDefault="0066387E" w:rsidP="0066387E">
      <w:pPr>
        <w:ind w:right="-990"/>
        <w:jc w:val="both"/>
        <w:rPr>
          <w:rFonts w:cstheme="minorHAnsi"/>
          <w:color w:val="FF0000"/>
        </w:rPr>
      </w:pPr>
      <w:r>
        <w:rPr>
          <w:i/>
          <w:iCs/>
          <w:color w:val="44546A" w:themeColor="text2"/>
          <w:sz w:val="18"/>
          <w:szCs w:val="18"/>
        </w:rPr>
        <w:t>Source: I</w:t>
      </w:r>
      <w:r w:rsidR="00D30AD3">
        <w:rPr>
          <w:i/>
          <w:iCs/>
          <w:color w:val="44546A" w:themeColor="text2"/>
          <w:sz w:val="18"/>
          <w:szCs w:val="18"/>
        </w:rPr>
        <w:t xml:space="preserve">ntegrated Household Survey </w:t>
      </w:r>
    </w:p>
    <w:p w14:paraId="42D02008" w14:textId="62917A61" w:rsidR="00FD5091" w:rsidRDefault="00FD5091" w:rsidP="00FD5091">
      <w:pPr>
        <w:pStyle w:val="Caption"/>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26</w:t>
      </w:r>
      <w:r w:rsidR="00D656F6">
        <w:rPr>
          <w:noProof/>
        </w:rPr>
        <w:fldChar w:fldCharType="end"/>
      </w:r>
      <w:r>
        <w:t xml:space="preserve">: The share of households living in overcrowded houses (UN habitat definition) in </w:t>
      </w:r>
      <w:r w:rsidR="00C34557">
        <w:t>r</w:t>
      </w:r>
      <w:r w:rsidR="0021680A">
        <w:t>ural</w:t>
      </w:r>
      <w:r w:rsidR="00C34557">
        <w:t xml:space="preserve"> a</w:t>
      </w:r>
      <w:r>
        <w:t xml:space="preserve">reas – </w:t>
      </w:r>
      <w:r w:rsidR="002F0FC7">
        <w:t xml:space="preserve">by </w:t>
      </w:r>
      <w:r>
        <w:t xml:space="preserve">vulnerable </w:t>
      </w:r>
      <w:r w:rsidR="00D669D7">
        <w:t>sub</w:t>
      </w:r>
      <w:r>
        <w:t>groups</w:t>
      </w:r>
    </w:p>
    <w:p w14:paraId="7A80A2F7" w14:textId="04A543A1" w:rsidR="00262ED8" w:rsidRDefault="00262ED8" w:rsidP="00D30AD3">
      <w:pPr>
        <w:spacing w:after="0"/>
      </w:pPr>
      <w:r>
        <w:rPr>
          <w:noProof/>
        </w:rPr>
        <w:drawing>
          <wp:inline distT="0" distB="0" distL="0" distR="0" wp14:anchorId="56BE030C" wp14:editId="7D57102F">
            <wp:extent cx="5753100" cy="2914650"/>
            <wp:effectExtent l="0" t="0" r="0" b="0"/>
            <wp:docPr id="112" name="Grafico 112">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12512C19" w14:textId="28A766A9" w:rsidR="0066387E" w:rsidRPr="00776AB0" w:rsidRDefault="0066387E" w:rsidP="0066387E">
      <w:pPr>
        <w:ind w:right="-990"/>
        <w:jc w:val="both"/>
        <w:rPr>
          <w:rFonts w:cstheme="minorHAnsi"/>
          <w:color w:val="FF0000"/>
        </w:rPr>
      </w:pPr>
      <w:r>
        <w:rPr>
          <w:i/>
          <w:iCs/>
          <w:color w:val="44546A" w:themeColor="text2"/>
          <w:sz w:val="18"/>
          <w:szCs w:val="18"/>
        </w:rPr>
        <w:t>Source: I</w:t>
      </w:r>
      <w:r w:rsidR="00D30AD3">
        <w:rPr>
          <w:i/>
          <w:iCs/>
          <w:color w:val="44546A" w:themeColor="text2"/>
          <w:sz w:val="18"/>
          <w:szCs w:val="18"/>
        </w:rPr>
        <w:t xml:space="preserve">ntegrated Household Survey </w:t>
      </w:r>
    </w:p>
    <w:p w14:paraId="05B12E56" w14:textId="4F15754D" w:rsidR="00900D55" w:rsidRDefault="00900D55" w:rsidP="00900D55">
      <w:pPr>
        <w:pStyle w:val="Caption"/>
      </w:pPr>
    </w:p>
    <w:p w14:paraId="0541E9FC" w14:textId="2A557CE9" w:rsidR="0066387E" w:rsidRDefault="0066387E" w:rsidP="0066387E"/>
    <w:p w14:paraId="2CA5B8CF" w14:textId="77777777" w:rsidR="00C34557" w:rsidRPr="0066387E" w:rsidRDefault="00C34557" w:rsidP="0066387E"/>
    <w:p w14:paraId="33F8E0A2" w14:textId="37B61E1B" w:rsidR="00262ED8" w:rsidRDefault="00900D55" w:rsidP="00900D55">
      <w:pPr>
        <w:pStyle w:val="Caption"/>
      </w:pPr>
      <w:r>
        <w:lastRenderedPageBreak/>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27</w:t>
      </w:r>
      <w:r w:rsidR="00D656F6">
        <w:rPr>
          <w:noProof/>
        </w:rPr>
        <w:fldChar w:fldCharType="end"/>
      </w:r>
      <w:r>
        <w:t xml:space="preserve">: The share of households living in overcrowded houses (SDG definition) in </w:t>
      </w:r>
      <w:r w:rsidR="00C34557">
        <w:t>u</w:t>
      </w:r>
      <w:r w:rsidR="0021680A">
        <w:t>rban</w:t>
      </w:r>
      <w:r>
        <w:t xml:space="preserve"> </w:t>
      </w:r>
      <w:r w:rsidR="00C34557">
        <w:t>a</w:t>
      </w:r>
      <w:r>
        <w:t xml:space="preserve">reas </w:t>
      </w:r>
      <w:r w:rsidR="00C34557">
        <w:t>–</w:t>
      </w:r>
      <w:r w:rsidR="002F0FC7">
        <w:t xml:space="preserve"> by </w:t>
      </w:r>
      <w:r w:rsidR="00C34557">
        <w:t xml:space="preserve"> vulnerable</w:t>
      </w:r>
      <w:r>
        <w:t xml:space="preserve"> </w:t>
      </w:r>
      <w:r w:rsidR="00DF4522">
        <w:t>sub</w:t>
      </w:r>
      <w:r>
        <w:t>groups</w:t>
      </w:r>
    </w:p>
    <w:p w14:paraId="6DCE66EA" w14:textId="4CBA284F" w:rsidR="00262ED8" w:rsidRDefault="00262ED8" w:rsidP="00D30AD3">
      <w:pPr>
        <w:spacing w:after="0"/>
      </w:pPr>
      <w:r>
        <w:rPr>
          <w:noProof/>
        </w:rPr>
        <w:drawing>
          <wp:inline distT="0" distB="0" distL="0" distR="0" wp14:anchorId="3EE1E323" wp14:editId="7AD38330">
            <wp:extent cx="5724525" cy="3253740"/>
            <wp:effectExtent l="0" t="0" r="9525" b="3810"/>
            <wp:docPr id="113" name="Grafico 11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63AD1A8" w14:textId="238CABF9" w:rsidR="0066387E" w:rsidRPr="00776AB0" w:rsidRDefault="0066387E" w:rsidP="0066387E">
      <w:pPr>
        <w:ind w:right="-990"/>
        <w:jc w:val="both"/>
        <w:rPr>
          <w:rFonts w:cstheme="minorHAnsi"/>
          <w:color w:val="FF0000"/>
        </w:rPr>
      </w:pPr>
      <w:r>
        <w:rPr>
          <w:i/>
          <w:iCs/>
          <w:color w:val="44546A" w:themeColor="text2"/>
          <w:sz w:val="18"/>
          <w:szCs w:val="18"/>
        </w:rPr>
        <w:t>Source: I</w:t>
      </w:r>
      <w:r w:rsidR="00D30AD3">
        <w:rPr>
          <w:i/>
          <w:iCs/>
          <w:color w:val="44546A" w:themeColor="text2"/>
          <w:sz w:val="18"/>
          <w:szCs w:val="18"/>
        </w:rPr>
        <w:t xml:space="preserve">ntegrated Household Survey </w:t>
      </w:r>
    </w:p>
    <w:p w14:paraId="75703986" w14:textId="1D38B49C" w:rsidR="00900D55" w:rsidRDefault="00900D55" w:rsidP="00900D55">
      <w:pPr>
        <w:pStyle w:val="Caption"/>
      </w:pPr>
      <w:r>
        <w:t>Figure A</w:t>
      </w:r>
      <w:r w:rsidR="00D656F6">
        <w:rPr>
          <w:noProof/>
        </w:rPr>
        <w:fldChar w:fldCharType="begin"/>
      </w:r>
      <w:r w:rsidR="00D656F6">
        <w:rPr>
          <w:noProof/>
        </w:rPr>
        <w:instrText xml:space="preserve"> SEQ Figure_A \* ARABIC </w:instrText>
      </w:r>
      <w:r w:rsidR="00D656F6">
        <w:rPr>
          <w:noProof/>
        </w:rPr>
        <w:fldChar w:fldCharType="separate"/>
      </w:r>
      <w:r w:rsidR="001B26ED">
        <w:rPr>
          <w:noProof/>
        </w:rPr>
        <w:t>28</w:t>
      </w:r>
      <w:r w:rsidR="00D656F6">
        <w:rPr>
          <w:noProof/>
        </w:rPr>
        <w:fldChar w:fldCharType="end"/>
      </w:r>
      <w:r>
        <w:t xml:space="preserve">: The share of households living in overcrowded houses (SDG definition) in </w:t>
      </w:r>
      <w:r w:rsidR="00C34557">
        <w:t>r</w:t>
      </w:r>
      <w:r w:rsidR="0021680A">
        <w:t>ural</w:t>
      </w:r>
      <w:r>
        <w:t xml:space="preserve"> </w:t>
      </w:r>
      <w:r w:rsidR="00C34557">
        <w:t>a</w:t>
      </w:r>
      <w:r>
        <w:t xml:space="preserve">reas – </w:t>
      </w:r>
      <w:r w:rsidR="002F0FC7">
        <w:t xml:space="preserve">by </w:t>
      </w:r>
      <w:r>
        <w:t xml:space="preserve">vulnerable </w:t>
      </w:r>
      <w:r w:rsidR="004A7F9F">
        <w:t>sub</w:t>
      </w:r>
      <w:r>
        <w:t>groups</w:t>
      </w:r>
    </w:p>
    <w:p w14:paraId="2939C992" w14:textId="7855921C" w:rsidR="00FF796A" w:rsidRDefault="00262ED8" w:rsidP="00D30AD3">
      <w:pPr>
        <w:pStyle w:val="Caption"/>
        <w:spacing w:after="0"/>
      </w:pPr>
      <w:r>
        <w:rPr>
          <w:noProof/>
        </w:rPr>
        <w:drawing>
          <wp:inline distT="0" distB="0" distL="0" distR="0" wp14:anchorId="1F5CC199" wp14:editId="3937FCC6">
            <wp:extent cx="5743575" cy="3215640"/>
            <wp:effectExtent l="0" t="0" r="9525" b="3810"/>
            <wp:docPr id="42" name="Grafico 42">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12DBE51" w14:textId="0AEA5C3B" w:rsidR="0066387E" w:rsidRDefault="0066387E" w:rsidP="0066387E">
      <w:pPr>
        <w:ind w:right="-990"/>
        <w:jc w:val="both"/>
        <w:rPr>
          <w:i/>
          <w:iCs/>
          <w:color w:val="44546A" w:themeColor="text2"/>
          <w:sz w:val="18"/>
          <w:szCs w:val="18"/>
        </w:rPr>
      </w:pPr>
      <w:r>
        <w:rPr>
          <w:i/>
          <w:iCs/>
          <w:color w:val="44546A" w:themeColor="text2"/>
          <w:sz w:val="18"/>
          <w:szCs w:val="18"/>
        </w:rPr>
        <w:t>Source: I</w:t>
      </w:r>
      <w:r w:rsidR="00D30AD3">
        <w:rPr>
          <w:i/>
          <w:iCs/>
          <w:color w:val="44546A" w:themeColor="text2"/>
          <w:sz w:val="18"/>
          <w:szCs w:val="18"/>
        </w:rPr>
        <w:t xml:space="preserve">ntegrated Household Survey </w:t>
      </w:r>
    </w:p>
    <w:p w14:paraId="07952DEE" w14:textId="2AFC80C3" w:rsidR="001B26ED" w:rsidRDefault="001B26ED" w:rsidP="0066387E">
      <w:pPr>
        <w:ind w:right="-990"/>
        <w:jc w:val="both"/>
        <w:rPr>
          <w:i/>
          <w:iCs/>
          <w:color w:val="44546A" w:themeColor="text2"/>
          <w:sz w:val="18"/>
          <w:szCs w:val="18"/>
        </w:rPr>
      </w:pPr>
    </w:p>
    <w:p w14:paraId="33E48E7C" w14:textId="7DE928C3" w:rsidR="00C34557" w:rsidRDefault="00C34557" w:rsidP="0066387E">
      <w:pPr>
        <w:ind w:right="-990"/>
        <w:jc w:val="both"/>
        <w:rPr>
          <w:i/>
          <w:iCs/>
          <w:color w:val="44546A" w:themeColor="text2"/>
          <w:sz w:val="18"/>
          <w:szCs w:val="18"/>
        </w:rPr>
      </w:pPr>
    </w:p>
    <w:p w14:paraId="74CDAD55" w14:textId="77777777" w:rsidR="004076AD" w:rsidRDefault="004076AD" w:rsidP="0066387E">
      <w:pPr>
        <w:ind w:right="-990"/>
        <w:jc w:val="both"/>
        <w:rPr>
          <w:i/>
          <w:iCs/>
          <w:color w:val="44546A" w:themeColor="text2"/>
          <w:sz w:val="18"/>
          <w:szCs w:val="18"/>
        </w:rPr>
      </w:pPr>
    </w:p>
    <w:p w14:paraId="18D072FD" w14:textId="123873DF" w:rsidR="00674D24" w:rsidRDefault="001B26ED" w:rsidP="001B26ED">
      <w:pPr>
        <w:pStyle w:val="Caption"/>
      </w:pPr>
      <w:r>
        <w:lastRenderedPageBreak/>
        <w:t>Figure A</w:t>
      </w:r>
      <w:r w:rsidR="009E6455">
        <w:rPr>
          <w:noProof/>
        </w:rPr>
        <w:fldChar w:fldCharType="begin"/>
      </w:r>
      <w:r w:rsidR="009E6455">
        <w:rPr>
          <w:noProof/>
        </w:rPr>
        <w:instrText xml:space="preserve"> SEQ Figure_A \* ARABIC </w:instrText>
      </w:r>
      <w:r w:rsidR="009E6455">
        <w:rPr>
          <w:noProof/>
        </w:rPr>
        <w:fldChar w:fldCharType="separate"/>
      </w:r>
      <w:r>
        <w:rPr>
          <w:noProof/>
        </w:rPr>
        <w:t>29</w:t>
      </w:r>
      <w:r w:rsidR="009E6455">
        <w:rPr>
          <w:noProof/>
        </w:rPr>
        <w:fldChar w:fldCharType="end"/>
      </w:r>
      <w:r>
        <w:t>: The share of households living in overcrowded houses (UN habitat definition) in rural areas – by ethnicity</w:t>
      </w:r>
    </w:p>
    <w:p w14:paraId="5FAA52DB" w14:textId="467B574B" w:rsidR="001B26ED" w:rsidRDefault="001B26ED" w:rsidP="00D30AD3">
      <w:pPr>
        <w:spacing w:after="0"/>
      </w:pPr>
      <w:r>
        <w:rPr>
          <w:noProof/>
        </w:rPr>
        <w:drawing>
          <wp:inline distT="0" distB="0" distL="0" distR="0" wp14:anchorId="404B91E3" wp14:editId="2E287ABF">
            <wp:extent cx="5724525" cy="3390900"/>
            <wp:effectExtent l="0" t="0" r="9525" b="0"/>
            <wp:docPr id="134" name="Chart 13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69403B3E" w14:textId="66335A17" w:rsidR="001B26ED" w:rsidRDefault="001B26ED" w:rsidP="001B26ED">
      <w:pPr>
        <w:ind w:right="-990"/>
        <w:jc w:val="both"/>
        <w:rPr>
          <w:i/>
          <w:iCs/>
          <w:color w:val="44546A" w:themeColor="text2"/>
          <w:sz w:val="18"/>
          <w:szCs w:val="18"/>
        </w:rPr>
      </w:pPr>
      <w:r>
        <w:rPr>
          <w:i/>
          <w:iCs/>
          <w:color w:val="44546A" w:themeColor="text2"/>
          <w:sz w:val="18"/>
          <w:szCs w:val="18"/>
        </w:rPr>
        <w:t>Source: I</w:t>
      </w:r>
      <w:r w:rsidR="00D30AD3">
        <w:rPr>
          <w:i/>
          <w:iCs/>
          <w:color w:val="44546A" w:themeColor="text2"/>
          <w:sz w:val="18"/>
          <w:szCs w:val="18"/>
        </w:rPr>
        <w:t xml:space="preserve">ntegrated Household Survey </w:t>
      </w:r>
    </w:p>
    <w:p w14:paraId="531B9EAF" w14:textId="1AC1DFF2" w:rsidR="001B26ED" w:rsidRDefault="001B26ED" w:rsidP="00454C26">
      <w:pPr>
        <w:pStyle w:val="Caption"/>
        <w:rPr>
          <w:i w:val="0"/>
          <w:iCs w:val="0"/>
        </w:rPr>
      </w:pPr>
      <w:r>
        <w:t>Figure A</w:t>
      </w:r>
      <w:r w:rsidR="009E6455">
        <w:rPr>
          <w:noProof/>
        </w:rPr>
        <w:fldChar w:fldCharType="begin"/>
      </w:r>
      <w:r w:rsidR="009E6455">
        <w:rPr>
          <w:noProof/>
        </w:rPr>
        <w:instrText xml:space="preserve"> SEQ Figure_A \* ARABIC </w:instrText>
      </w:r>
      <w:r w:rsidR="009E6455">
        <w:rPr>
          <w:noProof/>
        </w:rPr>
        <w:fldChar w:fldCharType="separate"/>
      </w:r>
      <w:r>
        <w:rPr>
          <w:noProof/>
        </w:rPr>
        <w:t>30</w:t>
      </w:r>
      <w:r w:rsidR="009E6455">
        <w:rPr>
          <w:noProof/>
        </w:rPr>
        <w:fldChar w:fldCharType="end"/>
      </w:r>
      <w:r>
        <w:t>: The share of households living in overcrowded houses (SDG definition) in urban areas – by ethnicity</w:t>
      </w:r>
    </w:p>
    <w:p w14:paraId="5E4CEC7C" w14:textId="2DF31318" w:rsidR="001B26ED" w:rsidRDefault="0035633D" w:rsidP="00D30AD3">
      <w:pPr>
        <w:spacing w:after="0"/>
      </w:pPr>
      <w:r>
        <w:rPr>
          <w:noProof/>
        </w:rPr>
        <w:drawing>
          <wp:inline distT="0" distB="0" distL="0" distR="0" wp14:anchorId="16255A66" wp14:editId="7A097AE6">
            <wp:extent cx="5734050" cy="3253740"/>
            <wp:effectExtent l="0" t="0" r="0" b="3810"/>
            <wp:docPr id="116" name="Grafico 11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5A2541FA" w14:textId="1FC181E2" w:rsidR="001B26ED" w:rsidRDefault="001B26ED" w:rsidP="001B26ED">
      <w:pPr>
        <w:ind w:right="-990"/>
        <w:jc w:val="both"/>
        <w:rPr>
          <w:i/>
          <w:iCs/>
          <w:color w:val="44546A" w:themeColor="text2"/>
          <w:sz w:val="18"/>
          <w:szCs w:val="18"/>
        </w:rPr>
      </w:pPr>
      <w:r>
        <w:rPr>
          <w:i/>
          <w:iCs/>
          <w:color w:val="44546A" w:themeColor="text2"/>
          <w:sz w:val="18"/>
          <w:szCs w:val="18"/>
        </w:rPr>
        <w:t>Source: I</w:t>
      </w:r>
      <w:r w:rsidR="00D30AD3">
        <w:rPr>
          <w:i/>
          <w:iCs/>
          <w:color w:val="44546A" w:themeColor="text2"/>
          <w:sz w:val="18"/>
          <w:szCs w:val="18"/>
        </w:rPr>
        <w:t xml:space="preserve">ntegrated Household Survey </w:t>
      </w:r>
    </w:p>
    <w:p w14:paraId="61304CAB" w14:textId="77777777" w:rsidR="001B26ED" w:rsidRDefault="001B26ED" w:rsidP="0066387E"/>
    <w:p w14:paraId="6140C11B" w14:textId="77777777" w:rsidR="001B26ED" w:rsidRDefault="001B26ED" w:rsidP="0066387E"/>
    <w:p w14:paraId="0A18E66C" w14:textId="1808592A" w:rsidR="001B26ED" w:rsidRDefault="001B26ED" w:rsidP="00454C26">
      <w:pPr>
        <w:pStyle w:val="Caption"/>
      </w:pPr>
      <w:r>
        <w:lastRenderedPageBreak/>
        <w:t>Figure A</w:t>
      </w:r>
      <w:r w:rsidR="009E6455">
        <w:rPr>
          <w:noProof/>
        </w:rPr>
        <w:fldChar w:fldCharType="begin"/>
      </w:r>
      <w:r w:rsidR="009E6455">
        <w:rPr>
          <w:noProof/>
        </w:rPr>
        <w:instrText xml:space="preserve"> SEQ Figure_A \* ARABIC </w:instrText>
      </w:r>
      <w:r w:rsidR="009E6455">
        <w:rPr>
          <w:noProof/>
        </w:rPr>
        <w:fldChar w:fldCharType="separate"/>
      </w:r>
      <w:r>
        <w:rPr>
          <w:noProof/>
        </w:rPr>
        <w:t>31</w:t>
      </w:r>
      <w:r w:rsidR="009E6455">
        <w:rPr>
          <w:noProof/>
        </w:rPr>
        <w:fldChar w:fldCharType="end"/>
      </w:r>
      <w:r>
        <w:t>: The share of households living in overcrowded houses (SDG definition) in rural areas – by ethnicity</w:t>
      </w:r>
    </w:p>
    <w:p w14:paraId="27F09A09" w14:textId="6260EE7B" w:rsidR="00C179DF" w:rsidRDefault="0035633D" w:rsidP="00D30AD3">
      <w:pPr>
        <w:spacing w:after="0"/>
      </w:pPr>
      <w:r>
        <w:rPr>
          <w:noProof/>
        </w:rPr>
        <w:drawing>
          <wp:inline distT="0" distB="0" distL="0" distR="0" wp14:anchorId="3C78BB0A" wp14:editId="7EAC3EBA">
            <wp:extent cx="5829300" cy="3204210"/>
            <wp:effectExtent l="0" t="0" r="0" b="15240"/>
            <wp:docPr id="117" name="Grafico 11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E82785C" w14:textId="4CFD9366" w:rsidR="001B26ED" w:rsidRDefault="001B26ED" w:rsidP="001B26ED">
      <w:pPr>
        <w:ind w:right="-990"/>
        <w:jc w:val="both"/>
        <w:rPr>
          <w:i/>
          <w:iCs/>
          <w:color w:val="44546A" w:themeColor="text2"/>
          <w:sz w:val="18"/>
          <w:szCs w:val="18"/>
        </w:rPr>
      </w:pPr>
      <w:r>
        <w:rPr>
          <w:i/>
          <w:iCs/>
          <w:color w:val="44546A" w:themeColor="text2"/>
          <w:sz w:val="18"/>
          <w:szCs w:val="18"/>
        </w:rPr>
        <w:t>Source: Integrated Household Survey (IHS)</w:t>
      </w:r>
    </w:p>
    <w:p w14:paraId="5D954E22" w14:textId="497D18D0" w:rsidR="00C179DF" w:rsidRDefault="00C179DF"/>
    <w:p w14:paraId="1B48BA72" w14:textId="716916E8" w:rsidR="00C179DF" w:rsidRPr="004076AD" w:rsidRDefault="003610CD" w:rsidP="00C179DF">
      <w:pPr>
        <w:pStyle w:val="Heading2"/>
        <w:jc w:val="both"/>
        <w:rPr>
          <w:rFonts w:asciiTheme="minorHAnsi" w:hAnsiTheme="minorHAnsi" w:cstheme="minorHAnsi"/>
          <w:b/>
          <w:color w:val="002060"/>
        </w:rPr>
      </w:pPr>
      <w:bookmarkStart w:id="38" w:name="_Toc28008600"/>
      <w:bookmarkStart w:id="39" w:name="_Toc28010456"/>
      <w:r w:rsidRPr="004076AD">
        <w:rPr>
          <w:rFonts w:asciiTheme="minorHAnsi" w:hAnsiTheme="minorHAnsi" w:cstheme="minorHAnsi"/>
          <w:b/>
          <w:color w:val="002060"/>
        </w:rPr>
        <w:t xml:space="preserve">ANNEX B. </w:t>
      </w:r>
      <w:r w:rsidR="00C179DF" w:rsidRPr="004076AD">
        <w:rPr>
          <w:rFonts w:asciiTheme="minorHAnsi" w:hAnsiTheme="minorHAnsi" w:cstheme="minorHAnsi"/>
          <w:b/>
          <w:color w:val="002060"/>
        </w:rPr>
        <w:t>Housing First</w:t>
      </w:r>
      <w:bookmarkEnd w:id="38"/>
      <w:bookmarkEnd w:id="39"/>
    </w:p>
    <w:p w14:paraId="43E3559A" w14:textId="77777777" w:rsidR="00C179DF" w:rsidRPr="00454C26" w:rsidRDefault="00C179DF" w:rsidP="0040235B">
      <w:p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b/>
          <w:bCs/>
          <w:color w:val="222222"/>
          <w:lang w:eastAsia="it-IT"/>
        </w:rPr>
        <w:t>Housing First</w:t>
      </w:r>
      <w:r w:rsidRPr="00454C26">
        <w:rPr>
          <w:rFonts w:eastAsia="Times New Roman" w:cstheme="minorHAnsi"/>
          <w:color w:val="222222"/>
          <w:lang w:eastAsia="it-IT"/>
        </w:rPr>
        <w:t xml:space="preserve"> is a relatively recent innovation in human service programs and </w:t>
      </w:r>
      <w:r w:rsidRPr="00454C26">
        <w:rPr>
          <w:rFonts w:eastAsia="Times New Roman" w:cstheme="minorHAnsi"/>
          <w:lang w:eastAsia="it-IT"/>
        </w:rPr>
        <w:t xml:space="preserve">social policy </w:t>
      </w:r>
      <w:r w:rsidRPr="00454C26">
        <w:rPr>
          <w:rFonts w:eastAsia="Times New Roman" w:cstheme="minorHAnsi"/>
          <w:color w:val="222222"/>
          <w:lang w:eastAsia="it-IT"/>
        </w:rPr>
        <w:t xml:space="preserve">regarding treatment of people who are homeless and is an alternative to a system of emergency shelter/transitional housing progressions. </w:t>
      </w:r>
    </w:p>
    <w:p w14:paraId="0357DA54" w14:textId="77777777" w:rsidR="00C179DF" w:rsidRPr="00454C26" w:rsidRDefault="00C179DF" w:rsidP="0040235B">
      <w:p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 xml:space="preserve">The principles behind this approach are: </w:t>
      </w:r>
    </w:p>
    <w:p w14:paraId="5C5F72C6" w14:textId="77777777" w:rsidR="00C179DF" w:rsidRPr="00454C26" w:rsidRDefault="00C179DF" w:rsidP="0040235B">
      <w:pPr>
        <w:numPr>
          <w:ilvl w:val="0"/>
          <w:numId w:val="25"/>
        </w:numPr>
        <w:shd w:val="clear" w:color="auto" w:fill="FFFFFF"/>
        <w:spacing w:before="100" w:beforeAutospacing="1" w:after="24" w:line="240" w:lineRule="auto"/>
        <w:ind w:left="768"/>
        <w:jc w:val="both"/>
        <w:rPr>
          <w:rFonts w:eastAsia="Times New Roman" w:cstheme="minorHAnsi"/>
          <w:color w:val="222222"/>
          <w:lang w:eastAsia="it-IT"/>
        </w:rPr>
      </w:pPr>
      <w:r w:rsidRPr="00454C26">
        <w:rPr>
          <w:rFonts w:eastAsia="Times New Roman" w:cstheme="minorHAnsi"/>
          <w:color w:val="222222"/>
          <w:lang w:eastAsia="it-IT"/>
        </w:rPr>
        <w:t>Move people into housing directly from streets and shelters without preconditions of treatment acceptance or compliance;</w:t>
      </w:r>
    </w:p>
    <w:p w14:paraId="54C300DA" w14:textId="77777777" w:rsidR="00C179DF" w:rsidRPr="00454C26" w:rsidRDefault="00C179DF" w:rsidP="0040235B">
      <w:pPr>
        <w:numPr>
          <w:ilvl w:val="0"/>
          <w:numId w:val="25"/>
        </w:numPr>
        <w:shd w:val="clear" w:color="auto" w:fill="FFFFFF"/>
        <w:spacing w:before="100" w:beforeAutospacing="1" w:after="24" w:line="240" w:lineRule="auto"/>
        <w:ind w:left="768"/>
        <w:jc w:val="both"/>
        <w:rPr>
          <w:rFonts w:eastAsia="Times New Roman" w:cstheme="minorHAnsi"/>
          <w:color w:val="222222"/>
          <w:lang w:eastAsia="it-IT"/>
        </w:rPr>
      </w:pPr>
      <w:r w:rsidRPr="00454C26">
        <w:rPr>
          <w:rFonts w:eastAsia="Times New Roman" w:cstheme="minorHAnsi"/>
          <w:color w:val="222222"/>
          <w:lang w:eastAsia="it-IT"/>
        </w:rPr>
        <w:t>The provider is obligated to bring robust support services to the housing. These services are predicated on assertive engagement, not coercion;</w:t>
      </w:r>
    </w:p>
    <w:p w14:paraId="58048CC0" w14:textId="77777777" w:rsidR="00C179DF" w:rsidRPr="00454C26" w:rsidRDefault="00C179DF" w:rsidP="0040235B">
      <w:pPr>
        <w:numPr>
          <w:ilvl w:val="0"/>
          <w:numId w:val="25"/>
        </w:numPr>
        <w:shd w:val="clear" w:color="auto" w:fill="FFFFFF"/>
        <w:spacing w:before="100" w:beforeAutospacing="1" w:after="24" w:line="240" w:lineRule="auto"/>
        <w:ind w:left="768"/>
        <w:jc w:val="both"/>
        <w:rPr>
          <w:rFonts w:eastAsia="Times New Roman" w:cstheme="minorHAnsi"/>
          <w:color w:val="222222"/>
          <w:lang w:eastAsia="it-IT"/>
        </w:rPr>
      </w:pPr>
      <w:r w:rsidRPr="00454C26">
        <w:rPr>
          <w:rFonts w:eastAsia="Times New Roman" w:cstheme="minorHAnsi"/>
          <w:color w:val="222222"/>
          <w:lang w:eastAsia="it-IT"/>
        </w:rPr>
        <w:t>Continued tenancy is not dependent on participation in services;</w:t>
      </w:r>
    </w:p>
    <w:p w14:paraId="41988E9F" w14:textId="77777777" w:rsidR="00C179DF" w:rsidRPr="00454C26" w:rsidRDefault="00C179DF" w:rsidP="0040235B">
      <w:pPr>
        <w:numPr>
          <w:ilvl w:val="0"/>
          <w:numId w:val="25"/>
        </w:numPr>
        <w:shd w:val="clear" w:color="auto" w:fill="FFFFFF"/>
        <w:spacing w:before="100" w:beforeAutospacing="1" w:after="24" w:line="240" w:lineRule="auto"/>
        <w:ind w:left="768"/>
        <w:jc w:val="both"/>
        <w:rPr>
          <w:rFonts w:eastAsia="Times New Roman" w:cstheme="minorHAnsi"/>
          <w:color w:val="222222"/>
          <w:lang w:eastAsia="it-IT"/>
        </w:rPr>
      </w:pPr>
      <w:r w:rsidRPr="00454C26">
        <w:rPr>
          <w:rFonts w:eastAsia="Times New Roman" w:cstheme="minorHAnsi"/>
          <w:color w:val="222222"/>
          <w:lang w:eastAsia="it-IT"/>
        </w:rPr>
        <w:t>Priority is given to most disabled and vulnerable homeless members of the community;</w:t>
      </w:r>
    </w:p>
    <w:p w14:paraId="14A440AE" w14:textId="77777777" w:rsidR="00C179DF" w:rsidRPr="00454C26" w:rsidRDefault="00C179DF" w:rsidP="0040235B">
      <w:pPr>
        <w:numPr>
          <w:ilvl w:val="0"/>
          <w:numId w:val="25"/>
        </w:numPr>
        <w:shd w:val="clear" w:color="auto" w:fill="FFFFFF"/>
        <w:spacing w:before="100" w:beforeAutospacing="1" w:after="24" w:line="240" w:lineRule="auto"/>
        <w:ind w:left="768"/>
        <w:jc w:val="both"/>
        <w:rPr>
          <w:rFonts w:eastAsia="Times New Roman" w:cstheme="minorHAnsi"/>
          <w:color w:val="222222"/>
          <w:lang w:eastAsia="it-IT"/>
        </w:rPr>
      </w:pPr>
      <w:r w:rsidRPr="00454C26">
        <w:rPr>
          <w:rFonts w:eastAsia="Times New Roman" w:cstheme="minorHAnsi"/>
          <w:color w:val="222222"/>
          <w:lang w:eastAsia="it-IT"/>
        </w:rPr>
        <w:t>Embraces harm-reduction approach to addictions rather than mandating abstinence. At the same time, the provider must be prepared to support resident commitment to recovery;</w:t>
      </w:r>
    </w:p>
    <w:p w14:paraId="7C5221A8" w14:textId="77777777" w:rsidR="00C179DF" w:rsidRPr="00454C26" w:rsidRDefault="00C179DF" w:rsidP="0040235B">
      <w:pPr>
        <w:numPr>
          <w:ilvl w:val="0"/>
          <w:numId w:val="25"/>
        </w:numPr>
        <w:shd w:val="clear" w:color="auto" w:fill="FFFFFF"/>
        <w:spacing w:before="100" w:beforeAutospacing="1" w:after="24" w:line="240" w:lineRule="auto"/>
        <w:ind w:left="768"/>
        <w:jc w:val="both"/>
        <w:rPr>
          <w:rFonts w:eastAsia="Times New Roman" w:cstheme="minorHAnsi"/>
          <w:color w:val="222222"/>
          <w:lang w:eastAsia="it-IT"/>
        </w:rPr>
      </w:pPr>
      <w:r w:rsidRPr="00454C26">
        <w:rPr>
          <w:rFonts w:eastAsia="Times New Roman" w:cstheme="minorHAnsi"/>
          <w:color w:val="222222"/>
          <w:lang w:eastAsia="it-IT"/>
        </w:rPr>
        <w:t>Residents must have leases and tenant protections under the law;</w:t>
      </w:r>
    </w:p>
    <w:p w14:paraId="75E2310D" w14:textId="77777777" w:rsidR="00C179DF" w:rsidRPr="00454C26" w:rsidRDefault="00C179DF" w:rsidP="0040235B">
      <w:pPr>
        <w:numPr>
          <w:ilvl w:val="0"/>
          <w:numId w:val="25"/>
        </w:numPr>
        <w:shd w:val="clear" w:color="auto" w:fill="FFFFFF"/>
        <w:spacing w:before="100" w:beforeAutospacing="1" w:after="24" w:line="240" w:lineRule="auto"/>
        <w:ind w:left="768"/>
        <w:jc w:val="both"/>
        <w:rPr>
          <w:rFonts w:eastAsia="Times New Roman" w:cstheme="minorHAnsi"/>
          <w:color w:val="222222"/>
          <w:lang w:eastAsia="it-IT"/>
        </w:rPr>
      </w:pPr>
      <w:r w:rsidRPr="00454C26">
        <w:rPr>
          <w:rFonts w:eastAsia="Times New Roman" w:cstheme="minorHAnsi"/>
          <w:color w:val="222222"/>
          <w:lang w:eastAsia="it-IT"/>
        </w:rPr>
        <w:t>Can be implemented as either a project-based or scattered site model.</w:t>
      </w:r>
    </w:p>
    <w:p w14:paraId="0180A5DB" w14:textId="77777777" w:rsidR="00C179DF" w:rsidRPr="00454C26" w:rsidRDefault="00C179DF" w:rsidP="0040235B">
      <w:pPr>
        <w:shd w:val="clear" w:color="auto" w:fill="FFFFFF"/>
        <w:spacing w:before="120" w:after="120" w:line="240" w:lineRule="auto"/>
        <w:jc w:val="both"/>
        <w:rPr>
          <w:rFonts w:eastAsia="Times New Roman" w:cstheme="minorHAnsi"/>
          <w:color w:val="222222"/>
          <w:lang w:eastAsia="it-IT"/>
        </w:rPr>
      </w:pPr>
    </w:p>
    <w:p w14:paraId="3F6765DA" w14:textId="77777777" w:rsidR="00C179DF" w:rsidRPr="00454C26" w:rsidRDefault="00C179DF" w:rsidP="0040235B">
      <w:p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Existing evidence about the relative performance of the Housing First programs is generally positive</w:t>
      </w:r>
      <w:r w:rsidRPr="00454C26">
        <w:rPr>
          <w:rStyle w:val="FootnoteReference"/>
          <w:rFonts w:eastAsia="Times New Roman" w:cstheme="minorHAnsi"/>
          <w:color w:val="222222"/>
          <w:lang w:eastAsia="it-IT"/>
        </w:rPr>
        <w:footnoteReference w:id="41"/>
      </w:r>
      <w:r w:rsidRPr="00454C26">
        <w:rPr>
          <w:rFonts w:eastAsia="Times New Roman" w:cstheme="minorHAnsi"/>
          <w:color w:val="222222"/>
          <w:lang w:eastAsia="it-IT"/>
        </w:rPr>
        <w:t>.</w:t>
      </w:r>
    </w:p>
    <w:p w14:paraId="7CBB24E0" w14:textId="77777777" w:rsidR="00C179DF" w:rsidRPr="00454C26" w:rsidRDefault="00C179DF" w:rsidP="0040235B">
      <w:p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lastRenderedPageBreak/>
        <w:t>Among the positive effects identified are:</w:t>
      </w:r>
    </w:p>
    <w:p w14:paraId="32829206" w14:textId="77777777" w:rsidR="00C179DF" w:rsidRPr="00454C26" w:rsidRDefault="00C179DF" w:rsidP="0040235B">
      <w:pPr>
        <w:pStyle w:val="ListParagraph"/>
        <w:numPr>
          <w:ilvl w:val="0"/>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Increased health status (including mental health) among participants</w:t>
      </w:r>
    </w:p>
    <w:p w14:paraId="5628B257" w14:textId="77777777" w:rsidR="00C179DF" w:rsidRPr="00454C26" w:rsidRDefault="00C179DF" w:rsidP="0040235B">
      <w:pPr>
        <w:pStyle w:val="ListParagraph"/>
        <w:numPr>
          <w:ilvl w:val="0"/>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Higher percentage of individuals retaining housing among participants</w:t>
      </w:r>
    </w:p>
    <w:p w14:paraId="724E9C5A" w14:textId="77777777" w:rsidR="00C179DF" w:rsidRPr="00454C26" w:rsidRDefault="00C179DF" w:rsidP="0040235B">
      <w:pPr>
        <w:pStyle w:val="ListParagraph"/>
        <w:numPr>
          <w:ilvl w:val="0"/>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Reduced drinking among homeless alcoholics</w:t>
      </w:r>
    </w:p>
    <w:p w14:paraId="4CD12659" w14:textId="77777777" w:rsidR="00C179DF" w:rsidRPr="00454C26" w:rsidRDefault="00C179DF" w:rsidP="0040235B">
      <w:pPr>
        <w:pStyle w:val="ListParagraph"/>
        <w:numPr>
          <w:ilvl w:val="0"/>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Reduction in the number of chronically homeless individuals living on the streets or in shelters</w:t>
      </w:r>
    </w:p>
    <w:p w14:paraId="0EB915B4" w14:textId="77777777" w:rsidR="00C179DF" w:rsidRPr="00454C26" w:rsidRDefault="00C179DF" w:rsidP="0040235B">
      <w:pPr>
        <w:pStyle w:val="ListParagraph"/>
        <w:numPr>
          <w:ilvl w:val="0"/>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Significant cost-savings associated to:</w:t>
      </w:r>
    </w:p>
    <w:p w14:paraId="6D82470C" w14:textId="77777777" w:rsidR="00C179DF" w:rsidRPr="00454C26" w:rsidRDefault="00C179DF" w:rsidP="0040235B">
      <w:pPr>
        <w:pStyle w:val="ListParagraph"/>
        <w:numPr>
          <w:ilvl w:val="1"/>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Reduction in use and cost of emergency services</w:t>
      </w:r>
    </w:p>
    <w:p w14:paraId="39EC7B17" w14:textId="77777777" w:rsidR="00C179DF" w:rsidRPr="00454C26" w:rsidRDefault="00C179DF" w:rsidP="0040235B">
      <w:pPr>
        <w:pStyle w:val="ListParagraph"/>
        <w:numPr>
          <w:ilvl w:val="1"/>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Reduction in other health and social service costs</w:t>
      </w:r>
    </w:p>
    <w:p w14:paraId="403AF234" w14:textId="77777777" w:rsidR="00C179DF" w:rsidRPr="00454C26" w:rsidRDefault="00C179DF" w:rsidP="0040235B">
      <w:pPr>
        <w:pStyle w:val="ListParagraph"/>
        <w:numPr>
          <w:ilvl w:val="1"/>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Reduction in costs associated to chronic homelessness</w:t>
      </w:r>
    </w:p>
    <w:p w14:paraId="306A8E5B" w14:textId="48B83FCA" w:rsidR="00C179DF" w:rsidRPr="00454C26" w:rsidRDefault="00C179DF" w:rsidP="0040235B">
      <w:pPr>
        <w:pStyle w:val="ListParagraph"/>
        <w:numPr>
          <w:ilvl w:val="1"/>
          <w:numId w:val="26"/>
        </w:numPr>
        <w:shd w:val="clear" w:color="auto" w:fill="FFFFFF"/>
        <w:spacing w:before="120" w:after="120" w:line="240" w:lineRule="auto"/>
        <w:jc w:val="both"/>
        <w:rPr>
          <w:rFonts w:eastAsia="Times New Roman" w:cstheme="minorHAnsi"/>
          <w:color w:val="222222"/>
          <w:lang w:eastAsia="it-IT"/>
        </w:rPr>
      </w:pPr>
      <w:r w:rsidRPr="00454C26">
        <w:rPr>
          <w:rFonts w:eastAsia="Times New Roman" w:cstheme="minorHAnsi"/>
          <w:color w:val="222222"/>
          <w:lang w:eastAsia="it-IT"/>
        </w:rPr>
        <w:t>Reduction in police and incarceration costs</w:t>
      </w:r>
      <w:r>
        <w:rPr>
          <w:rFonts w:eastAsia="Times New Roman" w:cstheme="minorHAnsi"/>
          <w:color w:val="222222"/>
          <w:lang w:eastAsia="it-IT"/>
        </w:rPr>
        <w:t>.</w:t>
      </w:r>
    </w:p>
    <w:p w14:paraId="79B0CF85" w14:textId="7D49E29F" w:rsidR="0035633D" w:rsidRDefault="0035633D" w:rsidP="0066387E"/>
    <w:p w14:paraId="1687D757" w14:textId="3992A615" w:rsidR="00C55EFD" w:rsidRDefault="00C55EFD" w:rsidP="0066387E"/>
    <w:p w14:paraId="49FA351E" w14:textId="1E9CAD0C" w:rsidR="00C55EFD" w:rsidRDefault="00C55EFD" w:rsidP="0066387E"/>
    <w:p w14:paraId="7BA76ABD" w14:textId="53F53E21" w:rsidR="00C55EFD" w:rsidRDefault="00C55EFD" w:rsidP="0066387E"/>
    <w:p w14:paraId="025D6337" w14:textId="28D23ACA" w:rsidR="00C55EFD" w:rsidRDefault="00C55EFD" w:rsidP="0066387E"/>
    <w:p w14:paraId="24260EAF" w14:textId="2EEF4C3D" w:rsidR="00C55EFD" w:rsidRDefault="00C55EFD" w:rsidP="0066387E"/>
    <w:p w14:paraId="2D4C9821" w14:textId="2C886888" w:rsidR="00C55EFD" w:rsidRDefault="00C55EFD" w:rsidP="0066387E"/>
    <w:p w14:paraId="081F007A" w14:textId="6036EC54" w:rsidR="00C55EFD" w:rsidRDefault="00C55EFD" w:rsidP="0066387E"/>
    <w:p w14:paraId="36152D7B" w14:textId="73B7E46B" w:rsidR="00C55EFD" w:rsidRDefault="00C55EFD" w:rsidP="0066387E"/>
    <w:p w14:paraId="70C2C086" w14:textId="5557BB71" w:rsidR="00C55EFD" w:rsidRDefault="00C55EFD" w:rsidP="0066387E"/>
    <w:p w14:paraId="21BED2DE" w14:textId="62CDBC0C" w:rsidR="00C55EFD" w:rsidRDefault="00C55EFD" w:rsidP="0066387E"/>
    <w:p w14:paraId="09B408AE" w14:textId="7D5FCB6C" w:rsidR="00C55EFD" w:rsidRDefault="00C55EFD" w:rsidP="0066387E"/>
    <w:p w14:paraId="5F0BF208" w14:textId="5695D769" w:rsidR="00C55EFD" w:rsidRDefault="00C55EFD" w:rsidP="0066387E"/>
    <w:p w14:paraId="4D75BA0D" w14:textId="0A84790F" w:rsidR="00C55EFD" w:rsidRDefault="00C55EFD" w:rsidP="0066387E"/>
    <w:p w14:paraId="1724FC15" w14:textId="5A9E31C6" w:rsidR="00C55EFD" w:rsidRDefault="00C55EFD" w:rsidP="0066387E"/>
    <w:p w14:paraId="01E85BEA" w14:textId="671E1130" w:rsidR="00C55EFD" w:rsidRDefault="00C55EFD" w:rsidP="0066387E"/>
    <w:p w14:paraId="07863FDA" w14:textId="19D56DE7" w:rsidR="00C55EFD" w:rsidRDefault="00C55EFD" w:rsidP="0066387E"/>
    <w:p w14:paraId="2BE5F82F" w14:textId="1CE25CE2" w:rsidR="00C55EFD" w:rsidRDefault="00C55EFD" w:rsidP="0066387E"/>
    <w:p w14:paraId="33121A0D" w14:textId="37373944" w:rsidR="00C55EFD" w:rsidRDefault="00C55EFD" w:rsidP="0066387E"/>
    <w:p w14:paraId="5C9CBBA5" w14:textId="52F246C5" w:rsidR="00C55EFD" w:rsidRDefault="00C55EFD" w:rsidP="0066387E"/>
    <w:p w14:paraId="3391DCFE" w14:textId="1B38A8E2" w:rsidR="00C55EFD" w:rsidRDefault="00C55EFD" w:rsidP="0066387E"/>
    <w:p w14:paraId="67B3B539" w14:textId="72A67675" w:rsidR="00C55EFD" w:rsidRDefault="00C55EFD" w:rsidP="0066387E"/>
    <w:p w14:paraId="5652AC80" w14:textId="447A8DE5" w:rsidR="00C55EFD" w:rsidRPr="00C55EFD" w:rsidRDefault="00C55EFD" w:rsidP="00C55EFD">
      <w:pPr>
        <w:pStyle w:val="Heading1"/>
        <w:rPr>
          <w:rFonts w:asciiTheme="minorHAnsi" w:hAnsiTheme="minorHAnsi"/>
          <w:b/>
          <w:color w:val="002060"/>
        </w:rPr>
      </w:pPr>
      <w:bookmarkStart w:id="40" w:name="_Toc28008601"/>
      <w:bookmarkStart w:id="41" w:name="_Toc28010457"/>
      <w:r w:rsidRPr="00C55EFD">
        <w:rPr>
          <w:rFonts w:asciiTheme="minorHAnsi" w:hAnsiTheme="minorHAnsi"/>
          <w:b/>
          <w:color w:val="002060"/>
        </w:rPr>
        <w:lastRenderedPageBreak/>
        <w:t>Bibliography</w:t>
      </w:r>
      <w:bookmarkEnd w:id="40"/>
      <w:bookmarkEnd w:id="41"/>
    </w:p>
    <w:p w14:paraId="28949E0E" w14:textId="3DE005FE" w:rsidR="00C55EFD" w:rsidRDefault="00C55EFD" w:rsidP="00C55EFD">
      <w:pPr>
        <w:pStyle w:val="Bibliography"/>
        <w:ind w:left="720" w:hanging="720"/>
        <w:rPr>
          <w:noProof/>
          <w:sz w:val="24"/>
          <w:szCs w:val="24"/>
        </w:rPr>
      </w:pPr>
      <w:r>
        <w:fldChar w:fldCharType="begin"/>
      </w:r>
      <w:r>
        <w:instrText xml:space="preserve"> BIBLIOGRAPHY  \l 1033 </w:instrText>
      </w:r>
      <w:r>
        <w:fldChar w:fldCharType="separate"/>
      </w:r>
      <w:r>
        <w:rPr>
          <w:noProof/>
        </w:rPr>
        <w:t xml:space="preserve">Anthony, J. (2018). Economic Prosperity and Housing Affordability in the United States: Lessons from Booming 1990s. </w:t>
      </w:r>
      <w:r>
        <w:rPr>
          <w:i/>
          <w:iCs/>
          <w:noProof/>
        </w:rPr>
        <w:t>Housing Policy Debate</w:t>
      </w:r>
      <w:r>
        <w:rPr>
          <w:noProof/>
        </w:rPr>
        <w:t>.</w:t>
      </w:r>
    </w:p>
    <w:p w14:paraId="688039D4" w14:textId="77777777" w:rsidR="00C55EFD" w:rsidRDefault="00C55EFD" w:rsidP="00C55EFD">
      <w:pPr>
        <w:pStyle w:val="Bibliography"/>
        <w:ind w:left="720" w:hanging="720"/>
        <w:rPr>
          <w:noProof/>
        </w:rPr>
      </w:pPr>
      <w:r>
        <w:rPr>
          <w:noProof/>
        </w:rPr>
        <w:t xml:space="preserve">Carol S. Cohen, E. M. (2004). Husing Plus Services: Supporting Vulnerable Families in Permanent Housing. </w:t>
      </w:r>
      <w:r>
        <w:rPr>
          <w:i/>
          <w:iCs/>
          <w:noProof/>
        </w:rPr>
        <w:t>Child Welfare</w:t>
      </w:r>
      <w:r>
        <w:rPr>
          <w:noProof/>
        </w:rPr>
        <w:t>.</w:t>
      </w:r>
    </w:p>
    <w:p w14:paraId="34C91C15" w14:textId="70C959DA" w:rsidR="00C55EFD" w:rsidRDefault="00C55EFD" w:rsidP="005344D4">
      <w:pPr>
        <w:pStyle w:val="Bibliography"/>
        <w:ind w:left="720" w:hanging="720"/>
        <w:rPr>
          <w:noProof/>
        </w:rPr>
      </w:pPr>
      <w:r>
        <w:rPr>
          <w:noProof/>
        </w:rPr>
        <w:t xml:space="preserve">Crowley, S. (2003). The affordable housing crisis: residential mobility of poor families and school mobility of poor children. </w:t>
      </w:r>
      <w:r>
        <w:rPr>
          <w:i/>
          <w:iCs/>
          <w:noProof/>
        </w:rPr>
        <w:t>Journal of Negro Education</w:t>
      </w:r>
      <w:r>
        <w:rPr>
          <w:noProof/>
        </w:rPr>
        <w:t>, 22-38.</w:t>
      </w:r>
    </w:p>
    <w:p w14:paraId="2247210E" w14:textId="77777777" w:rsidR="00C55EFD" w:rsidRDefault="00C55EFD" w:rsidP="00C55EFD">
      <w:pPr>
        <w:pStyle w:val="Bibliography"/>
        <w:ind w:left="720" w:hanging="720"/>
        <w:rPr>
          <w:noProof/>
        </w:rPr>
      </w:pPr>
      <w:r>
        <w:rPr>
          <w:noProof/>
        </w:rPr>
        <w:t xml:space="preserve">Economic Commission for Europe. (2007). </w:t>
      </w:r>
      <w:r>
        <w:rPr>
          <w:i/>
          <w:iCs/>
          <w:noProof/>
        </w:rPr>
        <w:t>Country Profiles on the Housing Sector – Georgia.</w:t>
      </w:r>
      <w:r>
        <w:rPr>
          <w:noProof/>
        </w:rPr>
        <w:t xml:space="preserve"> Geneva: United Nations.</w:t>
      </w:r>
    </w:p>
    <w:p w14:paraId="1DCBDE3F" w14:textId="77777777" w:rsidR="00C55EFD" w:rsidRDefault="00C55EFD" w:rsidP="00C55EFD">
      <w:pPr>
        <w:pStyle w:val="Bibliography"/>
        <w:ind w:left="720" w:hanging="720"/>
        <w:rPr>
          <w:noProof/>
        </w:rPr>
      </w:pPr>
      <w:r>
        <w:rPr>
          <w:noProof/>
        </w:rPr>
        <w:t xml:space="preserve">Elizabeth J. Muller, J. R. (2007). Making the Case for Affordable Housing: Connecting Housing with Health and Education Autcomes. </w:t>
      </w:r>
      <w:r>
        <w:rPr>
          <w:i/>
          <w:iCs/>
          <w:noProof/>
        </w:rPr>
        <w:t>Journal of Planning Literature</w:t>
      </w:r>
      <w:r>
        <w:rPr>
          <w:noProof/>
        </w:rPr>
        <w:t>.</w:t>
      </w:r>
    </w:p>
    <w:p w14:paraId="3119C74B" w14:textId="77777777" w:rsidR="00C55EFD" w:rsidRDefault="00C55EFD" w:rsidP="00C55EFD">
      <w:pPr>
        <w:pStyle w:val="Bibliography"/>
        <w:ind w:left="720" w:hanging="720"/>
        <w:rPr>
          <w:noProof/>
        </w:rPr>
      </w:pPr>
      <w:r>
        <w:rPr>
          <w:noProof/>
        </w:rPr>
        <w:t xml:space="preserve">Georgian Young Lawyers Association. (2014). </w:t>
      </w:r>
      <w:r>
        <w:rPr>
          <w:i/>
          <w:iCs/>
          <w:noProof/>
        </w:rPr>
        <w:t>State Policy in Providing Housing for IDPs.</w:t>
      </w:r>
      <w:r>
        <w:rPr>
          <w:noProof/>
        </w:rPr>
        <w:t xml:space="preserve"> Tbilisi: Georgian Young Lawyers Association.</w:t>
      </w:r>
    </w:p>
    <w:p w14:paraId="44FF48C2" w14:textId="77777777" w:rsidR="00C55EFD" w:rsidRDefault="00C55EFD" w:rsidP="00C55EFD">
      <w:pPr>
        <w:pStyle w:val="Bibliography"/>
        <w:ind w:left="720" w:hanging="720"/>
        <w:rPr>
          <w:noProof/>
        </w:rPr>
      </w:pPr>
      <w:r>
        <w:rPr>
          <w:noProof/>
        </w:rPr>
        <w:t xml:space="preserve">Human Rights Education and Monitoring Center. (2016). </w:t>
      </w:r>
      <w:r>
        <w:rPr>
          <w:i/>
          <w:iCs/>
          <w:noProof/>
        </w:rPr>
        <w:t>Homelessness. Analyses of State Policies.</w:t>
      </w:r>
      <w:r>
        <w:rPr>
          <w:noProof/>
        </w:rPr>
        <w:t xml:space="preserve"> Tbilisi: Open Society Georgia Foundation.</w:t>
      </w:r>
    </w:p>
    <w:p w14:paraId="10972361" w14:textId="77777777" w:rsidR="00C55EFD" w:rsidRDefault="00C55EFD" w:rsidP="00C55EFD">
      <w:pPr>
        <w:pStyle w:val="Bibliography"/>
        <w:ind w:left="720" w:hanging="720"/>
        <w:rPr>
          <w:noProof/>
        </w:rPr>
      </w:pPr>
      <w:r>
        <w:rPr>
          <w:noProof/>
        </w:rPr>
        <w:t xml:space="preserve">Human Rights Education and Monitoring Center. (2016). </w:t>
      </w:r>
      <w:r>
        <w:rPr>
          <w:i/>
          <w:iCs/>
          <w:noProof/>
        </w:rPr>
        <w:t>Homelessness. Analyses of State Policies.</w:t>
      </w:r>
      <w:r>
        <w:rPr>
          <w:noProof/>
        </w:rPr>
        <w:t xml:space="preserve"> Tbilisi: Open Society Georgia Foundation.</w:t>
      </w:r>
    </w:p>
    <w:p w14:paraId="1134FF1B" w14:textId="77777777" w:rsidR="00C55EFD" w:rsidRDefault="00C55EFD" w:rsidP="00C55EFD">
      <w:pPr>
        <w:pStyle w:val="Bibliography"/>
        <w:ind w:left="720" w:hanging="720"/>
        <w:rPr>
          <w:noProof/>
        </w:rPr>
      </w:pPr>
      <w:r>
        <w:rPr>
          <w:noProof/>
        </w:rPr>
        <w:t xml:space="preserve">Munnery, J. (2007). Approaches to Homelessness Policy in Europe, the United States, and Australia. </w:t>
      </w:r>
      <w:r>
        <w:rPr>
          <w:i/>
          <w:iCs/>
          <w:noProof/>
        </w:rPr>
        <w:t>Journal of Social Issues</w:t>
      </w:r>
      <w:r>
        <w:rPr>
          <w:noProof/>
        </w:rPr>
        <w:t>, 641-655.</w:t>
      </w:r>
    </w:p>
    <w:p w14:paraId="392B717F" w14:textId="77777777" w:rsidR="00C55EFD" w:rsidRDefault="00C55EFD" w:rsidP="00C55EFD">
      <w:pPr>
        <w:pStyle w:val="Bibliography"/>
        <w:ind w:left="720" w:hanging="720"/>
        <w:rPr>
          <w:noProof/>
        </w:rPr>
      </w:pPr>
      <w:r>
        <w:rPr>
          <w:noProof/>
        </w:rPr>
        <w:t xml:space="preserve">O'Flaherty, B. (2019). Homelessness research: A guide for economists (and friends). </w:t>
      </w:r>
      <w:r>
        <w:rPr>
          <w:i/>
          <w:iCs/>
          <w:noProof/>
        </w:rPr>
        <w:t>Journal of Housing Economics</w:t>
      </w:r>
      <w:r>
        <w:rPr>
          <w:noProof/>
        </w:rPr>
        <w:t>, 1-25.</w:t>
      </w:r>
    </w:p>
    <w:p w14:paraId="52ADE1F0" w14:textId="77777777" w:rsidR="00C55EFD" w:rsidRDefault="00C55EFD" w:rsidP="00C55EFD">
      <w:pPr>
        <w:pStyle w:val="Bibliography"/>
        <w:ind w:left="720" w:hanging="720"/>
        <w:rPr>
          <w:noProof/>
        </w:rPr>
      </w:pPr>
      <w:r>
        <w:rPr>
          <w:noProof/>
        </w:rPr>
        <w:t xml:space="preserve">Swami, N. (2018). </w:t>
      </w:r>
      <w:r>
        <w:rPr>
          <w:i/>
          <w:iCs/>
          <w:noProof/>
        </w:rPr>
        <w:t>The Efefct of Homelessness on Employment Entry and Exists: Evidence from the Journays Home Survey.</w:t>
      </w:r>
      <w:r>
        <w:rPr>
          <w:noProof/>
        </w:rPr>
        <w:t xml:space="preserve"> Melbourne: University of Melbourne.</w:t>
      </w:r>
    </w:p>
    <w:p w14:paraId="73C194FE" w14:textId="77777777" w:rsidR="00C55EFD" w:rsidRDefault="00C55EFD" w:rsidP="00C55EFD">
      <w:pPr>
        <w:pStyle w:val="Bibliography"/>
        <w:ind w:left="720" w:hanging="720"/>
        <w:rPr>
          <w:noProof/>
        </w:rPr>
      </w:pPr>
      <w:r>
        <w:rPr>
          <w:noProof/>
        </w:rPr>
        <w:t xml:space="preserve">Swiss Agency for Developmen Cooperation (SDC). (2015). </w:t>
      </w:r>
      <w:r>
        <w:rPr>
          <w:i/>
          <w:iCs/>
          <w:noProof/>
        </w:rPr>
        <w:t>Social Housing -– Georgian Reality in International Context.</w:t>
      </w:r>
      <w:r>
        <w:rPr>
          <w:noProof/>
        </w:rPr>
        <w:t xml:space="preserve"> Tbilisi: SDC.</w:t>
      </w:r>
    </w:p>
    <w:p w14:paraId="647DC830" w14:textId="77777777" w:rsidR="00C55EFD" w:rsidRDefault="00C55EFD" w:rsidP="00C55EFD">
      <w:pPr>
        <w:pStyle w:val="Bibliography"/>
        <w:ind w:left="720" w:hanging="720"/>
        <w:rPr>
          <w:noProof/>
        </w:rPr>
      </w:pPr>
      <w:r>
        <w:rPr>
          <w:noProof/>
        </w:rPr>
        <w:t xml:space="preserve">World Bank. (2015). </w:t>
      </w:r>
      <w:r>
        <w:rPr>
          <w:i/>
          <w:iCs/>
          <w:noProof/>
        </w:rPr>
        <w:t>Georga Urban Strategy. Priority Area IV: Housing.</w:t>
      </w:r>
      <w:r>
        <w:rPr>
          <w:noProof/>
        </w:rPr>
        <w:t xml:space="preserve"> Tbilisi: World Bank Group.</w:t>
      </w:r>
    </w:p>
    <w:p w14:paraId="771B6B6C" w14:textId="29777E23" w:rsidR="00C55EFD" w:rsidRPr="00940A1D" w:rsidRDefault="00C55EFD" w:rsidP="00C55EFD">
      <w:r>
        <w:fldChar w:fldCharType="end"/>
      </w:r>
    </w:p>
    <w:sectPr w:rsidR="00C55EFD" w:rsidRPr="00940A1D" w:rsidSect="00780768">
      <w:footerReference w:type="default" r:id="rId131"/>
      <w:pgSz w:w="12240" w:h="15840"/>
      <w:pgMar w:top="1260" w:right="162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AC994" w14:textId="77777777" w:rsidR="00AC383A" w:rsidRDefault="00AC383A" w:rsidP="00C352F2">
      <w:pPr>
        <w:spacing w:after="0" w:line="240" w:lineRule="auto"/>
      </w:pPr>
      <w:r>
        <w:separator/>
      </w:r>
    </w:p>
  </w:endnote>
  <w:endnote w:type="continuationSeparator" w:id="0">
    <w:p w14:paraId="1BC741B4" w14:textId="77777777" w:rsidR="00AC383A" w:rsidRDefault="00AC383A" w:rsidP="00C35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5343683"/>
      <w:docPartObj>
        <w:docPartGallery w:val="Page Numbers (Bottom of Page)"/>
        <w:docPartUnique/>
      </w:docPartObj>
    </w:sdtPr>
    <w:sdtEndPr>
      <w:rPr>
        <w:noProof/>
      </w:rPr>
    </w:sdtEndPr>
    <w:sdtContent>
      <w:p w14:paraId="1CCD004F" w14:textId="2143A583" w:rsidR="006C467C" w:rsidRDefault="006C467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1D645138" w14:textId="77777777" w:rsidR="006C467C" w:rsidRDefault="006C4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1C661" w14:textId="77777777" w:rsidR="00AC383A" w:rsidRDefault="00AC383A" w:rsidP="00C352F2">
      <w:pPr>
        <w:spacing w:after="0" w:line="240" w:lineRule="auto"/>
      </w:pPr>
      <w:r>
        <w:separator/>
      </w:r>
    </w:p>
  </w:footnote>
  <w:footnote w:type="continuationSeparator" w:id="0">
    <w:p w14:paraId="4AF2D860" w14:textId="77777777" w:rsidR="00AC383A" w:rsidRDefault="00AC383A" w:rsidP="00C352F2">
      <w:pPr>
        <w:spacing w:after="0" w:line="240" w:lineRule="auto"/>
      </w:pPr>
      <w:r>
        <w:continuationSeparator/>
      </w:r>
    </w:p>
  </w:footnote>
  <w:footnote w:id="1">
    <w:p w14:paraId="5512CEBC" w14:textId="77777777" w:rsidR="00301123" w:rsidRPr="00D74D8C" w:rsidRDefault="00301123" w:rsidP="00301123">
      <w:pPr>
        <w:pStyle w:val="FootnoteText"/>
        <w:rPr>
          <w:rFonts w:cstheme="minorHAnsi"/>
          <w:sz w:val="18"/>
          <w:lang w:val="en-GB"/>
        </w:rPr>
      </w:pPr>
      <w:r w:rsidRPr="00C73B59">
        <w:rPr>
          <w:rStyle w:val="FootnoteReference"/>
          <w:rFonts w:cstheme="minorHAnsi"/>
          <w:sz w:val="18"/>
        </w:rPr>
        <w:footnoteRef/>
      </w:r>
      <w:r w:rsidRPr="00C73B59">
        <w:rPr>
          <w:rFonts w:cstheme="minorHAnsi"/>
          <w:sz w:val="18"/>
        </w:rPr>
        <w:t xml:space="preserve"> The rights and obligations of the local self-governments which are del</w:t>
      </w:r>
      <w:r>
        <w:rPr>
          <w:rFonts w:cstheme="minorHAnsi"/>
          <w:sz w:val="18"/>
        </w:rPr>
        <w:t>egated</w:t>
      </w:r>
      <w:r w:rsidRPr="00C73B59">
        <w:rPr>
          <w:rFonts w:cstheme="minorHAnsi"/>
          <w:sz w:val="18"/>
        </w:rPr>
        <w:t xml:space="preserve"> from the central government </w:t>
      </w:r>
      <w:r>
        <w:rPr>
          <w:rFonts w:cstheme="minorHAnsi"/>
          <w:sz w:val="18"/>
        </w:rPr>
        <w:t>for</w:t>
      </w:r>
      <w:r w:rsidRPr="00C73B59">
        <w:rPr>
          <w:rFonts w:cstheme="minorHAnsi"/>
          <w:sz w:val="18"/>
        </w:rPr>
        <w:t xml:space="preserve"> implement</w:t>
      </w:r>
      <w:r>
        <w:rPr>
          <w:rFonts w:cstheme="minorHAnsi"/>
          <w:sz w:val="18"/>
        </w:rPr>
        <w:t>ation</w:t>
      </w:r>
      <w:r>
        <w:rPr>
          <w:rFonts w:cstheme="minorHAnsi"/>
          <w:sz w:val="18"/>
          <w:lang w:val="ka-GE"/>
        </w:rPr>
        <w:t xml:space="preserve">. </w:t>
      </w:r>
      <w:r>
        <w:rPr>
          <w:rFonts w:cstheme="minorHAnsi"/>
          <w:sz w:val="18"/>
          <w:lang w:val="en-GB"/>
        </w:rPr>
        <w:t xml:space="preserve"> The code of Local Self Government, Chapter 1, Article 4.</w:t>
      </w:r>
    </w:p>
  </w:footnote>
  <w:footnote w:id="2">
    <w:p w14:paraId="4D91D47E" w14:textId="77777777" w:rsidR="00301123" w:rsidRPr="00C73B59" w:rsidRDefault="00301123" w:rsidP="00301123">
      <w:pPr>
        <w:pStyle w:val="FootnoteText"/>
        <w:rPr>
          <w:rFonts w:ascii="Sylfaen" w:hAnsi="Sylfaen"/>
        </w:rPr>
      </w:pPr>
      <w:r w:rsidRPr="00C73B59">
        <w:rPr>
          <w:rStyle w:val="FootnoteReference"/>
          <w:rFonts w:cstheme="minorHAnsi"/>
          <w:sz w:val="18"/>
        </w:rPr>
        <w:footnoteRef/>
      </w:r>
      <w:r w:rsidRPr="00C73B59">
        <w:rPr>
          <w:rFonts w:cstheme="minorHAnsi"/>
          <w:sz w:val="18"/>
        </w:rPr>
        <w:t xml:space="preserve"> Authority of the local self-government that can be implemented independently under its own responsibility</w:t>
      </w:r>
    </w:p>
  </w:footnote>
  <w:footnote w:id="3">
    <w:p w14:paraId="6E91C993" w14:textId="77777777" w:rsidR="00301123" w:rsidRPr="00AB1D07" w:rsidRDefault="00301123" w:rsidP="00301123">
      <w:pPr>
        <w:pStyle w:val="FootnoteText"/>
        <w:rPr>
          <w:rFonts w:cstheme="minorHAnsi"/>
          <w:sz w:val="18"/>
        </w:rPr>
      </w:pPr>
      <w:r>
        <w:rPr>
          <w:rStyle w:val="FootnoteReference"/>
        </w:rPr>
        <w:footnoteRef/>
      </w:r>
      <w:r>
        <w:t xml:space="preserve"> </w:t>
      </w:r>
      <w:r w:rsidRPr="00AB1D07">
        <w:rPr>
          <w:rFonts w:cstheme="minorHAnsi"/>
          <w:sz w:val="18"/>
        </w:rPr>
        <w:t>Law of Social Assistance, Chapter 1, Article 4</w:t>
      </w:r>
    </w:p>
  </w:footnote>
  <w:footnote w:id="4">
    <w:p w14:paraId="69EF0A81" w14:textId="77777777" w:rsidR="00301123" w:rsidRPr="00D74D8C" w:rsidRDefault="00301123" w:rsidP="00301123">
      <w:pPr>
        <w:pStyle w:val="FootnoteText"/>
        <w:rPr>
          <w:rFonts w:cstheme="minorHAnsi"/>
          <w:lang w:val="en-GB"/>
        </w:rPr>
      </w:pPr>
      <w:r>
        <w:rPr>
          <w:rStyle w:val="FootnoteReference"/>
        </w:rPr>
        <w:footnoteRef/>
      </w:r>
      <w:r>
        <w:t xml:space="preserve"> </w:t>
      </w:r>
      <w:r w:rsidRPr="005F0A46">
        <w:rPr>
          <w:rFonts w:cstheme="minorHAnsi"/>
          <w:sz w:val="18"/>
          <w:lang w:val="en-GB"/>
        </w:rPr>
        <w:t>Law of Social Assistance, Chapter 1, Article 4</w:t>
      </w:r>
    </w:p>
  </w:footnote>
  <w:footnote w:id="5">
    <w:p w14:paraId="1272EBAE" w14:textId="77777777" w:rsidR="00301123" w:rsidRPr="00080502" w:rsidRDefault="00301123" w:rsidP="00301123">
      <w:pPr>
        <w:pStyle w:val="FootnoteText"/>
        <w:rPr>
          <w:rFonts w:cstheme="minorHAnsi"/>
          <w:sz w:val="18"/>
        </w:rPr>
      </w:pPr>
      <w:r>
        <w:rPr>
          <w:rStyle w:val="FootnoteReference"/>
        </w:rPr>
        <w:footnoteRef/>
      </w:r>
      <w:r>
        <w:t xml:space="preserve"> </w:t>
      </w:r>
      <w:r w:rsidRPr="00080502">
        <w:rPr>
          <w:rFonts w:cstheme="minorHAnsi"/>
          <w:sz w:val="18"/>
        </w:rPr>
        <w:t>Law on Internally Displaced Persons, Chapter 1, Article 4.</w:t>
      </w:r>
    </w:p>
  </w:footnote>
  <w:footnote w:id="6">
    <w:p w14:paraId="5DC82C81" w14:textId="77777777" w:rsidR="00301123" w:rsidRDefault="00301123" w:rsidP="00301123">
      <w:pPr>
        <w:pStyle w:val="FootnoteText"/>
      </w:pPr>
      <w:r>
        <w:rPr>
          <w:rStyle w:val="FootnoteReference"/>
        </w:rPr>
        <w:footnoteRef/>
      </w:r>
      <w:r>
        <w:t xml:space="preserve"> </w:t>
      </w:r>
      <w:r w:rsidRPr="00080502">
        <w:rPr>
          <w:rFonts w:cstheme="minorHAnsi"/>
          <w:sz w:val="18"/>
        </w:rPr>
        <w:t>One of the main responsibilities of ATIP Fun is to provide Crisis center services to the alleged victims of domestic violence.</w:t>
      </w:r>
    </w:p>
  </w:footnote>
  <w:footnote w:id="7">
    <w:p w14:paraId="636036D7" w14:textId="77777777" w:rsidR="00301123" w:rsidRDefault="00301123" w:rsidP="00301123">
      <w:pPr>
        <w:pStyle w:val="FootnoteText"/>
      </w:pPr>
      <w:r>
        <w:rPr>
          <w:rStyle w:val="FootnoteReference"/>
        </w:rPr>
        <w:footnoteRef/>
      </w:r>
      <w:r>
        <w:t xml:space="preserve"> </w:t>
      </w:r>
      <w:r w:rsidRPr="00080502">
        <w:rPr>
          <w:rFonts w:cstheme="minorHAnsi"/>
          <w:sz w:val="18"/>
        </w:rPr>
        <w:t>SSA is responsible to react to the domestic violence and provide social support to the victims (including temporary shelters</w:t>
      </w:r>
      <w:r>
        <w:rPr>
          <w:rFonts w:cstheme="minorHAnsi"/>
          <w:sz w:val="18"/>
        </w:rPr>
        <w:t>)</w:t>
      </w:r>
    </w:p>
  </w:footnote>
  <w:footnote w:id="8">
    <w:p w14:paraId="7D24B81C" w14:textId="77777777" w:rsidR="00301123" w:rsidRPr="005F0A46" w:rsidRDefault="00301123" w:rsidP="00301123">
      <w:pPr>
        <w:pStyle w:val="FootnoteText"/>
        <w:rPr>
          <w:rFonts w:cstheme="minorHAnsi"/>
          <w:sz w:val="18"/>
        </w:rPr>
      </w:pPr>
      <w:r>
        <w:rPr>
          <w:rStyle w:val="FootnoteReference"/>
        </w:rPr>
        <w:footnoteRef/>
      </w:r>
      <w:r>
        <w:t xml:space="preserve"> </w:t>
      </w:r>
      <w:r w:rsidRPr="005F0A46">
        <w:rPr>
          <w:rFonts w:cstheme="minorHAnsi"/>
          <w:sz w:val="18"/>
        </w:rPr>
        <w:t>The discussion include</w:t>
      </w:r>
      <w:r>
        <w:rPr>
          <w:rFonts w:cstheme="minorHAnsi"/>
          <w:sz w:val="18"/>
        </w:rPr>
        <w:t>s</w:t>
      </w:r>
      <w:r w:rsidRPr="005F0A46">
        <w:rPr>
          <w:rFonts w:cstheme="minorHAnsi"/>
          <w:sz w:val="18"/>
        </w:rPr>
        <w:t xml:space="preserve"> data from </w:t>
      </w:r>
      <w:r>
        <w:rPr>
          <w:rFonts w:cstheme="minorHAnsi"/>
          <w:sz w:val="18"/>
        </w:rPr>
        <w:t>550 municipaliti</w:t>
      </w:r>
      <w:r w:rsidRPr="005F0A46">
        <w:rPr>
          <w:rFonts w:cstheme="minorHAnsi"/>
          <w:sz w:val="18"/>
        </w:rPr>
        <w:t>es,</w:t>
      </w:r>
      <w:r>
        <w:rPr>
          <w:rFonts w:cstheme="minorHAnsi"/>
          <w:sz w:val="18"/>
        </w:rPr>
        <w:t xml:space="preserve"> the rest of the data</w:t>
      </w:r>
      <w:r w:rsidRPr="005F0A46">
        <w:rPr>
          <w:rFonts w:cstheme="minorHAnsi"/>
          <w:sz w:val="18"/>
        </w:rPr>
        <w:t xml:space="preserve"> will be provided later by MoLSHA</w:t>
      </w:r>
    </w:p>
  </w:footnote>
  <w:footnote w:id="9">
    <w:p w14:paraId="04B7FA7E" w14:textId="77777777" w:rsidR="00301123" w:rsidRPr="005F0A46" w:rsidRDefault="00301123" w:rsidP="00301123">
      <w:pPr>
        <w:pStyle w:val="FootnoteText"/>
        <w:rPr>
          <w:rFonts w:cstheme="minorHAnsi"/>
          <w:sz w:val="18"/>
        </w:rPr>
      </w:pPr>
      <w:r w:rsidRPr="005F0A46">
        <w:rPr>
          <w:rStyle w:val="FootnoteReference"/>
          <w:rFonts w:cstheme="minorHAnsi"/>
          <w:sz w:val="18"/>
        </w:rPr>
        <w:footnoteRef/>
      </w:r>
      <w:r w:rsidRPr="005F0A46">
        <w:rPr>
          <w:rFonts w:cstheme="minorHAnsi"/>
          <w:sz w:val="18"/>
        </w:rPr>
        <w:t xml:space="preserve"> It has to be noted as MoLSHA and SSA have special programs including care centers for people with disabilities. </w:t>
      </w:r>
    </w:p>
  </w:footnote>
  <w:footnote w:id="10">
    <w:p w14:paraId="2111720B" w14:textId="77777777" w:rsidR="00301123" w:rsidRPr="00080502" w:rsidRDefault="00301123" w:rsidP="00301123">
      <w:pPr>
        <w:pStyle w:val="FootnoteText"/>
        <w:rPr>
          <w:sz w:val="18"/>
          <w:lang w:val="en-GB"/>
        </w:rPr>
      </w:pPr>
      <w:r>
        <w:rPr>
          <w:rStyle w:val="FootnoteReference"/>
        </w:rPr>
        <w:footnoteRef/>
      </w:r>
      <w:r>
        <w:rPr>
          <w:lang w:val="en-GB"/>
        </w:rPr>
        <w:t>S</w:t>
      </w:r>
      <w:r w:rsidRPr="00080502">
        <w:rPr>
          <w:sz w:val="18"/>
          <w:lang w:val="en-GB"/>
        </w:rPr>
        <w:t>ervices include: Daily services, daily four-meal, educational services, primary medical care, psychologist services</w:t>
      </w:r>
    </w:p>
  </w:footnote>
  <w:footnote w:id="11">
    <w:p w14:paraId="3550C14D" w14:textId="77777777" w:rsidR="00301123" w:rsidRPr="00D74D8C" w:rsidRDefault="00301123" w:rsidP="00301123">
      <w:pPr>
        <w:pStyle w:val="FootnoteText"/>
        <w:rPr>
          <w:lang w:val="en-GB"/>
        </w:rPr>
      </w:pPr>
      <w:r w:rsidRPr="00080502">
        <w:rPr>
          <w:rStyle w:val="FootnoteReference"/>
          <w:sz w:val="18"/>
        </w:rPr>
        <w:footnoteRef/>
      </w:r>
      <w:r w:rsidRPr="00080502">
        <w:rPr>
          <w:sz w:val="18"/>
        </w:rPr>
        <w:t xml:space="preserve"> </w:t>
      </w:r>
      <w:r w:rsidRPr="00080502">
        <w:rPr>
          <w:sz w:val="18"/>
          <w:lang w:val="en-GB"/>
        </w:rPr>
        <w:t>Includes mild intellectual disabilities. Likely to result in some learning difficulties in school. Many adults will be able to work and maintain good social relationships and contribute to society.</w:t>
      </w:r>
    </w:p>
  </w:footnote>
  <w:footnote w:id="12">
    <w:p w14:paraId="76146E60" w14:textId="77777777" w:rsidR="00301123" w:rsidRPr="00D44092" w:rsidRDefault="00301123" w:rsidP="00301123">
      <w:pPr>
        <w:pStyle w:val="FootnoteText"/>
        <w:rPr>
          <w:lang w:val="en-GB"/>
        </w:rPr>
      </w:pPr>
      <w:r>
        <w:rPr>
          <w:rStyle w:val="FootnoteReference"/>
        </w:rPr>
        <w:footnoteRef/>
      </w:r>
      <w:r>
        <w:t xml:space="preserve"> </w:t>
      </w:r>
      <w:r w:rsidRPr="00080502">
        <w:rPr>
          <w:sz w:val="18"/>
        </w:rPr>
        <w:t>Dependent person is a</w:t>
      </w:r>
      <w:r>
        <w:rPr>
          <w:sz w:val="18"/>
        </w:rPr>
        <w:t>n</w:t>
      </w:r>
      <w:r w:rsidRPr="00080502">
        <w:rPr>
          <w:sz w:val="18"/>
        </w:rPr>
        <w:t xml:space="preserve"> under 18 kid of the victim of the violence</w:t>
      </w:r>
    </w:p>
  </w:footnote>
  <w:footnote w:id="13">
    <w:p w14:paraId="08DB5D0D" w14:textId="77777777" w:rsidR="00301123" w:rsidRPr="00D44092" w:rsidRDefault="00301123" w:rsidP="00301123">
      <w:pPr>
        <w:pStyle w:val="FootnoteText"/>
        <w:rPr>
          <w:lang w:val="en-GB"/>
        </w:rPr>
      </w:pPr>
      <w:r>
        <w:rPr>
          <w:rStyle w:val="FootnoteReference"/>
        </w:rPr>
        <w:footnoteRef/>
      </w:r>
      <w:r>
        <w:t xml:space="preserve"> </w:t>
      </w:r>
      <w:r w:rsidRPr="00080502">
        <w:rPr>
          <w:sz w:val="18"/>
          <w:lang w:val="en-GB"/>
        </w:rPr>
        <w:t>According to the</w:t>
      </w:r>
      <w:r w:rsidRPr="00080502">
        <w:rPr>
          <w:sz w:val="18"/>
          <w:lang w:val="ka-GE"/>
        </w:rPr>
        <w:t xml:space="preserve"> </w:t>
      </w:r>
      <w:r w:rsidRPr="00080502">
        <w:rPr>
          <w:sz w:val="18"/>
          <w:lang w:val="en-GB"/>
        </w:rPr>
        <w:t>data provided by MoLSHA</w:t>
      </w:r>
    </w:p>
  </w:footnote>
  <w:footnote w:id="14">
    <w:p w14:paraId="628D7F15" w14:textId="77777777" w:rsidR="00301123" w:rsidRPr="00D74D8C" w:rsidRDefault="00301123" w:rsidP="00301123">
      <w:pPr>
        <w:pStyle w:val="FootnoteText"/>
        <w:rPr>
          <w:rFonts w:cstheme="minorHAnsi"/>
          <w:lang w:val="en-GB"/>
        </w:rPr>
      </w:pPr>
      <w:r>
        <w:rPr>
          <w:rStyle w:val="FootnoteReference"/>
        </w:rPr>
        <w:footnoteRef/>
      </w:r>
      <w:r>
        <w:t xml:space="preserve"> </w:t>
      </w:r>
      <w:r w:rsidRPr="00080502">
        <w:rPr>
          <w:rFonts w:cstheme="minorHAnsi"/>
          <w:sz w:val="18"/>
          <w:lang w:val="en-GB"/>
        </w:rPr>
        <w:t>In order a person to be eligible to get a shelter/status for IDP, one should justi</w:t>
      </w:r>
      <w:r>
        <w:rPr>
          <w:rFonts w:cstheme="minorHAnsi"/>
          <w:sz w:val="18"/>
          <w:lang w:val="en-GB"/>
        </w:rPr>
        <w:t>fy that she/he was living in Ab</w:t>
      </w:r>
      <w:r w:rsidRPr="00080502">
        <w:rPr>
          <w:rFonts w:cstheme="minorHAnsi"/>
          <w:sz w:val="18"/>
          <w:lang w:val="en-GB"/>
        </w:rPr>
        <w:t>khazia or in Tskhi</w:t>
      </w:r>
      <w:r>
        <w:rPr>
          <w:rFonts w:cstheme="minorHAnsi"/>
          <w:sz w:val="18"/>
          <w:lang w:val="en-GB"/>
        </w:rPr>
        <w:t>n</w:t>
      </w:r>
      <w:r w:rsidRPr="00080502">
        <w:rPr>
          <w:rFonts w:cstheme="minorHAnsi"/>
          <w:sz w:val="18"/>
          <w:lang w:val="en-GB"/>
        </w:rPr>
        <w:t xml:space="preserve">vali before the conflict. </w:t>
      </w:r>
    </w:p>
  </w:footnote>
  <w:footnote w:id="15">
    <w:p w14:paraId="69512DC8" w14:textId="77777777" w:rsidR="00301123" w:rsidRDefault="00301123" w:rsidP="00301123">
      <w:pPr>
        <w:pStyle w:val="FootnoteText"/>
      </w:pPr>
      <w:r>
        <w:rPr>
          <w:rStyle w:val="FootnoteReference"/>
        </w:rPr>
        <w:footnoteRef/>
      </w:r>
      <w:r>
        <w:t xml:space="preserve"> The Typology is developed by the </w:t>
      </w:r>
      <w:r w:rsidRPr="002548C0">
        <w:t>European Federation of National Organizations Working with the Homeless</w:t>
      </w:r>
      <w:r>
        <w:t xml:space="preserve"> (</w:t>
      </w:r>
      <w:r w:rsidRPr="002548C0">
        <w:t>FEANTSA</w:t>
      </w:r>
      <w:r>
        <w:t>)</w:t>
      </w:r>
    </w:p>
  </w:footnote>
  <w:footnote w:id="16">
    <w:p w14:paraId="6A5633BC" w14:textId="77777777" w:rsidR="00301123" w:rsidRDefault="00301123" w:rsidP="00301123">
      <w:pPr>
        <w:pStyle w:val="FootnoteText"/>
      </w:pPr>
      <w:r>
        <w:rPr>
          <w:rStyle w:val="FootnoteReference"/>
        </w:rPr>
        <w:footnoteRef/>
      </w:r>
      <w:r>
        <w:t xml:space="preserve"> According to ETHOS short stay is defined with less than year and long Stay is defined as more than one year. </w:t>
      </w:r>
    </w:p>
  </w:footnote>
  <w:footnote w:id="17">
    <w:p w14:paraId="080BAA96" w14:textId="77777777" w:rsidR="00301123" w:rsidRPr="006066AB" w:rsidRDefault="00301123" w:rsidP="00301123">
      <w:pPr>
        <w:jc w:val="both"/>
        <w:rPr>
          <w:rFonts w:cstheme="minorHAnsi"/>
          <w:sz w:val="20"/>
          <w:szCs w:val="20"/>
        </w:rPr>
      </w:pPr>
      <w:r>
        <w:rPr>
          <w:rStyle w:val="FootnoteReference"/>
        </w:rPr>
        <w:footnoteRef/>
      </w:r>
      <w:r>
        <w:t xml:space="preserve"> </w:t>
      </w:r>
      <w:r w:rsidRPr="006066AB">
        <w:rPr>
          <w:rFonts w:cstheme="minorHAnsi"/>
          <w:sz w:val="20"/>
          <w:szCs w:val="20"/>
        </w:rPr>
        <w:t xml:space="preserve">Even having access to a shelter or a social house does not necessarily solve all issues. </w:t>
      </w:r>
      <w:r w:rsidRPr="006066AB">
        <w:rPr>
          <w:rFonts w:cstheme="minorHAnsi"/>
          <w:sz w:val="20"/>
          <w:szCs w:val="20"/>
          <w:lang w:val="en-GB"/>
        </w:rPr>
        <w:t>According the Swiss Agency for Development and Cooperation (SDC, 2013)</w:t>
      </w:r>
      <w:r w:rsidRPr="006066AB">
        <w:rPr>
          <w:rStyle w:val="FootnoteReference"/>
          <w:rFonts w:cstheme="minorHAnsi"/>
          <w:sz w:val="20"/>
          <w:szCs w:val="20"/>
          <w:lang w:val="en-GB"/>
        </w:rPr>
        <w:footnoteRef/>
      </w:r>
      <w:r w:rsidRPr="006066AB">
        <w:rPr>
          <w:rFonts w:cstheme="minorHAnsi"/>
          <w:sz w:val="20"/>
          <w:szCs w:val="20"/>
          <w:lang w:val="en-GB"/>
        </w:rPr>
        <w:t xml:space="preserve">, in Georgia </w:t>
      </w:r>
      <w:r w:rsidRPr="006066AB">
        <w:rPr>
          <w:rFonts w:cstheme="minorHAnsi"/>
          <w:sz w:val="20"/>
          <w:szCs w:val="20"/>
        </w:rPr>
        <w:t>there are problems for the household who got permanent houses from the government</w:t>
      </w:r>
      <w:r w:rsidRPr="006066AB">
        <w:rPr>
          <w:rFonts w:ascii="Sylfaen" w:hAnsi="Sylfaen" w:cstheme="minorHAnsi"/>
          <w:sz w:val="20"/>
          <w:szCs w:val="20"/>
          <w:lang w:val="ka-GE"/>
        </w:rPr>
        <w:t xml:space="preserve"> </w:t>
      </w:r>
      <w:r w:rsidRPr="006066AB">
        <w:rPr>
          <w:rFonts w:cstheme="minorHAnsi"/>
          <w:sz w:val="20"/>
          <w:szCs w:val="20"/>
        </w:rPr>
        <w:t>as well.</w:t>
      </w:r>
      <w:r w:rsidRPr="006066AB">
        <w:rPr>
          <w:rFonts w:ascii="Sylfaen" w:hAnsi="Sylfaen" w:cstheme="minorHAnsi"/>
          <w:sz w:val="20"/>
          <w:szCs w:val="20"/>
          <w:lang w:val="ka-GE"/>
        </w:rPr>
        <w:t xml:space="preserve"> </w:t>
      </w:r>
      <w:r w:rsidRPr="006066AB">
        <w:rPr>
          <w:rFonts w:cstheme="minorHAnsi"/>
          <w:sz w:val="20"/>
          <w:szCs w:val="20"/>
        </w:rPr>
        <w:t xml:space="preserve">According to the report, having been given a shelter (or social house) by the government is often a reason of social exclusion. The people living in Social houses report they do not have a social relationship with people living in surrounding areas, and they are stigmatized and excluded. </w:t>
      </w:r>
    </w:p>
    <w:p w14:paraId="429BF690" w14:textId="77777777" w:rsidR="00301123" w:rsidRPr="006066AB" w:rsidRDefault="00301123" w:rsidP="00301123">
      <w:pPr>
        <w:jc w:val="both"/>
        <w:rPr>
          <w:rFonts w:cstheme="minorHAnsi"/>
          <w:sz w:val="20"/>
          <w:szCs w:val="20"/>
        </w:rPr>
      </w:pPr>
      <w:r w:rsidRPr="006066AB">
        <w:rPr>
          <w:rFonts w:cstheme="minorHAnsi"/>
          <w:sz w:val="20"/>
          <w:szCs w:val="20"/>
        </w:rPr>
        <w:t>Other social programs implemented by the government also do not support beneficiaries to be better integrated into the society.</w:t>
      </w:r>
      <w:r w:rsidRPr="006066AB">
        <w:rPr>
          <w:rFonts w:ascii="Sylfaen" w:hAnsi="Sylfaen" w:cstheme="minorHAnsi"/>
          <w:sz w:val="20"/>
          <w:szCs w:val="20"/>
          <w:lang w:val="ka-GE"/>
        </w:rPr>
        <w:t xml:space="preserve"> </w:t>
      </w:r>
      <w:r w:rsidRPr="006066AB">
        <w:rPr>
          <w:rFonts w:cstheme="minorHAnsi"/>
          <w:sz w:val="20"/>
          <w:szCs w:val="20"/>
        </w:rPr>
        <w:t xml:space="preserve">This mostly refers to IDPs and families resettled in the social houses. Usually communal living spaces (such as shelters for IDPs) are located in remote areas, which means less access to the public infrastructure and services such as hospitals, schools, kindergartens. IDPs who are resettled into the urban areas but still remotely from the city center have an advantage over the ones who were collectively resettled into the rural areas in terms of access to job opportunities, although they have more limited access to agricultural land (as a buffer) in case they do not manage to get a job. </w:t>
      </w:r>
    </w:p>
    <w:p w14:paraId="744EC362" w14:textId="77777777" w:rsidR="00301123" w:rsidRPr="009D13A4" w:rsidRDefault="00301123" w:rsidP="00301123">
      <w:pPr>
        <w:pStyle w:val="FootnoteText"/>
      </w:pPr>
    </w:p>
  </w:footnote>
  <w:footnote w:id="18">
    <w:p w14:paraId="0CAA74F9" w14:textId="77777777" w:rsidR="00301123" w:rsidRPr="003D38DD" w:rsidRDefault="00301123" w:rsidP="00301123">
      <w:pPr>
        <w:pStyle w:val="FootnoteText"/>
        <w:rPr>
          <w:lang w:val="en-GB"/>
        </w:rPr>
      </w:pPr>
      <w:r>
        <w:rPr>
          <w:rStyle w:val="FootnoteReference"/>
        </w:rPr>
        <w:footnoteRef/>
      </w:r>
      <w:r>
        <w:t xml:space="preserve">  </w:t>
      </w:r>
      <w:hyperlink r:id="rId1" w:anchor="Housing_affordability" w:history="1">
        <w:r w:rsidRPr="005107BF">
          <w:rPr>
            <w:rStyle w:val="Hyperlink"/>
          </w:rPr>
          <w:t>Eurostat: Housing Statistics</w:t>
        </w:r>
      </w:hyperlink>
    </w:p>
  </w:footnote>
  <w:footnote w:id="19">
    <w:p w14:paraId="02563D5E" w14:textId="77777777" w:rsidR="00301123" w:rsidRPr="00AD0300" w:rsidRDefault="00301123" w:rsidP="00301123">
      <w:pPr>
        <w:pStyle w:val="FootnoteText"/>
      </w:pPr>
      <w:r>
        <w:rPr>
          <w:rStyle w:val="FootnoteReference"/>
        </w:rPr>
        <w:footnoteRef/>
      </w:r>
      <w:r>
        <w:t xml:space="preserve"> Including, for example, expenditures on utilities.</w:t>
      </w:r>
    </w:p>
  </w:footnote>
  <w:footnote w:id="20">
    <w:p w14:paraId="5E1445D3" w14:textId="77777777" w:rsidR="006C467C" w:rsidRPr="00095BBA" w:rsidRDefault="006C467C" w:rsidP="00813727">
      <w:pPr>
        <w:pStyle w:val="FootnoteText"/>
      </w:pPr>
      <w:r>
        <w:rPr>
          <w:rStyle w:val="FootnoteReference"/>
        </w:rPr>
        <w:footnoteRef/>
      </w:r>
      <w:r>
        <w:t xml:space="preserve"> </w:t>
      </w:r>
      <w:r>
        <w:rPr>
          <w:rFonts w:cstheme="minorHAnsi"/>
        </w:rPr>
        <w:t>The data about homeless and roofless people is incomplete and is available in un-organized and unstructured way. Some subcategories include only the recent data and time trends are not available. Even for the indicators for which time trend is available, it is incomplete and omits the data from some data sources. The data from municipalities about roofless people is also inconsistent as methodologies for defining the category are different.</w:t>
      </w:r>
    </w:p>
  </w:footnote>
  <w:footnote w:id="21">
    <w:p w14:paraId="295188C8" w14:textId="587C8190" w:rsidR="006C467C" w:rsidRPr="006066AB" w:rsidRDefault="006C467C" w:rsidP="00501E13">
      <w:pPr>
        <w:jc w:val="both"/>
        <w:rPr>
          <w:rStyle w:val="CommentReference"/>
          <w:i/>
          <w:iCs/>
          <w:color w:val="44546A" w:themeColor="text2"/>
          <w:sz w:val="20"/>
          <w:szCs w:val="20"/>
        </w:rPr>
      </w:pPr>
      <w:r>
        <w:rPr>
          <w:rStyle w:val="FootnoteReference"/>
        </w:rPr>
        <w:footnoteRef/>
      </w:r>
      <w:r>
        <w:t xml:space="preserve"> </w:t>
      </w:r>
      <w:r w:rsidRPr="006066AB">
        <w:rPr>
          <w:rFonts w:cstheme="minorHAnsi"/>
          <w:sz w:val="20"/>
          <w:szCs w:val="20"/>
        </w:rPr>
        <w:t xml:space="preserve">The Georgia Household Survey Database from </w:t>
      </w:r>
      <w:proofErr w:type="spellStart"/>
      <w:r w:rsidRPr="006066AB">
        <w:rPr>
          <w:rFonts w:cstheme="minorHAnsi"/>
          <w:sz w:val="20"/>
          <w:szCs w:val="20"/>
        </w:rPr>
        <w:t>Geostat</w:t>
      </w:r>
      <w:proofErr w:type="spellEnd"/>
      <w:r w:rsidRPr="006066AB">
        <w:rPr>
          <w:rFonts w:cstheme="minorHAnsi"/>
          <w:sz w:val="20"/>
          <w:szCs w:val="20"/>
        </w:rPr>
        <w:t xml:space="preserve"> was utilized extensively for estimating several important indicators for unstable housing. </w:t>
      </w:r>
      <w:r w:rsidRPr="006066AB">
        <w:rPr>
          <w:sz w:val="20"/>
          <w:szCs w:val="20"/>
        </w:rPr>
        <w:t>In the process of data cleaning inconsistencies</w:t>
      </w:r>
      <w:r>
        <w:rPr>
          <w:sz w:val="20"/>
          <w:szCs w:val="20"/>
          <w:lang w:val="ka-GE"/>
        </w:rPr>
        <w:t xml:space="preserve"> </w:t>
      </w:r>
      <w:r>
        <w:rPr>
          <w:sz w:val="20"/>
          <w:szCs w:val="20"/>
        </w:rPr>
        <w:t>were identified and adjusted</w:t>
      </w:r>
      <w:r w:rsidRPr="006066AB">
        <w:rPr>
          <w:sz w:val="20"/>
          <w:szCs w:val="20"/>
        </w:rPr>
        <w:t xml:space="preserve">. When this was not possible, observations were dropped. Due to data availability issues, the analysis </w:t>
      </w:r>
      <w:r>
        <w:rPr>
          <w:sz w:val="20"/>
          <w:szCs w:val="20"/>
        </w:rPr>
        <w:t xml:space="preserve">is restricted </w:t>
      </w:r>
      <w:r w:rsidRPr="006066AB">
        <w:rPr>
          <w:sz w:val="20"/>
          <w:szCs w:val="20"/>
        </w:rPr>
        <w:t xml:space="preserve">to the period 2007-2018. </w:t>
      </w:r>
      <w:r>
        <w:rPr>
          <w:sz w:val="20"/>
          <w:szCs w:val="20"/>
        </w:rPr>
        <w:t xml:space="preserve">The </w:t>
      </w:r>
      <w:r w:rsidRPr="006066AB">
        <w:rPr>
          <w:sz w:val="20"/>
          <w:szCs w:val="20"/>
        </w:rPr>
        <w:t xml:space="preserve">analysis focuses on household level data. </w:t>
      </w:r>
      <w:r w:rsidRPr="006066AB">
        <w:rPr>
          <w:rFonts w:cstheme="minorHAnsi"/>
          <w:sz w:val="20"/>
          <w:szCs w:val="20"/>
        </w:rPr>
        <w:t>All the indicators derived from the Household Database Survey data are generated from quarterly data and the average value of quarterly indicators are used for the major part of the analysis and for conclusions, while in the figures the intervals of the values in four quarters are depicted as well</w:t>
      </w:r>
      <w:r>
        <w:rPr>
          <w:rFonts w:cstheme="minorHAnsi"/>
          <w:sz w:val="20"/>
          <w:szCs w:val="20"/>
        </w:rPr>
        <w:t>.</w:t>
      </w:r>
      <w:r w:rsidRPr="006066AB">
        <w:rPr>
          <w:rFonts w:cstheme="minorHAnsi"/>
          <w:sz w:val="20"/>
          <w:szCs w:val="20"/>
        </w:rPr>
        <w:t xml:space="preserve"> </w:t>
      </w:r>
    </w:p>
    <w:p w14:paraId="12CBE70C" w14:textId="3CFF4D9E" w:rsidR="006C467C" w:rsidRPr="009D13A4" w:rsidRDefault="006C467C">
      <w:pPr>
        <w:pStyle w:val="FootnoteText"/>
      </w:pPr>
    </w:p>
  </w:footnote>
  <w:footnote w:id="22">
    <w:p w14:paraId="570ECC38" w14:textId="0BB2F7A8" w:rsidR="006C467C" w:rsidRDefault="006C467C" w:rsidP="00153B90">
      <w:pPr>
        <w:pStyle w:val="FootnoteText"/>
      </w:pPr>
      <w:r>
        <w:rPr>
          <w:rStyle w:val="FootnoteReference"/>
        </w:rPr>
        <w:footnoteRef/>
      </w:r>
      <w:r>
        <w:t xml:space="preserve"> From 2014 year there is an increase of population in urban areas, while in rural areas over 10-year period the only decrease is demonstrated</w:t>
      </w:r>
    </w:p>
  </w:footnote>
  <w:footnote w:id="23">
    <w:p w14:paraId="4A21399C" w14:textId="12619547" w:rsidR="006C467C" w:rsidRPr="00C510FB" w:rsidRDefault="006C467C" w:rsidP="009B3246">
      <w:pPr>
        <w:pStyle w:val="FootnoteText"/>
        <w:jc w:val="both"/>
        <w:rPr>
          <w:lang w:val="ka-GE"/>
        </w:rPr>
      </w:pPr>
      <w:r>
        <w:rPr>
          <w:rStyle w:val="FootnoteReference"/>
        </w:rPr>
        <w:footnoteRef/>
      </w:r>
      <w:r>
        <w:t xml:space="preserve"> One explanation behind variable interest rates can be the policy of the central bank to control real effective exchange rate</w:t>
      </w:r>
      <w:r>
        <w:rPr>
          <w:lang w:val="ka-GE"/>
        </w:rPr>
        <w:t xml:space="preserve"> </w:t>
      </w:r>
      <w:r>
        <w:t xml:space="preserve">through money supply mechanism, consequently as exchange rate fluctuations remain one of the most prominent issues in Georgia, National Bank might have been using interest rates as an instrument for regulating exchange rate movements. The existence of the stability period in the data can be the result of massive usage of reserve funds instead of interest rates to control exchange rate variability without affecting consumption decision of debtors, or simply the decision to let the exchange rate a bit freer to float. </w:t>
      </w:r>
    </w:p>
  </w:footnote>
  <w:footnote w:id="24">
    <w:p w14:paraId="35DE6F9E" w14:textId="7D4E5A68" w:rsidR="006C467C" w:rsidRDefault="006C467C" w:rsidP="00A134FE">
      <w:pPr>
        <w:pStyle w:val="FootnoteText"/>
      </w:pPr>
      <w:r>
        <w:rPr>
          <w:rStyle w:val="FootnoteReference"/>
        </w:rPr>
        <w:footnoteRef/>
      </w:r>
      <w:r>
        <w:t xml:space="preserve"> Which is generated combining census data and the data about new house constructions in three main cities Tbilisi, Batumi and Kutaisi from 2015 to 2017 and estimated value from 2018 from Colliers International, as only Tbilisi, Kutaisi and Batumi housing stock data were available. </w:t>
      </w:r>
    </w:p>
  </w:footnote>
  <w:footnote w:id="25">
    <w:p w14:paraId="6B16C3CB" w14:textId="7ADC6E08" w:rsidR="006C467C" w:rsidRDefault="006C467C">
      <w:pPr>
        <w:pStyle w:val="FootnoteText"/>
      </w:pPr>
      <w:r>
        <w:rPr>
          <w:rStyle w:val="FootnoteReference"/>
        </w:rPr>
        <w:footnoteRef/>
      </w:r>
      <w:r>
        <w:t xml:space="preserve"> The total number of houses</w:t>
      </w:r>
    </w:p>
  </w:footnote>
  <w:footnote w:id="26">
    <w:p w14:paraId="316CE22E" w14:textId="77777777" w:rsidR="006C467C" w:rsidRDefault="006C467C" w:rsidP="00A134FE">
      <w:pPr>
        <w:pStyle w:val="FootnoteText"/>
      </w:pPr>
      <w:r>
        <w:rPr>
          <w:rStyle w:val="FootnoteReference"/>
        </w:rPr>
        <w:footnoteRef/>
      </w:r>
      <w:r>
        <w:t xml:space="preserve"> Though might be cases that some of housing stock was also abolished.</w:t>
      </w:r>
    </w:p>
  </w:footnote>
  <w:footnote w:id="27">
    <w:p w14:paraId="48881176" w14:textId="5860DBA8" w:rsidR="006C467C" w:rsidRDefault="006C467C">
      <w:pPr>
        <w:pStyle w:val="FootnoteText"/>
      </w:pPr>
      <w:r>
        <w:rPr>
          <w:rStyle w:val="FootnoteReference"/>
        </w:rPr>
        <w:footnoteRef/>
      </w:r>
      <w:r>
        <w:t xml:space="preserve"> Those are the families whose properties were lost due to natural disasters</w:t>
      </w:r>
    </w:p>
  </w:footnote>
  <w:footnote w:id="28">
    <w:p w14:paraId="365B35BE" w14:textId="12804199" w:rsidR="006C467C" w:rsidRDefault="006C467C">
      <w:pPr>
        <w:pStyle w:val="FootnoteText"/>
      </w:pPr>
      <w:r>
        <w:rPr>
          <w:rStyle w:val="FootnoteReference"/>
        </w:rPr>
        <w:footnoteRef/>
      </w:r>
      <w:r>
        <w:t xml:space="preserve"> Excluding Tbilisi Municipality Data</w:t>
      </w:r>
    </w:p>
  </w:footnote>
  <w:footnote w:id="29">
    <w:p w14:paraId="51004572" w14:textId="650FAB23" w:rsidR="006C467C" w:rsidRPr="007F2FAC" w:rsidRDefault="006C467C">
      <w:pPr>
        <w:pStyle w:val="FootnoteText"/>
      </w:pPr>
      <w:r>
        <w:rPr>
          <w:rStyle w:val="FootnoteReference"/>
        </w:rPr>
        <w:footnoteRef/>
      </w:r>
      <w:r>
        <w:t xml:space="preserve"> In some cases, households</w:t>
      </w:r>
      <w:r>
        <w:rPr>
          <w:lang w:val="ka-GE"/>
        </w:rPr>
        <w:t xml:space="preserve"> </w:t>
      </w:r>
      <w:r>
        <w:t>with number of members are identified, while in another only individuals or only households</w:t>
      </w:r>
    </w:p>
    <w:p w14:paraId="6C02D879" w14:textId="77777777" w:rsidR="006C467C" w:rsidRDefault="006C467C">
      <w:pPr>
        <w:pStyle w:val="FootnoteText"/>
      </w:pPr>
    </w:p>
  </w:footnote>
  <w:footnote w:id="30">
    <w:p w14:paraId="08709817" w14:textId="0477064A" w:rsidR="006C467C" w:rsidRDefault="006C467C">
      <w:pPr>
        <w:pStyle w:val="FootnoteText"/>
      </w:pPr>
      <w:r>
        <w:rPr>
          <w:rStyle w:val="FootnoteReference"/>
        </w:rPr>
        <w:footnoteRef/>
      </w:r>
      <w:r>
        <w:t xml:space="preserve"> </w:t>
      </w:r>
      <w:r>
        <w:rPr>
          <w:rFonts w:cstheme="minorHAnsi"/>
        </w:rPr>
        <w:t>The estimated number of households a</w:t>
      </w:r>
      <w:r w:rsidRPr="00C510FB">
        <w:rPr>
          <w:rFonts w:cstheme="minorHAnsi"/>
        </w:rPr>
        <w:t xml:space="preserve">ccording to </w:t>
      </w:r>
      <w:proofErr w:type="spellStart"/>
      <w:r w:rsidRPr="00C510FB">
        <w:rPr>
          <w:rFonts w:cstheme="minorHAnsi"/>
        </w:rPr>
        <w:t>Geostat</w:t>
      </w:r>
      <w:proofErr w:type="spellEnd"/>
      <w:r w:rsidRPr="00C510FB">
        <w:rPr>
          <w:rFonts w:cstheme="minorHAnsi"/>
        </w:rPr>
        <w:t xml:space="preserve"> </w:t>
      </w:r>
      <w:r>
        <w:rPr>
          <w:rFonts w:cstheme="minorHAnsi"/>
        </w:rPr>
        <w:t xml:space="preserve">2018 Household Survey </w:t>
      </w:r>
      <w:r w:rsidRPr="00C510FB">
        <w:rPr>
          <w:rFonts w:cstheme="minorHAnsi"/>
        </w:rPr>
        <w:t>data</w:t>
      </w:r>
    </w:p>
  </w:footnote>
  <w:footnote w:id="31">
    <w:p w14:paraId="108C5479" w14:textId="69C5125E" w:rsidR="006C467C" w:rsidRDefault="006C467C">
      <w:pPr>
        <w:pStyle w:val="FootnoteText"/>
      </w:pPr>
      <w:r>
        <w:rPr>
          <w:rStyle w:val="FootnoteReference"/>
        </w:rPr>
        <w:footnoteRef/>
      </w:r>
      <w:r>
        <w:t xml:space="preserve"> It is not a cumulative number; this is the number of applications each separate year</w:t>
      </w:r>
    </w:p>
  </w:footnote>
  <w:footnote w:id="32">
    <w:p w14:paraId="55148A8E" w14:textId="4486CBDD" w:rsidR="006C467C" w:rsidRPr="004C3BCA" w:rsidRDefault="006C467C">
      <w:pPr>
        <w:pStyle w:val="FootnoteText"/>
      </w:pPr>
      <w:r>
        <w:rPr>
          <w:rStyle w:val="FootnoteReference"/>
        </w:rPr>
        <w:footnoteRef/>
      </w:r>
      <w:r>
        <w:t>It may be argued that it is not the number of cases to have increased, but the number of people reporting them. This does not change the conclusion that more support is going to be needed.</w:t>
      </w:r>
    </w:p>
  </w:footnote>
  <w:footnote w:id="33">
    <w:p w14:paraId="70953239" w14:textId="77777777" w:rsidR="006C467C" w:rsidRDefault="006C467C" w:rsidP="00082663">
      <w:pPr>
        <w:pStyle w:val="FootnoteText"/>
      </w:pPr>
      <w:r>
        <w:rPr>
          <w:rStyle w:val="FootnoteReference"/>
        </w:rPr>
        <w:footnoteRef/>
      </w:r>
      <w:r>
        <w:t xml:space="preserve"> The number of households was estimated from Household Survey Database for 2018 year</w:t>
      </w:r>
    </w:p>
  </w:footnote>
  <w:footnote w:id="34">
    <w:p w14:paraId="09FC9F51" w14:textId="1AC3CC83" w:rsidR="006C467C" w:rsidRPr="0038146B" w:rsidRDefault="006C467C">
      <w:pPr>
        <w:pStyle w:val="FootnoteText"/>
      </w:pPr>
      <w:r>
        <w:rPr>
          <w:rStyle w:val="FootnoteReference"/>
        </w:rPr>
        <w:footnoteRef/>
      </w:r>
      <w:r>
        <w:t xml:space="preserve"> </w:t>
      </w:r>
      <w:r>
        <w:rPr>
          <w:rFonts w:cstheme="minorHAnsi"/>
        </w:rPr>
        <w:t>This is particularly true for rural areas the maximal share of households who rent houses over years approached just 0.249% in 2010.</w:t>
      </w:r>
    </w:p>
  </w:footnote>
  <w:footnote w:id="35">
    <w:p w14:paraId="0697743E" w14:textId="295D7AC4" w:rsidR="006C467C" w:rsidRPr="00C510FB" w:rsidRDefault="006C467C" w:rsidP="00F65205">
      <w:pPr>
        <w:pStyle w:val="FootnoteText"/>
        <w:jc w:val="both"/>
        <w:rPr>
          <w:lang w:val="ka-GE"/>
        </w:rPr>
      </w:pPr>
      <w:r>
        <w:rPr>
          <w:rStyle w:val="FootnoteReference"/>
        </w:rPr>
        <w:footnoteRef/>
      </w:r>
      <w:r>
        <w:t xml:space="preserve"> </w:t>
      </w:r>
      <w:r>
        <w:rPr>
          <w:rFonts w:cstheme="minorHAnsi"/>
        </w:rPr>
        <w:t>UN woman published t</w:t>
      </w:r>
      <w:r w:rsidRPr="00E27DA9">
        <w:rPr>
          <w:rFonts w:cstheme="minorHAnsi"/>
        </w:rPr>
        <w:t>he National Study on Violence against Women in Georgia</w:t>
      </w:r>
      <w:r>
        <w:rPr>
          <w:rFonts w:cstheme="minorHAnsi"/>
        </w:rPr>
        <w:t xml:space="preserve"> in 2018, where it was indicated that t</w:t>
      </w:r>
      <w:r w:rsidRPr="00E27DA9">
        <w:rPr>
          <w:rFonts w:cstheme="minorHAnsi"/>
        </w:rPr>
        <w:t>here has been a significant increase in the percentage of women who have reported to the police an act of violence committed by an intimate partner</w:t>
      </w:r>
      <w:r>
        <w:rPr>
          <w:rFonts w:cstheme="minorHAnsi"/>
        </w:rPr>
        <w:t xml:space="preserve">, </w:t>
      </w:r>
      <w:r w:rsidRPr="00E27DA9">
        <w:rPr>
          <w:rFonts w:cstheme="minorHAnsi"/>
        </w:rPr>
        <w:t xml:space="preserve">18 per cent in 2017, compared to 1.5 per cent in 2009. </w:t>
      </w:r>
      <w:r>
        <w:rPr>
          <w:rFonts w:cstheme="minorHAnsi"/>
        </w:rPr>
        <w:t>However, it worth highlighting that</w:t>
      </w:r>
      <w:r w:rsidRPr="00E27DA9">
        <w:rPr>
          <w:rFonts w:cstheme="minorHAnsi"/>
        </w:rPr>
        <w:t xml:space="preserve"> the percentage of women who believe</w:t>
      </w:r>
      <w:r>
        <w:rPr>
          <w:rFonts w:cstheme="minorHAnsi"/>
        </w:rPr>
        <w:t>d</w:t>
      </w:r>
      <w:r w:rsidRPr="00E27DA9">
        <w:rPr>
          <w:rFonts w:cstheme="minorHAnsi"/>
        </w:rPr>
        <w:t xml:space="preserve"> that domestic violence </w:t>
      </w:r>
      <w:r>
        <w:rPr>
          <w:rFonts w:cstheme="minorHAnsi"/>
        </w:rPr>
        <w:t xml:space="preserve">was </w:t>
      </w:r>
      <w:r w:rsidRPr="00E27DA9">
        <w:rPr>
          <w:rFonts w:cstheme="minorHAnsi"/>
        </w:rPr>
        <w:t xml:space="preserve">a private matter and that no one should </w:t>
      </w:r>
      <w:r>
        <w:rPr>
          <w:rFonts w:cstheme="minorHAnsi"/>
        </w:rPr>
        <w:t xml:space="preserve">have </w:t>
      </w:r>
      <w:r w:rsidRPr="00E27DA9">
        <w:rPr>
          <w:rFonts w:cstheme="minorHAnsi"/>
        </w:rPr>
        <w:t>interfere</w:t>
      </w:r>
      <w:r>
        <w:rPr>
          <w:rFonts w:cstheme="minorHAnsi"/>
        </w:rPr>
        <w:t>d</w:t>
      </w:r>
      <w:r w:rsidRPr="00E27DA9">
        <w:rPr>
          <w:rFonts w:cstheme="minorHAnsi"/>
        </w:rPr>
        <w:t xml:space="preserve"> </w:t>
      </w:r>
      <w:r>
        <w:rPr>
          <w:rFonts w:cstheme="minorHAnsi"/>
        </w:rPr>
        <w:t>has</w:t>
      </w:r>
      <w:r w:rsidRPr="00E27DA9">
        <w:rPr>
          <w:rFonts w:cstheme="minorHAnsi"/>
        </w:rPr>
        <w:t xml:space="preserve"> decreased from 78 per cent in 2009 to 33 per cent in 2017</w:t>
      </w:r>
      <w:r>
        <w:rPr>
          <w:rFonts w:cstheme="minorHAnsi"/>
        </w:rPr>
        <w:t xml:space="preserve">, which validates the statement that awareness is increasing among the society. </w:t>
      </w:r>
    </w:p>
  </w:footnote>
  <w:footnote w:id="36">
    <w:p w14:paraId="444F6ECD" w14:textId="77777777" w:rsidR="006C467C" w:rsidRDefault="006C467C" w:rsidP="00082663">
      <w:pPr>
        <w:pStyle w:val="FootnoteText"/>
      </w:pPr>
      <w:r>
        <w:rPr>
          <w:rStyle w:val="FootnoteReference"/>
        </w:rPr>
        <w:footnoteRef/>
      </w:r>
      <w:r>
        <w:t xml:space="preserve"> The number of population is taken from </w:t>
      </w:r>
      <w:proofErr w:type="spellStart"/>
      <w:r>
        <w:t>Geostat</w:t>
      </w:r>
      <w:proofErr w:type="spellEnd"/>
      <w:r>
        <w:t xml:space="preserve"> for each years</w:t>
      </w:r>
    </w:p>
  </w:footnote>
  <w:footnote w:id="37">
    <w:p w14:paraId="01EB5514" w14:textId="4B6E6334" w:rsidR="006C467C" w:rsidRPr="00610BE1" w:rsidRDefault="006C467C">
      <w:pPr>
        <w:pStyle w:val="FootnoteText"/>
      </w:pPr>
      <w:r>
        <w:rPr>
          <w:rStyle w:val="FootnoteReference"/>
        </w:rPr>
        <w:footnoteRef/>
      </w:r>
      <w:r>
        <w:t xml:space="preserve"> </w:t>
      </w:r>
      <w:r w:rsidRPr="00CA453C">
        <w:rPr>
          <w:rFonts w:cstheme="minorHAnsi"/>
          <w:sz w:val="18"/>
          <w:szCs w:val="18"/>
        </w:rPr>
        <w:t>A situation in which there are more than three people per habitable room (excluding halls, bathroom and other non- habitable rooms)</w:t>
      </w:r>
      <w:r w:rsidRPr="00CA453C">
        <w:rPr>
          <w:rStyle w:val="FootnoteReference"/>
          <w:rFonts w:cstheme="minorHAnsi"/>
          <w:sz w:val="18"/>
          <w:szCs w:val="18"/>
        </w:rPr>
        <w:t xml:space="preserve"> </w:t>
      </w:r>
      <w:r w:rsidRPr="00CA453C">
        <w:rPr>
          <w:rFonts w:cstheme="minorHAnsi"/>
          <w:sz w:val="18"/>
          <w:szCs w:val="18"/>
        </w:rPr>
        <w:t>is assumed to be overcrowded. As younger age children are considered in most papers as half a person, the definition was adopted and applied accordingly to calculate overcrowding indicator</w:t>
      </w:r>
      <w:r w:rsidRPr="003623D5">
        <w:rPr>
          <w:rFonts w:cstheme="minorHAnsi"/>
        </w:rPr>
        <w:t>.</w:t>
      </w:r>
    </w:p>
  </w:footnote>
  <w:footnote w:id="38">
    <w:p w14:paraId="17D4185B" w14:textId="04FF9D4C" w:rsidR="006C467C" w:rsidRPr="00610BE1" w:rsidRDefault="006C467C">
      <w:pPr>
        <w:pStyle w:val="FootnoteText"/>
      </w:pPr>
      <w:r>
        <w:rPr>
          <w:rStyle w:val="FootnoteReference"/>
        </w:rPr>
        <w:footnoteRef/>
      </w:r>
      <w:r>
        <w:t xml:space="preserve"> </w:t>
      </w:r>
      <w:r w:rsidRPr="00A22B38">
        <w:rPr>
          <w:rFonts w:cstheme="minorHAnsi"/>
          <w:sz w:val="18"/>
          <w:szCs w:val="18"/>
        </w:rPr>
        <w:t>less than three quadratic meters per person.</w:t>
      </w:r>
    </w:p>
  </w:footnote>
  <w:footnote w:id="39">
    <w:p w14:paraId="3A49CC0F" w14:textId="7D707E4F" w:rsidR="006C467C" w:rsidRPr="00286AFD" w:rsidRDefault="006C467C">
      <w:pPr>
        <w:pStyle w:val="FootnoteText"/>
      </w:pPr>
      <w:r>
        <w:rPr>
          <w:rStyle w:val="FootnoteReference"/>
        </w:rPr>
        <w:footnoteRef/>
      </w:r>
      <w:r>
        <w:t xml:space="preserve"> The families, where the average age of member is more than 60 years. </w:t>
      </w:r>
      <w:r w:rsidRPr="00454C26">
        <w:t>We d</w:t>
      </w:r>
      <w:r>
        <w:t>o not report results relative to elderly households as in no case we find evidence of such households being particularly disadvantaged relative to the rest of the population.</w:t>
      </w:r>
    </w:p>
  </w:footnote>
  <w:footnote w:id="40">
    <w:p w14:paraId="3853ABCC" w14:textId="23EF3F2A" w:rsidR="006C467C" w:rsidRPr="00DD0F23" w:rsidRDefault="006C467C" w:rsidP="009C75E6">
      <w:pPr>
        <w:pStyle w:val="FootnoteText"/>
      </w:pPr>
      <w:r>
        <w:rPr>
          <w:rStyle w:val="FootnoteReference"/>
        </w:rPr>
        <w:footnoteRef/>
      </w:r>
      <w:r>
        <w:t xml:space="preserve"> The findings of Social Economic Policy Analysis with regard to son-preference and gender-bias sex selection in Georgia (2019) show that awareness about SSA initiatives to reduce poverty is low among ethnical minorities.</w:t>
      </w:r>
    </w:p>
    <w:p w14:paraId="7FB7219A" w14:textId="2C3793BF" w:rsidR="006C467C" w:rsidRPr="00DD0F23" w:rsidRDefault="006C467C">
      <w:pPr>
        <w:pStyle w:val="FootnoteText"/>
      </w:pPr>
    </w:p>
  </w:footnote>
  <w:footnote w:id="41">
    <w:p w14:paraId="02E40E42" w14:textId="79FDD92A" w:rsidR="006C467C" w:rsidRPr="00F61A0C" w:rsidRDefault="006C467C" w:rsidP="00C179DF">
      <w:pPr>
        <w:pStyle w:val="FootnoteText"/>
      </w:pPr>
      <w:r>
        <w:rPr>
          <w:rStyle w:val="FootnoteReference"/>
        </w:rPr>
        <w:footnoteRef/>
      </w:r>
      <w:r w:rsidRPr="00F61A0C">
        <w:t xml:space="preserve"> For a review of the e</w:t>
      </w:r>
      <w:r>
        <w:t xml:space="preserve">xisting literature and more references on the topic read:  </w:t>
      </w:r>
      <w:r w:rsidRPr="00F61A0C">
        <w:t xml:space="preserve">O'Flaherty </w:t>
      </w:r>
      <w:r>
        <w:t xml:space="preserve">(2019). </w:t>
      </w:r>
      <w:r w:rsidRPr="00AF5DE4">
        <w:t>Homelessness research: A guide for economists (and friends)</w:t>
      </w:r>
      <w:r>
        <w:t xml:space="preserve">. </w:t>
      </w:r>
      <w:r w:rsidRPr="00AF5DE4">
        <w:rPr>
          <w:i/>
          <w:iCs/>
        </w:rPr>
        <w:t>Journal of Housing Economics</w:t>
      </w:r>
      <w:r w:rsidRPr="00AF5DE4">
        <w:t>,</w:t>
      </w:r>
      <w:r>
        <w:t xml:space="preserve"> 44, pp. 1-25 </w:t>
      </w:r>
      <w:r w:rsidRPr="00AF5DE4">
        <w:t>and</w:t>
      </w:r>
      <w:r>
        <w:t xml:space="preserve"> </w:t>
      </w:r>
      <w:hyperlink r:id="rId2" w:history="1">
        <w:r w:rsidRPr="00F61A0C">
          <w:rPr>
            <w:rStyle w:val="Hyperlink"/>
          </w:rPr>
          <w:t>https://en.wikipedia.org/wiki/Housing_First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532"/>
    <w:multiLevelType w:val="hybridMultilevel"/>
    <w:tmpl w:val="90487D6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D04806"/>
    <w:multiLevelType w:val="hybridMultilevel"/>
    <w:tmpl w:val="03E2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85639"/>
    <w:multiLevelType w:val="hybridMultilevel"/>
    <w:tmpl w:val="2ED2B370"/>
    <w:lvl w:ilvl="0" w:tplc="E7289B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4D0744"/>
    <w:multiLevelType w:val="hybridMultilevel"/>
    <w:tmpl w:val="DD3E26FA"/>
    <w:lvl w:ilvl="0" w:tplc="FA1A7E2C">
      <w:numFmt w:val="bullet"/>
      <w:lvlText w:val="–"/>
      <w:lvlJc w:val="left"/>
      <w:pPr>
        <w:ind w:left="323" w:hanging="360"/>
      </w:pPr>
      <w:rPr>
        <w:rFonts w:ascii="Calibri" w:eastAsiaTheme="minorHAnsi" w:hAnsi="Calibri" w:cstheme="minorHAnsi" w:hint="default"/>
      </w:rPr>
    </w:lvl>
    <w:lvl w:ilvl="1" w:tplc="04090003" w:tentative="1">
      <w:start w:val="1"/>
      <w:numFmt w:val="bullet"/>
      <w:lvlText w:val="o"/>
      <w:lvlJc w:val="left"/>
      <w:pPr>
        <w:ind w:left="1043" w:hanging="360"/>
      </w:pPr>
      <w:rPr>
        <w:rFonts w:ascii="Courier New" w:hAnsi="Courier New" w:cs="Courier New" w:hint="default"/>
      </w:rPr>
    </w:lvl>
    <w:lvl w:ilvl="2" w:tplc="04090005" w:tentative="1">
      <w:start w:val="1"/>
      <w:numFmt w:val="bullet"/>
      <w:lvlText w:val=""/>
      <w:lvlJc w:val="left"/>
      <w:pPr>
        <w:ind w:left="1763" w:hanging="360"/>
      </w:pPr>
      <w:rPr>
        <w:rFonts w:ascii="Wingdings" w:hAnsi="Wingdings" w:hint="default"/>
      </w:rPr>
    </w:lvl>
    <w:lvl w:ilvl="3" w:tplc="04090001" w:tentative="1">
      <w:start w:val="1"/>
      <w:numFmt w:val="bullet"/>
      <w:lvlText w:val=""/>
      <w:lvlJc w:val="left"/>
      <w:pPr>
        <w:ind w:left="2483" w:hanging="360"/>
      </w:pPr>
      <w:rPr>
        <w:rFonts w:ascii="Symbol" w:hAnsi="Symbol" w:hint="default"/>
      </w:rPr>
    </w:lvl>
    <w:lvl w:ilvl="4" w:tplc="04090003" w:tentative="1">
      <w:start w:val="1"/>
      <w:numFmt w:val="bullet"/>
      <w:lvlText w:val="o"/>
      <w:lvlJc w:val="left"/>
      <w:pPr>
        <w:ind w:left="3203" w:hanging="360"/>
      </w:pPr>
      <w:rPr>
        <w:rFonts w:ascii="Courier New" w:hAnsi="Courier New" w:cs="Courier New" w:hint="default"/>
      </w:rPr>
    </w:lvl>
    <w:lvl w:ilvl="5" w:tplc="04090005" w:tentative="1">
      <w:start w:val="1"/>
      <w:numFmt w:val="bullet"/>
      <w:lvlText w:val=""/>
      <w:lvlJc w:val="left"/>
      <w:pPr>
        <w:ind w:left="3923" w:hanging="360"/>
      </w:pPr>
      <w:rPr>
        <w:rFonts w:ascii="Wingdings" w:hAnsi="Wingdings" w:hint="default"/>
      </w:rPr>
    </w:lvl>
    <w:lvl w:ilvl="6" w:tplc="04090001" w:tentative="1">
      <w:start w:val="1"/>
      <w:numFmt w:val="bullet"/>
      <w:lvlText w:val=""/>
      <w:lvlJc w:val="left"/>
      <w:pPr>
        <w:ind w:left="4643" w:hanging="360"/>
      </w:pPr>
      <w:rPr>
        <w:rFonts w:ascii="Symbol" w:hAnsi="Symbol" w:hint="default"/>
      </w:rPr>
    </w:lvl>
    <w:lvl w:ilvl="7" w:tplc="04090003" w:tentative="1">
      <w:start w:val="1"/>
      <w:numFmt w:val="bullet"/>
      <w:lvlText w:val="o"/>
      <w:lvlJc w:val="left"/>
      <w:pPr>
        <w:ind w:left="5363" w:hanging="360"/>
      </w:pPr>
      <w:rPr>
        <w:rFonts w:ascii="Courier New" w:hAnsi="Courier New" w:cs="Courier New" w:hint="default"/>
      </w:rPr>
    </w:lvl>
    <w:lvl w:ilvl="8" w:tplc="04090005" w:tentative="1">
      <w:start w:val="1"/>
      <w:numFmt w:val="bullet"/>
      <w:lvlText w:val=""/>
      <w:lvlJc w:val="left"/>
      <w:pPr>
        <w:ind w:left="6083" w:hanging="360"/>
      </w:pPr>
      <w:rPr>
        <w:rFonts w:ascii="Wingdings" w:hAnsi="Wingdings" w:hint="default"/>
      </w:rPr>
    </w:lvl>
  </w:abstractNum>
  <w:abstractNum w:abstractNumId="4" w15:restartNumberingAfterBreak="0">
    <w:nsid w:val="0E0E53BA"/>
    <w:multiLevelType w:val="hybridMultilevel"/>
    <w:tmpl w:val="6ED68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57C18"/>
    <w:multiLevelType w:val="hybridMultilevel"/>
    <w:tmpl w:val="F61AEEA6"/>
    <w:lvl w:ilvl="0" w:tplc="F16EB3D2">
      <w:start w:val="1"/>
      <w:numFmt w:val="bullet"/>
      <w:lvlText w:val="•"/>
      <w:lvlJc w:val="left"/>
      <w:pPr>
        <w:tabs>
          <w:tab w:val="num" w:pos="720"/>
        </w:tabs>
        <w:ind w:left="720" w:hanging="360"/>
      </w:pPr>
      <w:rPr>
        <w:rFonts w:ascii="Times New Roman" w:hAnsi="Times New Roman" w:hint="default"/>
      </w:rPr>
    </w:lvl>
    <w:lvl w:ilvl="1" w:tplc="0CF09450">
      <w:numFmt w:val="none"/>
      <w:lvlText w:val=""/>
      <w:lvlJc w:val="left"/>
      <w:pPr>
        <w:tabs>
          <w:tab w:val="num" w:pos="360"/>
        </w:tabs>
      </w:pPr>
    </w:lvl>
    <w:lvl w:ilvl="2" w:tplc="393E5228" w:tentative="1">
      <w:start w:val="1"/>
      <w:numFmt w:val="bullet"/>
      <w:lvlText w:val="•"/>
      <w:lvlJc w:val="left"/>
      <w:pPr>
        <w:tabs>
          <w:tab w:val="num" w:pos="2160"/>
        </w:tabs>
        <w:ind w:left="2160" w:hanging="360"/>
      </w:pPr>
      <w:rPr>
        <w:rFonts w:ascii="Times New Roman" w:hAnsi="Times New Roman" w:hint="default"/>
      </w:rPr>
    </w:lvl>
    <w:lvl w:ilvl="3" w:tplc="5EBA615C" w:tentative="1">
      <w:start w:val="1"/>
      <w:numFmt w:val="bullet"/>
      <w:lvlText w:val="•"/>
      <w:lvlJc w:val="left"/>
      <w:pPr>
        <w:tabs>
          <w:tab w:val="num" w:pos="2880"/>
        </w:tabs>
        <w:ind w:left="2880" w:hanging="360"/>
      </w:pPr>
      <w:rPr>
        <w:rFonts w:ascii="Times New Roman" w:hAnsi="Times New Roman" w:hint="default"/>
      </w:rPr>
    </w:lvl>
    <w:lvl w:ilvl="4" w:tplc="649E682C" w:tentative="1">
      <w:start w:val="1"/>
      <w:numFmt w:val="bullet"/>
      <w:lvlText w:val="•"/>
      <w:lvlJc w:val="left"/>
      <w:pPr>
        <w:tabs>
          <w:tab w:val="num" w:pos="3600"/>
        </w:tabs>
        <w:ind w:left="3600" w:hanging="360"/>
      </w:pPr>
      <w:rPr>
        <w:rFonts w:ascii="Times New Roman" w:hAnsi="Times New Roman" w:hint="default"/>
      </w:rPr>
    </w:lvl>
    <w:lvl w:ilvl="5" w:tplc="DFBA5C36" w:tentative="1">
      <w:start w:val="1"/>
      <w:numFmt w:val="bullet"/>
      <w:lvlText w:val="•"/>
      <w:lvlJc w:val="left"/>
      <w:pPr>
        <w:tabs>
          <w:tab w:val="num" w:pos="4320"/>
        </w:tabs>
        <w:ind w:left="4320" w:hanging="360"/>
      </w:pPr>
      <w:rPr>
        <w:rFonts w:ascii="Times New Roman" w:hAnsi="Times New Roman" w:hint="default"/>
      </w:rPr>
    </w:lvl>
    <w:lvl w:ilvl="6" w:tplc="FBD0056E" w:tentative="1">
      <w:start w:val="1"/>
      <w:numFmt w:val="bullet"/>
      <w:lvlText w:val="•"/>
      <w:lvlJc w:val="left"/>
      <w:pPr>
        <w:tabs>
          <w:tab w:val="num" w:pos="5040"/>
        </w:tabs>
        <w:ind w:left="5040" w:hanging="360"/>
      </w:pPr>
      <w:rPr>
        <w:rFonts w:ascii="Times New Roman" w:hAnsi="Times New Roman" w:hint="default"/>
      </w:rPr>
    </w:lvl>
    <w:lvl w:ilvl="7" w:tplc="AE766A74" w:tentative="1">
      <w:start w:val="1"/>
      <w:numFmt w:val="bullet"/>
      <w:lvlText w:val="•"/>
      <w:lvlJc w:val="left"/>
      <w:pPr>
        <w:tabs>
          <w:tab w:val="num" w:pos="5760"/>
        </w:tabs>
        <w:ind w:left="5760" w:hanging="360"/>
      </w:pPr>
      <w:rPr>
        <w:rFonts w:ascii="Times New Roman" w:hAnsi="Times New Roman" w:hint="default"/>
      </w:rPr>
    </w:lvl>
    <w:lvl w:ilvl="8" w:tplc="60E217A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E92A7E"/>
    <w:multiLevelType w:val="hybridMultilevel"/>
    <w:tmpl w:val="D2A0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6242A7"/>
    <w:multiLevelType w:val="hybridMultilevel"/>
    <w:tmpl w:val="7E88CA5A"/>
    <w:lvl w:ilvl="0" w:tplc="E7289B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0CC101A"/>
    <w:multiLevelType w:val="hybridMultilevel"/>
    <w:tmpl w:val="B2DACD40"/>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9" w15:restartNumberingAfterBreak="0">
    <w:nsid w:val="11FB6F33"/>
    <w:multiLevelType w:val="hybridMultilevel"/>
    <w:tmpl w:val="83CE1C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54EBD"/>
    <w:multiLevelType w:val="hybridMultilevel"/>
    <w:tmpl w:val="E84C4BAA"/>
    <w:lvl w:ilvl="0" w:tplc="E7289B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051058F"/>
    <w:multiLevelType w:val="hybridMultilevel"/>
    <w:tmpl w:val="E3DAA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BFC0EBC"/>
    <w:multiLevelType w:val="hybridMultilevel"/>
    <w:tmpl w:val="0D6C3FBC"/>
    <w:lvl w:ilvl="0" w:tplc="E7289B70">
      <w:numFmt w:val="bullet"/>
      <w:lvlText w:val="-"/>
      <w:lvlJc w:val="left"/>
      <w:pPr>
        <w:ind w:left="768" w:hanging="360"/>
      </w:pPr>
      <w:rPr>
        <w:rFonts w:ascii="Calibri" w:eastAsiaTheme="minorHAnsi" w:hAnsi="Calibri" w:cs="Calibri" w:hint="default"/>
      </w:rPr>
    </w:lvl>
    <w:lvl w:ilvl="1" w:tplc="04100003">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13" w15:restartNumberingAfterBreak="0">
    <w:nsid w:val="2CFA1C78"/>
    <w:multiLevelType w:val="hybridMultilevel"/>
    <w:tmpl w:val="2CA87FB8"/>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DF370C6"/>
    <w:multiLevelType w:val="hybridMultilevel"/>
    <w:tmpl w:val="4A0AB0FA"/>
    <w:lvl w:ilvl="0" w:tplc="E7289B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F3B185C"/>
    <w:multiLevelType w:val="hybridMultilevel"/>
    <w:tmpl w:val="903482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F644DBC"/>
    <w:multiLevelType w:val="hybridMultilevel"/>
    <w:tmpl w:val="89E0BB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38097D3A"/>
    <w:multiLevelType w:val="hybridMultilevel"/>
    <w:tmpl w:val="6A7A62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B8143C"/>
    <w:multiLevelType w:val="hybridMultilevel"/>
    <w:tmpl w:val="79FE613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9D13583"/>
    <w:multiLevelType w:val="hybridMultilevel"/>
    <w:tmpl w:val="295057AA"/>
    <w:lvl w:ilvl="0" w:tplc="A246011A">
      <w:start w:val="1"/>
      <w:numFmt w:val="bullet"/>
      <w:lvlText w:val="•"/>
      <w:lvlJc w:val="left"/>
      <w:pPr>
        <w:tabs>
          <w:tab w:val="num" w:pos="360"/>
        </w:tabs>
        <w:ind w:left="360" w:hanging="360"/>
      </w:pPr>
      <w:rPr>
        <w:rFonts w:ascii="Times New Roman" w:hAnsi="Times New Roman" w:hint="default"/>
        <w:sz w:val="28"/>
        <w:szCs w:val="2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D2901E4"/>
    <w:multiLevelType w:val="multilevel"/>
    <w:tmpl w:val="696E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F4666F"/>
    <w:multiLevelType w:val="hybridMultilevel"/>
    <w:tmpl w:val="FAF8C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BC207F0"/>
    <w:multiLevelType w:val="hybridMultilevel"/>
    <w:tmpl w:val="7C8452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BC74324"/>
    <w:multiLevelType w:val="hybridMultilevel"/>
    <w:tmpl w:val="F1E43F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F04AD"/>
    <w:multiLevelType w:val="hybridMultilevel"/>
    <w:tmpl w:val="40ECEF8C"/>
    <w:lvl w:ilvl="0" w:tplc="04100001">
      <w:start w:val="1"/>
      <w:numFmt w:val="bullet"/>
      <w:lvlText w:val=""/>
      <w:lvlJc w:val="left"/>
      <w:pPr>
        <w:ind w:left="768" w:hanging="360"/>
      </w:pPr>
      <w:rPr>
        <w:rFonts w:ascii="Symbol" w:hAnsi="Symbol"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25" w15:restartNumberingAfterBreak="0">
    <w:nsid w:val="4E9744FE"/>
    <w:multiLevelType w:val="hybridMultilevel"/>
    <w:tmpl w:val="033C7B16"/>
    <w:lvl w:ilvl="0" w:tplc="E7289B70">
      <w:numFmt w:val="bullet"/>
      <w:lvlText w:val="-"/>
      <w:lvlJc w:val="left"/>
      <w:pPr>
        <w:ind w:left="768" w:hanging="360"/>
      </w:pPr>
      <w:rPr>
        <w:rFonts w:ascii="Calibri" w:eastAsiaTheme="minorHAnsi" w:hAnsi="Calibri" w:cs="Calibri" w:hint="default"/>
      </w:rPr>
    </w:lvl>
    <w:lvl w:ilvl="1" w:tplc="04100003" w:tentative="1">
      <w:start w:val="1"/>
      <w:numFmt w:val="bullet"/>
      <w:lvlText w:val="o"/>
      <w:lvlJc w:val="left"/>
      <w:pPr>
        <w:ind w:left="1488" w:hanging="360"/>
      </w:pPr>
      <w:rPr>
        <w:rFonts w:ascii="Courier New" w:hAnsi="Courier New" w:cs="Courier New" w:hint="default"/>
      </w:rPr>
    </w:lvl>
    <w:lvl w:ilvl="2" w:tplc="04100005" w:tentative="1">
      <w:start w:val="1"/>
      <w:numFmt w:val="bullet"/>
      <w:lvlText w:val=""/>
      <w:lvlJc w:val="left"/>
      <w:pPr>
        <w:ind w:left="2208" w:hanging="360"/>
      </w:pPr>
      <w:rPr>
        <w:rFonts w:ascii="Wingdings" w:hAnsi="Wingdings" w:hint="default"/>
      </w:rPr>
    </w:lvl>
    <w:lvl w:ilvl="3" w:tplc="04100001" w:tentative="1">
      <w:start w:val="1"/>
      <w:numFmt w:val="bullet"/>
      <w:lvlText w:val=""/>
      <w:lvlJc w:val="left"/>
      <w:pPr>
        <w:ind w:left="2928" w:hanging="360"/>
      </w:pPr>
      <w:rPr>
        <w:rFonts w:ascii="Symbol" w:hAnsi="Symbol" w:hint="default"/>
      </w:rPr>
    </w:lvl>
    <w:lvl w:ilvl="4" w:tplc="04100003" w:tentative="1">
      <w:start w:val="1"/>
      <w:numFmt w:val="bullet"/>
      <w:lvlText w:val="o"/>
      <w:lvlJc w:val="left"/>
      <w:pPr>
        <w:ind w:left="3648" w:hanging="360"/>
      </w:pPr>
      <w:rPr>
        <w:rFonts w:ascii="Courier New" w:hAnsi="Courier New" w:cs="Courier New" w:hint="default"/>
      </w:rPr>
    </w:lvl>
    <w:lvl w:ilvl="5" w:tplc="04100005" w:tentative="1">
      <w:start w:val="1"/>
      <w:numFmt w:val="bullet"/>
      <w:lvlText w:val=""/>
      <w:lvlJc w:val="left"/>
      <w:pPr>
        <w:ind w:left="4368" w:hanging="360"/>
      </w:pPr>
      <w:rPr>
        <w:rFonts w:ascii="Wingdings" w:hAnsi="Wingdings" w:hint="default"/>
      </w:rPr>
    </w:lvl>
    <w:lvl w:ilvl="6" w:tplc="04100001" w:tentative="1">
      <w:start w:val="1"/>
      <w:numFmt w:val="bullet"/>
      <w:lvlText w:val=""/>
      <w:lvlJc w:val="left"/>
      <w:pPr>
        <w:ind w:left="5088" w:hanging="360"/>
      </w:pPr>
      <w:rPr>
        <w:rFonts w:ascii="Symbol" w:hAnsi="Symbol" w:hint="default"/>
      </w:rPr>
    </w:lvl>
    <w:lvl w:ilvl="7" w:tplc="04100003" w:tentative="1">
      <w:start w:val="1"/>
      <w:numFmt w:val="bullet"/>
      <w:lvlText w:val="o"/>
      <w:lvlJc w:val="left"/>
      <w:pPr>
        <w:ind w:left="5808" w:hanging="360"/>
      </w:pPr>
      <w:rPr>
        <w:rFonts w:ascii="Courier New" w:hAnsi="Courier New" w:cs="Courier New" w:hint="default"/>
      </w:rPr>
    </w:lvl>
    <w:lvl w:ilvl="8" w:tplc="04100005" w:tentative="1">
      <w:start w:val="1"/>
      <w:numFmt w:val="bullet"/>
      <w:lvlText w:val=""/>
      <w:lvlJc w:val="left"/>
      <w:pPr>
        <w:ind w:left="6528" w:hanging="360"/>
      </w:pPr>
      <w:rPr>
        <w:rFonts w:ascii="Wingdings" w:hAnsi="Wingdings" w:hint="default"/>
      </w:rPr>
    </w:lvl>
  </w:abstractNum>
  <w:abstractNum w:abstractNumId="26" w15:restartNumberingAfterBreak="0">
    <w:nsid w:val="53D8517B"/>
    <w:multiLevelType w:val="hybridMultilevel"/>
    <w:tmpl w:val="2CF2BDB6"/>
    <w:lvl w:ilvl="0" w:tplc="E7289B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1316070"/>
    <w:multiLevelType w:val="hybridMultilevel"/>
    <w:tmpl w:val="0492B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2E8320A"/>
    <w:multiLevelType w:val="hybridMultilevel"/>
    <w:tmpl w:val="BB32270E"/>
    <w:lvl w:ilvl="0" w:tplc="E7289B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79C1697"/>
    <w:multiLevelType w:val="hybridMultilevel"/>
    <w:tmpl w:val="C3C60CD6"/>
    <w:lvl w:ilvl="0" w:tplc="E7289B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B25179"/>
    <w:multiLevelType w:val="hybridMultilevel"/>
    <w:tmpl w:val="A1E09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11"/>
  </w:num>
  <w:num w:numId="4">
    <w:abstractNumId w:val="24"/>
  </w:num>
  <w:num w:numId="5">
    <w:abstractNumId w:val="8"/>
  </w:num>
  <w:num w:numId="6">
    <w:abstractNumId w:val="22"/>
  </w:num>
  <w:num w:numId="7">
    <w:abstractNumId w:val="21"/>
  </w:num>
  <w:num w:numId="8">
    <w:abstractNumId w:val="30"/>
  </w:num>
  <w:num w:numId="9">
    <w:abstractNumId w:val="4"/>
  </w:num>
  <w:num w:numId="10">
    <w:abstractNumId w:val="23"/>
  </w:num>
  <w:num w:numId="11">
    <w:abstractNumId w:val="6"/>
  </w:num>
  <w:num w:numId="12">
    <w:abstractNumId w:val="1"/>
  </w:num>
  <w:num w:numId="13">
    <w:abstractNumId w:val="18"/>
  </w:num>
  <w:num w:numId="14">
    <w:abstractNumId w:val="9"/>
  </w:num>
  <w:num w:numId="15">
    <w:abstractNumId w:val="7"/>
  </w:num>
  <w:num w:numId="16">
    <w:abstractNumId w:val="10"/>
  </w:num>
  <w:num w:numId="17">
    <w:abstractNumId w:val="26"/>
  </w:num>
  <w:num w:numId="18">
    <w:abstractNumId w:val="28"/>
  </w:num>
  <w:num w:numId="19">
    <w:abstractNumId w:val="2"/>
  </w:num>
  <w:num w:numId="20">
    <w:abstractNumId w:val="14"/>
  </w:num>
  <w:num w:numId="21">
    <w:abstractNumId w:val="29"/>
  </w:num>
  <w:num w:numId="22">
    <w:abstractNumId w:val="25"/>
  </w:num>
  <w:num w:numId="23">
    <w:abstractNumId w:val="12"/>
  </w:num>
  <w:num w:numId="24">
    <w:abstractNumId w:val="13"/>
  </w:num>
  <w:num w:numId="25">
    <w:abstractNumId w:val="20"/>
  </w:num>
  <w:num w:numId="26">
    <w:abstractNumId w:val="0"/>
  </w:num>
  <w:num w:numId="27">
    <w:abstractNumId w:val="15"/>
  </w:num>
  <w:num w:numId="28">
    <w:abstractNumId w:val="5"/>
  </w:num>
  <w:num w:numId="29">
    <w:abstractNumId w:val="27"/>
  </w:num>
  <w:num w:numId="30">
    <w:abstractNumId w:val="19"/>
  </w:num>
  <w:num w:numId="31">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A2C"/>
    <w:rsid w:val="00000A90"/>
    <w:rsid w:val="0000132B"/>
    <w:rsid w:val="00001CF2"/>
    <w:rsid w:val="00001D5A"/>
    <w:rsid w:val="00002A62"/>
    <w:rsid w:val="00002B47"/>
    <w:rsid w:val="00003638"/>
    <w:rsid w:val="00003F02"/>
    <w:rsid w:val="000044DA"/>
    <w:rsid w:val="00005342"/>
    <w:rsid w:val="0000692C"/>
    <w:rsid w:val="00006BF8"/>
    <w:rsid w:val="00007902"/>
    <w:rsid w:val="000105AD"/>
    <w:rsid w:val="00012027"/>
    <w:rsid w:val="000123C6"/>
    <w:rsid w:val="00012BAB"/>
    <w:rsid w:val="000146C7"/>
    <w:rsid w:val="0001598D"/>
    <w:rsid w:val="00016BFF"/>
    <w:rsid w:val="0002007F"/>
    <w:rsid w:val="00020242"/>
    <w:rsid w:val="00020CC1"/>
    <w:rsid w:val="00021AC9"/>
    <w:rsid w:val="00021C4F"/>
    <w:rsid w:val="00022FFF"/>
    <w:rsid w:val="00023594"/>
    <w:rsid w:val="00023AB9"/>
    <w:rsid w:val="0002423F"/>
    <w:rsid w:val="000254C9"/>
    <w:rsid w:val="00026AA5"/>
    <w:rsid w:val="000317C3"/>
    <w:rsid w:val="00031EC7"/>
    <w:rsid w:val="000332A1"/>
    <w:rsid w:val="000349EA"/>
    <w:rsid w:val="00035106"/>
    <w:rsid w:val="000351BD"/>
    <w:rsid w:val="00035838"/>
    <w:rsid w:val="00035B45"/>
    <w:rsid w:val="00037671"/>
    <w:rsid w:val="000402EC"/>
    <w:rsid w:val="0004096B"/>
    <w:rsid w:val="0004131A"/>
    <w:rsid w:val="00042339"/>
    <w:rsid w:val="000429ED"/>
    <w:rsid w:val="00042B15"/>
    <w:rsid w:val="000431F6"/>
    <w:rsid w:val="000448C8"/>
    <w:rsid w:val="00045AA6"/>
    <w:rsid w:val="00045FB8"/>
    <w:rsid w:val="000464AC"/>
    <w:rsid w:val="000465A9"/>
    <w:rsid w:val="00047306"/>
    <w:rsid w:val="00047B21"/>
    <w:rsid w:val="00050211"/>
    <w:rsid w:val="00051DDF"/>
    <w:rsid w:val="00053CF5"/>
    <w:rsid w:val="0005413D"/>
    <w:rsid w:val="0005503D"/>
    <w:rsid w:val="0005537F"/>
    <w:rsid w:val="00056817"/>
    <w:rsid w:val="00056B9A"/>
    <w:rsid w:val="00057544"/>
    <w:rsid w:val="000602CB"/>
    <w:rsid w:val="00060A04"/>
    <w:rsid w:val="00060A25"/>
    <w:rsid w:val="00061A04"/>
    <w:rsid w:val="00061EB0"/>
    <w:rsid w:val="000622C5"/>
    <w:rsid w:val="000638CF"/>
    <w:rsid w:val="000644AF"/>
    <w:rsid w:val="00065F6D"/>
    <w:rsid w:val="00065FE5"/>
    <w:rsid w:val="00066273"/>
    <w:rsid w:val="00067659"/>
    <w:rsid w:val="00070643"/>
    <w:rsid w:val="000718A6"/>
    <w:rsid w:val="00071E1D"/>
    <w:rsid w:val="00074246"/>
    <w:rsid w:val="000745BD"/>
    <w:rsid w:val="00075E30"/>
    <w:rsid w:val="000768C0"/>
    <w:rsid w:val="00077FF3"/>
    <w:rsid w:val="00080B4B"/>
    <w:rsid w:val="00080B8E"/>
    <w:rsid w:val="000818D5"/>
    <w:rsid w:val="00081E1C"/>
    <w:rsid w:val="00081E30"/>
    <w:rsid w:val="00082663"/>
    <w:rsid w:val="000827F3"/>
    <w:rsid w:val="00083144"/>
    <w:rsid w:val="00083474"/>
    <w:rsid w:val="000846E0"/>
    <w:rsid w:val="000846F5"/>
    <w:rsid w:val="000852AB"/>
    <w:rsid w:val="00085960"/>
    <w:rsid w:val="00085A99"/>
    <w:rsid w:val="00086FB5"/>
    <w:rsid w:val="00092187"/>
    <w:rsid w:val="00092977"/>
    <w:rsid w:val="00095BBA"/>
    <w:rsid w:val="00097B0D"/>
    <w:rsid w:val="000A1064"/>
    <w:rsid w:val="000A110C"/>
    <w:rsid w:val="000A19BB"/>
    <w:rsid w:val="000A28C6"/>
    <w:rsid w:val="000A3A7A"/>
    <w:rsid w:val="000A5089"/>
    <w:rsid w:val="000A5F42"/>
    <w:rsid w:val="000A6110"/>
    <w:rsid w:val="000A6CC2"/>
    <w:rsid w:val="000A6EA1"/>
    <w:rsid w:val="000B0F00"/>
    <w:rsid w:val="000B1B7E"/>
    <w:rsid w:val="000B2486"/>
    <w:rsid w:val="000B2DD5"/>
    <w:rsid w:val="000B3572"/>
    <w:rsid w:val="000B53CE"/>
    <w:rsid w:val="000B6666"/>
    <w:rsid w:val="000B6BA6"/>
    <w:rsid w:val="000B791D"/>
    <w:rsid w:val="000C1E49"/>
    <w:rsid w:val="000C2094"/>
    <w:rsid w:val="000C4D9A"/>
    <w:rsid w:val="000C537D"/>
    <w:rsid w:val="000C5A83"/>
    <w:rsid w:val="000C609D"/>
    <w:rsid w:val="000C65FF"/>
    <w:rsid w:val="000C6A34"/>
    <w:rsid w:val="000D04C6"/>
    <w:rsid w:val="000D0D32"/>
    <w:rsid w:val="000D2A01"/>
    <w:rsid w:val="000D3948"/>
    <w:rsid w:val="000D3B47"/>
    <w:rsid w:val="000D6786"/>
    <w:rsid w:val="000D7F02"/>
    <w:rsid w:val="000E137A"/>
    <w:rsid w:val="000E142A"/>
    <w:rsid w:val="000E2677"/>
    <w:rsid w:val="000E35A3"/>
    <w:rsid w:val="000E4B75"/>
    <w:rsid w:val="000E5475"/>
    <w:rsid w:val="000E69CF"/>
    <w:rsid w:val="000E796B"/>
    <w:rsid w:val="000F15D3"/>
    <w:rsid w:val="000F2E1F"/>
    <w:rsid w:val="000F2F1C"/>
    <w:rsid w:val="000F376A"/>
    <w:rsid w:val="000F4718"/>
    <w:rsid w:val="000F5ECE"/>
    <w:rsid w:val="000F6810"/>
    <w:rsid w:val="00100714"/>
    <w:rsid w:val="00101CF4"/>
    <w:rsid w:val="00102031"/>
    <w:rsid w:val="00102747"/>
    <w:rsid w:val="00104BF7"/>
    <w:rsid w:val="00104EFC"/>
    <w:rsid w:val="0010531E"/>
    <w:rsid w:val="001065A2"/>
    <w:rsid w:val="00107A27"/>
    <w:rsid w:val="00107E8E"/>
    <w:rsid w:val="001116C4"/>
    <w:rsid w:val="00111D30"/>
    <w:rsid w:val="00112189"/>
    <w:rsid w:val="00113C88"/>
    <w:rsid w:val="00114309"/>
    <w:rsid w:val="00114B16"/>
    <w:rsid w:val="00115C67"/>
    <w:rsid w:val="00115CE1"/>
    <w:rsid w:val="00115F20"/>
    <w:rsid w:val="00116119"/>
    <w:rsid w:val="00116160"/>
    <w:rsid w:val="001162A6"/>
    <w:rsid w:val="00116E42"/>
    <w:rsid w:val="00117573"/>
    <w:rsid w:val="00120F43"/>
    <w:rsid w:val="001241A3"/>
    <w:rsid w:val="0012460E"/>
    <w:rsid w:val="00127402"/>
    <w:rsid w:val="00127771"/>
    <w:rsid w:val="00130916"/>
    <w:rsid w:val="00131366"/>
    <w:rsid w:val="001316CE"/>
    <w:rsid w:val="001340CF"/>
    <w:rsid w:val="00134694"/>
    <w:rsid w:val="001355D1"/>
    <w:rsid w:val="00136694"/>
    <w:rsid w:val="0014303F"/>
    <w:rsid w:val="00143A68"/>
    <w:rsid w:val="00143DE0"/>
    <w:rsid w:val="00143FE1"/>
    <w:rsid w:val="00144E87"/>
    <w:rsid w:val="00144F4E"/>
    <w:rsid w:val="001467CC"/>
    <w:rsid w:val="0014722D"/>
    <w:rsid w:val="00147A56"/>
    <w:rsid w:val="001537CB"/>
    <w:rsid w:val="00153B90"/>
    <w:rsid w:val="0015491A"/>
    <w:rsid w:val="001563A5"/>
    <w:rsid w:val="00157137"/>
    <w:rsid w:val="00157AC6"/>
    <w:rsid w:val="0016023C"/>
    <w:rsid w:val="00160797"/>
    <w:rsid w:val="00160CAE"/>
    <w:rsid w:val="00161941"/>
    <w:rsid w:val="00161F65"/>
    <w:rsid w:val="00162B20"/>
    <w:rsid w:val="00162CF4"/>
    <w:rsid w:val="00163722"/>
    <w:rsid w:val="00163982"/>
    <w:rsid w:val="00164452"/>
    <w:rsid w:val="00164908"/>
    <w:rsid w:val="00164DD2"/>
    <w:rsid w:val="001658C3"/>
    <w:rsid w:val="00166951"/>
    <w:rsid w:val="001713DA"/>
    <w:rsid w:val="00172328"/>
    <w:rsid w:val="00174BCB"/>
    <w:rsid w:val="00177003"/>
    <w:rsid w:val="00180037"/>
    <w:rsid w:val="00181FB5"/>
    <w:rsid w:val="00181FF5"/>
    <w:rsid w:val="001830C2"/>
    <w:rsid w:val="00184B54"/>
    <w:rsid w:val="00184C1F"/>
    <w:rsid w:val="00184F36"/>
    <w:rsid w:val="00185571"/>
    <w:rsid w:val="001859D9"/>
    <w:rsid w:val="00185C7C"/>
    <w:rsid w:val="0018609E"/>
    <w:rsid w:val="001862BB"/>
    <w:rsid w:val="00190BC6"/>
    <w:rsid w:val="00190F71"/>
    <w:rsid w:val="00195323"/>
    <w:rsid w:val="0019570B"/>
    <w:rsid w:val="00195A40"/>
    <w:rsid w:val="00195F37"/>
    <w:rsid w:val="001966FC"/>
    <w:rsid w:val="0019727C"/>
    <w:rsid w:val="00197DDA"/>
    <w:rsid w:val="001A399B"/>
    <w:rsid w:val="001A3AF4"/>
    <w:rsid w:val="001A521B"/>
    <w:rsid w:val="001A5CF2"/>
    <w:rsid w:val="001A707F"/>
    <w:rsid w:val="001A7ADF"/>
    <w:rsid w:val="001A7C46"/>
    <w:rsid w:val="001B013C"/>
    <w:rsid w:val="001B0A58"/>
    <w:rsid w:val="001B153C"/>
    <w:rsid w:val="001B239E"/>
    <w:rsid w:val="001B26ED"/>
    <w:rsid w:val="001B27F0"/>
    <w:rsid w:val="001B3768"/>
    <w:rsid w:val="001B3A55"/>
    <w:rsid w:val="001B665F"/>
    <w:rsid w:val="001B6C01"/>
    <w:rsid w:val="001B6EF6"/>
    <w:rsid w:val="001B7A20"/>
    <w:rsid w:val="001C0929"/>
    <w:rsid w:val="001C442B"/>
    <w:rsid w:val="001C44D3"/>
    <w:rsid w:val="001C6993"/>
    <w:rsid w:val="001D0BC7"/>
    <w:rsid w:val="001D0CC4"/>
    <w:rsid w:val="001D0FE3"/>
    <w:rsid w:val="001D3950"/>
    <w:rsid w:val="001D3CBD"/>
    <w:rsid w:val="001D41D3"/>
    <w:rsid w:val="001D4C62"/>
    <w:rsid w:val="001D5696"/>
    <w:rsid w:val="001D5DC4"/>
    <w:rsid w:val="001D7A93"/>
    <w:rsid w:val="001E0852"/>
    <w:rsid w:val="001E3C41"/>
    <w:rsid w:val="001E4F01"/>
    <w:rsid w:val="001E6D5F"/>
    <w:rsid w:val="001E741F"/>
    <w:rsid w:val="001E790B"/>
    <w:rsid w:val="001F00A5"/>
    <w:rsid w:val="001F39F5"/>
    <w:rsid w:val="001F4235"/>
    <w:rsid w:val="001F47FE"/>
    <w:rsid w:val="001F4E22"/>
    <w:rsid w:val="001F5EDC"/>
    <w:rsid w:val="001F719E"/>
    <w:rsid w:val="001F7E38"/>
    <w:rsid w:val="001F7EE1"/>
    <w:rsid w:val="0020159F"/>
    <w:rsid w:val="00201FF2"/>
    <w:rsid w:val="00202405"/>
    <w:rsid w:val="00206485"/>
    <w:rsid w:val="00207726"/>
    <w:rsid w:val="00207929"/>
    <w:rsid w:val="00211554"/>
    <w:rsid w:val="00212CFB"/>
    <w:rsid w:val="00213464"/>
    <w:rsid w:val="0021460B"/>
    <w:rsid w:val="00215297"/>
    <w:rsid w:val="0021680A"/>
    <w:rsid w:val="002200AF"/>
    <w:rsid w:val="00220508"/>
    <w:rsid w:val="00220A16"/>
    <w:rsid w:val="00220A76"/>
    <w:rsid w:val="002211A0"/>
    <w:rsid w:val="00223E1F"/>
    <w:rsid w:val="00224D75"/>
    <w:rsid w:val="00225199"/>
    <w:rsid w:val="00226191"/>
    <w:rsid w:val="002273F7"/>
    <w:rsid w:val="0023024B"/>
    <w:rsid w:val="002317C3"/>
    <w:rsid w:val="0023289B"/>
    <w:rsid w:val="00232C18"/>
    <w:rsid w:val="00233FFF"/>
    <w:rsid w:val="002349B8"/>
    <w:rsid w:val="00240801"/>
    <w:rsid w:val="0024084F"/>
    <w:rsid w:val="00241071"/>
    <w:rsid w:val="00241D21"/>
    <w:rsid w:val="0024336B"/>
    <w:rsid w:val="002435A6"/>
    <w:rsid w:val="002449D4"/>
    <w:rsid w:val="00246102"/>
    <w:rsid w:val="00246368"/>
    <w:rsid w:val="00252D7E"/>
    <w:rsid w:val="00253106"/>
    <w:rsid w:val="00253BEA"/>
    <w:rsid w:val="00254050"/>
    <w:rsid w:val="002548C0"/>
    <w:rsid w:val="00254A72"/>
    <w:rsid w:val="00254D30"/>
    <w:rsid w:val="0025552E"/>
    <w:rsid w:val="002569C4"/>
    <w:rsid w:val="0025736C"/>
    <w:rsid w:val="002574B6"/>
    <w:rsid w:val="00260022"/>
    <w:rsid w:val="00262ED8"/>
    <w:rsid w:val="00263506"/>
    <w:rsid w:val="002637FA"/>
    <w:rsid w:val="0026391F"/>
    <w:rsid w:val="00263B85"/>
    <w:rsid w:val="00263CBE"/>
    <w:rsid w:val="00267018"/>
    <w:rsid w:val="002670A8"/>
    <w:rsid w:val="00267D55"/>
    <w:rsid w:val="002702A9"/>
    <w:rsid w:val="00270896"/>
    <w:rsid w:val="00271153"/>
    <w:rsid w:val="002714E3"/>
    <w:rsid w:val="00271FF3"/>
    <w:rsid w:val="00273DCA"/>
    <w:rsid w:val="002750B8"/>
    <w:rsid w:val="00275221"/>
    <w:rsid w:val="00275251"/>
    <w:rsid w:val="00276D58"/>
    <w:rsid w:val="00277472"/>
    <w:rsid w:val="002829B5"/>
    <w:rsid w:val="00282FFE"/>
    <w:rsid w:val="00283A4D"/>
    <w:rsid w:val="00283BBF"/>
    <w:rsid w:val="002862DD"/>
    <w:rsid w:val="00286AFD"/>
    <w:rsid w:val="0028738D"/>
    <w:rsid w:val="002879EA"/>
    <w:rsid w:val="002903D5"/>
    <w:rsid w:val="00291AA6"/>
    <w:rsid w:val="0029257A"/>
    <w:rsid w:val="002949A0"/>
    <w:rsid w:val="0029516D"/>
    <w:rsid w:val="00295AF1"/>
    <w:rsid w:val="00296B5B"/>
    <w:rsid w:val="0029703F"/>
    <w:rsid w:val="002976C5"/>
    <w:rsid w:val="002A006C"/>
    <w:rsid w:val="002A088C"/>
    <w:rsid w:val="002A0944"/>
    <w:rsid w:val="002A0DA6"/>
    <w:rsid w:val="002A26A6"/>
    <w:rsid w:val="002A4E9A"/>
    <w:rsid w:val="002A619E"/>
    <w:rsid w:val="002A7409"/>
    <w:rsid w:val="002A7ADC"/>
    <w:rsid w:val="002A7CC2"/>
    <w:rsid w:val="002B1D84"/>
    <w:rsid w:val="002B2B19"/>
    <w:rsid w:val="002B37FF"/>
    <w:rsid w:val="002B400A"/>
    <w:rsid w:val="002B4330"/>
    <w:rsid w:val="002B5AE1"/>
    <w:rsid w:val="002B602B"/>
    <w:rsid w:val="002B79EF"/>
    <w:rsid w:val="002B7B33"/>
    <w:rsid w:val="002C2383"/>
    <w:rsid w:val="002C3A3C"/>
    <w:rsid w:val="002C4D45"/>
    <w:rsid w:val="002C55D8"/>
    <w:rsid w:val="002C645B"/>
    <w:rsid w:val="002C676C"/>
    <w:rsid w:val="002C736F"/>
    <w:rsid w:val="002C7940"/>
    <w:rsid w:val="002C7F06"/>
    <w:rsid w:val="002D0C01"/>
    <w:rsid w:val="002D25D9"/>
    <w:rsid w:val="002D30AB"/>
    <w:rsid w:val="002D7497"/>
    <w:rsid w:val="002E13A0"/>
    <w:rsid w:val="002E16C0"/>
    <w:rsid w:val="002E1718"/>
    <w:rsid w:val="002E21DB"/>
    <w:rsid w:val="002E3EF3"/>
    <w:rsid w:val="002E3FE7"/>
    <w:rsid w:val="002E4305"/>
    <w:rsid w:val="002E4D6C"/>
    <w:rsid w:val="002E5B72"/>
    <w:rsid w:val="002E64F3"/>
    <w:rsid w:val="002F0802"/>
    <w:rsid w:val="002F0FC7"/>
    <w:rsid w:val="002F164D"/>
    <w:rsid w:val="002F2025"/>
    <w:rsid w:val="002F245C"/>
    <w:rsid w:val="002F26E9"/>
    <w:rsid w:val="002F4309"/>
    <w:rsid w:val="002F4757"/>
    <w:rsid w:val="002F5231"/>
    <w:rsid w:val="002F52DA"/>
    <w:rsid w:val="002F6424"/>
    <w:rsid w:val="00300B9F"/>
    <w:rsid w:val="00301123"/>
    <w:rsid w:val="00301B47"/>
    <w:rsid w:val="0030279C"/>
    <w:rsid w:val="00303CD8"/>
    <w:rsid w:val="00304B4D"/>
    <w:rsid w:val="00304F26"/>
    <w:rsid w:val="00306203"/>
    <w:rsid w:val="00310103"/>
    <w:rsid w:val="00310935"/>
    <w:rsid w:val="00310B3B"/>
    <w:rsid w:val="00312490"/>
    <w:rsid w:val="003157F9"/>
    <w:rsid w:val="00317F00"/>
    <w:rsid w:val="00321448"/>
    <w:rsid w:val="0032169D"/>
    <w:rsid w:val="00321F20"/>
    <w:rsid w:val="00325004"/>
    <w:rsid w:val="00325EE0"/>
    <w:rsid w:val="003262B3"/>
    <w:rsid w:val="0033081E"/>
    <w:rsid w:val="003317AC"/>
    <w:rsid w:val="0033558E"/>
    <w:rsid w:val="00335941"/>
    <w:rsid w:val="00335DAF"/>
    <w:rsid w:val="00336320"/>
    <w:rsid w:val="003369D5"/>
    <w:rsid w:val="00337169"/>
    <w:rsid w:val="003373EC"/>
    <w:rsid w:val="00337DC1"/>
    <w:rsid w:val="00340607"/>
    <w:rsid w:val="0034153B"/>
    <w:rsid w:val="00341778"/>
    <w:rsid w:val="003420DE"/>
    <w:rsid w:val="003429B9"/>
    <w:rsid w:val="003436D9"/>
    <w:rsid w:val="00344DB8"/>
    <w:rsid w:val="00345107"/>
    <w:rsid w:val="00345487"/>
    <w:rsid w:val="0034562F"/>
    <w:rsid w:val="003465D3"/>
    <w:rsid w:val="00346D7D"/>
    <w:rsid w:val="00350A34"/>
    <w:rsid w:val="00351A6D"/>
    <w:rsid w:val="00353859"/>
    <w:rsid w:val="00355187"/>
    <w:rsid w:val="0035633D"/>
    <w:rsid w:val="00357F15"/>
    <w:rsid w:val="003610CD"/>
    <w:rsid w:val="00362D3B"/>
    <w:rsid w:val="00362D83"/>
    <w:rsid w:val="0036319B"/>
    <w:rsid w:val="00363EEF"/>
    <w:rsid w:val="0037020F"/>
    <w:rsid w:val="00370A0D"/>
    <w:rsid w:val="0037133A"/>
    <w:rsid w:val="003776EA"/>
    <w:rsid w:val="00377AF5"/>
    <w:rsid w:val="0038146B"/>
    <w:rsid w:val="0038326B"/>
    <w:rsid w:val="003848A9"/>
    <w:rsid w:val="00384998"/>
    <w:rsid w:val="003851B8"/>
    <w:rsid w:val="00385394"/>
    <w:rsid w:val="00385BD0"/>
    <w:rsid w:val="003874DF"/>
    <w:rsid w:val="003921E3"/>
    <w:rsid w:val="00392CDC"/>
    <w:rsid w:val="0039335E"/>
    <w:rsid w:val="00393C5D"/>
    <w:rsid w:val="003951A8"/>
    <w:rsid w:val="00395305"/>
    <w:rsid w:val="003967BF"/>
    <w:rsid w:val="003979A7"/>
    <w:rsid w:val="003A035A"/>
    <w:rsid w:val="003A0584"/>
    <w:rsid w:val="003A1BA9"/>
    <w:rsid w:val="003A1C29"/>
    <w:rsid w:val="003A3548"/>
    <w:rsid w:val="003A66C5"/>
    <w:rsid w:val="003A672B"/>
    <w:rsid w:val="003A6F48"/>
    <w:rsid w:val="003A754D"/>
    <w:rsid w:val="003A7576"/>
    <w:rsid w:val="003A7CD5"/>
    <w:rsid w:val="003A7DD2"/>
    <w:rsid w:val="003A7ECE"/>
    <w:rsid w:val="003B042B"/>
    <w:rsid w:val="003B2C8F"/>
    <w:rsid w:val="003B2FFA"/>
    <w:rsid w:val="003B373E"/>
    <w:rsid w:val="003B53A2"/>
    <w:rsid w:val="003B7394"/>
    <w:rsid w:val="003C195A"/>
    <w:rsid w:val="003C19BD"/>
    <w:rsid w:val="003C204B"/>
    <w:rsid w:val="003C2946"/>
    <w:rsid w:val="003C2AA0"/>
    <w:rsid w:val="003C3CBF"/>
    <w:rsid w:val="003C3D79"/>
    <w:rsid w:val="003C3ED6"/>
    <w:rsid w:val="003C52F4"/>
    <w:rsid w:val="003D01A0"/>
    <w:rsid w:val="003D0A8E"/>
    <w:rsid w:val="003D3ACE"/>
    <w:rsid w:val="003D6E09"/>
    <w:rsid w:val="003D74BE"/>
    <w:rsid w:val="003D77BF"/>
    <w:rsid w:val="003E055F"/>
    <w:rsid w:val="003E0E70"/>
    <w:rsid w:val="003E15BE"/>
    <w:rsid w:val="003E2B43"/>
    <w:rsid w:val="003E2D23"/>
    <w:rsid w:val="003E2D7A"/>
    <w:rsid w:val="003E4478"/>
    <w:rsid w:val="003E4678"/>
    <w:rsid w:val="003E48CF"/>
    <w:rsid w:val="003E4E47"/>
    <w:rsid w:val="003E6C1B"/>
    <w:rsid w:val="003E71C5"/>
    <w:rsid w:val="003F0AF2"/>
    <w:rsid w:val="003F20B6"/>
    <w:rsid w:val="003F303B"/>
    <w:rsid w:val="003F345D"/>
    <w:rsid w:val="003F3C2D"/>
    <w:rsid w:val="003F498D"/>
    <w:rsid w:val="003F4EF6"/>
    <w:rsid w:val="003F564F"/>
    <w:rsid w:val="003F5C73"/>
    <w:rsid w:val="003F5D0A"/>
    <w:rsid w:val="003F61D4"/>
    <w:rsid w:val="003F6708"/>
    <w:rsid w:val="003F7954"/>
    <w:rsid w:val="00401970"/>
    <w:rsid w:val="0040235B"/>
    <w:rsid w:val="004042B9"/>
    <w:rsid w:val="004047CC"/>
    <w:rsid w:val="00405F9B"/>
    <w:rsid w:val="00406192"/>
    <w:rsid w:val="00406701"/>
    <w:rsid w:val="0040670A"/>
    <w:rsid w:val="004076AD"/>
    <w:rsid w:val="00407B2C"/>
    <w:rsid w:val="00407BCB"/>
    <w:rsid w:val="00410062"/>
    <w:rsid w:val="004104E3"/>
    <w:rsid w:val="004128DF"/>
    <w:rsid w:val="004134DF"/>
    <w:rsid w:val="00413577"/>
    <w:rsid w:val="00414BDB"/>
    <w:rsid w:val="00415C4E"/>
    <w:rsid w:val="0041763E"/>
    <w:rsid w:val="00420294"/>
    <w:rsid w:val="00423682"/>
    <w:rsid w:val="00423E38"/>
    <w:rsid w:val="00424379"/>
    <w:rsid w:val="004245FC"/>
    <w:rsid w:val="00424E0D"/>
    <w:rsid w:val="00425134"/>
    <w:rsid w:val="00425A3B"/>
    <w:rsid w:val="00426FCF"/>
    <w:rsid w:val="00427EB2"/>
    <w:rsid w:val="004306C9"/>
    <w:rsid w:val="004330B2"/>
    <w:rsid w:val="00434629"/>
    <w:rsid w:val="00434EE9"/>
    <w:rsid w:val="004357C1"/>
    <w:rsid w:val="004360B9"/>
    <w:rsid w:val="0043630D"/>
    <w:rsid w:val="00436D6E"/>
    <w:rsid w:val="00441ACF"/>
    <w:rsid w:val="00442F03"/>
    <w:rsid w:val="0044339C"/>
    <w:rsid w:val="00444D23"/>
    <w:rsid w:val="0044713F"/>
    <w:rsid w:val="004472A3"/>
    <w:rsid w:val="004477C6"/>
    <w:rsid w:val="0045083F"/>
    <w:rsid w:val="00450A92"/>
    <w:rsid w:val="0045141B"/>
    <w:rsid w:val="00451749"/>
    <w:rsid w:val="00452448"/>
    <w:rsid w:val="00452888"/>
    <w:rsid w:val="004531A1"/>
    <w:rsid w:val="00453C90"/>
    <w:rsid w:val="00454277"/>
    <w:rsid w:val="00454C26"/>
    <w:rsid w:val="004566A3"/>
    <w:rsid w:val="00460D0B"/>
    <w:rsid w:val="0046220A"/>
    <w:rsid w:val="004629CA"/>
    <w:rsid w:val="00462C33"/>
    <w:rsid w:val="00462D0D"/>
    <w:rsid w:val="00470F92"/>
    <w:rsid w:val="00471063"/>
    <w:rsid w:val="0047187F"/>
    <w:rsid w:val="0047205D"/>
    <w:rsid w:val="0047374F"/>
    <w:rsid w:val="00473F78"/>
    <w:rsid w:val="0047582A"/>
    <w:rsid w:val="00477529"/>
    <w:rsid w:val="004804EB"/>
    <w:rsid w:val="004805A0"/>
    <w:rsid w:val="00483363"/>
    <w:rsid w:val="00485015"/>
    <w:rsid w:val="00485A5E"/>
    <w:rsid w:val="00485B10"/>
    <w:rsid w:val="004918F9"/>
    <w:rsid w:val="004925E6"/>
    <w:rsid w:val="00493139"/>
    <w:rsid w:val="004944B3"/>
    <w:rsid w:val="00494C9F"/>
    <w:rsid w:val="00495AE9"/>
    <w:rsid w:val="00495B10"/>
    <w:rsid w:val="00495B6A"/>
    <w:rsid w:val="00496FF6"/>
    <w:rsid w:val="0049708B"/>
    <w:rsid w:val="004970A1"/>
    <w:rsid w:val="004972E1"/>
    <w:rsid w:val="004974A3"/>
    <w:rsid w:val="004A3E26"/>
    <w:rsid w:val="004A3F5D"/>
    <w:rsid w:val="004A4DBB"/>
    <w:rsid w:val="004A5C57"/>
    <w:rsid w:val="004A72A2"/>
    <w:rsid w:val="004A732D"/>
    <w:rsid w:val="004A7F9F"/>
    <w:rsid w:val="004B0098"/>
    <w:rsid w:val="004B07AE"/>
    <w:rsid w:val="004B1119"/>
    <w:rsid w:val="004B1B66"/>
    <w:rsid w:val="004B26FC"/>
    <w:rsid w:val="004B2DFA"/>
    <w:rsid w:val="004B345F"/>
    <w:rsid w:val="004B3883"/>
    <w:rsid w:val="004C12E1"/>
    <w:rsid w:val="004C1630"/>
    <w:rsid w:val="004C19A2"/>
    <w:rsid w:val="004C3BCA"/>
    <w:rsid w:val="004C41B8"/>
    <w:rsid w:val="004C6D8D"/>
    <w:rsid w:val="004C6E65"/>
    <w:rsid w:val="004D04CC"/>
    <w:rsid w:val="004D128F"/>
    <w:rsid w:val="004D176A"/>
    <w:rsid w:val="004D20F0"/>
    <w:rsid w:val="004D2C40"/>
    <w:rsid w:val="004D3546"/>
    <w:rsid w:val="004D5B78"/>
    <w:rsid w:val="004D6AD0"/>
    <w:rsid w:val="004D6BFB"/>
    <w:rsid w:val="004D6CF6"/>
    <w:rsid w:val="004E09CD"/>
    <w:rsid w:val="004E1303"/>
    <w:rsid w:val="004E384B"/>
    <w:rsid w:val="004E3BA2"/>
    <w:rsid w:val="004E4B32"/>
    <w:rsid w:val="004E507D"/>
    <w:rsid w:val="004E63A3"/>
    <w:rsid w:val="004F0A98"/>
    <w:rsid w:val="004F144E"/>
    <w:rsid w:val="004F428D"/>
    <w:rsid w:val="004F5559"/>
    <w:rsid w:val="004F65B6"/>
    <w:rsid w:val="00500B6C"/>
    <w:rsid w:val="00501A83"/>
    <w:rsid w:val="00501C19"/>
    <w:rsid w:val="00501E13"/>
    <w:rsid w:val="00503BE2"/>
    <w:rsid w:val="00505025"/>
    <w:rsid w:val="00505BA5"/>
    <w:rsid w:val="005076C7"/>
    <w:rsid w:val="00507A2C"/>
    <w:rsid w:val="005100B2"/>
    <w:rsid w:val="005100C9"/>
    <w:rsid w:val="005107BF"/>
    <w:rsid w:val="00510EE1"/>
    <w:rsid w:val="00511095"/>
    <w:rsid w:val="00511AE8"/>
    <w:rsid w:val="00511AF0"/>
    <w:rsid w:val="0051757D"/>
    <w:rsid w:val="005176A4"/>
    <w:rsid w:val="00517AD2"/>
    <w:rsid w:val="00520A5B"/>
    <w:rsid w:val="00521BAD"/>
    <w:rsid w:val="00521EA7"/>
    <w:rsid w:val="00524644"/>
    <w:rsid w:val="00524DB7"/>
    <w:rsid w:val="005263C2"/>
    <w:rsid w:val="005267A9"/>
    <w:rsid w:val="00527FFC"/>
    <w:rsid w:val="005301D7"/>
    <w:rsid w:val="0053116C"/>
    <w:rsid w:val="005311C2"/>
    <w:rsid w:val="005322FA"/>
    <w:rsid w:val="005344D4"/>
    <w:rsid w:val="005347CB"/>
    <w:rsid w:val="005359D0"/>
    <w:rsid w:val="00535DFB"/>
    <w:rsid w:val="005368C3"/>
    <w:rsid w:val="00537B45"/>
    <w:rsid w:val="005407F0"/>
    <w:rsid w:val="00541241"/>
    <w:rsid w:val="0054139F"/>
    <w:rsid w:val="00542CB9"/>
    <w:rsid w:val="00542FE0"/>
    <w:rsid w:val="005446D5"/>
    <w:rsid w:val="005458E3"/>
    <w:rsid w:val="005463EC"/>
    <w:rsid w:val="00547FC0"/>
    <w:rsid w:val="00550364"/>
    <w:rsid w:val="00550994"/>
    <w:rsid w:val="00550F24"/>
    <w:rsid w:val="00550FE3"/>
    <w:rsid w:val="0055357E"/>
    <w:rsid w:val="00554E9F"/>
    <w:rsid w:val="00555222"/>
    <w:rsid w:val="005559A6"/>
    <w:rsid w:val="00560AF8"/>
    <w:rsid w:val="00560B66"/>
    <w:rsid w:val="00560BEE"/>
    <w:rsid w:val="005628BD"/>
    <w:rsid w:val="00562FAE"/>
    <w:rsid w:val="00562FE4"/>
    <w:rsid w:val="005634E5"/>
    <w:rsid w:val="0056391F"/>
    <w:rsid w:val="00563A96"/>
    <w:rsid w:val="005650A7"/>
    <w:rsid w:val="00565834"/>
    <w:rsid w:val="00570D47"/>
    <w:rsid w:val="00571023"/>
    <w:rsid w:val="00574C94"/>
    <w:rsid w:val="0057712E"/>
    <w:rsid w:val="005801C8"/>
    <w:rsid w:val="00580838"/>
    <w:rsid w:val="00581CD8"/>
    <w:rsid w:val="00582D94"/>
    <w:rsid w:val="00587843"/>
    <w:rsid w:val="0059016C"/>
    <w:rsid w:val="00590CAB"/>
    <w:rsid w:val="00593D82"/>
    <w:rsid w:val="00593E6B"/>
    <w:rsid w:val="0059428D"/>
    <w:rsid w:val="00594D72"/>
    <w:rsid w:val="00597980"/>
    <w:rsid w:val="005A097B"/>
    <w:rsid w:val="005A0AD5"/>
    <w:rsid w:val="005A2C92"/>
    <w:rsid w:val="005A3245"/>
    <w:rsid w:val="005A32A5"/>
    <w:rsid w:val="005A5881"/>
    <w:rsid w:val="005A66BB"/>
    <w:rsid w:val="005A68FE"/>
    <w:rsid w:val="005A6B1F"/>
    <w:rsid w:val="005B0E22"/>
    <w:rsid w:val="005B1E6F"/>
    <w:rsid w:val="005B227B"/>
    <w:rsid w:val="005B2986"/>
    <w:rsid w:val="005B2C3C"/>
    <w:rsid w:val="005B3056"/>
    <w:rsid w:val="005B337D"/>
    <w:rsid w:val="005B437B"/>
    <w:rsid w:val="005B6276"/>
    <w:rsid w:val="005B6DB2"/>
    <w:rsid w:val="005B71DF"/>
    <w:rsid w:val="005B7936"/>
    <w:rsid w:val="005B7A7B"/>
    <w:rsid w:val="005C1527"/>
    <w:rsid w:val="005C1CB5"/>
    <w:rsid w:val="005C2102"/>
    <w:rsid w:val="005C2292"/>
    <w:rsid w:val="005C251D"/>
    <w:rsid w:val="005C28A9"/>
    <w:rsid w:val="005C2A94"/>
    <w:rsid w:val="005C3430"/>
    <w:rsid w:val="005C4957"/>
    <w:rsid w:val="005C4BBF"/>
    <w:rsid w:val="005C5DEA"/>
    <w:rsid w:val="005C6868"/>
    <w:rsid w:val="005C6B76"/>
    <w:rsid w:val="005C7561"/>
    <w:rsid w:val="005D070B"/>
    <w:rsid w:val="005D09C4"/>
    <w:rsid w:val="005D0FCA"/>
    <w:rsid w:val="005D1D77"/>
    <w:rsid w:val="005D1E5F"/>
    <w:rsid w:val="005D2626"/>
    <w:rsid w:val="005D2F4D"/>
    <w:rsid w:val="005D487C"/>
    <w:rsid w:val="005D4A8D"/>
    <w:rsid w:val="005D668A"/>
    <w:rsid w:val="005D6BB3"/>
    <w:rsid w:val="005E095C"/>
    <w:rsid w:val="005E5500"/>
    <w:rsid w:val="005E5BE0"/>
    <w:rsid w:val="005E5DA0"/>
    <w:rsid w:val="005E616C"/>
    <w:rsid w:val="005E6E98"/>
    <w:rsid w:val="005E733D"/>
    <w:rsid w:val="005E7A3E"/>
    <w:rsid w:val="005E7D11"/>
    <w:rsid w:val="005F0FCC"/>
    <w:rsid w:val="005F3F58"/>
    <w:rsid w:val="005F3FA2"/>
    <w:rsid w:val="005F500C"/>
    <w:rsid w:val="005F58BA"/>
    <w:rsid w:val="005F62D2"/>
    <w:rsid w:val="005F779F"/>
    <w:rsid w:val="0060021E"/>
    <w:rsid w:val="0060111E"/>
    <w:rsid w:val="0060317C"/>
    <w:rsid w:val="006032DF"/>
    <w:rsid w:val="00603E18"/>
    <w:rsid w:val="00606063"/>
    <w:rsid w:val="006066AB"/>
    <w:rsid w:val="00610046"/>
    <w:rsid w:val="006108AF"/>
    <w:rsid w:val="00610965"/>
    <w:rsid w:val="006109BB"/>
    <w:rsid w:val="00610BE1"/>
    <w:rsid w:val="00612294"/>
    <w:rsid w:val="00612C4C"/>
    <w:rsid w:val="00614DBF"/>
    <w:rsid w:val="00614EF9"/>
    <w:rsid w:val="0061537E"/>
    <w:rsid w:val="006172B2"/>
    <w:rsid w:val="00620FC8"/>
    <w:rsid w:val="00621091"/>
    <w:rsid w:val="006216B1"/>
    <w:rsid w:val="00621DAF"/>
    <w:rsid w:val="00622084"/>
    <w:rsid w:val="00622646"/>
    <w:rsid w:val="00622FCF"/>
    <w:rsid w:val="00623250"/>
    <w:rsid w:val="00623899"/>
    <w:rsid w:val="006253C7"/>
    <w:rsid w:val="00625B6E"/>
    <w:rsid w:val="00626730"/>
    <w:rsid w:val="00626B5B"/>
    <w:rsid w:val="00627C45"/>
    <w:rsid w:val="00630606"/>
    <w:rsid w:val="00631070"/>
    <w:rsid w:val="0063201F"/>
    <w:rsid w:val="00635760"/>
    <w:rsid w:val="006357DF"/>
    <w:rsid w:val="0063644B"/>
    <w:rsid w:val="006367E4"/>
    <w:rsid w:val="00636DEB"/>
    <w:rsid w:val="00640544"/>
    <w:rsid w:val="006407BD"/>
    <w:rsid w:val="00640A0A"/>
    <w:rsid w:val="006424CF"/>
    <w:rsid w:val="00642DA0"/>
    <w:rsid w:val="006442A4"/>
    <w:rsid w:val="00644AFE"/>
    <w:rsid w:val="00644E39"/>
    <w:rsid w:val="006451F5"/>
    <w:rsid w:val="00645536"/>
    <w:rsid w:val="00646191"/>
    <w:rsid w:val="00646BAE"/>
    <w:rsid w:val="00647A2A"/>
    <w:rsid w:val="00653B6B"/>
    <w:rsid w:val="00653E02"/>
    <w:rsid w:val="00657B09"/>
    <w:rsid w:val="00660277"/>
    <w:rsid w:val="00661270"/>
    <w:rsid w:val="00661965"/>
    <w:rsid w:val="00662BCC"/>
    <w:rsid w:val="0066387E"/>
    <w:rsid w:val="00665B70"/>
    <w:rsid w:val="00666886"/>
    <w:rsid w:val="006707BF"/>
    <w:rsid w:val="00673B4F"/>
    <w:rsid w:val="00674D24"/>
    <w:rsid w:val="00675825"/>
    <w:rsid w:val="006762AB"/>
    <w:rsid w:val="00677767"/>
    <w:rsid w:val="00677CE8"/>
    <w:rsid w:val="00680EE0"/>
    <w:rsid w:val="00680F00"/>
    <w:rsid w:val="00681FCE"/>
    <w:rsid w:val="00682CDC"/>
    <w:rsid w:val="00682EE5"/>
    <w:rsid w:val="00683E3C"/>
    <w:rsid w:val="0068601B"/>
    <w:rsid w:val="00686F15"/>
    <w:rsid w:val="006918FD"/>
    <w:rsid w:val="00692EDD"/>
    <w:rsid w:val="00693F58"/>
    <w:rsid w:val="006946FE"/>
    <w:rsid w:val="00694FEE"/>
    <w:rsid w:val="0069585E"/>
    <w:rsid w:val="00697493"/>
    <w:rsid w:val="006A03E8"/>
    <w:rsid w:val="006A06E6"/>
    <w:rsid w:val="006A18F7"/>
    <w:rsid w:val="006A1CD0"/>
    <w:rsid w:val="006A3265"/>
    <w:rsid w:val="006A3C08"/>
    <w:rsid w:val="006A4651"/>
    <w:rsid w:val="006A5A3B"/>
    <w:rsid w:val="006A6A03"/>
    <w:rsid w:val="006B0DBB"/>
    <w:rsid w:val="006B1313"/>
    <w:rsid w:val="006B1DDE"/>
    <w:rsid w:val="006B203D"/>
    <w:rsid w:val="006B248E"/>
    <w:rsid w:val="006B38AF"/>
    <w:rsid w:val="006B5103"/>
    <w:rsid w:val="006B55A1"/>
    <w:rsid w:val="006B6CFB"/>
    <w:rsid w:val="006B7725"/>
    <w:rsid w:val="006B7D0C"/>
    <w:rsid w:val="006C011D"/>
    <w:rsid w:val="006C0927"/>
    <w:rsid w:val="006C0CBD"/>
    <w:rsid w:val="006C11F0"/>
    <w:rsid w:val="006C180A"/>
    <w:rsid w:val="006C1BD4"/>
    <w:rsid w:val="006C20D5"/>
    <w:rsid w:val="006C32C4"/>
    <w:rsid w:val="006C3BD6"/>
    <w:rsid w:val="006C467C"/>
    <w:rsid w:val="006C475E"/>
    <w:rsid w:val="006C694D"/>
    <w:rsid w:val="006C7E8D"/>
    <w:rsid w:val="006D0132"/>
    <w:rsid w:val="006D0434"/>
    <w:rsid w:val="006D394F"/>
    <w:rsid w:val="006D5226"/>
    <w:rsid w:val="006D60D0"/>
    <w:rsid w:val="006D66B4"/>
    <w:rsid w:val="006D6F18"/>
    <w:rsid w:val="006E13CF"/>
    <w:rsid w:val="006E17F2"/>
    <w:rsid w:val="006E21EE"/>
    <w:rsid w:val="006E2A71"/>
    <w:rsid w:val="006E5142"/>
    <w:rsid w:val="006F0B15"/>
    <w:rsid w:val="006F3C71"/>
    <w:rsid w:val="006F4538"/>
    <w:rsid w:val="006F480B"/>
    <w:rsid w:val="006F5BA0"/>
    <w:rsid w:val="006F64C8"/>
    <w:rsid w:val="006F7AA7"/>
    <w:rsid w:val="00700ECC"/>
    <w:rsid w:val="00701696"/>
    <w:rsid w:val="00703A15"/>
    <w:rsid w:val="00705630"/>
    <w:rsid w:val="00705F80"/>
    <w:rsid w:val="00706418"/>
    <w:rsid w:val="00710B6F"/>
    <w:rsid w:val="00711901"/>
    <w:rsid w:val="00712455"/>
    <w:rsid w:val="00712ABC"/>
    <w:rsid w:val="00712FA6"/>
    <w:rsid w:val="00713248"/>
    <w:rsid w:val="00714369"/>
    <w:rsid w:val="0071772B"/>
    <w:rsid w:val="007205E5"/>
    <w:rsid w:val="00720DC2"/>
    <w:rsid w:val="007218C0"/>
    <w:rsid w:val="00722ACE"/>
    <w:rsid w:val="00724785"/>
    <w:rsid w:val="00725A71"/>
    <w:rsid w:val="00730215"/>
    <w:rsid w:val="00730B29"/>
    <w:rsid w:val="00730EA3"/>
    <w:rsid w:val="007316EC"/>
    <w:rsid w:val="007325E4"/>
    <w:rsid w:val="00734333"/>
    <w:rsid w:val="0073533A"/>
    <w:rsid w:val="00735C73"/>
    <w:rsid w:val="00737368"/>
    <w:rsid w:val="00741A38"/>
    <w:rsid w:val="00741DED"/>
    <w:rsid w:val="007437E8"/>
    <w:rsid w:val="00745B3E"/>
    <w:rsid w:val="00745D0A"/>
    <w:rsid w:val="00746787"/>
    <w:rsid w:val="00746F08"/>
    <w:rsid w:val="00747C2C"/>
    <w:rsid w:val="00750843"/>
    <w:rsid w:val="00751374"/>
    <w:rsid w:val="00753341"/>
    <w:rsid w:val="00753DE5"/>
    <w:rsid w:val="00754A4B"/>
    <w:rsid w:val="00755C3D"/>
    <w:rsid w:val="00756E9E"/>
    <w:rsid w:val="0075701D"/>
    <w:rsid w:val="00757892"/>
    <w:rsid w:val="00757DFF"/>
    <w:rsid w:val="0076050C"/>
    <w:rsid w:val="0076156A"/>
    <w:rsid w:val="00762AD1"/>
    <w:rsid w:val="007654F9"/>
    <w:rsid w:val="00765C2E"/>
    <w:rsid w:val="00766048"/>
    <w:rsid w:val="007662A6"/>
    <w:rsid w:val="007665D8"/>
    <w:rsid w:val="00766707"/>
    <w:rsid w:val="00767389"/>
    <w:rsid w:val="007673BD"/>
    <w:rsid w:val="00767D00"/>
    <w:rsid w:val="00770122"/>
    <w:rsid w:val="007702D5"/>
    <w:rsid w:val="00770B83"/>
    <w:rsid w:val="00770BD6"/>
    <w:rsid w:val="00770D63"/>
    <w:rsid w:val="007738E8"/>
    <w:rsid w:val="00774544"/>
    <w:rsid w:val="007750B1"/>
    <w:rsid w:val="0077510A"/>
    <w:rsid w:val="00777DF2"/>
    <w:rsid w:val="007805F6"/>
    <w:rsid w:val="00780768"/>
    <w:rsid w:val="00781296"/>
    <w:rsid w:val="00781669"/>
    <w:rsid w:val="0078436A"/>
    <w:rsid w:val="007849E1"/>
    <w:rsid w:val="00786963"/>
    <w:rsid w:val="007877BA"/>
    <w:rsid w:val="0078792E"/>
    <w:rsid w:val="007900C8"/>
    <w:rsid w:val="007914FE"/>
    <w:rsid w:val="00791993"/>
    <w:rsid w:val="007926EC"/>
    <w:rsid w:val="00792A30"/>
    <w:rsid w:val="00794588"/>
    <w:rsid w:val="00794E58"/>
    <w:rsid w:val="007966B4"/>
    <w:rsid w:val="007A0171"/>
    <w:rsid w:val="007A017C"/>
    <w:rsid w:val="007A1B79"/>
    <w:rsid w:val="007A20FF"/>
    <w:rsid w:val="007A4F0B"/>
    <w:rsid w:val="007A540D"/>
    <w:rsid w:val="007A5F02"/>
    <w:rsid w:val="007A622F"/>
    <w:rsid w:val="007A62D4"/>
    <w:rsid w:val="007A737D"/>
    <w:rsid w:val="007A7578"/>
    <w:rsid w:val="007B1AB8"/>
    <w:rsid w:val="007B2EE9"/>
    <w:rsid w:val="007B33CB"/>
    <w:rsid w:val="007B392A"/>
    <w:rsid w:val="007B3C4A"/>
    <w:rsid w:val="007B4C31"/>
    <w:rsid w:val="007B606F"/>
    <w:rsid w:val="007B6630"/>
    <w:rsid w:val="007C2318"/>
    <w:rsid w:val="007C28E3"/>
    <w:rsid w:val="007C31BC"/>
    <w:rsid w:val="007C44B3"/>
    <w:rsid w:val="007C4674"/>
    <w:rsid w:val="007C6ECB"/>
    <w:rsid w:val="007D02A2"/>
    <w:rsid w:val="007D358C"/>
    <w:rsid w:val="007D3BF2"/>
    <w:rsid w:val="007D3DFD"/>
    <w:rsid w:val="007D423C"/>
    <w:rsid w:val="007D4301"/>
    <w:rsid w:val="007D47B0"/>
    <w:rsid w:val="007D4FED"/>
    <w:rsid w:val="007D5AEB"/>
    <w:rsid w:val="007D6761"/>
    <w:rsid w:val="007D6826"/>
    <w:rsid w:val="007D6D99"/>
    <w:rsid w:val="007D7EEE"/>
    <w:rsid w:val="007E0892"/>
    <w:rsid w:val="007E10B2"/>
    <w:rsid w:val="007E1276"/>
    <w:rsid w:val="007E25A2"/>
    <w:rsid w:val="007E31B3"/>
    <w:rsid w:val="007E35B1"/>
    <w:rsid w:val="007E38C5"/>
    <w:rsid w:val="007E4595"/>
    <w:rsid w:val="007E4A05"/>
    <w:rsid w:val="007E5116"/>
    <w:rsid w:val="007E51F6"/>
    <w:rsid w:val="007E561B"/>
    <w:rsid w:val="007E74FE"/>
    <w:rsid w:val="007E7570"/>
    <w:rsid w:val="007F0531"/>
    <w:rsid w:val="007F2FAC"/>
    <w:rsid w:val="007F33B4"/>
    <w:rsid w:val="007F36BE"/>
    <w:rsid w:val="007F3A75"/>
    <w:rsid w:val="007F4163"/>
    <w:rsid w:val="007F511D"/>
    <w:rsid w:val="007F5BEE"/>
    <w:rsid w:val="007F7688"/>
    <w:rsid w:val="007F76DC"/>
    <w:rsid w:val="00805441"/>
    <w:rsid w:val="00805C02"/>
    <w:rsid w:val="0080615E"/>
    <w:rsid w:val="00807598"/>
    <w:rsid w:val="0080775B"/>
    <w:rsid w:val="0081024D"/>
    <w:rsid w:val="00810B13"/>
    <w:rsid w:val="00812C76"/>
    <w:rsid w:val="00813176"/>
    <w:rsid w:val="00813727"/>
    <w:rsid w:val="00813C9B"/>
    <w:rsid w:val="00813DB5"/>
    <w:rsid w:val="008176E9"/>
    <w:rsid w:val="008222A1"/>
    <w:rsid w:val="00823852"/>
    <w:rsid w:val="0082460E"/>
    <w:rsid w:val="00825804"/>
    <w:rsid w:val="00825FFF"/>
    <w:rsid w:val="00827BCA"/>
    <w:rsid w:val="00830A2C"/>
    <w:rsid w:val="0083171C"/>
    <w:rsid w:val="0083221F"/>
    <w:rsid w:val="00833808"/>
    <w:rsid w:val="00833D7B"/>
    <w:rsid w:val="008340E9"/>
    <w:rsid w:val="008349E8"/>
    <w:rsid w:val="00835BAF"/>
    <w:rsid w:val="00837434"/>
    <w:rsid w:val="00840428"/>
    <w:rsid w:val="00840F80"/>
    <w:rsid w:val="00842C1C"/>
    <w:rsid w:val="00842CD5"/>
    <w:rsid w:val="0084352B"/>
    <w:rsid w:val="0084365B"/>
    <w:rsid w:val="00843912"/>
    <w:rsid w:val="00845E03"/>
    <w:rsid w:val="008460E7"/>
    <w:rsid w:val="008463E7"/>
    <w:rsid w:val="00846DA0"/>
    <w:rsid w:val="00847047"/>
    <w:rsid w:val="00851EF0"/>
    <w:rsid w:val="00852A9B"/>
    <w:rsid w:val="00853549"/>
    <w:rsid w:val="00854EB2"/>
    <w:rsid w:val="008552C1"/>
    <w:rsid w:val="00856157"/>
    <w:rsid w:val="00860BF6"/>
    <w:rsid w:val="00861B81"/>
    <w:rsid w:val="00865301"/>
    <w:rsid w:val="00865F3B"/>
    <w:rsid w:val="00866E84"/>
    <w:rsid w:val="008711CE"/>
    <w:rsid w:val="00871565"/>
    <w:rsid w:val="00874281"/>
    <w:rsid w:val="0087782B"/>
    <w:rsid w:val="008802AD"/>
    <w:rsid w:val="00881948"/>
    <w:rsid w:val="00883B52"/>
    <w:rsid w:val="00883E93"/>
    <w:rsid w:val="00884B4C"/>
    <w:rsid w:val="008870ED"/>
    <w:rsid w:val="00887C56"/>
    <w:rsid w:val="00887EB4"/>
    <w:rsid w:val="00890982"/>
    <w:rsid w:val="00891E8B"/>
    <w:rsid w:val="008924A3"/>
    <w:rsid w:val="008924CA"/>
    <w:rsid w:val="00892D5E"/>
    <w:rsid w:val="00893B0A"/>
    <w:rsid w:val="008941F3"/>
    <w:rsid w:val="008942B2"/>
    <w:rsid w:val="00894F22"/>
    <w:rsid w:val="00895510"/>
    <w:rsid w:val="008962FE"/>
    <w:rsid w:val="0089690C"/>
    <w:rsid w:val="00896D43"/>
    <w:rsid w:val="008A0A72"/>
    <w:rsid w:val="008A1D26"/>
    <w:rsid w:val="008A2660"/>
    <w:rsid w:val="008A269C"/>
    <w:rsid w:val="008A31FF"/>
    <w:rsid w:val="008A37BB"/>
    <w:rsid w:val="008A3C77"/>
    <w:rsid w:val="008A3DEB"/>
    <w:rsid w:val="008A4925"/>
    <w:rsid w:val="008A506F"/>
    <w:rsid w:val="008A5B96"/>
    <w:rsid w:val="008A6044"/>
    <w:rsid w:val="008A624B"/>
    <w:rsid w:val="008B197F"/>
    <w:rsid w:val="008B2DE2"/>
    <w:rsid w:val="008B4594"/>
    <w:rsid w:val="008B4F0F"/>
    <w:rsid w:val="008B558E"/>
    <w:rsid w:val="008B6E40"/>
    <w:rsid w:val="008B73F0"/>
    <w:rsid w:val="008C0488"/>
    <w:rsid w:val="008C1EB1"/>
    <w:rsid w:val="008C2D57"/>
    <w:rsid w:val="008C3A8A"/>
    <w:rsid w:val="008C45FD"/>
    <w:rsid w:val="008D0260"/>
    <w:rsid w:val="008D0A76"/>
    <w:rsid w:val="008D18D2"/>
    <w:rsid w:val="008D1A12"/>
    <w:rsid w:val="008D4D3B"/>
    <w:rsid w:val="008D5510"/>
    <w:rsid w:val="008D57D3"/>
    <w:rsid w:val="008E0281"/>
    <w:rsid w:val="008E0AB8"/>
    <w:rsid w:val="008E0C71"/>
    <w:rsid w:val="008E0E76"/>
    <w:rsid w:val="008E1B6F"/>
    <w:rsid w:val="008E1CB4"/>
    <w:rsid w:val="008E247A"/>
    <w:rsid w:val="008E35FB"/>
    <w:rsid w:val="008E4495"/>
    <w:rsid w:val="008E5E10"/>
    <w:rsid w:val="008E75FE"/>
    <w:rsid w:val="008E7FFC"/>
    <w:rsid w:val="008F0515"/>
    <w:rsid w:val="008F16AA"/>
    <w:rsid w:val="008F2E66"/>
    <w:rsid w:val="008F33A7"/>
    <w:rsid w:val="008F38A0"/>
    <w:rsid w:val="008F3B44"/>
    <w:rsid w:val="008F3E6B"/>
    <w:rsid w:val="008F4778"/>
    <w:rsid w:val="008F4CB4"/>
    <w:rsid w:val="008F50E1"/>
    <w:rsid w:val="008F59A2"/>
    <w:rsid w:val="008F62D8"/>
    <w:rsid w:val="008F6D4A"/>
    <w:rsid w:val="00900D55"/>
    <w:rsid w:val="00902347"/>
    <w:rsid w:val="009023E5"/>
    <w:rsid w:val="0090241C"/>
    <w:rsid w:val="00903D3F"/>
    <w:rsid w:val="00905A67"/>
    <w:rsid w:val="00907578"/>
    <w:rsid w:val="00907ECD"/>
    <w:rsid w:val="00910DDE"/>
    <w:rsid w:val="009118EC"/>
    <w:rsid w:val="00914E0C"/>
    <w:rsid w:val="009155F8"/>
    <w:rsid w:val="00915C42"/>
    <w:rsid w:val="009164BB"/>
    <w:rsid w:val="00921655"/>
    <w:rsid w:val="00921FEB"/>
    <w:rsid w:val="00923572"/>
    <w:rsid w:val="009238DC"/>
    <w:rsid w:val="00927137"/>
    <w:rsid w:val="00927AA9"/>
    <w:rsid w:val="00927FDA"/>
    <w:rsid w:val="00930DE8"/>
    <w:rsid w:val="00931E9A"/>
    <w:rsid w:val="0093229B"/>
    <w:rsid w:val="00932EED"/>
    <w:rsid w:val="00932EFA"/>
    <w:rsid w:val="00934715"/>
    <w:rsid w:val="0093581B"/>
    <w:rsid w:val="00936A18"/>
    <w:rsid w:val="009409B6"/>
    <w:rsid w:val="00940A1D"/>
    <w:rsid w:val="00940B0A"/>
    <w:rsid w:val="0094183E"/>
    <w:rsid w:val="0094269A"/>
    <w:rsid w:val="00943272"/>
    <w:rsid w:val="00944B53"/>
    <w:rsid w:val="00944C68"/>
    <w:rsid w:val="009455F8"/>
    <w:rsid w:val="00945606"/>
    <w:rsid w:val="00946A5A"/>
    <w:rsid w:val="00946ABD"/>
    <w:rsid w:val="00946E57"/>
    <w:rsid w:val="009479FC"/>
    <w:rsid w:val="00947B10"/>
    <w:rsid w:val="009503CE"/>
    <w:rsid w:val="00951AF0"/>
    <w:rsid w:val="009522B1"/>
    <w:rsid w:val="0095309C"/>
    <w:rsid w:val="009538EB"/>
    <w:rsid w:val="009559E6"/>
    <w:rsid w:val="009578A3"/>
    <w:rsid w:val="00957B0C"/>
    <w:rsid w:val="00960A52"/>
    <w:rsid w:val="00961F50"/>
    <w:rsid w:val="009621B1"/>
    <w:rsid w:val="00964163"/>
    <w:rsid w:val="00965510"/>
    <w:rsid w:val="00966A6F"/>
    <w:rsid w:val="00966F6B"/>
    <w:rsid w:val="009711FA"/>
    <w:rsid w:val="00973467"/>
    <w:rsid w:val="00973E81"/>
    <w:rsid w:val="009751A3"/>
    <w:rsid w:val="0097559D"/>
    <w:rsid w:val="009761AD"/>
    <w:rsid w:val="00976D0B"/>
    <w:rsid w:val="0097787D"/>
    <w:rsid w:val="00984B55"/>
    <w:rsid w:val="00984C31"/>
    <w:rsid w:val="00984E17"/>
    <w:rsid w:val="00984F28"/>
    <w:rsid w:val="00985A48"/>
    <w:rsid w:val="00985F44"/>
    <w:rsid w:val="009871BE"/>
    <w:rsid w:val="00987915"/>
    <w:rsid w:val="00991729"/>
    <w:rsid w:val="009923A7"/>
    <w:rsid w:val="009934DB"/>
    <w:rsid w:val="00993B35"/>
    <w:rsid w:val="00994A05"/>
    <w:rsid w:val="00995768"/>
    <w:rsid w:val="00995E13"/>
    <w:rsid w:val="009979ED"/>
    <w:rsid w:val="009A0BFB"/>
    <w:rsid w:val="009A0D7E"/>
    <w:rsid w:val="009A0DFF"/>
    <w:rsid w:val="009A1708"/>
    <w:rsid w:val="009A2A10"/>
    <w:rsid w:val="009A4956"/>
    <w:rsid w:val="009A5460"/>
    <w:rsid w:val="009A5701"/>
    <w:rsid w:val="009B098F"/>
    <w:rsid w:val="009B3246"/>
    <w:rsid w:val="009B68F9"/>
    <w:rsid w:val="009C0B17"/>
    <w:rsid w:val="009C11AD"/>
    <w:rsid w:val="009C3A90"/>
    <w:rsid w:val="009C3FE0"/>
    <w:rsid w:val="009C48A0"/>
    <w:rsid w:val="009C4E4C"/>
    <w:rsid w:val="009C5978"/>
    <w:rsid w:val="009C67C6"/>
    <w:rsid w:val="009C6C97"/>
    <w:rsid w:val="009C6D75"/>
    <w:rsid w:val="009C7567"/>
    <w:rsid w:val="009C75E6"/>
    <w:rsid w:val="009D0124"/>
    <w:rsid w:val="009D01B0"/>
    <w:rsid w:val="009D13A2"/>
    <w:rsid w:val="009D13A4"/>
    <w:rsid w:val="009D1B64"/>
    <w:rsid w:val="009D29C3"/>
    <w:rsid w:val="009D2A14"/>
    <w:rsid w:val="009D2AEA"/>
    <w:rsid w:val="009D2B39"/>
    <w:rsid w:val="009D33CA"/>
    <w:rsid w:val="009D4CEE"/>
    <w:rsid w:val="009D4F17"/>
    <w:rsid w:val="009D5D3F"/>
    <w:rsid w:val="009D7E72"/>
    <w:rsid w:val="009E07EC"/>
    <w:rsid w:val="009E210B"/>
    <w:rsid w:val="009E2516"/>
    <w:rsid w:val="009E2666"/>
    <w:rsid w:val="009E27F9"/>
    <w:rsid w:val="009E2D5E"/>
    <w:rsid w:val="009E3298"/>
    <w:rsid w:val="009E6455"/>
    <w:rsid w:val="009E722D"/>
    <w:rsid w:val="009F0393"/>
    <w:rsid w:val="009F53EE"/>
    <w:rsid w:val="009F5F3B"/>
    <w:rsid w:val="009F646C"/>
    <w:rsid w:val="009F70F6"/>
    <w:rsid w:val="00A008D7"/>
    <w:rsid w:val="00A02C89"/>
    <w:rsid w:val="00A02CAE"/>
    <w:rsid w:val="00A039CA"/>
    <w:rsid w:val="00A04582"/>
    <w:rsid w:val="00A05D81"/>
    <w:rsid w:val="00A06B05"/>
    <w:rsid w:val="00A07D82"/>
    <w:rsid w:val="00A11865"/>
    <w:rsid w:val="00A134FE"/>
    <w:rsid w:val="00A16E57"/>
    <w:rsid w:val="00A20319"/>
    <w:rsid w:val="00A2053D"/>
    <w:rsid w:val="00A2181E"/>
    <w:rsid w:val="00A22B38"/>
    <w:rsid w:val="00A242FF"/>
    <w:rsid w:val="00A2469E"/>
    <w:rsid w:val="00A254EA"/>
    <w:rsid w:val="00A26B4F"/>
    <w:rsid w:val="00A321D5"/>
    <w:rsid w:val="00A32F5E"/>
    <w:rsid w:val="00A3409A"/>
    <w:rsid w:val="00A35053"/>
    <w:rsid w:val="00A35CEA"/>
    <w:rsid w:val="00A3628D"/>
    <w:rsid w:val="00A36356"/>
    <w:rsid w:val="00A40699"/>
    <w:rsid w:val="00A40EC0"/>
    <w:rsid w:val="00A41659"/>
    <w:rsid w:val="00A44232"/>
    <w:rsid w:val="00A44241"/>
    <w:rsid w:val="00A4456D"/>
    <w:rsid w:val="00A44ED5"/>
    <w:rsid w:val="00A4567A"/>
    <w:rsid w:val="00A469CF"/>
    <w:rsid w:val="00A46B4E"/>
    <w:rsid w:val="00A47463"/>
    <w:rsid w:val="00A47DAC"/>
    <w:rsid w:val="00A50C6C"/>
    <w:rsid w:val="00A52288"/>
    <w:rsid w:val="00A52809"/>
    <w:rsid w:val="00A529AB"/>
    <w:rsid w:val="00A53F26"/>
    <w:rsid w:val="00A55071"/>
    <w:rsid w:val="00A55C6F"/>
    <w:rsid w:val="00A56857"/>
    <w:rsid w:val="00A60C8D"/>
    <w:rsid w:val="00A63318"/>
    <w:rsid w:val="00A634CA"/>
    <w:rsid w:val="00A636A2"/>
    <w:rsid w:val="00A63782"/>
    <w:rsid w:val="00A63BA6"/>
    <w:rsid w:val="00A651D1"/>
    <w:rsid w:val="00A6687C"/>
    <w:rsid w:val="00A66CBA"/>
    <w:rsid w:val="00A673B3"/>
    <w:rsid w:val="00A67B75"/>
    <w:rsid w:val="00A71AD8"/>
    <w:rsid w:val="00A726DD"/>
    <w:rsid w:val="00A7274B"/>
    <w:rsid w:val="00A7332D"/>
    <w:rsid w:val="00A739F3"/>
    <w:rsid w:val="00A73D6B"/>
    <w:rsid w:val="00A73E4C"/>
    <w:rsid w:val="00A740EA"/>
    <w:rsid w:val="00A75F4F"/>
    <w:rsid w:val="00A762AB"/>
    <w:rsid w:val="00A769B7"/>
    <w:rsid w:val="00A76A0D"/>
    <w:rsid w:val="00A77F27"/>
    <w:rsid w:val="00A822EA"/>
    <w:rsid w:val="00A85598"/>
    <w:rsid w:val="00A867CC"/>
    <w:rsid w:val="00A86D82"/>
    <w:rsid w:val="00A87478"/>
    <w:rsid w:val="00A930AE"/>
    <w:rsid w:val="00A935CC"/>
    <w:rsid w:val="00A943B1"/>
    <w:rsid w:val="00A967E0"/>
    <w:rsid w:val="00A96C8C"/>
    <w:rsid w:val="00A97C7E"/>
    <w:rsid w:val="00AA086A"/>
    <w:rsid w:val="00AA1243"/>
    <w:rsid w:val="00AA3DB2"/>
    <w:rsid w:val="00AA46F9"/>
    <w:rsid w:val="00AA4AEE"/>
    <w:rsid w:val="00AA5768"/>
    <w:rsid w:val="00AA67D3"/>
    <w:rsid w:val="00AA75B2"/>
    <w:rsid w:val="00AB0357"/>
    <w:rsid w:val="00AB0C91"/>
    <w:rsid w:val="00AB1080"/>
    <w:rsid w:val="00AB1D07"/>
    <w:rsid w:val="00AB25EE"/>
    <w:rsid w:val="00AB2F5F"/>
    <w:rsid w:val="00AB3D05"/>
    <w:rsid w:val="00AB4B04"/>
    <w:rsid w:val="00AB5582"/>
    <w:rsid w:val="00AB6311"/>
    <w:rsid w:val="00AB76C1"/>
    <w:rsid w:val="00AC0FF4"/>
    <w:rsid w:val="00AC14FE"/>
    <w:rsid w:val="00AC1960"/>
    <w:rsid w:val="00AC1A13"/>
    <w:rsid w:val="00AC2271"/>
    <w:rsid w:val="00AC383A"/>
    <w:rsid w:val="00AC4266"/>
    <w:rsid w:val="00AC4D2E"/>
    <w:rsid w:val="00AC52BB"/>
    <w:rsid w:val="00AC6DB6"/>
    <w:rsid w:val="00AD0300"/>
    <w:rsid w:val="00AD0880"/>
    <w:rsid w:val="00AD5B52"/>
    <w:rsid w:val="00AD640A"/>
    <w:rsid w:val="00AD6AFD"/>
    <w:rsid w:val="00AE2664"/>
    <w:rsid w:val="00AE27E2"/>
    <w:rsid w:val="00AE29D3"/>
    <w:rsid w:val="00AE4320"/>
    <w:rsid w:val="00AE4B0B"/>
    <w:rsid w:val="00AE4F97"/>
    <w:rsid w:val="00AE59F1"/>
    <w:rsid w:val="00AE5DA3"/>
    <w:rsid w:val="00AE5EC4"/>
    <w:rsid w:val="00AE5FC0"/>
    <w:rsid w:val="00AE61E0"/>
    <w:rsid w:val="00AE65B7"/>
    <w:rsid w:val="00AF01DD"/>
    <w:rsid w:val="00AF15BC"/>
    <w:rsid w:val="00AF2070"/>
    <w:rsid w:val="00AF237D"/>
    <w:rsid w:val="00AF2BC1"/>
    <w:rsid w:val="00AF34D3"/>
    <w:rsid w:val="00AF3636"/>
    <w:rsid w:val="00AF40D2"/>
    <w:rsid w:val="00AF438D"/>
    <w:rsid w:val="00AF58AE"/>
    <w:rsid w:val="00AF61CE"/>
    <w:rsid w:val="00AF6486"/>
    <w:rsid w:val="00AF6E92"/>
    <w:rsid w:val="00B001FE"/>
    <w:rsid w:val="00B00ECA"/>
    <w:rsid w:val="00B018E1"/>
    <w:rsid w:val="00B01F95"/>
    <w:rsid w:val="00B03043"/>
    <w:rsid w:val="00B04087"/>
    <w:rsid w:val="00B0423B"/>
    <w:rsid w:val="00B06F3E"/>
    <w:rsid w:val="00B12947"/>
    <w:rsid w:val="00B132B6"/>
    <w:rsid w:val="00B13389"/>
    <w:rsid w:val="00B16C99"/>
    <w:rsid w:val="00B202DC"/>
    <w:rsid w:val="00B20AB9"/>
    <w:rsid w:val="00B21DEA"/>
    <w:rsid w:val="00B23E72"/>
    <w:rsid w:val="00B24A05"/>
    <w:rsid w:val="00B26094"/>
    <w:rsid w:val="00B262A4"/>
    <w:rsid w:val="00B27267"/>
    <w:rsid w:val="00B31141"/>
    <w:rsid w:val="00B31F7B"/>
    <w:rsid w:val="00B320A2"/>
    <w:rsid w:val="00B32501"/>
    <w:rsid w:val="00B32702"/>
    <w:rsid w:val="00B32E8D"/>
    <w:rsid w:val="00B34ACD"/>
    <w:rsid w:val="00B378DD"/>
    <w:rsid w:val="00B46C09"/>
    <w:rsid w:val="00B47765"/>
    <w:rsid w:val="00B5006D"/>
    <w:rsid w:val="00B502CE"/>
    <w:rsid w:val="00B50949"/>
    <w:rsid w:val="00B52F1D"/>
    <w:rsid w:val="00B5456B"/>
    <w:rsid w:val="00B55931"/>
    <w:rsid w:val="00B55AEB"/>
    <w:rsid w:val="00B56BD0"/>
    <w:rsid w:val="00B60015"/>
    <w:rsid w:val="00B60355"/>
    <w:rsid w:val="00B607EC"/>
    <w:rsid w:val="00B60C3D"/>
    <w:rsid w:val="00B60CFB"/>
    <w:rsid w:val="00B62680"/>
    <w:rsid w:val="00B62760"/>
    <w:rsid w:val="00B638BA"/>
    <w:rsid w:val="00B63A59"/>
    <w:rsid w:val="00B6481D"/>
    <w:rsid w:val="00B64F39"/>
    <w:rsid w:val="00B650E4"/>
    <w:rsid w:val="00B661F7"/>
    <w:rsid w:val="00B66507"/>
    <w:rsid w:val="00B66D18"/>
    <w:rsid w:val="00B66D66"/>
    <w:rsid w:val="00B67373"/>
    <w:rsid w:val="00B67486"/>
    <w:rsid w:val="00B70242"/>
    <w:rsid w:val="00B70FE6"/>
    <w:rsid w:val="00B710A2"/>
    <w:rsid w:val="00B71553"/>
    <w:rsid w:val="00B71A2E"/>
    <w:rsid w:val="00B729E4"/>
    <w:rsid w:val="00B748C4"/>
    <w:rsid w:val="00B76C30"/>
    <w:rsid w:val="00B77B33"/>
    <w:rsid w:val="00B77FB8"/>
    <w:rsid w:val="00B802C4"/>
    <w:rsid w:val="00B815AB"/>
    <w:rsid w:val="00B81944"/>
    <w:rsid w:val="00B81D46"/>
    <w:rsid w:val="00B82134"/>
    <w:rsid w:val="00B8247B"/>
    <w:rsid w:val="00B8319F"/>
    <w:rsid w:val="00B83E7B"/>
    <w:rsid w:val="00B8448D"/>
    <w:rsid w:val="00B8685D"/>
    <w:rsid w:val="00B876C3"/>
    <w:rsid w:val="00B90493"/>
    <w:rsid w:val="00B91154"/>
    <w:rsid w:val="00B92175"/>
    <w:rsid w:val="00B92BE5"/>
    <w:rsid w:val="00B93D35"/>
    <w:rsid w:val="00B94C7F"/>
    <w:rsid w:val="00B95DFB"/>
    <w:rsid w:val="00B97349"/>
    <w:rsid w:val="00BA0C92"/>
    <w:rsid w:val="00BA1317"/>
    <w:rsid w:val="00BA1720"/>
    <w:rsid w:val="00BA1E1E"/>
    <w:rsid w:val="00BA2590"/>
    <w:rsid w:val="00BA29E7"/>
    <w:rsid w:val="00BA5D5A"/>
    <w:rsid w:val="00BA68D7"/>
    <w:rsid w:val="00BA6D5C"/>
    <w:rsid w:val="00BA7067"/>
    <w:rsid w:val="00BA7746"/>
    <w:rsid w:val="00BB0506"/>
    <w:rsid w:val="00BB07C7"/>
    <w:rsid w:val="00BB3286"/>
    <w:rsid w:val="00BB360D"/>
    <w:rsid w:val="00BB6043"/>
    <w:rsid w:val="00BB6F55"/>
    <w:rsid w:val="00BC0EF7"/>
    <w:rsid w:val="00BC34BD"/>
    <w:rsid w:val="00BC5907"/>
    <w:rsid w:val="00BC5C98"/>
    <w:rsid w:val="00BC645F"/>
    <w:rsid w:val="00BC672A"/>
    <w:rsid w:val="00BC6D6B"/>
    <w:rsid w:val="00BC7AC0"/>
    <w:rsid w:val="00BD06D4"/>
    <w:rsid w:val="00BD151A"/>
    <w:rsid w:val="00BD43BF"/>
    <w:rsid w:val="00BD43E3"/>
    <w:rsid w:val="00BD5583"/>
    <w:rsid w:val="00BD5EF9"/>
    <w:rsid w:val="00BD637C"/>
    <w:rsid w:val="00BE0512"/>
    <w:rsid w:val="00BE1347"/>
    <w:rsid w:val="00BE17CA"/>
    <w:rsid w:val="00BE20F3"/>
    <w:rsid w:val="00BE23AA"/>
    <w:rsid w:val="00BE2CEC"/>
    <w:rsid w:val="00BE37BB"/>
    <w:rsid w:val="00BE4976"/>
    <w:rsid w:val="00BE545D"/>
    <w:rsid w:val="00BE5B2B"/>
    <w:rsid w:val="00BF00DA"/>
    <w:rsid w:val="00BF0842"/>
    <w:rsid w:val="00BF2254"/>
    <w:rsid w:val="00BF2723"/>
    <w:rsid w:val="00BF3459"/>
    <w:rsid w:val="00BF36B9"/>
    <w:rsid w:val="00BF386E"/>
    <w:rsid w:val="00BF453D"/>
    <w:rsid w:val="00BF4991"/>
    <w:rsid w:val="00BF5CBA"/>
    <w:rsid w:val="00BF7389"/>
    <w:rsid w:val="00C002D5"/>
    <w:rsid w:val="00C007C0"/>
    <w:rsid w:val="00C0115F"/>
    <w:rsid w:val="00C02A72"/>
    <w:rsid w:val="00C031E7"/>
    <w:rsid w:val="00C0416F"/>
    <w:rsid w:val="00C05361"/>
    <w:rsid w:val="00C06A53"/>
    <w:rsid w:val="00C07B63"/>
    <w:rsid w:val="00C108C7"/>
    <w:rsid w:val="00C1105A"/>
    <w:rsid w:val="00C11927"/>
    <w:rsid w:val="00C1269A"/>
    <w:rsid w:val="00C12D37"/>
    <w:rsid w:val="00C14743"/>
    <w:rsid w:val="00C1507B"/>
    <w:rsid w:val="00C1517A"/>
    <w:rsid w:val="00C15F44"/>
    <w:rsid w:val="00C16560"/>
    <w:rsid w:val="00C16C8B"/>
    <w:rsid w:val="00C17330"/>
    <w:rsid w:val="00C179DF"/>
    <w:rsid w:val="00C2029D"/>
    <w:rsid w:val="00C207AF"/>
    <w:rsid w:val="00C27377"/>
    <w:rsid w:val="00C275E1"/>
    <w:rsid w:val="00C30A10"/>
    <w:rsid w:val="00C31989"/>
    <w:rsid w:val="00C32F22"/>
    <w:rsid w:val="00C33505"/>
    <w:rsid w:val="00C33929"/>
    <w:rsid w:val="00C34557"/>
    <w:rsid w:val="00C34D8D"/>
    <w:rsid w:val="00C34DA4"/>
    <w:rsid w:val="00C352F2"/>
    <w:rsid w:val="00C3784C"/>
    <w:rsid w:val="00C40F3F"/>
    <w:rsid w:val="00C410D9"/>
    <w:rsid w:val="00C42D34"/>
    <w:rsid w:val="00C43270"/>
    <w:rsid w:val="00C44C92"/>
    <w:rsid w:val="00C45955"/>
    <w:rsid w:val="00C469BC"/>
    <w:rsid w:val="00C46BD8"/>
    <w:rsid w:val="00C47DA9"/>
    <w:rsid w:val="00C507A9"/>
    <w:rsid w:val="00C510FB"/>
    <w:rsid w:val="00C52830"/>
    <w:rsid w:val="00C52A2F"/>
    <w:rsid w:val="00C5511B"/>
    <w:rsid w:val="00C556EC"/>
    <w:rsid w:val="00C55EFD"/>
    <w:rsid w:val="00C5680D"/>
    <w:rsid w:val="00C57236"/>
    <w:rsid w:val="00C6273A"/>
    <w:rsid w:val="00C6347D"/>
    <w:rsid w:val="00C70818"/>
    <w:rsid w:val="00C71F4B"/>
    <w:rsid w:val="00C73046"/>
    <w:rsid w:val="00C73958"/>
    <w:rsid w:val="00C73B59"/>
    <w:rsid w:val="00C73DD2"/>
    <w:rsid w:val="00C73F1F"/>
    <w:rsid w:val="00C75D72"/>
    <w:rsid w:val="00C803EC"/>
    <w:rsid w:val="00C82E2A"/>
    <w:rsid w:val="00C847C9"/>
    <w:rsid w:val="00C87868"/>
    <w:rsid w:val="00C90DE4"/>
    <w:rsid w:val="00C91DD4"/>
    <w:rsid w:val="00C922BD"/>
    <w:rsid w:val="00C93299"/>
    <w:rsid w:val="00C93D72"/>
    <w:rsid w:val="00C94090"/>
    <w:rsid w:val="00C945B7"/>
    <w:rsid w:val="00C94F94"/>
    <w:rsid w:val="00C95335"/>
    <w:rsid w:val="00C97410"/>
    <w:rsid w:val="00CA137F"/>
    <w:rsid w:val="00CA2B32"/>
    <w:rsid w:val="00CA2C57"/>
    <w:rsid w:val="00CA453C"/>
    <w:rsid w:val="00CA592A"/>
    <w:rsid w:val="00CA6B5E"/>
    <w:rsid w:val="00CB02C2"/>
    <w:rsid w:val="00CB16E9"/>
    <w:rsid w:val="00CB2974"/>
    <w:rsid w:val="00CB2F76"/>
    <w:rsid w:val="00CB3AF0"/>
    <w:rsid w:val="00CB4060"/>
    <w:rsid w:val="00CB45B2"/>
    <w:rsid w:val="00CB4614"/>
    <w:rsid w:val="00CB4950"/>
    <w:rsid w:val="00CB7211"/>
    <w:rsid w:val="00CB7F98"/>
    <w:rsid w:val="00CC0627"/>
    <w:rsid w:val="00CC065A"/>
    <w:rsid w:val="00CC0A8C"/>
    <w:rsid w:val="00CC1CE6"/>
    <w:rsid w:val="00CC3200"/>
    <w:rsid w:val="00CC4296"/>
    <w:rsid w:val="00CC4402"/>
    <w:rsid w:val="00CC5D95"/>
    <w:rsid w:val="00CC6ADD"/>
    <w:rsid w:val="00CC7391"/>
    <w:rsid w:val="00CC73A4"/>
    <w:rsid w:val="00CC74A7"/>
    <w:rsid w:val="00CD0E4F"/>
    <w:rsid w:val="00CD1FD3"/>
    <w:rsid w:val="00CD3B20"/>
    <w:rsid w:val="00CD57B2"/>
    <w:rsid w:val="00CD6417"/>
    <w:rsid w:val="00CD6CB4"/>
    <w:rsid w:val="00CD78CA"/>
    <w:rsid w:val="00CD78EE"/>
    <w:rsid w:val="00CE03B8"/>
    <w:rsid w:val="00CE0C5B"/>
    <w:rsid w:val="00CE1655"/>
    <w:rsid w:val="00CE245E"/>
    <w:rsid w:val="00CE38E8"/>
    <w:rsid w:val="00CE6DC3"/>
    <w:rsid w:val="00CE71FD"/>
    <w:rsid w:val="00CE78E2"/>
    <w:rsid w:val="00CE7C81"/>
    <w:rsid w:val="00CE7F57"/>
    <w:rsid w:val="00CF01FB"/>
    <w:rsid w:val="00CF0B5D"/>
    <w:rsid w:val="00CF24E2"/>
    <w:rsid w:val="00CF27CD"/>
    <w:rsid w:val="00CF2A24"/>
    <w:rsid w:val="00CF42C4"/>
    <w:rsid w:val="00CF4A44"/>
    <w:rsid w:val="00CF5778"/>
    <w:rsid w:val="00CF581D"/>
    <w:rsid w:val="00CF7300"/>
    <w:rsid w:val="00CF798A"/>
    <w:rsid w:val="00D025AC"/>
    <w:rsid w:val="00D02CAE"/>
    <w:rsid w:val="00D0340D"/>
    <w:rsid w:val="00D05103"/>
    <w:rsid w:val="00D06A0D"/>
    <w:rsid w:val="00D06D7F"/>
    <w:rsid w:val="00D07958"/>
    <w:rsid w:val="00D1027D"/>
    <w:rsid w:val="00D103D5"/>
    <w:rsid w:val="00D10CD4"/>
    <w:rsid w:val="00D110CB"/>
    <w:rsid w:val="00D11145"/>
    <w:rsid w:val="00D1156F"/>
    <w:rsid w:val="00D11BED"/>
    <w:rsid w:val="00D127B3"/>
    <w:rsid w:val="00D128DD"/>
    <w:rsid w:val="00D15208"/>
    <w:rsid w:val="00D178D2"/>
    <w:rsid w:val="00D20247"/>
    <w:rsid w:val="00D20800"/>
    <w:rsid w:val="00D20C76"/>
    <w:rsid w:val="00D252D8"/>
    <w:rsid w:val="00D26124"/>
    <w:rsid w:val="00D2698E"/>
    <w:rsid w:val="00D26CE5"/>
    <w:rsid w:val="00D26E29"/>
    <w:rsid w:val="00D30AD3"/>
    <w:rsid w:val="00D32581"/>
    <w:rsid w:val="00D33409"/>
    <w:rsid w:val="00D34144"/>
    <w:rsid w:val="00D3454B"/>
    <w:rsid w:val="00D36729"/>
    <w:rsid w:val="00D378F5"/>
    <w:rsid w:val="00D40391"/>
    <w:rsid w:val="00D40D0F"/>
    <w:rsid w:val="00D40DD9"/>
    <w:rsid w:val="00D4186C"/>
    <w:rsid w:val="00D42603"/>
    <w:rsid w:val="00D43ACB"/>
    <w:rsid w:val="00D44350"/>
    <w:rsid w:val="00D4436B"/>
    <w:rsid w:val="00D458BE"/>
    <w:rsid w:val="00D46EC1"/>
    <w:rsid w:val="00D50B00"/>
    <w:rsid w:val="00D50F26"/>
    <w:rsid w:val="00D53B66"/>
    <w:rsid w:val="00D55177"/>
    <w:rsid w:val="00D55CB1"/>
    <w:rsid w:val="00D60F6A"/>
    <w:rsid w:val="00D62481"/>
    <w:rsid w:val="00D6370C"/>
    <w:rsid w:val="00D6428C"/>
    <w:rsid w:val="00D656F6"/>
    <w:rsid w:val="00D669D7"/>
    <w:rsid w:val="00D66EC3"/>
    <w:rsid w:val="00D70D21"/>
    <w:rsid w:val="00D71482"/>
    <w:rsid w:val="00D7176C"/>
    <w:rsid w:val="00D73169"/>
    <w:rsid w:val="00D73774"/>
    <w:rsid w:val="00D739D1"/>
    <w:rsid w:val="00D7473B"/>
    <w:rsid w:val="00D74D8C"/>
    <w:rsid w:val="00D75D1A"/>
    <w:rsid w:val="00D76E58"/>
    <w:rsid w:val="00D77505"/>
    <w:rsid w:val="00D8368D"/>
    <w:rsid w:val="00D840AD"/>
    <w:rsid w:val="00D84CCB"/>
    <w:rsid w:val="00D85BB4"/>
    <w:rsid w:val="00D86365"/>
    <w:rsid w:val="00D86E55"/>
    <w:rsid w:val="00D92987"/>
    <w:rsid w:val="00D93C0C"/>
    <w:rsid w:val="00D973EE"/>
    <w:rsid w:val="00D97C0D"/>
    <w:rsid w:val="00D97FFB"/>
    <w:rsid w:val="00DA00E8"/>
    <w:rsid w:val="00DA09D1"/>
    <w:rsid w:val="00DA28FF"/>
    <w:rsid w:val="00DA2DA8"/>
    <w:rsid w:val="00DA3B66"/>
    <w:rsid w:val="00DA452F"/>
    <w:rsid w:val="00DA5BF1"/>
    <w:rsid w:val="00DA7146"/>
    <w:rsid w:val="00DB1158"/>
    <w:rsid w:val="00DB15EF"/>
    <w:rsid w:val="00DB30A8"/>
    <w:rsid w:val="00DB398A"/>
    <w:rsid w:val="00DB3FC9"/>
    <w:rsid w:val="00DB6FCA"/>
    <w:rsid w:val="00DC09F0"/>
    <w:rsid w:val="00DC1E0F"/>
    <w:rsid w:val="00DC246E"/>
    <w:rsid w:val="00DC43EF"/>
    <w:rsid w:val="00DC59E5"/>
    <w:rsid w:val="00DC61D1"/>
    <w:rsid w:val="00DC62CF"/>
    <w:rsid w:val="00DC6BDC"/>
    <w:rsid w:val="00DC738D"/>
    <w:rsid w:val="00DC74EF"/>
    <w:rsid w:val="00DD0A7E"/>
    <w:rsid w:val="00DD0AA2"/>
    <w:rsid w:val="00DD0B1B"/>
    <w:rsid w:val="00DD0F23"/>
    <w:rsid w:val="00DD1962"/>
    <w:rsid w:val="00DD20A2"/>
    <w:rsid w:val="00DD2AF2"/>
    <w:rsid w:val="00DD2E0F"/>
    <w:rsid w:val="00DD3779"/>
    <w:rsid w:val="00DD3A27"/>
    <w:rsid w:val="00DD4175"/>
    <w:rsid w:val="00DD4D8A"/>
    <w:rsid w:val="00DD5D44"/>
    <w:rsid w:val="00DD6CBB"/>
    <w:rsid w:val="00DD6F22"/>
    <w:rsid w:val="00DD7D95"/>
    <w:rsid w:val="00DE03C3"/>
    <w:rsid w:val="00DE047A"/>
    <w:rsid w:val="00DE3D3F"/>
    <w:rsid w:val="00DE3EC8"/>
    <w:rsid w:val="00DE4581"/>
    <w:rsid w:val="00DE504A"/>
    <w:rsid w:val="00DE5529"/>
    <w:rsid w:val="00DE592C"/>
    <w:rsid w:val="00DE7DAB"/>
    <w:rsid w:val="00DF169D"/>
    <w:rsid w:val="00DF31BC"/>
    <w:rsid w:val="00DF3805"/>
    <w:rsid w:val="00DF425F"/>
    <w:rsid w:val="00DF4522"/>
    <w:rsid w:val="00DF6DE0"/>
    <w:rsid w:val="00DF7344"/>
    <w:rsid w:val="00E0038A"/>
    <w:rsid w:val="00E00431"/>
    <w:rsid w:val="00E017F3"/>
    <w:rsid w:val="00E01A15"/>
    <w:rsid w:val="00E02133"/>
    <w:rsid w:val="00E026FA"/>
    <w:rsid w:val="00E039BA"/>
    <w:rsid w:val="00E04329"/>
    <w:rsid w:val="00E0485C"/>
    <w:rsid w:val="00E04A2B"/>
    <w:rsid w:val="00E06321"/>
    <w:rsid w:val="00E06C4F"/>
    <w:rsid w:val="00E11810"/>
    <w:rsid w:val="00E11C61"/>
    <w:rsid w:val="00E12507"/>
    <w:rsid w:val="00E1458B"/>
    <w:rsid w:val="00E15508"/>
    <w:rsid w:val="00E16B70"/>
    <w:rsid w:val="00E16CFB"/>
    <w:rsid w:val="00E17740"/>
    <w:rsid w:val="00E17D65"/>
    <w:rsid w:val="00E2085E"/>
    <w:rsid w:val="00E242DF"/>
    <w:rsid w:val="00E26415"/>
    <w:rsid w:val="00E266FC"/>
    <w:rsid w:val="00E269D4"/>
    <w:rsid w:val="00E30BB0"/>
    <w:rsid w:val="00E315A5"/>
    <w:rsid w:val="00E32ADB"/>
    <w:rsid w:val="00E33818"/>
    <w:rsid w:val="00E3413C"/>
    <w:rsid w:val="00E34FFA"/>
    <w:rsid w:val="00E36C2A"/>
    <w:rsid w:val="00E36C32"/>
    <w:rsid w:val="00E415EE"/>
    <w:rsid w:val="00E41AA7"/>
    <w:rsid w:val="00E41B8E"/>
    <w:rsid w:val="00E42670"/>
    <w:rsid w:val="00E42999"/>
    <w:rsid w:val="00E4380D"/>
    <w:rsid w:val="00E43D84"/>
    <w:rsid w:val="00E4637A"/>
    <w:rsid w:val="00E47787"/>
    <w:rsid w:val="00E526A4"/>
    <w:rsid w:val="00E53D81"/>
    <w:rsid w:val="00E55EC4"/>
    <w:rsid w:val="00E562C9"/>
    <w:rsid w:val="00E57522"/>
    <w:rsid w:val="00E57AC4"/>
    <w:rsid w:val="00E57B15"/>
    <w:rsid w:val="00E604D5"/>
    <w:rsid w:val="00E6068A"/>
    <w:rsid w:val="00E606F5"/>
    <w:rsid w:val="00E61A55"/>
    <w:rsid w:val="00E65721"/>
    <w:rsid w:val="00E66886"/>
    <w:rsid w:val="00E6695F"/>
    <w:rsid w:val="00E71820"/>
    <w:rsid w:val="00E719AE"/>
    <w:rsid w:val="00E72FBC"/>
    <w:rsid w:val="00E7441F"/>
    <w:rsid w:val="00E74983"/>
    <w:rsid w:val="00E75D58"/>
    <w:rsid w:val="00E761B6"/>
    <w:rsid w:val="00E7673E"/>
    <w:rsid w:val="00E77F3D"/>
    <w:rsid w:val="00E80C7D"/>
    <w:rsid w:val="00E81B05"/>
    <w:rsid w:val="00E823BE"/>
    <w:rsid w:val="00E84644"/>
    <w:rsid w:val="00E84FBC"/>
    <w:rsid w:val="00E852B0"/>
    <w:rsid w:val="00E85C05"/>
    <w:rsid w:val="00E86A76"/>
    <w:rsid w:val="00E90630"/>
    <w:rsid w:val="00E90AEA"/>
    <w:rsid w:val="00E92ADB"/>
    <w:rsid w:val="00E9352C"/>
    <w:rsid w:val="00E95670"/>
    <w:rsid w:val="00E96D39"/>
    <w:rsid w:val="00E96D79"/>
    <w:rsid w:val="00E977B3"/>
    <w:rsid w:val="00EA06CC"/>
    <w:rsid w:val="00EA0E3C"/>
    <w:rsid w:val="00EA2310"/>
    <w:rsid w:val="00EA3E73"/>
    <w:rsid w:val="00EA5AE1"/>
    <w:rsid w:val="00EA6A80"/>
    <w:rsid w:val="00EA6AA3"/>
    <w:rsid w:val="00EA7352"/>
    <w:rsid w:val="00EB13D3"/>
    <w:rsid w:val="00EB143B"/>
    <w:rsid w:val="00EB1F8C"/>
    <w:rsid w:val="00EB20EB"/>
    <w:rsid w:val="00EB269E"/>
    <w:rsid w:val="00EB322C"/>
    <w:rsid w:val="00EB4292"/>
    <w:rsid w:val="00EB5695"/>
    <w:rsid w:val="00EB58B6"/>
    <w:rsid w:val="00EB6A42"/>
    <w:rsid w:val="00EB6BF8"/>
    <w:rsid w:val="00EC0B6A"/>
    <w:rsid w:val="00EC12FA"/>
    <w:rsid w:val="00EC2C04"/>
    <w:rsid w:val="00EC31D3"/>
    <w:rsid w:val="00EC3463"/>
    <w:rsid w:val="00EC381B"/>
    <w:rsid w:val="00EC4B5C"/>
    <w:rsid w:val="00EC5FF9"/>
    <w:rsid w:val="00EC6AD9"/>
    <w:rsid w:val="00EC6B7E"/>
    <w:rsid w:val="00ED1827"/>
    <w:rsid w:val="00ED2A54"/>
    <w:rsid w:val="00ED4E7C"/>
    <w:rsid w:val="00ED50F5"/>
    <w:rsid w:val="00ED61CB"/>
    <w:rsid w:val="00EE1776"/>
    <w:rsid w:val="00EE2D08"/>
    <w:rsid w:val="00EE4334"/>
    <w:rsid w:val="00EE59E4"/>
    <w:rsid w:val="00EE5BB4"/>
    <w:rsid w:val="00EE6CAB"/>
    <w:rsid w:val="00EE768E"/>
    <w:rsid w:val="00EF0194"/>
    <w:rsid w:val="00EF046A"/>
    <w:rsid w:val="00EF1C20"/>
    <w:rsid w:val="00EF227A"/>
    <w:rsid w:val="00EF2E7F"/>
    <w:rsid w:val="00EF3008"/>
    <w:rsid w:val="00EF3EF8"/>
    <w:rsid w:val="00EF4675"/>
    <w:rsid w:val="00EF5E50"/>
    <w:rsid w:val="00EF6A34"/>
    <w:rsid w:val="00EF750A"/>
    <w:rsid w:val="00F003C2"/>
    <w:rsid w:val="00F00466"/>
    <w:rsid w:val="00F00940"/>
    <w:rsid w:val="00F016CC"/>
    <w:rsid w:val="00F021FE"/>
    <w:rsid w:val="00F0244E"/>
    <w:rsid w:val="00F06E6A"/>
    <w:rsid w:val="00F06F83"/>
    <w:rsid w:val="00F1024C"/>
    <w:rsid w:val="00F10439"/>
    <w:rsid w:val="00F11557"/>
    <w:rsid w:val="00F13C98"/>
    <w:rsid w:val="00F140C0"/>
    <w:rsid w:val="00F15FFB"/>
    <w:rsid w:val="00F16C12"/>
    <w:rsid w:val="00F17745"/>
    <w:rsid w:val="00F17A29"/>
    <w:rsid w:val="00F20BFB"/>
    <w:rsid w:val="00F2126E"/>
    <w:rsid w:val="00F23109"/>
    <w:rsid w:val="00F24394"/>
    <w:rsid w:val="00F259D8"/>
    <w:rsid w:val="00F25E48"/>
    <w:rsid w:val="00F27788"/>
    <w:rsid w:val="00F27814"/>
    <w:rsid w:val="00F2789E"/>
    <w:rsid w:val="00F30082"/>
    <w:rsid w:val="00F308A2"/>
    <w:rsid w:val="00F32604"/>
    <w:rsid w:val="00F34779"/>
    <w:rsid w:val="00F349C0"/>
    <w:rsid w:val="00F37DC0"/>
    <w:rsid w:val="00F37F63"/>
    <w:rsid w:val="00F41672"/>
    <w:rsid w:val="00F44A42"/>
    <w:rsid w:val="00F44ED8"/>
    <w:rsid w:val="00F47FC1"/>
    <w:rsid w:val="00F510E2"/>
    <w:rsid w:val="00F523B3"/>
    <w:rsid w:val="00F52A31"/>
    <w:rsid w:val="00F52F47"/>
    <w:rsid w:val="00F534D8"/>
    <w:rsid w:val="00F53D44"/>
    <w:rsid w:val="00F53EA3"/>
    <w:rsid w:val="00F54222"/>
    <w:rsid w:val="00F54803"/>
    <w:rsid w:val="00F54EEC"/>
    <w:rsid w:val="00F54EEE"/>
    <w:rsid w:val="00F555B4"/>
    <w:rsid w:val="00F5664D"/>
    <w:rsid w:val="00F56F2B"/>
    <w:rsid w:val="00F60CAA"/>
    <w:rsid w:val="00F611F0"/>
    <w:rsid w:val="00F626FE"/>
    <w:rsid w:val="00F62E5A"/>
    <w:rsid w:val="00F63514"/>
    <w:rsid w:val="00F63F83"/>
    <w:rsid w:val="00F64504"/>
    <w:rsid w:val="00F64688"/>
    <w:rsid w:val="00F65205"/>
    <w:rsid w:val="00F65463"/>
    <w:rsid w:val="00F65882"/>
    <w:rsid w:val="00F67566"/>
    <w:rsid w:val="00F67735"/>
    <w:rsid w:val="00F67C33"/>
    <w:rsid w:val="00F70B54"/>
    <w:rsid w:val="00F7174F"/>
    <w:rsid w:val="00F7260C"/>
    <w:rsid w:val="00F7393E"/>
    <w:rsid w:val="00F73B90"/>
    <w:rsid w:val="00F7499E"/>
    <w:rsid w:val="00F75634"/>
    <w:rsid w:val="00F758F7"/>
    <w:rsid w:val="00F801E5"/>
    <w:rsid w:val="00F813BE"/>
    <w:rsid w:val="00F81FF7"/>
    <w:rsid w:val="00F8295E"/>
    <w:rsid w:val="00F859FB"/>
    <w:rsid w:val="00F85DAA"/>
    <w:rsid w:val="00F86458"/>
    <w:rsid w:val="00F87C3F"/>
    <w:rsid w:val="00F90B9D"/>
    <w:rsid w:val="00F9285D"/>
    <w:rsid w:val="00F94358"/>
    <w:rsid w:val="00F9530B"/>
    <w:rsid w:val="00F95A5F"/>
    <w:rsid w:val="00F96244"/>
    <w:rsid w:val="00F96441"/>
    <w:rsid w:val="00F96D81"/>
    <w:rsid w:val="00F97396"/>
    <w:rsid w:val="00F97C78"/>
    <w:rsid w:val="00FA1022"/>
    <w:rsid w:val="00FA2113"/>
    <w:rsid w:val="00FA259F"/>
    <w:rsid w:val="00FA30BC"/>
    <w:rsid w:val="00FA60F1"/>
    <w:rsid w:val="00FA66C2"/>
    <w:rsid w:val="00FA6F54"/>
    <w:rsid w:val="00FA7A0D"/>
    <w:rsid w:val="00FA7F1D"/>
    <w:rsid w:val="00FB024A"/>
    <w:rsid w:val="00FB142E"/>
    <w:rsid w:val="00FB1B33"/>
    <w:rsid w:val="00FB25C7"/>
    <w:rsid w:val="00FB3779"/>
    <w:rsid w:val="00FB39EE"/>
    <w:rsid w:val="00FB3D8D"/>
    <w:rsid w:val="00FB444D"/>
    <w:rsid w:val="00FB465D"/>
    <w:rsid w:val="00FB4C25"/>
    <w:rsid w:val="00FB51D7"/>
    <w:rsid w:val="00FB543C"/>
    <w:rsid w:val="00FB5BEA"/>
    <w:rsid w:val="00FB7226"/>
    <w:rsid w:val="00FB7A33"/>
    <w:rsid w:val="00FB7F87"/>
    <w:rsid w:val="00FC081D"/>
    <w:rsid w:val="00FC1A4C"/>
    <w:rsid w:val="00FC1C5D"/>
    <w:rsid w:val="00FC2AC4"/>
    <w:rsid w:val="00FC3BAF"/>
    <w:rsid w:val="00FC4697"/>
    <w:rsid w:val="00FC4B1F"/>
    <w:rsid w:val="00FC7B35"/>
    <w:rsid w:val="00FD09FD"/>
    <w:rsid w:val="00FD201A"/>
    <w:rsid w:val="00FD247B"/>
    <w:rsid w:val="00FD2C9F"/>
    <w:rsid w:val="00FD4758"/>
    <w:rsid w:val="00FD49C3"/>
    <w:rsid w:val="00FD5091"/>
    <w:rsid w:val="00FD7F22"/>
    <w:rsid w:val="00FE0894"/>
    <w:rsid w:val="00FE0FC3"/>
    <w:rsid w:val="00FE17B6"/>
    <w:rsid w:val="00FE1ED5"/>
    <w:rsid w:val="00FE35EA"/>
    <w:rsid w:val="00FE5709"/>
    <w:rsid w:val="00FE6233"/>
    <w:rsid w:val="00FE6824"/>
    <w:rsid w:val="00FF1685"/>
    <w:rsid w:val="00FF1947"/>
    <w:rsid w:val="00FF3FD4"/>
    <w:rsid w:val="00FF597A"/>
    <w:rsid w:val="00FF7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7B6616"/>
  <w15:chartTrackingRefBased/>
  <w15:docId w15:val="{B7ECD4D3-B3B4-463F-BEAF-7AA4EFD3B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49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9D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739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634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49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449D4"/>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C352F2"/>
    <w:pPr>
      <w:spacing w:after="0" w:line="240" w:lineRule="auto"/>
    </w:pPr>
    <w:rPr>
      <w:sz w:val="20"/>
      <w:szCs w:val="20"/>
    </w:rPr>
  </w:style>
  <w:style w:type="character" w:customStyle="1" w:styleId="FootnoteTextChar">
    <w:name w:val="Footnote Text Char"/>
    <w:basedOn w:val="DefaultParagraphFont"/>
    <w:link w:val="FootnoteText"/>
    <w:uiPriority w:val="99"/>
    <w:rsid w:val="00C352F2"/>
    <w:rPr>
      <w:sz w:val="20"/>
      <w:szCs w:val="20"/>
    </w:rPr>
  </w:style>
  <w:style w:type="character" w:styleId="FootnoteReference">
    <w:name w:val="footnote reference"/>
    <w:basedOn w:val="DefaultParagraphFont"/>
    <w:uiPriority w:val="99"/>
    <w:unhideWhenUsed/>
    <w:rsid w:val="00C352F2"/>
    <w:rPr>
      <w:vertAlign w:val="superscript"/>
    </w:rPr>
  </w:style>
  <w:style w:type="table" w:styleId="TableGrid">
    <w:name w:val="Table Grid"/>
    <w:basedOn w:val="TableNormal"/>
    <w:uiPriority w:val="39"/>
    <w:rsid w:val="00681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5021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D3B47"/>
    <w:pPr>
      <w:ind w:left="720"/>
      <w:contextualSpacing/>
    </w:pPr>
  </w:style>
  <w:style w:type="character" w:styleId="CommentReference">
    <w:name w:val="annotation reference"/>
    <w:basedOn w:val="DefaultParagraphFont"/>
    <w:uiPriority w:val="99"/>
    <w:semiHidden/>
    <w:unhideWhenUsed/>
    <w:rsid w:val="001F00A5"/>
    <w:rPr>
      <w:sz w:val="16"/>
      <w:szCs w:val="16"/>
    </w:rPr>
  </w:style>
  <w:style w:type="paragraph" w:styleId="CommentText">
    <w:name w:val="annotation text"/>
    <w:basedOn w:val="Normal"/>
    <w:link w:val="CommentTextChar"/>
    <w:uiPriority w:val="99"/>
    <w:unhideWhenUsed/>
    <w:rsid w:val="001F00A5"/>
    <w:pPr>
      <w:spacing w:line="240" w:lineRule="auto"/>
    </w:pPr>
    <w:rPr>
      <w:sz w:val="20"/>
      <w:szCs w:val="20"/>
    </w:rPr>
  </w:style>
  <w:style w:type="character" w:customStyle="1" w:styleId="CommentTextChar">
    <w:name w:val="Comment Text Char"/>
    <w:basedOn w:val="DefaultParagraphFont"/>
    <w:link w:val="CommentText"/>
    <w:uiPriority w:val="99"/>
    <w:rsid w:val="001F00A5"/>
    <w:rPr>
      <w:sz w:val="20"/>
      <w:szCs w:val="20"/>
    </w:rPr>
  </w:style>
  <w:style w:type="paragraph" w:styleId="CommentSubject">
    <w:name w:val="annotation subject"/>
    <w:basedOn w:val="CommentText"/>
    <w:next w:val="CommentText"/>
    <w:link w:val="CommentSubjectChar"/>
    <w:uiPriority w:val="99"/>
    <w:semiHidden/>
    <w:unhideWhenUsed/>
    <w:rsid w:val="001F00A5"/>
    <w:rPr>
      <w:b/>
      <w:bCs/>
    </w:rPr>
  </w:style>
  <w:style w:type="character" w:customStyle="1" w:styleId="CommentSubjectChar">
    <w:name w:val="Comment Subject Char"/>
    <w:basedOn w:val="CommentTextChar"/>
    <w:link w:val="CommentSubject"/>
    <w:uiPriority w:val="99"/>
    <w:semiHidden/>
    <w:rsid w:val="001F00A5"/>
    <w:rPr>
      <w:b/>
      <w:bCs/>
      <w:sz w:val="20"/>
      <w:szCs w:val="20"/>
    </w:rPr>
  </w:style>
  <w:style w:type="paragraph" w:styleId="BalloonText">
    <w:name w:val="Balloon Text"/>
    <w:basedOn w:val="Normal"/>
    <w:link w:val="BalloonTextChar"/>
    <w:uiPriority w:val="99"/>
    <w:semiHidden/>
    <w:unhideWhenUsed/>
    <w:rsid w:val="001F0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0A5"/>
    <w:rPr>
      <w:rFonts w:ascii="Segoe UI" w:hAnsi="Segoe UI" w:cs="Segoe UI"/>
      <w:sz w:val="18"/>
      <w:szCs w:val="18"/>
    </w:rPr>
  </w:style>
  <w:style w:type="paragraph" w:styleId="NormalWeb">
    <w:name w:val="Normal (Web)"/>
    <w:basedOn w:val="Normal"/>
    <w:uiPriority w:val="99"/>
    <w:semiHidden/>
    <w:unhideWhenUsed/>
    <w:rsid w:val="00CF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A634CA"/>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5446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6D5"/>
  </w:style>
  <w:style w:type="paragraph" w:styleId="Footer">
    <w:name w:val="footer"/>
    <w:basedOn w:val="Normal"/>
    <w:link w:val="FooterChar"/>
    <w:uiPriority w:val="99"/>
    <w:unhideWhenUsed/>
    <w:rsid w:val="00544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6D5"/>
  </w:style>
  <w:style w:type="character" w:styleId="Strong">
    <w:name w:val="Strong"/>
    <w:basedOn w:val="DefaultParagraphFont"/>
    <w:uiPriority w:val="22"/>
    <w:qFormat/>
    <w:rsid w:val="002862DD"/>
    <w:rPr>
      <w:b/>
      <w:bCs/>
    </w:rPr>
  </w:style>
  <w:style w:type="paragraph" w:styleId="Revision">
    <w:name w:val="Revision"/>
    <w:hidden/>
    <w:uiPriority w:val="99"/>
    <w:semiHidden/>
    <w:rsid w:val="00395305"/>
    <w:pPr>
      <w:spacing w:after="0" w:line="240" w:lineRule="auto"/>
    </w:pPr>
  </w:style>
  <w:style w:type="paragraph" w:customStyle="1" w:styleId="Default">
    <w:name w:val="Default"/>
    <w:rsid w:val="00082663"/>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08266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9522B1"/>
    <w:pPr>
      <w:spacing w:after="0"/>
    </w:pPr>
  </w:style>
  <w:style w:type="character" w:styleId="Hyperlink">
    <w:name w:val="Hyperlink"/>
    <w:basedOn w:val="DefaultParagraphFont"/>
    <w:uiPriority w:val="99"/>
    <w:unhideWhenUsed/>
    <w:rsid w:val="009522B1"/>
    <w:rPr>
      <w:color w:val="0563C1" w:themeColor="hyperlink"/>
      <w:u w:val="single"/>
    </w:rPr>
  </w:style>
  <w:style w:type="character" w:customStyle="1" w:styleId="Heading3Char">
    <w:name w:val="Heading 3 Char"/>
    <w:basedOn w:val="DefaultParagraphFont"/>
    <w:link w:val="Heading3"/>
    <w:uiPriority w:val="9"/>
    <w:rsid w:val="00A739F3"/>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5107BF"/>
    <w:rPr>
      <w:color w:val="954F72" w:themeColor="followedHyperlink"/>
      <w:u w:val="single"/>
    </w:rPr>
  </w:style>
  <w:style w:type="table" w:styleId="PlainTable1">
    <w:name w:val="Plain Table 1"/>
    <w:basedOn w:val="TableNormal"/>
    <w:uiPriority w:val="41"/>
    <w:rsid w:val="00C6347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CD78CA"/>
    <w:rPr>
      <w:color w:val="605E5C"/>
      <w:shd w:val="clear" w:color="auto" w:fill="E1DFDD"/>
    </w:rPr>
  </w:style>
  <w:style w:type="table" w:styleId="GridTable1Light-Accent5">
    <w:name w:val="Grid Table 1 Light Accent 5"/>
    <w:basedOn w:val="TableNormal"/>
    <w:uiPriority w:val="46"/>
    <w:rsid w:val="0027522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7522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5">
    <w:name w:val="Grid Table 5 Dark Accent 5"/>
    <w:basedOn w:val="TableNormal"/>
    <w:uiPriority w:val="50"/>
    <w:rsid w:val="002752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1Light-Accent6">
    <w:name w:val="Grid Table 1 Light Accent 6"/>
    <w:basedOn w:val="TableNormal"/>
    <w:uiPriority w:val="46"/>
    <w:rsid w:val="00927AA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3-Accent5">
    <w:name w:val="List Table 3 Accent 5"/>
    <w:basedOn w:val="TableNormal"/>
    <w:uiPriority w:val="48"/>
    <w:rsid w:val="008A1D26"/>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PlainTable4">
    <w:name w:val="Plain Table 4"/>
    <w:basedOn w:val="TableNormal"/>
    <w:uiPriority w:val="44"/>
    <w:rsid w:val="004076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4076A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Heading">
    <w:name w:val="TOC Heading"/>
    <w:basedOn w:val="Heading1"/>
    <w:next w:val="Normal"/>
    <w:uiPriority w:val="39"/>
    <w:unhideWhenUsed/>
    <w:qFormat/>
    <w:rsid w:val="004076AD"/>
    <w:pPr>
      <w:outlineLvl w:val="9"/>
    </w:pPr>
  </w:style>
  <w:style w:type="paragraph" w:styleId="TOC1">
    <w:name w:val="toc 1"/>
    <w:basedOn w:val="Normal"/>
    <w:next w:val="Normal"/>
    <w:autoRedefine/>
    <w:uiPriority w:val="39"/>
    <w:unhideWhenUsed/>
    <w:rsid w:val="004076AD"/>
    <w:pPr>
      <w:spacing w:after="100"/>
    </w:pPr>
  </w:style>
  <w:style w:type="paragraph" w:styleId="TOC2">
    <w:name w:val="toc 2"/>
    <w:basedOn w:val="Normal"/>
    <w:next w:val="Normal"/>
    <w:autoRedefine/>
    <w:uiPriority w:val="39"/>
    <w:unhideWhenUsed/>
    <w:rsid w:val="004076AD"/>
    <w:pPr>
      <w:spacing w:after="100"/>
      <w:ind w:left="220"/>
    </w:pPr>
  </w:style>
  <w:style w:type="paragraph" w:styleId="TOC3">
    <w:name w:val="toc 3"/>
    <w:basedOn w:val="Normal"/>
    <w:next w:val="Normal"/>
    <w:autoRedefine/>
    <w:uiPriority w:val="39"/>
    <w:unhideWhenUsed/>
    <w:rsid w:val="004076AD"/>
    <w:pPr>
      <w:spacing w:after="100"/>
      <w:ind w:left="440"/>
    </w:pPr>
  </w:style>
  <w:style w:type="paragraph" w:styleId="Bibliography">
    <w:name w:val="Bibliography"/>
    <w:basedOn w:val="Normal"/>
    <w:next w:val="Normal"/>
    <w:uiPriority w:val="37"/>
    <w:unhideWhenUsed/>
    <w:rsid w:val="00C55E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7910">
      <w:bodyDiv w:val="1"/>
      <w:marLeft w:val="0"/>
      <w:marRight w:val="0"/>
      <w:marTop w:val="0"/>
      <w:marBottom w:val="0"/>
      <w:divBdr>
        <w:top w:val="none" w:sz="0" w:space="0" w:color="auto"/>
        <w:left w:val="none" w:sz="0" w:space="0" w:color="auto"/>
        <w:bottom w:val="none" w:sz="0" w:space="0" w:color="auto"/>
        <w:right w:val="none" w:sz="0" w:space="0" w:color="auto"/>
      </w:divBdr>
    </w:div>
    <w:div w:id="84345788">
      <w:bodyDiv w:val="1"/>
      <w:marLeft w:val="0"/>
      <w:marRight w:val="0"/>
      <w:marTop w:val="0"/>
      <w:marBottom w:val="0"/>
      <w:divBdr>
        <w:top w:val="none" w:sz="0" w:space="0" w:color="auto"/>
        <w:left w:val="none" w:sz="0" w:space="0" w:color="auto"/>
        <w:bottom w:val="none" w:sz="0" w:space="0" w:color="auto"/>
        <w:right w:val="none" w:sz="0" w:space="0" w:color="auto"/>
      </w:divBdr>
    </w:div>
    <w:div w:id="136726299">
      <w:bodyDiv w:val="1"/>
      <w:marLeft w:val="0"/>
      <w:marRight w:val="0"/>
      <w:marTop w:val="0"/>
      <w:marBottom w:val="0"/>
      <w:divBdr>
        <w:top w:val="none" w:sz="0" w:space="0" w:color="auto"/>
        <w:left w:val="none" w:sz="0" w:space="0" w:color="auto"/>
        <w:bottom w:val="none" w:sz="0" w:space="0" w:color="auto"/>
        <w:right w:val="none" w:sz="0" w:space="0" w:color="auto"/>
      </w:divBdr>
      <w:divsChild>
        <w:div w:id="2119786600">
          <w:marLeft w:val="547"/>
          <w:marRight w:val="0"/>
          <w:marTop w:val="134"/>
          <w:marBottom w:val="0"/>
          <w:divBdr>
            <w:top w:val="none" w:sz="0" w:space="0" w:color="auto"/>
            <w:left w:val="none" w:sz="0" w:space="0" w:color="auto"/>
            <w:bottom w:val="none" w:sz="0" w:space="0" w:color="auto"/>
            <w:right w:val="none" w:sz="0" w:space="0" w:color="auto"/>
          </w:divBdr>
        </w:div>
      </w:divsChild>
    </w:div>
    <w:div w:id="153645669">
      <w:bodyDiv w:val="1"/>
      <w:marLeft w:val="0"/>
      <w:marRight w:val="0"/>
      <w:marTop w:val="0"/>
      <w:marBottom w:val="0"/>
      <w:divBdr>
        <w:top w:val="none" w:sz="0" w:space="0" w:color="auto"/>
        <w:left w:val="none" w:sz="0" w:space="0" w:color="auto"/>
        <w:bottom w:val="none" w:sz="0" w:space="0" w:color="auto"/>
        <w:right w:val="none" w:sz="0" w:space="0" w:color="auto"/>
      </w:divBdr>
      <w:divsChild>
        <w:div w:id="521407699">
          <w:marLeft w:val="547"/>
          <w:marRight w:val="0"/>
          <w:marTop w:val="125"/>
          <w:marBottom w:val="0"/>
          <w:divBdr>
            <w:top w:val="none" w:sz="0" w:space="0" w:color="auto"/>
            <w:left w:val="none" w:sz="0" w:space="0" w:color="auto"/>
            <w:bottom w:val="none" w:sz="0" w:space="0" w:color="auto"/>
            <w:right w:val="none" w:sz="0" w:space="0" w:color="auto"/>
          </w:divBdr>
        </w:div>
        <w:div w:id="45956304">
          <w:marLeft w:val="1166"/>
          <w:marRight w:val="0"/>
          <w:marTop w:val="106"/>
          <w:marBottom w:val="0"/>
          <w:divBdr>
            <w:top w:val="none" w:sz="0" w:space="0" w:color="auto"/>
            <w:left w:val="none" w:sz="0" w:space="0" w:color="auto"/>
            <w:bottom w:val="none" w:sz="0" w:space="0" w:color="auto"/>
            <w:right w:val="none" w:sz="0" w:space="0" w:color="auto"/>
          </w:divBdr>
        </w:div>
        <w:div w:id="891422650">
          <w:marLeft w:val="1166"/>
          <w:marRight w:val="0"/>
          <w:marTop w:val="106"/>
          <w:marBottom w:val="0"/>
          <w:divBdr>
            <w:top w:val="none" w:sz="0" w:space="0" w:color="auto"/>
            <w:left w:val="none" w:sz="0" w:space="0" w:color="auto"/>
            <w:bottom w:val="none" w:sz="0" w:space="0" w:color="auto"/>
            <w:right w:val="none" w:sz="0" w:space="0" w:color="auto"/>
          </w:divBdr>
        </w:div>
        <w:div w:id="285354414">
          <w:marLeft w:val="547"/>
          <w:marRight w:val="0"/>
          <w:marTop w:val="125"/>
          <w:marBottom w:val="0"/>
          <w:divBdr>
            <w:top w:val="none" w:sz="0" w:space="0" w:color="auto"/>
            <w:left w:val="none" w:sz="0" w:space="0" w:color="auto"/>
            <w:bottom w:val="none" w:sz="0" w:space="0" w:color="auto"/>
            <w:right w:val="none" w:sz="0" w:space="0" w:color="auto"/>
          </w:divBdr>
        </w:div>
      </w:divsChild>
    </w:div>
    <w:div w:id="172183801">
      <w:bodyDiv w:val="1"/>
      <w:marLeft w:val="0"/>
      <w:marRight w:val="0"/>
      <w:marTop w:val="0"/>
      <w:marBottom w:val="0"/>
      <w:divBdr>
        <w:top w:val="none" w:sz="0" w:space="0" w:color="auto"/>
        <w:left w:val="none" w:sz="0" w:space="0" w:color="auto"/>
        <w:bottom w:val="none" w:sz="0" w:space="0" w:color="auto"/>
        <w:right w:val="none" w:sz="0" w:space="0" w:color="auto"/>
      </w:divBdr>
    </w:div>
    <w:div w:id="178857586">
      <w:bodyDiv w:val="1"/>
      <w:marLeft w:val="0"/>
      <w:marRight w:val="0"/>
      <w:marTop w:val="0"/>
      <w:marBottom w:val="0"/>
      <w:divBdr>
        <w:top w:val="none" w:sz="0" w:space="0" w:color="auto"/>
        <w:left w:val="none" w:sz="0" w:space="0" w:color="auto"/>
        <w:bottom w:val="none" w:sz="0" w:space="0" w:color="auto"/>
        <w:right w:val="none" w:sz="0" w:space="0" w:color="auto"/>
      </w:divBdr>
    </w:div>
    <w:div w:id="184487050">
      <w:bodyDiv w:val="1"/>
      <w:marLeft w:val="0"/>
      <w:marRight w:val="0"/>
      <w:marTop w:val="0"/>
      <w:marBottom w:val="0"/>
      <w:divBdr>
        <w:top w:val="none" w:sz="0" w:space="0" w:color="auto"/>
        <w:left w:val="none" w:sz="0" w:space="0" w:color="auto"/>
        <w:bottom w:val="none" w:sz="0" w:space="0" w:color="auto"/>
        <w:right w:val="none" w:sz="0" w:space="0" w:color="auto"/>
      </w:divBdr>
    </w:div>
    <w:div w:id="190068537">
      <w:bodyDiv w:val="1"/>
      <w:marLeft w:val="0"/>
      <w:marRight w:val="0"/>
      <w:marTop w:val="0"/>
      <w:marBottom w:val="0"/>
      <w:divBdr>
        <w:top w:val="none" w:sz="0" w:space="0" w:color="auto"/>
        <w:left w:val="none" w:sz="0" w:space="0" w:color="auto"/>
        <w:bottom w:val="none" w:sz="0" w:space="0" w:color="auto"/>
        <w:right w:val="none" w:sz="0" w:space="0" w:color="auto"/>
      </w:divBdr>
    </w:div>
    <w:div w:id="194119408">
      <w:bodyDiv w:val="1"/>
      <w:marLeft w:val="0"/>
      <w:marRight w:val="0"/>
      <w:marTop w:val="0"/>
      <w:marBottom w:val="0"/>
      <w:divBdr>
        <w:top w:val="none" w:sz="0" w:space="0" w:color="auto"/>
        <w:left w:val="none" w:sz="0" w:space="0" w:color="auto"/>
        <w:bottom w:val="none" w:sz="0" w:space="0" w:color="auto"/>
        <w:right w:val="none" w:sz="0" w:space="0" w:color="auto"/>
      </w:divBdr>
    </w:div>
    <w:div w:id="215287617">
      <w:bodyDiv w:val="1"/>
      <w:marLeft w:val="0"/>
      <w:marRight w:val="0"/>
      <w:marTop w:val="0"/>
      <w:marBottom w:val="0"/>
      <w:divBdr>
        <w:top w:val="none" w:sz="0" w:space="0" w:color="auto"/>
        <w:left w:val="none" w:sz="0" w:space="0" w:color="auto"/>
        <w:bottom w:val="none" w:sz="0" w:space="0" w:color="auto"/>
        <w:right w:val="none" w:sz="0" w:space="0" w:color="auto"/>
      </w:divBdr>
    </w:div>
    <w:div w:id="248120803">
      <w:bodyDiv w:val="1"/>
      <w:marLeft w:val="0"/>
      <w:marRight w:val="0"/>
      <w:marTop w:val="0"/>
      <w:marBottom w:val="0"/>
      <w:divBdr>
        <w:top w:val="none" w:sz="0" w:space="0" w:color="auto"/>
        <w:left w:val="none" w:sz="0" w:space="0" w:color="auto"/>
        <w:bottom w:val="none" w:sz="0" w:space="0" w:color="auto"/>
        <w:right w:val="none" w:sz="0" w:space="0" w:color="auto"/>
      </w:divBdr>
      <w:divsChild>
        <w:div w:id="41758840">
          <w:marLeft w:val="547"/>
          <w:marRight w:val="0"/>
          <w:marTop w:val="154"/>
          <w:marBottom w:val="0"/>
          <w:divBdr>
            <w:top w:val="none" w:sz="0" w:space="0" w:color="auto"/>
            <w:left w:val="none" w:sz="0" w:space="0" w:color="auto"/>
            <w:bottom w:val="none" w:sz="0" w:space="0" w:color="auto"/>
            <w:right w:val="none" w:sz="0" w:space="0" w:color="auto"/>
          </w:divBdr>
        </w:div>
        <w:div w:id="1576549824">
          <w:marLeft w:val="1166"/>
          <w:marRight w:val="0"/>
          <w:marTop w:val="134"/>
          <w:marBottom w:val="0"/>
          <w:divBdr>
            <w:top w:val="none" w:sz="0" w:space="0" w:color="auto"/>
            <w:left w:val="none" w:sz="0" w:space="0" w:color="auto"/>
            <w:bottom w:val="none" w:sz="0" w:space="0" w:color="auto"/>
            <w:right w:val="none" w:sz="0" w:space="0" w:color="auto"/>
          </w:divBdr>
        </w:div>
        <w:div w:id="1602495662">
          <w:marLeft w:val="1166"/>
          <w:marRight w:val="0"/>
          <w:marTop w:val="134"/>
          <w:marBottom w:val="0"/>
          <w:divBdr>
            <w:top w:val="none" w:sz="0" w:space="0" w:color="auto"/>
            <w:left w:val="none" w:sz="0" w:space="0" w:color="auto"/>
            <w:bottom w:val="none" w:sz="0" w:space="0" w:color="auto"/>
            <w:right w:val="none" w:sz="0" w:space="0" w:color="auto"/>
          </w:divBdr>
        </w:div>
        <w:div w:id="1376664475">
          <w:marLeft w:val="1166"/>
          <w:marRight w:val="0"/>
          <w:marTop w:val="134"/>
          <w:marBottom w:val="0"/>
          <w:divBdr>
            <w:top w:val="none" w:sz="0" w:space="0" w:color="auto"/>
            <w:left w:val="none" w:sz="0" w:space="0" w:color="auto"/>
            <w:bottom w:val="none" w:sz="0" w:space="0" w:color="auto"/>
            <w:right w:val="none" w:sz="0" w:space="0" w:color="auto"/>
          </w:divBdr>
        </w:div>
        <w:div w:id="1204248096">
          <w:marLeft w:val="1166"/>
          <w:marRight w:val="0"/>
          <w:marTop w:val="134"/>
          <w:marBottom w:val="0"/>
          <w:divBdr>
            <w:top w:val="none" w:sz="0" w:space="0" w:color="auto"/>
            <w:left w:val="none" w:sz="0" w:space="0" w:color="auto"/>
            <w:bottom w:val="none" w:sz="0" w:space="0" w:color="auto"/>
            <w:right w:val="none" w:sz="0" w:space="0" w:color="auto"/>
          </w:divBdr>
        </w:div>
        <w:div w:id="844055090">
          <w:marLeft w:val="547"/>
          <w:marRight w:val="0"/>
          <w:marTop w:val="154"/>
          <w:marBottom w:val="0"/>
          <w:divBdr>
            <w:top w:val="none" w:sz="0" w:space="0" w:color="auto"/>
            <w:left w:val="none" w:sz="0" w:space="0" w:color="auto"/>
            <w:bottom w:val="none" w:sz="0" w:space="0" w:color="auto"/>
            <w:right w:val="none" w:sz="0" w:space="0" w:color="auto"/>
          </w:divBdr>
        </w:div>
        <w:div w:id="678390070">
          <w:marLeft w:val="1166"/>
          <w:marRight w:val="0"/>
          <w:marTop w:val="134"/>
          <w:marBottom w:val="0"/>
          <w:divBdr>
            <w:top w:val="none" w:sz="0" w:space="0" w:color="auto"/>
            <w:left w:val="none" w:sz="0" w:space="0" w:color="auto"/>
            <w:bottom w:val="none" w:sz="0" w:space="0" w:color="auto"/>
            <w:right w:val="none" w:sz="0" w:space="0" w:color="auto"/>
          </w:divBdr>
        </w:div>
        <w:div w:id="1514030066">
          <w:marLeft w:val="1166"/>
          <w:marRight w:val="0"/>
          <w:marTop w:val="134"/>
          <w:marBottom w:val="0"/>
          <w:divBdr>
            <w:top w:val="none" w:sz="0" w:space="0" w:color="auto"/>
            <w:left w:val="none" w:sz="0" w:space="0" w:color="auto"/>
            <w:bottom w:val="none" w:sz="0" w:space="0" w:color="auto"/>
            <w:right w:val="none" w:sz="0" w:space="0" w:color="auto"/>
          </w:divBdr>
        </w:div>
        <w:div w:id="1074355323">
          <w:marLeft w:val="1166"/>
          <w:marRight w:val="0"/>
          <w:marTop w:val="134"/>
          <w:marBottom w:val="0"/>
          <w:divBdr>
            <w:top w:val="none" w:sz="0" w:space="0" w:color="auto"/>
            <w:left w:val="none" w:sz="0" w:space="0" w:color="auto"/>
            <w:bottom w:val="none" w:sz="0" w:space="0" w:color="auto"/>
            <w:right w:val="none" w:sz="0" w:space="0" w:color="auto"/>
          </w:divBdr>
        </w:div>
      </w:divsChild>
    </w:div>
    <w:div w:id="258681453">
      <w:bodyDiv w:val="1"/>
      <w:marLeft w:val="0"/>
      <w:marRight w:val="0"/>
      <w:marTop w:val="0"/>
      <w:marBottom w:val="0"/>
      <w:divBdr>
        <w:top w:val="none" w:sz="0" w:space="0" w:color="auto"/>
        <w:left w:val="none" w:sz="0" w:space="0" w:color="auto"/>
        <w:bottom w:val="none" w:sz="0" w:space="0" w:color="auto"/>
        <w:right w:val="none" w:sz="0" w:space="0" w:color="auto"/>
      </w:divBdr>
    </w:div>
    <w:div w:id="260652477">
      <w:bodyDiv w:val="1"/>
      <w:marLeft w:val="0"/>
      <w:marRight w:val="0"/>
      <w:marTop w:val="0"/>
      <w:marBottom w:val="0"/>
      <w:divBdr>
        <w:top w:val="none" w:sz="0" w:space="0" w:color="auto"/>
        <w:left w:val="none" w:sz="0" w:space="0" w:color="auto"/>
        <w:bottom w:val="none" w:sz="0" w:space="0" w:color="auto"/>
        <w:right w:val="none" w:sz="0" w:space="0" w:color="auto"/>
      </w:divBdr>
    </w:div>
    <w:div w:id="283118339">
      <w:bodyDiv w:val="1"/>
      <w:marLeft w:val="0"/>
      <w:marRight w:val="0"/>
      <w:marTop w:val="0"/>
      <w:marBottom w:val="0"/>
      <w:divBdr>
        <w:top w:val="none" w:sz="0" w:space="0" w:color="auto"/>
        <w:left w:val="none" w:sz="0" w:space="0" w:color="auto"/>
        <w:bottom w:val="none" w:sz="0" w:space="0" w:color="auto"/>
        <w:right w:val="none" w:sz="0" w:space="0" w:color="auto"/>
      </w:divBdr>
    </w:div>
    <w:div w:id="286855349">
      <w:bodyDiv w:val="1"/>
      <w:marLeft w:val="0"/>
      <w:marRight w:val="0"/>
      <w:marTop w:val="0"/>
      <w:marBottom w:val="0"/>
      <w:divBdr>
        <w:top w:val="none" w:sz="0" w:space="0" w:color="auto"/>
        <w:left w:val="none" w:sz="0" w:space="0" w:color="auto"/>
        <w:bottom w:val="none" w:sz="0" w:space="0" w:color="auto"/>
        <w:right w:val="none" w:sz="0" w:space="0" w:color="auto"/>
      </w:divBdr>
    </w:div>
    <w:div w:id="291904799">
      <w:bodyDiv w:val="1"/>
      <w:marLeft w:val="0"/>
      <w:marRight w:val="0"/>
      <w:marTop w:val="0"/>
      <w:marBottom w:val="0"/>
      <w:divBdr>
        <w:top w:val="none" w:sz="0" w:space="0" w:color="auto"/>
        <w:left w:val="none" w:sz="0" w:space="0" w:color="auto"/>
        <w:bottom w:val="none" w:sz="0" w:space="0" w:color="auto"/>
        <w:right w:val="none" w:sz="0" w:space="0" w:color="auto"/>
      </w:divBdr>
    </w:div>
    <w:div w:id="348214656">
      <w:bodyDiv w:val="1"/>
      <w:marLeft w:val="0"/>
      <w:marRight w:val="0"/>
      <w:marTop w:val="0"/>
      <w:marBottom w:val="0"/>
      <w:divBdr>
        <w:top w:val="none" w:sz="0" w:space="0" w:color="auto"/>
        <w:left w:val="none" w:sz="0" w:space="0" w:color="auto"/>
        <w:bottom w:val="none" w:sz="0" w:space="0" w:color="auto"/>
        <w:right w:val="none" w:sz="0" w:space="0" w:color="auto"/>
      </w:divBdr>
    </w:div>
    <w:div w:id="353969121">
      <w:bodyDiv w:val="1"/>
      <w:marLeft w:val="0"/>
      <w:marRight w:val="0"/>
      <w:marTop w:val="0"/>
      <w:marBottom w:val="0"/>
      <w:divBdr>
        <w:top w:val="none" w:sz="0" w:space="0" w:color="auto"/>
        <w:left w:val="none" w:sz="0" w:space="0" w:color="auto"/>
        <w:bottom w:val="none" w:sz="0" w:space="0" w:color="auto"/>
        <w:right w:val="none" w:sz="0" w:space="0" w:color="auto"/>
      </w:divBdr>
    </w:div>
    <w:div w:id="363946536">
      <w:bodyDiv w:val="1"/>
      <w:marLeft w:val="0"/>
      <w:marRight w:val="0"/>
      <w:marTop w:val="0"/>
      <w:marBottom w:val="0"/>
      <w:divBdr>
        <w:top w:val="none" w:sz="0" w:space="0" w:color="auto"/>
        <w:left w:val="none" w:sz="0" w:space="0" w:color="auto"/>
        <w:bottom w:val="none" w:sz="0" w:space="0" w:color="auto"/>
        <w:right w:val="none" w:sz="0" w:space="0" w:color="auto"/>
      </w:divBdr>
    </w:div>
    <w:div w:id="373626658">
      <w:bodyDiv w:val="1"/>
      <w:marLeft w:val="0"/>
      <w:marRight w:val="0"/>
      <w:marTop w:val="0"/>
      <w:marBottom w:val="0"/>
      <w:divBdr>
        <w:top w:val="none" w:sz="0" w:space="0" w:color="auto"/>
        <w:left w:val="none" w:sz="0" w:space="0" w:color="auto"/>
        <w:bottom w:val="none" w:sz="0" w:space="0" w:color="auto"/>
        <w:right w:val="none" w:sz="0" w:space="0" w:color="auto"/>
      </w:divBdr>
    </w:div>
    <w:div w:id="390538423">
      <w:bodyDiv w:val="1"/>
      <w:marLeft w:val="0"/>
      <w:marRight w:val="0"/>
      <w:marTop w:val="0"/>
      <w:marBottom w:val="0"/>
      <w:divBdr>
        <w:top w:val="none" w:sz="0" w:space="0" w:color="auto"/>
        <w:left w:val="none" w:sz="0" w:space="0" w:color="auto"/>
        <w:bottom w:val="none" w:sz="0" w:space="0" w:color="auto"/>
        <w:right w:val="none" w:sz="0" w:space="0" w:color="auto"/>
      </w:divBdr>
    </w:div>
    <w:div w:id="391929594">
      <w:bodyDiv w:val="1"/>
      <w:marLeft w:val="0"/>
      <w:marRight w:val="0"/>
      <w:marTop w:val="0"/>
      <w:marBottom w:val="0"/>
      <w:divBdr>
        <w:top w:val="none" w:sz="0" w:space="0" w:color="auto"/>
        <w:left w:val="none" w:sz="0" w:space="0" w:color="auto"/>
        <w:bottom w:val="none" w:sz="0" w:space="0" w:color="auto"/>
        <w:right w:val="none" w:sz="0" w:space="0" w:color="auto"/>
      </w:divBdr>
    </w:div>
    <w:div w:id="398133539">
      <w:bodyDiv w:val="1"/>
      <w:marLeft w:val="0"/>
      <w:marRight w:val="0"/>
      <w:marTop w:val="0"/>
      <w:marBottom w:val="0"/>
      <w:divBdr>
        <w:top w:val="none" w:sz="0" w:space="0" w:color="auto"/>
        <w:left w:val="none" w:sz="0" w:space="0" w:color="auto"/>
        <w:bottom w:val="none" w:sz="0" w:space="0" w:color="auto"/>
        <w:right w:val="none" w:sz="0" w:space="0" w:color="auto"/>
      </w:divBdr>
    </w:div>
    <w:div w:id="406802880">
      <w:bodyDiv w:val="1"/>
      <w:marLeft w:val="0"/>
      <w:marRight w:val="0"/>
      <w:marTop w:val="0"/>
      <w:marBottom w:val="0"/>
      <w:divBdr>
        <w:top w:val="none" w:sz="0" w:space="0" w:color="auto"/>
        <w:left w:val="none" w:sz="0" w:space="0" w:color="auto"/>
        <w:bottom w:val="none" w:sz="0" w:space="0" w:color="auto"/>
        <w:right w:val="none" w:sz="0" w:space="0" w:color="auto"/>
      </w:divBdr>
    </w:div>
    <w:div w:id="415253607">
      <w:bodyDiv w:val="1"/>
      <w:marLeft w:val="0"/>
      <w:marRight w:val="0"/>
      <w:marTop w:val="0"/>
      <w:marBottom w:val="0"/>
      <w:divBdr>
        <w:top w:val="none" w:sz="0" w:space="0" w:color="auto"/>
        <w:left w:val="none" w:sz="0" w:space="0" w:color="auto"/>
        <w:bottom w:val="none" w:sz="0" w:space="0" w:color="auto"/>
        <w:right w:val="none" w:sz="0" w:space="0" w:color="auto"/>
      </w:divBdr>
    </w:div>
    <w:div w:id="429397912">
      <w:bodyDiv w:val="1"/>
      <w:marLeft w:val="0"/>
      <w:marRight w:val="0"/>
      <w:marTop w:val="0"/>
      <w:marBottom w:val="0"/>
      <w:divBdr>
        <w:top w:val="none" w:sz="0" w:space="0" w:color="auto"/>
        <w:left w:val="none" w:sz="0" w:space="0" w:color="auto"/>
        <w:bottom w:val="none" w:sz="0" w:space="0" w:color="auto"/>
        <w:right w:val="none" w:sz="0" w:space="0" w:color="auto"/>
      </w:divBdr>
    </w:div>
    <w:div w:id="436633524">
      <w:bodyDiv w:val="1"/>
      <w:marLeft w:val="0"/>
      <w:marRight w:val="0"/>
      <w:marTop w:val="0"/>
      <w:marBottom w:val="0"/>
      <w:divBdr>
        <w:top w:val="none" w:sz="0" w:space="0" w:color="auto"/>
        <w:left w:val="none" w:sz="0" w:space="0" w:color="auto"/>
        <w:bottom w:val="none" w:sz="0" w:space="0" w:color="auto"/>
        <w:right w:val="none" w:sz="0" w:space="0" w:color="auto"/>
      </w:divBdr>
      <w:divsChild>
        <w:div w:id="1847864567">
          <w:marLeft w:val="547"/>
          <w:marRight w:val="0"/>
          <w:marTop w:val="134"/>
          <w:marBottom w:val="0"/>
          <w:divBdr>
            <w:top w:val="none" w:sz="0" w:space="0" w:color="auto"/>
            <w:left w:val="none" w:sz="0" w:space="0" w:color="auto"/>
            <w:bottom w:val="none" w:sz="0" w:space="0" w:color="auto"/>
            <w:right w:val="none" w:sz="0" w:space="0" w:color="auto"/>
          </w:divBdr>
        </w:div>
        <w:div w:id="523176360">
          <w:marLeft w:val="1166"/>
          <w:marRight w:val="0"/>
          <w:marTop w:val="115"/>
          <w:marBottom w:val="0"/>
          <w:divBdr>
            <w:top w:val="none" w:sz="0" w:space="0" w:color="auto"/>
            <w:left w:val="none" w:sz="0" w:space="0" w:color="auto"/>
            <w:bottom w:val="none" w:sz="0" w:space="0" w:color="auto"/>
            <w:right w:val="none" w:sz="0" w:space="0" w:color="auto"/>
          </w:divBdr>
        </w:div>
        <w:div w:id="1896893463">
          <w:marLeft w:val="1166"/>
          <w:marRight w:val="0"/>
          <w:marTop w:val="115"/>
          <w:marBottom w:val="0"/>
          <w:divBdr>
            <w:top w:val="none" w:sz="0" w:space="0" w:color="auto"/>
            <w:left w:val="none" w:sz="0" w:space="0" w:color="auto"/>
            <w:bottom w:val="none" w:sz="0" w:space="0" w:color="auto"/>
            <w:right w:val="none" w:sz="0" w:space="0" w:color="auto"/>
          </w:divBdr>
        </w:div>
      </w:divsChild>
    </w:div>
    <w:div w:id="454063333">
      <w:bodyDiv w:val="1"/>
      <w:marLeft w:val="0"/>
      <w:marRight w:val="0"/>
      <w:marTop w:val="0"/>
      <w:marBottom w:val="0"/>
      <w:divBdr>
        <w:top w:val="none" w:sz="0" w:space="0" w:color="auto"/>
        <w:left w:val="none" w:sz="0" w:space="0" w:color="auto"/>
        <w:bottom w:val="none" w:sz="0" w:space="0" w:color="auto"/>
        <w:right w:val="none" w:sz="0" w:space="0" w:color="auto"/>
      </w:divBdr>
    </w:div>
    <w:div w:id="458962649">
      <w:bodyDiv w:val="1"/>
      <w:marLeft w:val="0"/>
      <w:marRight w:val="0"/>
      <w:marTop w:val="0"/>
      <w:marBottom w:val="0"/>
      <w:divBdr>
        <w:top w:val="none" w:sz="0" w:space="0" w:color="auto"/>
        <w:left w:val="none" w:sz="0" w:space="0" w:color="auto"/>
        <w:bottom w:val="none" w:sz="0" w:space="0" w:color="auto"/>
        <w:right w:val="none" w:sz="0" w:space="0" w:color="auto"/>
      </w:divBdr>
    </w:div>
    <w:div w:id="461535585">
      <w:bodyDiv w:val="1"/>
      <w:marLeft w:val="0"/>
      <w:marRight w:val="0"/>
      <w:marTop w:val="0"/>
      <w:marBottom w:val="0"/>
      <w:divBdr>
        <w:top w:val="none" w:sz="0" w:space="0" w:color="auto"/>
        <w:left w:val="none" w:sz="0" w:space="0" w:color="auto"/>
        <w:bottom w:val="none" w:sz="0" w:space="0" w:color="auto"/>
        <w:right w:val="none" w:sz="0" w:space="0" w:color="auto"/>
      </w:divBdr>
    </w:div>
    <w:div w:id="477916936">
      <w:bodyDiv w:val="1"/>
      <w:marLeft w:val="0"/>
      <w:marRight w:val="0"/>
      <w:marTop w:val="0"/>
      <w:marBottom w:val="0"/>
      <w:divBdr>
        <w:top w:val="none" w:sz="0" w:space="0" w:color="auto"/>
        <w:left w:val="none" w:sz="0" w:space="0" w:color="auto"/>
        <w:bottom w:val="none" w:sz="0" w:space="0" w:color="auto"/>
        <w:right w:val="none" w:sz="0" w:space="0" w:color="auto"/>
      </w:divBdr>
    </w:div>
    <w:div w:id="480924556">
      <w:bodyDiv w:val="1"/>
      <w:marLeft w:val="0"/>
      <w:marRight w:val="0"/>
      <w:marTop w:val="0"/>
      <w:marBottom w:val="0"/>
      <w:divBdr>
        <w:top w:val="none" w:sz="0" w:space="0" w:color="auto"/>
        <w:left w:val="none" w:sz="0" w:space="0" w:color="auto"/>
        <w:bottom w:val="none" w:sz="0" w:space="0" w:color="auto"/>
        <w:right w:val="none" w:sz="0" w:space="0" w:color="auto"/>
      </w:divBdr>
    </w:div>
    <w:div w:id="483619126">
      <w:bodyDiv w:val="1"/>
      <w:marLeft w:val="0"/>
      <w:marRight w:val="0"/>
      <w:marTop w:val="0"/>
      <w:marBottom w:val="0"/>
      <w:divBdr>
        <w:top w:val="none" w:sz="0" w:space="0" w:color="auto"/>
        <w:left w:val="none" w:sz="0" w:space="0" w:color="auto"/>
        <w:bottom w:val="none" w:sz="0" w:space="0" w:color="auto"/>
        <w:right w:val="none" w:sz="0" w:space="0" w:color="auto"/>
      </w:divBdr>
    </w:div>
    <w:div w:id="484393697">
      <w:bodyDiv w:val="1"/>
      <w:marLeft w:val="0"/>
      <w:marRight w:val="0"/>
      <w:marTop w:val="0"/>
      <w:marBottom w:val="0"/>
      <w:divBdr>
        <w:top w:val="none" w:sz="0" w:space="0" w:color="auto"/>
        <w:left w:val="none" w:sz="0" w:space="0" w:color="auto"/>
        <w:bottom w:val="none" w:sz="0" w:space="0" w:color="auto"/>
        <w:right w:val="none" w:sz="0" w:space="0" w:color="auto"/>
      </w:divBdr>
    </w:div>
    <w:div w:id="486751500">
      <w:bodyDiv w:val="1"/>
      <w:marLeft w:val="0"/>
      <w:marRight w:val="0"/>
      <w:marTop w:val="0"/>
      <w:marBottom w:val="0"/>
      <w:divBdr>
        <w:top w:val="none" w:sz="0" w:space="0" w:color="auto"/>
        <w:left w:val="none" w:sz="0" w:space="0" w:color="auto"/>
        <w:bottom w:val="none" w:sz="0" w:space="0" w:color="auto"/>
        <w:right w:val="none" w:sz="0" w:space="0" w:color="auto"/>
      </w:divBdr>
    </w:div>
    <w:div w:id="526598345">
      <w:bodyDiv w:val="1"/>
      <w:marLeft w:val="0"/>
      <w:marRight w:val="0"/>
      <w:marTop w:val="0"/>
      <w:marBottom w:val="0"/>
      <w:divBdr>
        <w:top w:val="none" w:sz="0" w:space="0" w:color="auto"/>
        <w:left w:val="none" w:sz="0" w:space="0" w:color="auto"/>
        <w:bottom w:val="none" w:sz="0" w:space="0" w:color="auto"/>
        <w:right w:val="none" w:sz="0" w:space="0" w:color="auto"/>
      </w:divBdr>
    </w:div>
    <w:div w:id="557132743">
      <w:bodyDiv w:val="1"/>
      <w:marLeft w:val="0"/>
      <w:marRight w:val="0"/>
      <w:marTop w:val="0"/>
      <w:marBottom w:val="0"/>
      <w:divBdr>
        <w:top w:val="none" w:sz="0" w:space="0" w:color="auto"/>
        <w:left w:val="none" w:sz="0" w:space="0" w:color="auto"/>
        <w:bottom w:val="none" w:sz="0" w:space="0" w:color="auto"/>
        <w:right w:val="none" w:sz="0" w:space="0" w:color="auto"/>
      </w:divBdr>
    </w:div>
    <w:div w:id="564803058">
      <w:bodyDiv w:val="1"/>
      <w:marLeft w:val="0"/>
      <w:marRight w:val="0"/>
      <w:marTop w:val="0"/>
      <w:marBottom w:val="0"/>
      <w:divBdr>
        <w:top w:val="none" w:sz="0" w:space="0" w:color="auto"/>
        <w:left w:val="none" w:sz="0" w:space="0" w:color="auto"/>
        <w:bottom w:val="none" w:sz="0" w:space="0" w:color="auto"/>
        <w:right w:val="none" w:sz="0" w:space="0" w:color="auto"/>
      </w:divBdr>
    </w:div>
    <w:div w:id="574821018">
      <w:bodyDiv w:val="1"/>
      <w:marLeft w:val="0"/>
      <w:marRight w:val="0"/>
      <w:marTop w:val="0"/>
      <w:marBottom w:val="0"/>
      <w:divBdr>
        <w:top w:val="none" w:sz="0" w:space="0" w:color="auto"/>
        <w:left w:val="none" w:sz="0" w:space="0" w:color="auto"/>
        <w:bottom w:val="none" w:sz="0" w:space="0" w:color="auto"/>
        <w:right w:val="none" w:sz="0" w:space="0" w:color="auto"/>
      </w:divBdr>
    </w:div>
    <w:div w:id="722943644">
      <w:bodyDiv w:val="1"/>
      <w:marLeft w:val="0"/>
      <w:marRight w:val="0"/>
      <w:marTop w:val="0"/>
      <w:marBottom w:val="0"/>
      <w:divBdr>
        <w:top w:val="none" w:sz="0" w:space="0" w:color="auto"/>
        <w:left w:val="none" w:sz="0" w:space="0" w:color="auto"/>
        <w:bottom w:val="none" w:sz="0" w:space="0" w:color="auto"/>
        <w:right w:val="none" w:sz="0" w:space="0" w:color="auto"/>
      </w:divBdr>
    </w:div>
    <w:div w:id="776095274">
      <w:bodyDiv w:val="1"/>
      <w:marLeft w:val="0"/>
      <w:marRight w:val="0"/>
      <w:marTop w:val="0"/>
      <w:marBottom w:val="0"/>
      <w:divBdr>
        <w:top w:val="none" w:sz="0" w:space="0" w:color="auto"/>
        <w:left w:val="none" w:sz="0" w:space="0" w:color="auto"/>
        <w:bottom w:val="none" w:sz="0" w:space="0" w:color="auto"/>
        <w:right w:val="none" w:sz="0" w:space="0" w:color="auto"/>
      </w:divBdr>
    </w:div>
    <w:div w:id="812521188">
      <w:bodyDiv w:val="1"/>
      <w:marLeft w:val="0"/>
      <w:marRight w:val="0"/>
      <w:marTop w:val="0"/>
      <w:marBottom w:val="0"/>
      <w:divBdr>
        <w:top w:val="none" w:sz="0" w:space="0" w:color="auto"/>
        <w:left w:val="none" w:sz="0" w:space="0" w:color="auto"/>
        <w:bottom w:val="none" w:sz="0" w:space="0" w:color="auto"/>
        <w:right w:val="none" w:sz="0" w:space="0" w:color="auto"/>
      </w:divBdr>
    </w:div>
    <w:div w:id="828789298">
      <w:bodyDiv w:val="1"/>
      <w:marLeft w:val="0"/>
      <w:marRight w:val="0"/>
      <w:marTop w:val="0"/>
      <w:marBottom w:val="0"/>
      <w:divBdr>
        <w:top w:val="none" w:sz="0" w:space="0" w:color="auto"/>
        <w:left w:val="none" w:sz="0" w:space="0" w:color="auto"/>
        <w:bottom w:val="none" w:sz="0" w:space="0" w:color="auto"/>
        <w:right w:val="none" w:sz="0" w:space="0" w:color="auto"/>
      </w:divBdr>
    </w:div>
    <w:div w:id="859314624">
      <w:bodyDiv w:val="1"/>
      <w:marLeft w:val="0"/>
      <w:marRight w:val="0"/>
      <w:marTop w:val="0"/>
      <w:marBottom w:val="0"/>
      <w:divBdr>
        <w:top w:val="none" w:sz="0" w:space="0" w:color="auto"/>
        <w:left w:val="none" w:sz="0" w:space="0" w:color="auto"/>
        <w:bottom w:val="none" w:sz="0" w:space="0" w:color="auto"/>
        <w:right w:val="none" w:sz="0" w:space="0" w:color="auto"/>
      </w:divBdr>
    </w:div>
    <w:div w:id="937370452">
      <w:bodyDiv w:val="1"/>
      <w:marLeft w:val="0"/>
      <w:marRight w:val="0"/>
      <w:marTop w:val="0"/>
      <w:marBottom w:val="0"/>
      <w:divBdr>
        <w:top w:val="none" w:sz="0" w:space="0" w:color="auto"/>
        <w:left w:val="none" w:sz="0" w:space="0" w:color="auto"/>
        <w:bottom w:val="none" w:sz="0" w:space="0" w:color="auto"/>
        <w:right w:val="none" w:sz="0" w:space="0" w:color="auto"/>
      </w:divBdr>
    </w:div>
    <w:div w:id="943457373">
      <w:bodyDiv w:val="1"/>
      <w:marLeft w:val="0"/>
      <w:marRight w:val="0"/>
      <w:marTop w:val="0"/>
      <w:marBottom w:val="0"/>
      <w:divBdr>
        <w:top w:val="none" w:sz="0" w:space="0" w:color="auto"/>
        <w:left w:val="none" w:sz="0" w:space="0" w:color="auto"/>
        <w:bottom w:val="none" w:sz="0" w:space="0" w:color="auto"/>
        <w:right w:val="none" w:sz="0" w:space="0" w:color="auto"/>
      </w:divBdr>
    </w:div>
    <w:div w:id="945623228">
      <w:bodyDiv w:val="1"/>
      <w:marLeft w:val="0"/>
      <w:marRight w:val="0"/>
      <w:marTop w:val="0"/>
      <w:marBottom w:val="0"/>
      <w:divBdr>
        <w:top w:val="none" w:sz="0" w:space="0" w:color="auto"/>
        <w:left w:val="none" w:sz="0" w:space="0" w:color="auto"/>
        <w:bottom w:val="none" w:sz="0" w:space="0" w:color="auto"/>
        <w:right w:val="none" w:sz="0" w:space="0" w:color="auto"/>
      </w:divBdr>
      <w:divsChild>
        <w:div w:id="1284265581">
          <w:marLeft w:val="547"/>
          <w:marRight w:val="0"/>
          <w:marTop w:val="134"/>
          <w:marBottom w:val="0"/>
          <w:divBdr>
            <w:top w:val="none" w:sz="0" w:space="0" w:color="auto"/>
            <w:left w:val="none" w:sz="0" w:space="0" w:color="auto"/>
            <w:bottom w:val="none" w:sz="0" w:space="0" w:color="auto"/>
            <w:right w:val="none" w:sz="0" w:space="0" w:color="auto"/>
          </w:divBdr>
        </w:div>
      </w:divsChild>
    </w:div>
    <w:div w:id="987054404">
      <w:bodyDiv w:val="1"/>
      <w:marLeft w:val="0"/>
      <w:marRight w:val="0"/>
      <w:marTop w:val="0"/>
      <w:marBottom w:val="0"/>
      <w:divBdr>
        <w:top w:val="none" w:sz="0" w:space="0" w:color="auto"/>
        <w:left w:val="none" w:sz="0" w:space="0" w:color="auto"/>
        <w:bottom w:val="none" w:sz="0" w:space="0" w:color="auto"/>
        <w:right w:val="none" w:sz="0" w:space="0" w:color="auto"/>
      </w:divBdr>
    </w:div>
    <w:div w:id="990133437">
      <w:bodyDiv w:val="1"/>
      <w:marLeft w:val="0"/>
      <w:marRight w:val="0"/>
      <w:marTop w:val="0"/>
      <w:marBottom w:val="0"/>
      <w:divBdr>
        <w:top w:val="none" w:sz="0" w:space="0" w:color="auto"/>
        <w:left w:val="none" w:sz="0" w:space="0" w:color="auto"/>
        <w:bottom w:val="none" w:sz="0" w:space="0" w:color="auto"/>
        <w:right w:val="none" w:sz="0" w:space="0" w:color="auto"/>
      </w:divBdr>
    </w:div>
    <w:div w:id="1018770961">
      <w:bodyDiv w:val="1"/>
      <w:marLeft w:val="0"/>
      <w:marRight w:val="0"/>
      <w:marTop w:val="0"/>
      <w:marBottom w:val="0"/>
      <w:divBdr>
        <w:top w:val="none" w:sz="0" w:space="0" w:color="auto"/>
        <w:left w:val="none" w:sz="0" w:space="0" w:color="auto"/>
        <w:bottom w:val="none" w:sz="0" w:space="0" w:color="auto"/>
        <w:right w:val="none" w:sz="0" w:space="0" w:color="auto"/>
      </w:divBdr>
    </w:div>
    <w:div w:id="1045834629">
      <w:bodyDiv w:val="1"/>
      <w:marLeft w:val="0"/>
      <w:marRight w:val="0"/>
      <w:marTop w:val="0"/>
      <w:marBottom w:val="0"/>
      <w:divBdr>
        <w:top w:val="none" w:sz="0" w:space="0" w:color="auto"/>
        <w:left w:val="none" w:sz="0" w:space="0" w:color="auto"/>
        <w:bottom w:val="none" w:sz="0" w:space="0" w:color="auto"/>
        <w:right w:val="none" w:sz="0" w:space="0" w:color="auto"/>
      </w:divBdr>
    </w:div>
    <w:div w:id="1052928666">
      <w:bodyDiv w:val="1"/>
      <w:marLeft w:val="0"/>
      <w:marRight w:val="0"/>
      <w:marTop w:val="0"/>
      <w:marBottom w:val="0"/>
      <w:divBdr>
        <w:top w:val="none" w:sz="0" w:space="0" w:color="auto"/>
        <w:left w:val="none" w:sz="0" w:space="0" w:color="auto"/>
        <w:bottom w:val="none" w:sz="0" w:space="0" w:color="auto"/>
        <w:right w:val="none" w:sz="0" w:space="0" w:color="auto"/>
      </w:divBdr>
    </w:div>
    <w:div w:id="1057513510">
      <w:bodyDiv w:val="1"/>
      <w:marLeft w:val="0"/>
      <w:marRight w:val="0"/>
      <w:marTop w:val="0"/>
      <w:marBottom w:val="0"/>
      <w:divBdr>
        <w:top w:val="none" w:sz="0" w:space="0" w:color="auto"/>
        <w:left w:val="none" w:sz="0" w:space="0" w:color="auto"/>
        <w:bottom w:val="none" w:sz="0" w:space="0" w:color="auto"/>
        <w:right w:val="none" w:sz="0" w:space="0" w:color="auto"/>
      </w:divBdr>
    </w:div>
    <w:div w:id="1101610860">
      <w:bodyDiv w:val="1"/>
      <w:marLeft w:val="0"/>
      <w:marRight w:val="0"/>
      <w:marTop w:val="0"/>
      <w:marBottom w:val="0"/>
      <w:divBdr>
        <w:top w:val="none" w:sz="0" w:space="0" w:color="auto"/>
        <w:left w:val="none" w:sz="0" w:space="0" w:color="auto"/>
        <w:bottom w:val="none" w:sz="0" w:space="0" w:color="auto"/>
        <w:right w:val="none" w:sz="0" w:space="0" w:color="auto"/>
      </w:divBdr>
    </w:div>
    <w:div w:id="1119224403">
      <w:bodyDiv w:val="1"/>
      <w:marLeft w:val="0"/>
      <w:marRight w:val="0"/>
      <w:marTop w:val="0"/>
      <w:marBottom w:val="0"/>
      <w:divBdr>
        <w:top w:val="none" w:sz="0" w:space="0" w:color="auto"/>
        <w:left w:val="none" w:sz="0" w:space="0" w:color="auto"/>
        <w:bottom w:val="none" w:sz="0" w:space="0" w:color="auto"/>
        <w:right w:val="none" w:sz="0" w:space="0" w:color="auto"/>
      </w:divBdr>
    </w:div>
    <w:div w:id="1147211713">
      <w:bodyDiv w:val="1"/>
      <w:marLeft w:val="0"/>
      <w:marRight w:val="0"/>
      <w:marTop w:val="0"/>
      <w:marBottom w:val="0"/>
      <w:divBdr>
        <w:top w:val="none" w:sz="0" w:space="0" w:color="auto"/>
        <w:left w:val="none" w:sz="0" w:space="0" w:color="auto"/>
        <w:bottom w:val="none" w:sz="0" w:space="0" w:color="auto"/>
        <w:right w:val="none" w:sz="0" w:space="0" w:color="auto"/>
      </w:divBdr>
    </w:div>
    <w:div w:id="1148791534">
      <w:bodyDiv w:val="1"/>
      <w:marLeft w:val="0"/>
      <w:marRight w:val="0"/>
      <w:marTop w:val="0"/>
      <w:marBottom w:val="0"/>
      <w:divBdr>
        <w:top w:val="none" w:sz="0" w:space="0" w:color="auto"/>
        <w:left w:val="none" w:sz="0" w:space="0" w:color="auto"/>
        <w:bottom w:val="none" w:sz="0" w:space="0" w:color="auto"/>
        <w:right w:val="none" w:sz="0" w:space="0" w:color="auto"/>
      </w:divBdr>
    </w:div>
    <w:div w:id="1193499884">
      <w:bodyDiv w:val="1"/>
      <w:marLeft w:val="0"/>
      <w:marRight w:val="0"/>
      <w:marTop w:val="0"/>
      <w:marBottom w:val="0"/>
      <w:divBdr>
        <w:top w:val="none" w:sz="0" w:space="0" w:color="auto"/>
        <w:left w:val="none" w:sz="0" w:space="0" w:color="auto"/>
        <w:bottom w:val="none" w:sz="0" w:space="0" w:color="auto"/>
        <w:right w:val="none" w:sz="0" w:space="0" w:color="auto"/>
      </w:divBdr>
    </w:div>
    <w:div w:id="1195853009">
      <w:bodyDiv w:val="1"/>
      <w:marLeft w:val="0"/>
      <w:marRight w:val="0"/>
      <w:marTop w:val="0"/>
      <w:marBottom w:val="0"/>
      <w:divBdr>
        <w:top w:val="none" w:sz="0" w:space="0" w:color="auto"/>
        <w:left w:val="none" w:sz="0" w:space="0" w:color="auto"/>
        <w:bottom w:val="none" w:sz="0" w:space="0" w:color="auto"/>
        <w:right w:val="none" w:sz="0" w:space="0" w:color="auto"/>
      </w:divBdr>
    </w:div>
    <w:div w:id="1196846116">
      <w:bodyDiv w:val="1"/>
      <w:marLeft w:val="0"/>
      <w:marRight w:val="0"/>
      <w:marTop w:val="0"/>
      <w:marBottom w:val="0"/>
      <w:divBdr>
        <w:top w:val="none" w:sz="0" w:space="0" w:color="auto"/>
        <w:left w:val="none" w:sz="0" w:space="0" w:color="auto"/>
        <w:bottom w:val="none" w:sz="0" w:space="0" w:color="auto"/>
        <w:right w:val="none" w:sz="0" w:space="0" w:color="auto"/>
      </w:divBdr>
    </w:div>
    <w:div w:id="1207336657">
      <w:bodyDiv w:val="1"/>
      <w:marLeft w:val="0"/>
      <w:marRight w:val="0"/>
      <w:marTop w:val="0"/>
      <w:marBottom w:val="0"/>
      <w:divBdr>
        <w:top w:val="none" w:sz="0" w:space="0" w:color="auto"/>
        <w:left w:val="none" w:sz="0" w:space="0" w:color="auto"/>
        <w:bottom w:val="none" w:sz="0" w:space="0" w:color="auto"/>
        <w:right w:val="none" w:sz="0" w:space="0" w:color="auto"/>
      </w:divBdr>
    </w:div>
    <w:div w:id="1236402832">
      <w:bodyDiv w:val="1"/>
      <w:marLeft w:val="0"/>
      <w:marRight w:val="0"/>
      <w:marTop w:val="0"/>
      <w:marBottom w:val="0"/>
      <w:divBdr>
        <w:top w:val="none" w:sz="0" w:space="0" w:color="auto"/>
        <w:left w:val="none" w:sz="0" w:space="0" w:color="auto"/>
        <w:bottom w:val="none" w:sz="0" w:space="0" w:color="auto"/>
        <w:right w:val="none" w:sz="0" w:space="0" w:color="auto"/>
      </w:divBdr>
    </w:div>
    <w:div w:id="1296638661">
      <w:bodyDiv w:val="1"/>
      <w:marLeft w:val="0"/>
      <w:marRight w:val="0"/>
      <w:marTop w:val="0"/>
      <w:marBottom w:val="0"/>
      <w:divBdr>
        <w:top w:val="none" w:sz="0" w:space="0" w:color="auto"/>
        <w:left w:val="none" w:sz="0" w:space="0" w:color="auto"/>
        <w:bottom w:val="none" w:sz="0" w:space="0" w:color="auto"/>
        <w:right w:val="none" w:sz="0" w:space="0" w:color="auto"/>
      </w:divBdr>
      <w:divsChild>
        <w:div w:id="1446726622">
          <w:marLeft w:val="547"/>
          <w:marRight w:val="0"/>
          <w:marTop w:val="134"/>
          <w:marBottom w:val="0"/>
          <w:divBdr>
            <w:top w:val="none" w:sz="0" w:space="0" w:color="auto"/>
            <w:left w:val="none" w:sz="0" w:space="0" w:color="auto"/>
            <w:bottom w:val="none" w:sz="0" w:space="0" w:color="auto"/>
            <w:right w:val="none" w:sz="0" w:space="0" w:color="auto"/>
          </w:divBdr>
        </w:div>
        <w:div w:id="1092513927">
          <w:marLeft w:val="547"/>
          <w:marRight w:val="0"/>
          <w:marTop w:val="134"/>
          <w:marBottom w:val="0"/>
          <w:divBdr>
            <w:top w:val="none" w:sz="0" w:space="0" w:color="auto"/>
            <w:left w:val="none" w:sz="0" w:space="0" w:color="auto"/>
            <w:bottom w:val="none" w:sz="0" w:space="0" w:color="auto"/>
            <w:right w:val="none" w:sz="0" w:space="0" w:color="auto"/>
          </w:divBdr>
        </w:div>
        <w:div w:id="415135821">
          <w:marLeft w:val="547"/>
          <w:marRight w:val="0"/>
          <w:marTop w:val="134"/>
          <w:marBottom w:val="0"/>
          <w:divBdr>
            <w:top w:val="none" w:sz="0" w:space="0" w:color="auto"/>
            <w:left w:val="none" w:sz="0" w:space="0" w:color="auto"/>
            <w:bottom w:val="none" w:sz="0" w:space="0" w:color="auto"/>
            <w:right w:val="none" w:sz="0" w:space="0" w:color="auto"/>
          </w:divBdr>
        </w:div>
      </w:divsChild>
    </w:div>
    <w:div w:id="1314094318">
      <w:bodyDiv w:val="1"/>
      <w:marLeft w:val="0"/>
      <w:marRight w:val="0"/>
      <w:marTop w:val="0"/>
      <w:marBottom w:val="0"/>
      <w:divBdr>
        <w:top w:val="none" w:sz="0" w:space="0" w:color="auto"/>
        <w:left w:val="none" w:sz="0" w:space="0" w:color="auto"/>
        <w:bottom w:val="none" w:sz="0" w:space="0" w:color="auto"/>
        <w:right w:val="none" w:sz="0" w:space="0" w:color="auto"/>
      </w:divBdr>
    </w:div>
    <w:div w:id="1360743219">
      <w:bodyDiv w:val="1"/>
      <w:marLeft w:val="0"/>
      <w:marRight w:val="0"/>
      <w:marTop w:val="0"/>
      <w:marBottom w:val="0"/>
      <w:divBdr>
        <w:top w:val="none" w:sz="0" w:space="0" w:color="auto"/>
        <w:left w:val="none" w:sz="0" w:space="0" w:color="auto"/>
        <w:bottom w:val="none" w:sz="0" w:space="0" w:color="auto"/>
        <w:right w:val="none" w:sz="0" w:space="0" w:color="auto"/>
      </w:divBdr>
    </w:div>
    <w:div w:id="1387754384">
      <w:bodyDiv w:val="1"/>
      <w:marLeft w:val="0"/>
      <w:marRight w:val="0"/>
      <w:marTop w:val="0"/>
      <w:marBottom w:val="0"/>
      <w:divBdr>
        <w:top w:val="none" w:sz="0" w:space="0" w:color="auto"/>
        <w:left w:val="none" w:sz="0" w:space="0" w:color="auto"/>
        <w:bottom w:val="none" w:sz="0" w:space="0" w:color="auto"/>
        <w:right w:val="none" w:sz="0" w:space="0" w:color="auto"/>
      </w:divBdr>
    </w:div>
    <w:div w:id="1404914963">
      <w:bodyDiv w:val="1"/>
      <w:marLeft w:val="0"/>
      <w:marRight w:val="0"/>
      <w:marTop w:val="0"/>
      <w:marBottom w:val="0"/>
      <w:divBdr>
        <w:top w:val="none" w:sz="0" w:space="0" w:color="auto"/>
        <w:left w:val="none" w:sz="0" w:space="0" w:color="auto"/>
        <w:bottom w:val="none" w:sz="0" w:space="0" w:color="auto"/>
        <w:right w:val="none" w:sz="0" w:space="0" w:color="auto"/>
      </w:divBdr>
    </w:div>
    <w:div w:id="1458373609">
      <w:bodyDiv w:val="1"/>
      <w:marLeft w:val="0"/>
      <w:marRight w:val="0"/>
      <w:marTop w:val="0"/>
      <w:marBottom w:val="0"/>
      <w:divBdr>
        <w:top w:val="none" w:sz="0" w:space="0" w:color="auto"/>
        <w:left w:val="none" w:sz="0" w:space="0" w:color="auto"/>
        <w:bottom w:val="none" w:sz="0" w:space="0" w:color="auto"/>
        <w:right w:val="none" w:sz="0" w:space="0" w:color="auto"/>
      </w:divBdr>
    </w:div>
    <w:div w:id="1572083079">
      <w:bodyDiv w:val="1"/>
      <w:marLeft w:val="0"/>
      <w:marRight w:val="0"/>
      <w:marTop w:val="0"/>
      <w:marBottom w:val="0"/>
      <w:divBdr>
        <w:top w:val="none" w:sz="0" w:space="0" w:color="auto"/>
        <w:left w:val="none" w:sz="0" w:space="0" w:color="auto"/>
        <w:bottom w:val="none" w:sz="0" w:space="0" w:color="auto"/>
        <w:right w:val="none" w:sz="0" w:space="0" w:color="auto"/>
      </w:divBdr>
    </w:div>
    <w:div w:id="1583563247">
      <w:bodyDiv w:val="1"/>
      <w:marLeft w:val="0"/>
      <w:marRight w:val="0"/>
      <w:marTop w:val="0"/>
      <w:marBottom w:val="0"/>
      <w:divBdr>
        <w:top w:val="none" w:sz="0" w:space="0" w:color="auto"/>
        <w:left w:val="none" w:sz="0" w:space="0" w:color="auto"/>
        <w:bottom w:val="none" w:sz="0" w:space="0" w:color="auto"/>
        <w:right w:val="none" w:sz="0" w:space="0" w:color="auto"/>
      </w:divBdr>
    </w:div>
    <w:div w:id="1599556083">
      <w:bodyDiv w:val="1"/>
      <w:marLeft w:val="0"/>
      <w:marRight w:val="0"/>
      <w:marTop w:val="0"/>
      <w:marBottom w:val="0"/>
      <w:divBdr>
        <w:top w:val="none" w:sz="0" w:space="0" w:color="auto"/>
        <w:left w:val="none" w:sz="0" w:space="0" w:color="auto"/>
        <w:bottom w:val="none" w:sz="0" w:space="0" w:color="auto"/>
        <w:right w:val="none" w:sz="0" w:space="0" w:color="auto"/>
      </w:divBdr>
    </w:div>
    <w:div w:id="1603606472">
      <w:bodyDiv w:val="1"/>
      <w:marLeft w:val="0"/>
      <w:marRight w:val="0"/>
      <w:marTop w:val="0"/>
      <w:marBottom w:val="0"/>
      <w:divBdr>
        <w:top w:val="none" w:sz="0" w:space="0" w:color="auto"/>
        <w:left w:val="none" w:sz="0" w:space="0" w:color="auto"/>
        <w:bottom w:val="none" w:sz="0" w:space="0" w:color="auto"/>
        <w:right w:val="none" w:sz="0" w:space="0" w:color="auto"/>
      </w:divBdr>
    </w:div>
    <w:div w:id="1628973760">
      <w:bodyDiv w:val="1"/>
      <w:marLeft w:val="0"/>
      <w:marRight w:val="0"/>
      <w:marTop w:val="0"/>
      <w:marBottom w:val="0"/>
      <w:divBdr>
        <w:top w:val="none" w:sz="0" w:space="0" w:color="auto"/>
        <w:left w:val="none" w:sz="0" w:space="0" w:color="auto"/>
        <w:bottom w:val="none" w:sz="0" w:space="0" w:color="auto"/>
        <w:right w:val="none" w:sz="0" w:space="0" w:color="auto"/>
      </w:divBdr>
    </w:div>
    <w:div w:id="1633973577">
      <w:bodyDiv w:val="1"/>
      <w:marLeft w:val="0"/>
      <w:marRight w:val="0"/>
      <w:marTop w:val="0"/>
      <w:marBottom w:val="0"/>
      <w:divBdr>
        <w:top w:val="none" w:sz="0" w:space="0" w:color="auto"/>
        <w:left w:val="none" w:sz="0" w:space="0" w:color="auto"/>
        <w:bottom w:val="none" w:sz="0" w:space="0" w:color="auto"/>
        <w:right w:val="none" w:sz="0" w:space="0" w:color="auto"/>
      </w:divBdr>
    </w:div>
    <w:div w:id="1684896879">
      <w:bodyDiv w:val="1"/>
      <w:marLeft w:val="0"/>
      <w:marRight w:val="0"/>
      <w:marTop w:val="0"/>
      <w:marBottom w:val="0"/>
      <w:divBdr>
        <w:top w:val="none" w:sz="0" w:space="0" w:color="auto"/>
        <w:left w:val="none" w:sz="0" w:space="0" w:color="auto"/>
        <w:bottom w:val="none" w:sz="0" w:space="0" w:color="auto"/>
        <w:right w:val="none" w:sz="0" w:space="0" w:color="auto"/>
      </w:divBdr>
    </w:div>
    <w:div w:id="1685938631">
      <w:bodyDiv w:val="1"/>
      <w:marLeft w:val="0"/>
      <w:marRight w:val="0"/>
      <w:marTop w:val="0"/>
      <w:marBottom w:val="0"/>
      <w:divBdr>
        <w:top w:val="none" w:sz="0" w:space="0" w:color="auto"/>
        <w:left w:val="none" w:sz="0" w:space="0" w:color="auto"/>
        <w:bottom w:val="none" w:sz="0" w:space="0" w:color="auto"/>
        <w:right w:val="none" w:sz="0" w:space="0" w:color="auto"/>
      </w:divBdr>
    </w:div>
    <w:div w:id="1727873519">
      <w:bodyDiv w:val="1"/>
      <w:marLeft w:val="0"/>
      <w:marRight w:val="0"/>
      <w:marTop w:val="0"/>
      <w:marBottom w:val="0"/>
      <w:divBdr>
        <w:top w:val="none" w:sz="0" w:space="0" w:color="auto"/>
        <w:left w:val="none" w:sz="0" w:space="0" w:color="auto"/>
        <w:bottom w:val="none" w:sz="0" w:space="0" w:color="auto"/>
        <w:right w:val="none" w:sz="0" w:space="0" w:color="auto"/>
      </w:divBdr>
    </w:div>
    <w:div w:id="1731998507">
      <w:bodyDiv w:val="1"/>
      <w:marLeft w:val="0"/>
      <w:marRight w:val="0"/>
      <w:marTop w:val="0"/>
      <w:marBottom w:val="0"/>
      <w:divBdr>
        <w:top w:val="none" w:sz="0" w:space="0" w:color="auto"/>
        <w:left w:val="none" w:sz="0" w:space="0" w:color="auto"/>
        <w:bottom w:val="none" w:sz="0" w:space="0" w:color="auto"/>
        <w:right w:val="none" w:sz="0" w:space="0" w:color="auto"/>
      </w:divBdr>
    </w:div>
    <w:div w:id="1747871879">
      <w:bodyDiv w:val="1"/>
      <w:marLeft w:val="0"/>
      <w:marRight w:val="0"/>
      <w:marTop w:val="0"/>
      <w:marBottom w:val="0"/>
      <w:divBdr>
        <w:top w:val="none" w:sz="0" w:space="0" w:color="auto"/>
        <w:left w:val="none" w:sz="0" w:space="0" w:color="auto"/>
        <w:bottom w:val="none" w:sz="0" w:space="0" w:color="auto"/>
        <w:right w:val="none" w:sz="0" w:space="0" w:color="auto"/>
      </w:divBdr>
    </w:div>
    <w:div w:id="1752114930">
      <w:bodyDiv w:val="1"/>
      <w:marLeft w:val="0"/>
      <w:marRight w:val="0"/>
      <w:marTop w:val="0"/>
      <w:marBottom w:val="0"/>
      <w:divBdr>
        <w:top w:val="none" w:sz="0" w:space="0" w:color="auto"/>
        <w:left w:val="none" w:sz="0" w:space="0" w:color="auto"/>
        <w:bottom w:val="none" w:sz="0" w:space="0" w:color="auto"/>
        <w:right w:val="none" w:sz="0" w:space="0" w:color="auto"/>
      </w:divBdr>
    </w:div>
    <w:div w:id="1776633885">
      <w:bodyDiv w:val="1"/>
      <w:marLeft w:val="0"/>
      <w:marRight w:val="0"/>
      <w:marTop w:val="0"/>
      <w:marBottom w:val="0"/>
      <w:divBdr>
        <w:top w:val="none" w:sz="0" w:space="0" w:color="auto"/>
        <w:left w:val="none" w:sz="0" w:space="0" w:color="auto"/>
        <w:bottom w:val="none" w:sz="0" w:space="0" w:color="auto"/>
        <w:right w:val="none" w:sz="0" w:space="0" w:color="auto"/>
      </w:divBdr>
    </w:div>
    <w:div w:id="1790855503">
      <w:bodyDiv w:val="1"/>
      <w:marLeft w:val="0"/>
      <w:marRight w:val="0"/>
      <w:marTop w:val="0"/>
      <w:marBottom w:val="0"/>
      <w:divBdr>
        <w:top w:val="none" w:sz="0" w:space="0" w:color="auto"/>
        <w:left w:val="none" w:sz="0" w:space="0" w:color="auto"/>
        <w:bottom w:val="none" w:sz="0" w:space="0" w:color="auto"/>
        <w:right w:val="none" w:sz="0" w:space="0" w:color="auto"/>
      </w:divBdr>
    </w:div>
    <w:div w:id="1791583841">
      <w:bodyDiv w:val="1"/>
      <w:marLeft w:val="0"/>
      <w:marRight w:val="0"/>
      <w:marTop w:val="0"/>
      <w:marBottom w:val="0"/>
      <w:divBdr>
        <w:top w:val="none" w:sz="0" w:space="0" w:color="auto"/>
        <w:left w:val="none" w:sz="0" w:space="0" w:color="auto"/>
        <w:bottom w:val="none" w:sz="0" w:space="0" w:color="auto"/>
        <w:right w:val="none" w:sz="0" w:space="0" w:color="auto"/>
      </w:divBdr>
    </w:div>
    <w:div w:id="1833839078">
      <w:bodyDiv w:val="1"/>
      <w:marLeft w:val="0"/>
      <w:marRight w:val="0"/>
      <w:marTop w:val="0"/>
      <w:marBottom w:val="0"/>
      <w:divBdr>
        <w:top w:val="none" w:sz="0" w:space="0" w:color="auto"/>
        <w:left w:val="none" w:sz="0" w:space="0" w:color="auto"/>
        <w:bottom w:val="none" w:sz="0" w:space="0" w:color="auto"/>
        <w:right w:val="none" w:sz="0" w:space="0" w:color="auto"/>
      </w:divBdr>
    </w:div>
    <w:div w:id="1839466554">
      <w:bodyDiv w:val="1"/>
      <w:marLeft w:val="0"/>
      <w:marRight w:val="0"/>
      <w:marTop w:val="0"/>
      <w:marBottom w:val="0"/>
      <w:divBdr>
        <w:top w:val="none" w:sz="0" w:space="0" w:color="auto"/>
        <w:left w:val="none" w:sz="0" w:space="0" w:color="auto"/>
        <w:bottom w:val="none" w:sz="0" w:space="0" w:color="auto"/>
        <w:right w:val="none" w:sz="0" w:space="0" w:color="auto"/>
      </w:divBdr>
    </w:div>
    <w:div w:id="1860964455">
      <w:bodyDiv w:val="1"/>
      <w:marLeft w:val="0"/>
      <w:marRight w:val="0"/>
      <w:marTop w:val="0"/>
      <w:marBottom w:val="0"/>
      <w:divBdr>
        <w:top w:val="none" w:sz="0" w:space="0" w:color="auto"/>
        <w:left w:val="none" w:sz="0" w:space="0" w:color="auto"/>
        <w:bottom w:val="none" w:sz="0" w:space="0" w:color="auto"/>
        <w:right w:val="none" w:sz="0" w:space="0" w:color="auto"/>
      </w:divBdr>
    </w:div>
    <w:div w:id="1880125524">
      <w:bodyDiv w:val="1"/>
      <w:marLeft w:val="0"/>
      <w:marRight w:val="0"/>
      <w:marTop w:val="0"/>
      <w:marBottom w:val="0"/>
      <w:divBdr>
        <w:top w:val="none" w:sz="0" w:space="0" w:color="auto"/>
        <w:left w:val="none" w:sz="0" w:space="0" w:color="auto"/>
        <w:bottom w:val="none" w:sz="0" w:space="0" w:color="auto"/>
        <w:right w:val="none" w:sz="0" w:space="0" w:color="auto"/>
      </w:divBdr>
      <w:divsChild>
        <w:div w:id="651065603">
          <w:marLeft w:val="547"/>
          <w:marRight w:val="0"/>
          <w:marTop w:val="134"/>
          <w:marBottom w:val="0"/>
          <w:divBdr>
            <w:top w:val="none" w:sz="0" w:space="0" w:color="auto"/>
            <w:left w:val="none" w:sz="0" w:space="0" w:color="auto"/>
            <w:bottom w:val="none" w:sz="0" w:space="0" w:color="auto"/>
            <w:right w:val="none" w:sz="0" w:space="0" w:color="auto"/>
          </w:divBdr>
        </w:div>
        <w:div w:id="393359151">
          <w:marLeft w:val="1166"/>
          <w:marRight w:val="0"/>
          <w:marTop w:val="134"/>
          <w:marBottom w:val="0"/>
          <w:divBdr>
            <w:top w:val="none" w:sz="0" w:space="0" w:color="auto"/>
            <w:left w:val="none" w:sz="0" w:space="0" w:color="auto"/>
            <w:bottom w:val="none" w:sz="0" w:space="0" w:color="auto"/>
            <w:right w:val="none" w:sz="0" w:space="0" w:color="auto"/>
          </w:divBdr>
        </w:div>
        <w:div w:id="1574006164">
          <w:marLeft w:val="1166"/>
          <w:marRight w:val="0"/>
          <w:marTop w:val="134"/>
          <w:marBottom w:val="0"/>
          <w:divBdr>
            <w:top w:val="none" w:sz="0" w:space="0" w:color="auto"/>
            <w:left w:val="none" w:sz="0" w:space="0" w:color="auto"/>
            <w:bottom w:val="none" w:sz="0" w:space="0" w:color="auto"/>
            <w:right w:val="none" w:sz="0" w:space="0" w:color="auto"/>
          </w:divBdr>
        </w:div>
      </w:divsChild>
    </w:div>
    <w:div w:id="1901478678">
      <w:bodyDiv w:val="1"/>
      <w:marLeft w:val="0"/>
      <w:marRight w:val="0"/>
      <w:marTop w:val="0"/>
      <w:marBottom w:val="0"/>
      <w:divBdr>
        <w:top w:val="none" w:sz="0" w:space="0" w:color="auto"/>
        <w:left w:val="none" w:sz="0" w:space="0" w:color="auto"/>
        <w:bottom w:val="none" w:sz="0" w:space="0" w:color="auto"/>
        <w:right w:val="none" w:sz="0" w:space="0" w:color="auto"/>
      </w:divBdr>
    </w:div>
    <w:div w:id="1910387383">
      <w:bodyDiv w:val="1"/>
      <w:marLeft w:val="0"/>
      <w:marRight w:val="0"/>
      <w:marTop w:val="0"/>
      <w:marBottom w:val="0"/>
      <w:divBdr>
        <w:top w:val="none" w:sz="0" w:space="0" w:color="auto"/>
        <w:left w:val="none" w:sz="0" w:space="0" w:color="auto"/>
        <w:bottom w:val="none" w:sz="0" w:space="0" w:color="auto"/>
        <w:right w:val="none" w:sz="0" w:space="0" w:color="auto"/>
      </w:divBdr>
    </w:div>
    <w:div w:id="1925146161">
      <w:bodyDiv w:val="1"/>
      <w:marLeft w:val="0"/>
      <w:marRight w:val="0"/>
      <w:marTop w:val="0"/>
      <w:marBottom w:val="0"/>
      <w:divBdr>
        <w:top w:val="none" w:sz="0" w:space="0" w:color="auto"/>
        <w:left w:val="none" w:sz="0" w:space="0" w:color="auto"/>
        <w:bottom w:val="none" w:sz="0" w:space="0" w:color="auto"/>
        <w:right w:val="none" w:sz="0" w:space="0" w:color="auto"/>
      </w:divBdr>
    </w:div>
    <w:div w:id="1937859304">
      <w:bodyDiv w:val="1"/>
      <w:marLeft w:val="0"/>
      <w:marRight w:val="0"/>
      <w:marTop w:val="0"/>
      <w:marBottom w:val="0"/>
      <w:divBdr>
        <w:top w:val="none" w:sz="0" w:space="0" w:color="auto"/>
        <w:left w:val="none" w:sz="0" w:space="0" w:color="auto"/>
        <w:bottom w:val="none" w:sz="0" w:space="0" w:color="auto"/>
        <w:right w:val="none" w:sz="0" w:space="0" w:color="auto"/>
      </w:divBdr>
    </w:div>
    <w:div w:id="1941253442">
      <w:bodyDiv w:val="1"/>
      <w:marLeft w:val="0"/>
      <w:marRight w:val="0"/>
      <w:marTop w:val="0"/>
      <w:marBottom w:val="0"/>
      <w:divBdr>
        <w:top w:val="none" w:sz="0" w:space="0" w:color="auto"/>
        <w:left w:val="none" w:sz="0" w:space="0" w:color="auto"/>
        <w:bottom w:val="none" w:sz="0" w:space="0" w:color="auto"/>
        <w:right w:val="none" w:sz="0" w:space="0" w:color="auto"/>
      </w:divBdr>
    </w:div>
    <w:div w:id="1966278686">
      <w:bodyDiv w:val="1"/>
      <w:marLeft w:val="0"/>
      <w:marRight w:val="0"/>
      <w:marTop w:val="0"/>
      <w:marBottom w:val="0"/>
      <w:divBdr>
        <w:top w:val="none" w:sz="0" w:space="0" w:color="auto"/>
        <w:left w:val="none" w:sz="0" w:space="0" w:color="auto"/>
        <w:bottom w:val="none" w:sz="0" w:space="0" w:color="auto"/>
        <w:right w:val="none" w:sz="0" w:space="0" w:color="auto"/>
      </w:divBdr>
      <w:divsChild>
        <w:div w:id="1721593369">
          <w:marLeft w:val="547"/>
          <w:marRight w:val="0"/>
          <w:marTop w:val="125"/>
          <w:marBottom w:val="0"/>
          <w:divBdr>
            <w:top w:val="none" w:sz="0" w:space="0" w:color="auto"/>
            <w:left w:val="none" w:sz="0" w:space="0" w:color="auto"/>
            <w:bottom w:val="none" w:sz="0" w:space="0" w:color="auto"/>
            <w:right w:val="none" w:sz="0" w:space="0" w:color="auto"/>
          </w:divBdr>
        </w:div>
        <w:div w:id="463428198">
          <w:marLeft w:val="547"/>
          <w:marRight w:val="0"/>
          <w:marTop w:val="125"/>
          <w:marBottom w:val="0"/>
          <w:divBdr>
            <w:top w:val="none" w:sz="0" w:space="0" w:color="auto"/>
            <w:left w:val="none" w:sz="0" w:space="0" w:color="auto"/>
            <w:bottom w:val="none" w:sz="0" w:space="0" w:color="auto"/>
            <w:right w:val="none" w:sz="0" w:space="0" w:color="auto"/>
          </w:divBdr>
        </w:div>
        <w:div w:id="35350835">
          <w:marLeft w:val="547"/>
          <w:marRight w:val="0"/>
          <w:marTop w:val="125"/>
          <w:marBottom w:val="0"/>
          <w:divBdr>
            <w:top w:val="none" w:sz="0" w:space="0" w:color="auto"/>
            <w:left w:val="none" w:sz="0" w:space="0" w:color="auto"/>
            <w:bottom w:val="none" w:sz="0" w:space="0" w:color="auto"/>
            <w:right w:val="none" w:sz="0" w:space="0" w:color="auto"/>
          </w:divBdr>
        </w:div>
      </w:divsChild>
    </w:div>
    <w:div w:id="2003849374">
      <w:bodyDiv w:val="1"/>
      <w:marLeft w:val="0"/>
      <w:marRight w:val="0"/>
      <w:marTop w:val="0"/>
      <w:marBottom w:val="0"/>
      <w:divBdr>
        <w:top w:val="none" w:sz="0" w:space="0" w:color="auto"/>
        <w:left w:val="none" w:sz="0" w:space="0" w:color="auto"/>
        <w:bottom w:val="none" w:sz="0" w:space="0" w:color="auto"/>
        <w:right w:val="none" w:sz="0" w:space="0" w:color="auto"/>
      </w:divBdr>
    </w:div>
    <w:div w:id="2010132871">
      <w:bodyDiv w:val="1"/>
      <w:marLeft w:val="0"/>
      <w:marRight w:val="0"/>
      <w:marTop w:val="0"/>
      <w:marBottom w:val="0"/>
      <w:divBdr>
        <w:top w:val="none" w:sz="0" w:space="0" w:color="auto"/>
        <w:left w:val="none" w:sz="0" w:space="0" w:color="auto"/>
        <w:bottom w:val="none" w:sz="0" w:space="0" w:color="auto"/>
        <w:right w:val="none" w:sz="0" w:space="0" w:color="auto"/>
      </w:divBdr>
    </w:div>
    <w:div w:id="2023893681">
      <w:bodyDiv w:val="1"/>
      <w:marLeft w:val="0"/>
      <w:marRight w:val="0"/>
      <w:marTop w:val="0"/>
      <w:marBottom w:val="0"/>
      <w:divBdr>
        <w:top w:val="none" w:sz="0" w:space="0" w:color="auto"/>
        <w:left w:val="none" w:sz="0" w:space="0" w:color="auto"/>
        <w:bottom w:val="none" w:sz="0" w:space="0" w:color="auto"/>
        <w:right w:val="none" w:sz="0" w:space="0" w:color="auto"/>
      </w:divBdr>
    </w:div>
    <w:div w:id="2036346168">
      <w:bodyDiv w:val="1"/>
      <w:marLeft w:val="0"/>
      <w:marRight w:val="0"/>
      <w:marTop w:val="0"/>
      <w:marBottom w:val="0"/>
      <w:divBdr>
        <w:top w:val="none" w:sz="0" w:space="0" w:color="auto"/>
        <w:left w:val="none" w:sz="0" w:space="0" w:color="auto"/>
        <w:bottom w:val="none" w:sz="0" w:space="0" w:color="auto"/>
        <w:right w:val="none" w:sz="0" w:space="0" w:color="auto"/>
      </w:divBdr>
    </w:div>
    <w:div w:id="2037267477">
      <w:bodyDiv w:val="1"/>
      <w:marLeft w:val="0"/>
      <w:marRight w:val="0"/>
      <w:marTop w:val="0"/>
      <w:marBottom w:val="0"/>
      <w:divBdr>
        <w:top w:val="none" w:sz="0" w:space="0" w:color="auto"/>
        <w:left w:val="none" w:sz="0" w:space="0" w:color="auto"/>
        <w:bottom w:val="none" w:sz="0" w:space="0" w:color="auto"/>
        <w:right w:val="none" w:sz="0" w:space="0" w:color="auto"/>
      </w:divBdr>
    </w:div>
    <w:div w:id="2039350373">
      <w:bodyDiv w:val="1"/>
      <w:marLeft w:val="0"/>
      <w:marRight w:val="0"/>
      <w:marTop w:val="0"/>
      <w:marBottom w:val="0"/>
      <w:divBdr>
        <w:top w:val="none" w:sz="0" w:space="0" w:color="auto"/>
        <w:left w:val="none" w:sz="0" w:space="0" w:color="auto"/>
        <w:bottom w:val="none" w:sz="0" w:space="0" w:color="auto"/>
        <w:right w:val="none" w:sz="0" w:space="0" w:color="auto"/>
      </w:divBdr>
    </w:div>
    <w:div w:id="207605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4.xml"/><Relationship Id="rId21" Type="http://schemas.openxmlformats.org/officeDocument/2006/relationships/chart" Target="charts/chart10.xml"/><Relationship Id="rId42" Type="http://schemas.openxmlformats.org/officeDocument/2006/relationships/chart" Target="charts/chart31.xml"/><Relationship Id="rId63" Type="http://schemas.openxmlformats.org/officeDocument/2006/relationships/chart" Target="charts/chart50.xml"/><Relationship Id="rId84" Type="http://schemas.openxmlformats.org/officeDocument/2006/relationships/chart" Target="charts/chart71.xml"/><Relationship Id="rId16" Type="http://schemas.openxmlformats.org/officeDocument/2006/relationships/chart" Target="charts/chart5.xml"/><Relationship Id="rId107" Type="http://schemas.openxmlformats.org/officeDocument/2006/relationships/chart" Target="charts/chart94.xml"/><Relationship Id="rId11" Type="http://schemas.openxmlformats.org/officeDocument/2006/relationships/hyperlink" Target="http://atipfund.gov.ge/eng" TargetMode="External"/><Relationship Id="rId32" Type="http://schemas.openxmlformats.org/officeDocument/2006/relationships/chart" Target="charts/chart21.xml"/><Relationship Id="rId37" Type="http://schemas.openxmlformats.org/officeDocument/2006/relationships/chart" Target="charts/chart26.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chart" Target="charts/chart89.xml"/><Relationship Id="rId123" Type="http://schemas.openxmlformats.org/officeDocument/2006/relationships/chart" Target="charts/chart110.xml"/><Relationship Id="rId128" Type="http://schemas.openxmlformats.org/officeDocument/2006/relationships/chart" Target="charts/chart115.xml"/><Relationship Id="rId5" Type="http://schemas.openxmlformats.org/officeDocument/2006/relationships/webSettings" Target="webSettings.xml"/><Relationship Id="rId90" Type="http://schemas.openxmlformats.org/officeDocument/2006/relationships/chart" Target="charts/chart77.xml"/><Relationship Id="rId95" Type="http://schemas.openxmlformats.org/officeDocument/2006/relationships/chart" Target="charts/chart82.xml"/><Relationship Id="rId22" Type="http://schemas.openxmlformats.org/officeDocument/2006/relationships/chart" Target="charts/chart11.xml"/><Relationship Id="rId27" Type="http://schemas.openxmlformats.org/officeDocument/2006/relationships/chart" Target="charts/chart16.xml"/><Relationship Id="rId43" Type="http://schemas.openxmlformats.org/officeDocument/2006/relationships/chart" Target="charts/chart32.xml"/><Relationship Id="rId48" Type="http://schemas.openxmlformats.org/officeDocument/2006/relationships/chart" Target="charts/chart36.xml"/><Relationship Id="rId64" Type="http://schemas.openxmlformats.org/officeDocument/2006/relationships/chart" Target="charts/chart51.xml"/><Relationship Id="rId69" Type="http://schemas.openxmlformats.org/officeDocument/2006/relationships/chart" Target="charts/chart56.xml"/><Relationship Id="rId113" Type="http://schemas.openxmlformats.org/officeDocument/2006/relationships/chart" Target="charts/chart100.xml"/><Relationship Id="rId118" Type="http://schemas.openxmlformats.org/officeDocument/2006/relationships/chart" Target="charts/chart105.xml"/><Relationship Id="rId80" Type="http://schemas.openxmlformats.org/officeDocument/2006/relationships/chart" Target="charts/chart67.xml"/><Relationship Id="rId85" Type="http://schemas.openxmlformats.org/officeDocument/2006/relationships/chart" Target="charts/chart72.xml"/><Relationship Id="rId12" Type="http://schemas.openxmlformats.org/officeDocument/2006/relationships/chart" Target="charts/chart1.xml"/><Relationship Id="rId17" Type="http://schemas.openxmlformats.org/officeDocument/2006/relationships/chart" Target="charts/chart6.xml"/><Relationship Id="rId33" Type="http://schemas.openxmlformats.org/officeDocument/2006/relationships/chart" Target="charts/chart22.xml"/><Relationship Id="rId38" Type="http://schemas.openxmlformats.org/officeDocument/2006/relationships/chart" Target="charts/chart27.xml"/><Relationship Id="rId59" Type="http://schemas.openxmlformats.org/officeDocument/2006/relationships/chart" Target="charts/chart46.xml"/><Relationship Id="rId103" Type="http://schemas.openxmlformats.org/officeDocument/2006/relationships/chart" Target="charts/chart90.xml"/><Relationship Id="rId108" Type="http://schemas.openxmlformats.org/officeDocument/2006/relationships/chart" Target="charts/chart95.xml"/><Relationship Id="rId124" Type="http://schemas.openxmlformats.org/officeDocument/2006/relationships/chart" Target="charts/chart111.xml"/><Relationship Id="rId129" Type="http://schemas.openxmlformats.org/officeDocument/2006/relationships/chart" Target="charts/chart116.xml"/><Relationship Id="rId54" Type="http://schemas.openxmlformats.org/officeDocument/2006/relationships/chart" Target="charts/chart41.xml"/><Relationship Id="rId70" Type="http://schemas.openxmlformats.org/officeDocument/2006/relationships/chart" Target="charts/chart57.xml"/><Relationship Id="rId75" Type="http://schemas.openxmlformats.org/officeDocument/2006/relationships/chart" Target="charts/chart62.xml"/><Relationship Id="rId91" Type="http://schemas.openxmlformats.org/officeDocument/2006/relationships/chart" Target="charts/chart78.xml"/><Relationship Id="rId96" Type="http://schemas.openxmlformats.org/officeDocument/2006/relationships/chart" Target="charts/chart8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hyperlink" Target="http://atipfund.gov.ge/eng" TargetMode="External"/><Relationship Id="rId114" Type="http://schemas.openxmlformats.org/officeDocument/2006/relationships/chart" Target="charts/chart101.xml"/><Relationship Id="rId119" Type="http://schemas.openxmlformats.org/officeDocument/2006/relationships/chart" Target="charts/chart106.xml"/><Relationship Id="rId44" Type="http://schemas.openxmlformats.org/officeDocument/2006/relationships/chart" Target="charts/chart33.xml"/><Relationship Id="rId60" Type="http://schemas.openxmlformats.org/officeDocument/2006/relationships/chart" Target="charts/chart47.xml"/><Relationship Id="rId65" Type="http://schemas.openxmlformats.org/officeDocument/2006/relationships/chart" Target="charts/chart52.xml"/><Relationship Id="rId81" Type="http://schemas.openxmlformats.org/officeDocument/2006/relationships/chart" Target="charts/chart68.xml"/><Relationship Id="rId86" Type="http://schemas.openxmlformats.org/officeDocument/2006/relationships/chart" Target="charts/chart73.xml"/><Relationship Id="rId130" Type="http://schemas.openxmlformats.org/officeDocument/2006/relationships/chart" Target="charts/chart117.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chart" Target="charts/chart96.xml"/><Relationship Id="rId34" Type="http://schemas.openxmlformats.org/officeDocument/2006/relationships/chart" Target="charts/chart23.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chart" Target="charts/chart63.xml"/><Relationship Id="rId97" Type="http://schemas.openxmlformats.org/officeDocument/2006/relationships/chart" Target="charts/chart84.xml"/><Relationship Id="rId104" Type="http://schemas.openxmlformats.org/officeDocument/2006/relationships/chart" Target="charts/chart91.xml"/><Relationship Id="rId120" Type="http://schemas.openxmlformats.org/officeDocument/2006/relationships/chart" Target="charts/chart107.xml"/><Relationship Id="rId125" Type="http://schemas.openxmlformats.org/officeDocument/2006/relationships/chart" Target="charts/chart112.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9.xml"/><Relationship Id="rId2" Type="http://schemas.openxmlformats.org/officeDocument/2006/relationships/numbering" Target="numbering.xml"/><Relationship Id="rId29" Type="http://schemas.openxmlformats.org/officeDocument/2006/relationships/chart" Target="charts/chart18.xml"/><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chart" Target="charts/chart53.xml"/><Relationship Id="rId87" Type="http://schemas.openxmlformats.org/officeDocument/2006/relationships/chart" Target="charts/chart74.xml"/><Relationship Id="rId110" Type="http://schemas.openxmlformats.org/officeDocument/2006/relationships/chart" Target="charts/chart97.xml"/><Relationship Id="rId115" Type="http://schemas.openxmlformats.org/officeDocument/2006/relationships/chart" Target="charts/chart102.xml"/><Relationship Id="rId131" Type="http://schemas.openxmlformats.org/officeDocument/2006/relationships/footer" Target="footer1.xml"/><Relationship Id="rId61" Type="http://schemas.openxmlformats.org/officeDocument/2006/relationships/chart" Target="charts/chart48.xml"/><Relationship Id="rId82" Type="http://schemas.openxmlformats.org/officeDocument/2006/relationships/chart" Target="charts/chart69.xml"/><Relationship Id="rId19" Type="http://schemas.openxmlformats.org/officeDocument/2006/relationships/chart" Target="charts/chart8.xm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chart" Target="charts/chart43.xml"/><Relationship Id="rId77" Type="http://schemas.openxmlformats.org/officeDocument/2006/relationships/chart" Target="charts/chart64.xml"/><Relationship Id="rId100" Type="http://schemas.openxmlformats.org/officeDocument/2006/relationships/chart" Target="charts/chart87.xml"/><Relationship Id="rId105" Type="http://schemas.openxmlformats.org/officeDocument/2006/relationships/chart" Target="charts/chart92.xml"/><Relationship Id="rId126" Type="http://schemas.openxmlformats.org/officeDocument/2006/relationships/chart" Target="charts/chart113.xml"/><Relationship Id="rId8" Type="http://schemas.openxmlformats.org/officeDocument/2006/relationships/hyperlink" Target="https://en.wikipedia.org/wiki/Statistical_dispersion" TargetMode="External"/><Relationship Id="rId51" Type="http://schemas.openxmlformats.org/officeDocument/2006/relationships/chart" Target="charts/chart38.xml"/><Relationship Id="rId72" Type="http://schemas.openxmlformats.org/officeDocument/2006/relationships/chart" Target="charts/chart59.xml"/><Relationship Id="rId93" Type="http://schemas.openxmlformats.org/officeDocument/2006/relationships/chart" Target="charts/chart80.xml"/><Relationship Id="rId98" Type="http://schemas.openxmlformats.org/officeDocument/2006/relationships/chart" Target="charts/chart85.xml"/><Relationship Id="rId121" Type="http://schemas.openxmlformats.org/officeDocument/2006/relationships/chart" Target="charts/chart108.xml"/><Relationship Id="rId3" Type="http://schemas.openxmlformats.org/officeDocument/2006/relationships/styles" Target="styles.xml"/><Relationship Id="rId25" Type="http://schemas.openxmlformats.org/officeDocument/2006/relationships/chart" Target="charts/chart14.xml"/><Relationship Id="rId46" Type="http://schemas.openxmlformats.org/officeDocument/2006/relationships/hyperlink" Target="http://atipfund.gov.ge/eng" TargetMode="External"/><Relationship Id="rId67" Type="http://schemas.openxmlformats.org/officeDocument/2006/relationships/chart" Target="charts/chart54.xml"/><Relationship Id="rId116" Type="http://schemas.openxmlformats.org/officeDocument/2006/relationships/chart" Target="charts/chart103.xml"/><Relationship Id="rId20" Type="http://schemas.openxmlformats.org/officeDocument/2006/relationships/chart" Target="charts/chart9.xml"/><Relationship Id="rId41" Type="http://schemas.openxmlformats.org/officeDocument/2006/relationships/chart" Target="charts/chart30.xml"/><Relationship Id="rId62" Type="http://schemas.openxmlformats.org/officeDocument/2006/relationships/chart" Target="charts/chart49.xml"/><Relationship Id="rId83" Type="http://schemas.openxmlformats.org/officeDocument/2006/relationships/chart" Target="charts/chart70.xml"/><Relationship Id="rId88" Type="http://schemas.openxmlformats.org/officeDocument/2006/relationships/chart" Target="charts/chart75.xml"/><Relationship Id="rId111" Type="http://schemas.openxmlformats.org/officeDocument/2006/relationships/chart" Target="charts/chart98.xml"/><Relationship Id="rId132" Type="http://schemas.openxmlformats.org/officeDocument/2006/relationships/fontTable" Target="fontTable.xml"/><Relationship Id="rId15" Type="http://schemas.openxmlformats.org/officeDocument/2006/relationships/chart" Target="charts/chart4.xml"/><Relationship Id="rId36" Type="http://schemas.openxmlformats.org/officeDocument/2006/relationships/chart" Target="charts/chart25.xml"/><Relationship Id="rId57" Type="http://schemas.openxmlformats.org/officeDocument/2006/relationships/chart" Target="charts/chart44.xml"/><Relationship Id="rId106" Type="http://schemas.openxmlformats.org/officeDocument/2006/relationships/chart" Target="charts/chart93.xml"/><Relationship Id="rId127" Type="http://schemas.openxmlformats.org/officeDocument/2006/relationships/chart" Target="charts/chart114.xml"/><Relationship Id="rId10" Type="http://schemas.openxmlformats.org/officeDocument/2006/relationships/hyperlink" Target="https://en.wikipedia.org/wiki/Wealth_distribution" TargetMode="External"/><Relationship Id="rId31" Type="http://schemas.openxmlformats.org/officeDocument/2006/relationships/chart" Target="charts/chart20.xml"/><Relationship Id="rId52" Type="http://schemas.openxmlformats.org/officeDocument/2006/relationships/chart" Target="charts/chart39.xml"/><Relationship Id="rId73" Type="http://schemas.openxmlformats.org/officeDocument/2006/relationships/chart" Target="charts/chart60.xml"/><Relationship Id="rId78" Type="http://schemas.openxmlformats.org/officeDocument/2006/relationships/chart" Target="charts/chart65.xml"/><Relationship Id="rId94" Type="http://schemas.openxmlformats.org/officeDocument/2006/relationships/chart" Target="charts/chart81.xml"/><Relationship Id="rId99" Type="http://schemas.openxmlformats.org/officeDocument/2006/relationships/chart" Target="charts/chart86.xml"/><Relationship Id="rId101" Type="http://schemas.openxmlformats.org/officeDocument/2006/relationships/chart" Target="charts/chart88.xml"/><Relationship Id="rId122" Type="http://schemas.openxmlformats.org/officeDocument/2006/relationships/chart" Target="charts/chart109.xml"/><Relationship Id="rId4" Type="http://schemas.openxmlformats.org/officeDocument/2006/relationships/settings" Target="settings.xml"/><Relationship Id="rId9" Type="http://schemas.openxmlformats.org/officeDocument/2006/relationships/hyperlink" Target="https://en.wikipedia.org/wiki/Income_distribution" TargetMode="External"/><Relationship Id="rId26" Type="http://schemas.openxmlformats.org/officeDocument/2006/relationships/chart" Target="charts/chart15.xml"/><Relationship Id="rId47" Type="http://schemas.openxmlformats.org/officeDocument/2006/relationships/chart" Target="charts/chart35.xml"/><Relationship Id="rId68" Type="http://schemas.openxmlformats.org/officeDocument/2006/relationships/chart" Target="charts/chart55.xml"/><Relationship Id="rId89" Type="http://schemas.openxmlformats.org/officeDocument/2006/relationships/chart" Target="charts/chart76.xml"/><Relationship Id="rId112" Type="http://schemas.openxmlformats.org/officeDocument/2006/relationships/chart" Target="charts/chart99.xm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Housing_First" TargetMode="External"/><Relationship Id="rId1" Type="http://schemas.openxmlformats.org/officeDocument/2006/relationships/hyperlink" Target="https://ec.europa.eu/eurostat/statistics-explained/index.php?title=Housing_statistic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tsulukidze\Desktop\Housing%20RIA\Data%20For%20Causes\Income%20Distribution\saSualo-Tviuri-Semosavlebis-ganawileba-erT-Sinameurneobaze-q-da-s-WrilSi.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tsulukidze\Desktop\Housing%20RIA\Data%20For%20Causes\Construction%20Material%20Related%20Data\mshenebloba-2010-wlis-sashualo=100-qart.xlsx" TargetMode="External"/><Relationship Id="rId2" Type="http://schemas.microsoft.com/office/2011/relationships/chartColorStyle" Target="colors8.xml"/><Relationship Id="rId1" Type="http://schemas.microsoft.com/office/2011/relationships/chartStyle" Target="style8.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npign\Downloads\Merged%20Average%20Values%20for%20Ethnicity%20(1).xlsx" TargetMode="External"/><Relationship Id="rId2" Type="http://schemas.microsoft.com/office/2011/relationships/chartColorStyle" Target="colors98.xml"/><Relationship Id="rId1" Type="http://schemas.microsoft.com/office/2011/relationships/chartStyle" Target="style98.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npign\Downloads\Merged%20Average%20Values%20for%20Ethnicity%20(1).xlsx" TargetMode="External"/><Relationship Id="rId2" Type="http://schemas.microsoft.com/office/2011/relationships/chartColorStyle" Target="colors99.xml"/><Relationship Id="rId1" Type="http://schemas.microsoft.com/office/2011/relationships/chartStyle" Target="style99.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npign\Downloads\Merged%20Average%20Values%20for%20Ethnicity%20(1).xlsx" TargetMode="External"/><Relationship Id="rId2" Type="http://schemas.microsoft.com/office/2011/relationships/chartColorStyle" Target="colors100.xml"/><Relationship Id="rId1" Type="http://schemas.microsoft.com/office/2011/relationships/chartStyle" Target="style100.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101.xml"/><Relationship Id="rId1" Type="http://schemas.microsoft.com/office/2011/relationships/chartStyle" Target="style101.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102.xml"/><Relationship Id="rId1" Type="http://schemas.microsoft.com/office/2011/relationships/chartStyle" Target="style102.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103.xml"/><Relationship Id="rId1" Type="http://schemas.microsoft.com/office/2011/relationships/chartStyle" Target="style103.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104.xml"/><Relationship Id="rId1" Type="http://schemas.microsoft.com/office/2011/relationships/chartStyle" Target="style104.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105.xml"/><Relationship Id="rId1" Type="http://schemas.microsoft.com/office/2011/relationships/chartStyle" Target="style105.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106.xml"/><Relationship Id="rId1" Type="http://schemas.microsoft.com/office/2011/relationships/chartStyle" Target="style106.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107.xml"/><Relationship Id="rId1" Type="http://schemas.microsoft.com/office/2011/relationships/chartStyle" Target="style107.xml"/></Relationships>
</file>

<file path=word/charts/_rels/chart11.xml.rels><?xml version="1.0" encoding="UTF-8" standalone="yes"?>
<Relationships xmlns="http://schemas.openxmlformats.org/package/2006/relationships"><Relationship Id="rId3" Type="http://schemas.openxmlformats.org/officeDocument/2006/relationships/oleObject" Target="file:///D:\Housing%20RIA\All%20graphs%20for%20analysis\All%20graphs.xlsx" TargetMode="External"/><Relationship Id="rId2" Type="http://schemas.microsoft.com/office/2011/relationships/chartColorStyle" Target="colors9.xml"/><Relationship Id="rId1" Type="http://schemas.microsoft.com/office/2011/relationships/chartStyle" Target="style9.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108.xml"/><Relationship Id="rId1" Type="http://schemas.microsoft.com/office/2011/relationships/chartStyle" Target="style108.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109.xml"/><Relationship Id="rId1" Type="http://schemas.microsoft.com/office/2011/relationships/chartStyle" Target="style109.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110.xml"/><Relationship Id="rId1" Type="http://schemas.microsoft.com/office/2011/relationships/chartStyle" Target="style110.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111.xml"/><Relationship Id="rId1" Type="http://schemas.microsoft.com/office/2011/relationships/chartStyle" Target="style111.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112.xml"/><Relationship Id="rId1" Type="http://schemas.microsoft.com/office/2011/relationships/chartStyle" Target="style112.xml"/></Relationships>
</file>

<file path=word/charts/_rels/chart115.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113.xml"/><Relationship Id="rId1" Type="http://schemas.microsoft.com/office/2011/relationships/chartStyle" Target="style113.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npign\Downloads\Merged%20Average%20Values%20for%20Ethnicity%20(1).xlsx" TargetMode="External"/><Relationship Id="rId2" Type="http://schemas.microsoft.com/office/2011/relationships/chartColorStyle" Target="colors114.xml"/><Relationship Id="rId1" Type="http://schemas.microsoft.com/office/2011/relationships/chartStyle" Target="style114.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npign\Downloads\Merged%20Average%20Values%20for%20Ethnicity%20(1).xlsx" TargetMode="External"/><Relationship Id="rId2" Type="http://schemas.microsoft.com/office/2011/relationships/chartColorStyle" Target="colors115.xml"/><Relationship Id="rId1" Type="http://schemas.microsoft.com/office/2011/relationships/chartStyle" Target="style115.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tsulukidze\Desktop\Housing%20RIA\Data%20For%20Causes\Construction%20Material%20Related%20Data\monthly_exchange_ratesgeo.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ariam.tsulukidze\Downloads\Average-monthly-earnings-of-employed-persons.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tsulukidze\Desktop\Housing%20RIA\Data%20For%20Causes\Housing%20and%20Rent%20Prices\Housing%20Stock,%20Prices.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tsulukidze\Desktop\Housing%20RIA\Data%20For%20Causes\Housing%20and%20Rent%20Prices\Housing%20Stock,%20Prices.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tsulukidze\Desktop\Housing%20RIA\Data%20For%20Causes\Housing%20and%20Rent%20Prices\Housing%20Stock,%20Prices.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m.tsulukidze\Desktop\Housing%20RIA\Data%20For%20Causes\Housing%20and%20Rent%20Prices\Housing%20Stock,%20Prices.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tsulukidze\Desktop\Housing%20RIA\Data%20For%20Causes\Housing%20and%20Rent%20Prices\Housing%20Stock,%20Prices.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m.tsulukidze\Desktop\Housing%20RIA\Data%20For%20Causes\Housing%20and%20Rent%20Prices\Housing%20Stock,%20Prices.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2" Type="http://schemas.openxmlformats.org/officeDocument/2006/relationships/oleObject" Target="file:///D:\Housing%20RIA\All%20graphs%20for%20analysis\All%20graphs%20&#4325;&#4304;&#4320;&#4311;&#4323;&#4314;&#4304;&#4307;.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tsulukidze\Desktop\Housing%20RIA\Data%20For%20Causes\Housing%20and%20Rent%20Prices\Housing%20Stock,%20Prices.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D:\Housing%20RIA\All%20graphs%20for%20analysis\All%20graphs.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Other\Downloads\All%20graph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Other\Downloads\All%20graphs.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Other\Downloads\All%20graphs.xlsx" TargetMode="External"/></Relationships>
</file>

<file path=word/charts/_rels/chart25.xml.rels><?xml version="1.0" encoding="UTF-8" standalone="yes"?>
<Relationships xmlns="http://schemas.openxmlformats.org/package/2006/relationships"><Relationship Id="rId3" Type="http://schemas.openxmlformats.org/officeDocument/2006/relationships/oleObject" Target="file:///D:\Housing%20RIA\All%20graphs%20for%20analysis\All%20graphs.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D:\Housing%20RIA\All%20graphs%20for%20analysis\All%20graphs.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D:\Housing%20RIA\graphs.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D:\Housing%20RIA\graphs.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D:\Housing%20RIA\graphs.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30.xml.rels><?xml version="1.0" encoding="UTF-8" standalone="yes"?>
<Relationships xmlns="http://schemas.openxmlformats.org/package/2006/relationships"><Relationship Id="rId3" Type="http://schemas.openxmlformats.org/officeDocument/2006/relationships/oleObject" Target="file:///D:\Housing%20RIA\graphs.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file:///D:\Housing%20RIA\utilites%20and%20adoption%20issues.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file:///D:\Housing%20RIA\All%20graphs%20for%20analysis\All%20graphs.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D:\Housing%20RIA\Data%20for%20homelessness%20and%20rooflessness\Children,woman,%20shshm.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file:///D:\Housing%20RIA\Data%20for%20homelessness%20and%20rooflessness\Children,woman,%20shshm.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D:\Housing%20RIA\graphs.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m.tsulukidze\Desktop\Final%20IHS%20data%20for%20housing\Ownership,%20unaffordable%20and%20doubleup%20.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m.tsulukidze\Desktop\Final%20IHS%20data%20for%20housing\Ownership,%20unaffordable%20and%20doubleup%20.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C:\Users\m.tsulukidze\Desktop\Final%20IHS%20data%20for%20housing\Ownership,%20unaffordable%20and%20doubleup%20.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tsulukidze\Desktop\Housing%20RIA\Data%20For%20Causes\Poverty%20and%20Inequality\Data.xlsx" TargetMode="External"/><Relationship Id="rId2" Type="http://schemas.microsoft.com/office/2011/relationships/chartColorStyle" Target="colors2.xml"/><Relationship Id="rId1" Type="http://schemas.microsoft.com/office/2011/relationships/chartStyle" Target="style2.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m.tsulukidze\Desktop\Final%20IHS%20data%20for%20housing\Ownership,%20unaffordable%20and%20doubleup%20.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m.tsulukidze\Desktop\Final%20IHS%20data%20for%20housing\Ownership,%20unaffordable%20and%20doubleup%20.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m.tsulukidze\Desktop\Final%20IHS%20data%20for%20housing\Ownership,%20unaffordable%20and%20doubleup%20.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m.tsulukidze\Desktop\Final%20IHS%20data%20for%20housing\Ownership,%20unaffordable%20and%20doubleup%20.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m.tsulukidze\Desktop\Final%20IHS%20data%20for%20housing\Ownership,%20unaffordable%20and%20doubleup%20.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m.tsulukidze\Desktop\Final%20IHS%20data%20for%20housing\Ownership,%20unaffordable%20and%20doubleup%20.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C:\Users\m.tsulukidze\Desktop\Final%20IHS%20data%20for%20housing\Ownership,%20unaffordable%20and%20doubleup%20.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C:\Users\m.tsulukidze\Desktop\Final%20IHS%20data%20for%20housing\Ownership,%20unaffordable%20and%20doubleup%20.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C:\Users\m.tsulukidze\Desktop\Final%20IHS%20data%20for%20housing\Ownership,%20unaffordable%20and%20doubleup%20.xlsx" TargetMode="External"/></Relationships>
</file>

<file path=word/charts/_rels/chart49.xml.rels><?xml version="1.0" encoding="UTF-8" standalone="yes"?>
<Relationships xmlns="http://schemas.openxmlformats.org/package/2006/relationships"><Relationship Id="rId3" Type="http://schemas.openxmlformats.org/officeDocument/2006/relationships/oleObject" Target="file:///C:\Users\m.tsulukidze\Desktop\Final%20IHS%20data%20for%20housing\Ownership,%20unaffordable%20and%20doubleup%20.xlsx" TargetMode="External"/><Relationship Id="rId2" Type="http://schemas.microsoft.com/office/2011/relationships/chartColorStyle" Target="colors47.xml"/><Relationship Id="rId1" Type="http://schemas.microsoft.com/office/2011/relationships/chartStyle" Target="style47.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tsulukidze\Desktop\Housing%20RIA\Data%20For%20Causes\Cost%20of%20Mortgage\lmreng.xlsx" TargetMode="External"/><Relationship Id="rId2" Type="http://schemas.microsoft.com/office/2011/relationships/chartColorStyle" Target="colors3.xml"/><Relationship Id="rId1" Type="http://schemas.microsoft.com/office/2011/relationships/chartStyle" Target="style3.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C:\Users\m.tsulukidze\Desktop\Final%20IHS%20data%20for%20housing\Unstable%20housing%20indicators%20and%20values%20final%20MM%20only%20interested%20variable%20percentages.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C:\Users\m.tsulukidze\Desktop\Final%20IHS%20data%20for%20housing\Unstable%20housing%20indicators%20and%20values%20final%20MM%20only%20interested%20variable%20percentages.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C:\Users\m.tsulukidze\Desktop\Final%20IHS%20data%20for%20housing\Unstable%20housing%20indicators%20and%20values%20final%20MM%20only%20interested%20variable%20percentages.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C:\Users\m.tsulukidze\Desktop\Final%20IHS%20data%20for%20housing\Unstable%20housing%20indicators%20and%20values%20final%20MM%20only%20interested%20variable%20percentages.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C:\Users\m.tsulukidze\Desktop\Final%20IHS%20data%20for%20housing\Unstable%20housing%20indicators%20and%20values%20final%20MM%20only%20interested%20variable%20percentages.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C:\Users\m.tsulukidze\Desktop\Final%20IHS%20data%20for%20housing\Unstable%20housing%20indicators%20and%20values%20final%20MM%20only%20interested%20variable%20percentages.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D:\Housing%20RIA\All%20graphs.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package" Target="../embeddings/Microsoft_Excel_Worksheet.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D:\Housing%20RIA\All%20graphs.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D:\Housing%20RIA\graphs.xlsx" TargetMode="External"/><Relationship Id="rId2" Type="http://schemas.microsoft.com/office/2011/relationships/chartColorStyle" Target="colors4.xml"/><Relationship Id="rId1" Type="http://schemas.microsoft.com/office/2011/relationships/chartStyle" Target="style4.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58.xml"/><Relationship Id="rId1" Type="http://schemas.microsoft.com/office/2011/relationships/chartStyle" Target="style58.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59.xml"/><Relationship Id="rId1" Type="http://schemas.microsoft.com/office/2011/relationships/chartStyle" Target="style59.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60.xml"/><Relationship Id="rId1" Type="http://schemas.microsoft.com/office/2011/relationships/chartStyle" Target="style60.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61.xml"/><Relationship Id="rId1" Type="http://schemas.microsoft.com/office/2011/relationships/chartStyle" Target="style61.xml"/></Relationships>
</file>

<file path=word/charts/_rels/chart64.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62.xml"/><Relationship Id="rId1" Type="http://schemas.microsoft.com/office/2011/relationships/chartStyle" Target="style62.xml"/></Relationships>
</file>

<file path=word/charts/_rels/chart65.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63.xml"/><Relationship Id="rId1" Type="http://schemas.microsoft.com/office/2011/relationships/chartStyle" Target="style63.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64.xml"/><Relationship Id="rId1" Type="http://schemas.microsoft.com/office/2011/relationships/chartStyle" Target="style64.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65.xml"/><Relationship Id="rId1" Type="http://schemas.microsoft.com/office/2011/relationships/chartStyle" Target="style65.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66.xml"/><Relationship Id="rId1" Type="http://schemas.microsoft.com/office/2011/relationships/chartStyle" Target="style66.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67.xml"/><Relationship Id="rId1" Type="http://schemas.microsoft.com/office/2011/relationships/chartStyle" Target="style67.xml"/></Relationships>
</file>

<file path=word/charts/_rels/chart7.xml.rels><?xml version="1.0" encoding="UTF-8" standalone="yes"?>
<Relationships xmlns="http://schemas.openxmlformats.org/package/2006/relationships"><Relationship Id="rId3" Type="http://schemas.openxmlformats.org/officeDocument/2006/relationships/oleObject" Target="file:///D:\Housing%20RIA\graphs.xlsx" TargetMode="External"/><Relationship Id="rId2" Type="http://schemas.microsoft.com/office/2011/relationships/chartColorStyle" Target="colors5.xml"/><Relationship Id="rId1" Type="http://schemas.microsoft.com/office/2011/relationships/chartStyle" Target="style5.xml"/></Relationships>
</file>

<file path=word/charts/_rels/chart70.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68.xml"/><Relationship Id="rId1" Type="http://schemas.microsoft.com/office/2011/relationships/chartStyle" Target="style68.xml"/></Relationships>
</file>

<file path=word/charts/_rels/chart71.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69.xml"/><Relationship Id="rId1" Type="http://schemas.microsoft.com/office/2011/relationships/chartStyle" Target="style69.xml"/></Relationships>
</file>

<file path=word/charts/_rels/chart72.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70.xml"/><Relationship Id="rId1" Type="http://schemas.microsoft.com/office/2011/relationships/chartStyle" Target="style70.xml"/></Relationships>
</file>

<file path=word/charts/_rels/chart73.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71.xml"/><Relationship Id="rId1" Type="http://schemas.microsoft.com/office/2011/relationships/chartStyle" Target="style71.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72.xml"/><Relationship Id="rId1" Type="http://schemas.microsoft.com/office/2011/relationships/chartStyle" Target="style72.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73.xml"/><Relationship Id="rId1" Type="http://schemas.microsoft.com/office/2011/relationships/chartStyle" Target="style73.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74.xml"/><Relationship Id="rId1" Type="http://schemas.microsoft.com/office/2011/relationships/chartStyle" Target="style74.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75.xml"/><Relationship Id="rId1" Type="http://schemas.microsoft.com/office/2011/relationships/chartStyle" Target="style75.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76.xml"/><Relationship Id="rId1" Type="http://schemas.microsoft.com/office/2011/relationships/chartStyle" Target="style76.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77.xml"/><Relationship Id="rId1" Type="http://schemas.microsoft.com/office/2011/relationships/chartStyle" Target="style7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tsulukidze\Desktop\Housing%20RIA\Data%20For%20Causes\Cost%20of%20Mortgage\lmreng.xlsx" TargetMode="External"/><Relationship Id="rId2" Type="http://schemas.microsoft.com/office/2011/relationships/chartColorStyle" Target="colors6.xml"/><Relationship Id="rId1" Type="http://schemas.microsoft.com/office/2011/relationships/chartStyle" Target="style6.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78.xml"/><Relationship Id="rId1" Type="http://schemas.microsoft.com/office/2011/relationships/chartStyle" Target="style78.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79.xml"/><Relationship Id="rId1" Type="http://schemas.microsoft.com/office/2011/relationships/chartStyle" Target="style79.xml"/></Relationships>
</file>

<file path=word/charts/_rels/chart82.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80.xml"/><Relationship Id="rId1" Type="http://schemas.microsoft.com/office/2011/relationships/chartStyle" Target="style80.xml"/></Relationships>
</file>

<file path=word/charts/_rels/chart83.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81.xml"/><Relationship Id="rId1" Type="http://schemas.microsoft.com/office/2011/relationships/chartStyle" Target="style81.xml"/></Relationships>
</file>

<file path=word/charts/_rels/chart84.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82.xml"/><Relationship Id="rId1" Type="http://schemas.microsoft.com/office/2011/relationships/chartStyle" Target="style82.xml"/></Relationships>
</file>

<file path=word/charts/_rels/chart85.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83.xml"/><Relationship Id="rId1" Type="http://schemas.microsoft.com/office/2011/relationships/chartStyle" Target="style83.xml"/></Relationships>
</file>

<file path=word/charts/_rels/chart86.xml.rels><?xml version="1.0" encoding="UTF-8" standalone="yes"?>
<Relationships xmlns="http://schemas.openxmlformats.org/package/2006/relationships"><Relationship Id="rId3" Type="http://schemas.openxmlformats.org/officeDocument/2006/relationships/oleObject" Target="file:///D:\Housing%20RIA\Merged%20Average%20Values%20for%20Ethnicity.xlsx" TargetMode="External"/><Relationship Id="rId2" Type="http://schemas.microsoft.com/office/2011/relationships/chartColorStyle" Target="colors84.xml"/><Relationship Id="rId1" Type="http://schemas.microsoft.com/office/2011/relationships/chartStyle" Target="style84.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85.xml"/><Relationship Id="rId1" Type="http://schemas.microsoft.com/office/2011/relationships/chartStyle" Target="style85.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86.xml"/><Relationship Id="rId1" Type="http://schemas.microsoft.com/office/2011/relationships/chartStyle" Target="style86.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87.xml"/><Relationship Id="rId1" Type="http://schemas.microsoft.com/office/2011/relationships/chartStyle" Target="style87.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npign\Downloads\Merged%20Average%20Values%20for%20Quartiles.xlsx" TargetMode="External"/><Relationship Id="rId2" Type="http://schemas.microsoft.com/office/2011/relationships/chartColorStyle" Target="colors88.xml"/><Relationship Id="rId1" Type="http://schemas.microsoft.com/office/2011/relationships/chartStyle" Target="style88.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89.xml"/><Relationship Id="rId1" Type="http://schemas.microsoft.com/office/2011/relationships/chartStyle" Target="style89.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90.xml"/><Relationship Id="rId1" Type="http://schemas.microsoft.com/office/2011/relationships/chartStyle" Target="style90.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91.xml"/><Relationship Id="rId1" Type="http://schemas.microsoft.com/office/2011/relationships/chartStyle" Target="style91.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92.xml"/><Relationship Id="rId1" Type="http://schemas.microsoft.com/office/2011/relationships/chartStyle" Target="style92.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93.xml"/><Relationship Id="rId1" Type="http://schemas.microsoft.com/office/2011/relationships/chartStyle" Target="style93.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94.xml"/><Relationship Id="rId1" Type="http://schemas.microsoft.com/office/2011/relationships/chartStyle" Target="style94.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95.xml"/><Relationship Id="rId1" Type="http://schemas.microsoft.com/office/2011/relationships/chartStyle" Target="style95.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npign\Downloads\Merged%20Average%20Values%20of%20Housing%20Exclusion%20Indicators.xlsx" TargetMode="External"/><Relationship Id="rId2" Type="http://schemas.microsoft.com/office/2011/relationships/chartColorStyle" Target="colors96.xml"/><Relationship Id="rId1" Type="http://schemas.microsoft.com/office/2011/relationships/chartStyle" Target="style96.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npign\Downloads\Merged%20Average%20Values%20for%20Ethnicity%20(1).xlsx" TargetMode="External"/><Relationship Id="rId2" Type="http://schemas.microsoft.com/office/2011/relationships/chartColorStyle" Target="colors97.xml"/><Relationship Id="rId1" Type="http://schemas.microsoft.com/office/2011/relationships/chartStyle" Target="style9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Sheet1!$F$32</c:f>
              <c:strCache>
                <c:ptCount val="1"/>
                <c:pt idx="0">
                  <c:v>Urban</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Sheet1!$E$33:$E$44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Sheet1!$F$33:$F$44</c:f>
              <c:numCache>
                <c:formatCode>General</c:formatCode>
                <c:ptCount val="12"/>
                <c:pt idx="0">
                  <c:v>393.40916353055991</c:v>
                </c:pt>
                <c:pt idx="1">
                  <c:v>509.2868183770774</c:v>
                </c:pt>
                <c:pt idx="2">
                  <c:v>573.2615937976243</c:v>
                </c:pt>
                <c:pt idx="3">
                  <c:v>626.91884835517624</c:v>
                </c:pt>
                <c:pt idx="4">
                  <c:v>634.20264993749822</c:v>
                </c:pt>
                <c:pt idx="5">
                  <c:v>723.55178962904745</c:v>
                </c:pt>
                <c:pt idx="6">
                  <c:v>851.98209989146198</c:v>
                </c:pt>
                <c:pt idx="7">
                  <c:v>949.11395259745075</c:v>
                </c:pt>
                <c:pt idx="8">
                  <c:v>1007.467193244561</c:v>
                </c:pt>
                <c:pt idx="9">
                  <c:v>1041.2459555396258</c:v>
                </c:pt>
                <c:pt idx="10">
                  <c:v>1056.5575319006732</c:v>
                </c:pt>
                <c:pt idx="11">
                  <c:v>1087.3448576206431</c:v>
                </c:pt>
              </c:numCache>
            </c:numRef>
          </c:val>
          <c:smooth val="0"/>
          <c:extLst>
            <c:ext xmlns:c16="http://schemas.microsoft.com/office/drawing/2014/chart" uri="{C3380CC4-5D6E-409C-BE32-E72D297353CC}">
              <c16:uniqueId val="{00000000-077E-44C4-BFC7-405CAF375EFA}"/>
            </c:ext>
          </c:extLst>
        </c:ser>
        <c:ser>
          <c:idx val="1"/>
          <c:order val="1"/>
          <c:tx>
            <c:strRef>
              <c:f>Sheet1!$G$32</c:f>
              <c:strCache>
                <c:ptCount val="1"/>
                <c:pt idx="0">
                  <c:v>Rural</c:v>
                </c:pt>
              </c:strCache>
            </c:strRef>
          </c:tx>
          <c:spPr>
            <a:ln w="28575" cap="rnd">
              <a:solidFill>
                <a:srgbClr val="ED7D31"/>
              </a:solidFill>
              <a:round/>
            </a:ln>
            <a:effectLst/>
          </c:spPr>
          <c:marker>
            <c:symbol val="circle"/>
            <c:size val="5"/>
            <c:spPr>
              <a:solidFill>
                <a:srgbClr val="ED7D31"/>
              </a:solidFill>
              <a:ln w="9525">
                <a:solidFill>
                  <a:srgbClr val="ED7D31"/>
                </a:solidFill>
              </a:ln>
              <a:effectLst/>
            </c:spPr>
          </c:marker>
          <c:cat>
            <c:numRef>
              <c:f>Sheet1!$E$33:$E$44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Sheet1!$G$33:$G$44</c:f>
              <c:numCache>
                <c:formatCode>0.0</c:formatCode>
                <c:ptCount val="12"/>
                <c:pt idx="0">
                  <c:v>343.10852800484264</c:v>
                </c:pt>
                <c:pt idx="1">
                  <c:v>417.55991764929166</c:v>
                </c:pt>
                <c:pt idx="2">
                  <c:v>446.53794228289985</c:v>
                </c:pt>
                <c:pt idx="3">
                  <c:v>492.0591131168153</c:v>
                </c:pt>
                <c:pt idx="4">
                  <c:v>566.2380022817631</c:v>
                </c:pt>
                <c:pt idx="5">
                  <c:v>615.58075139286314</c:v>
                </c:pt>
                <c:pt idx="6">
                  <c:v>683.81626435320322</c:v>
                </c:pt>
                <c:pt idx="7">
                  <c:v>758.81589088247449</c:v>
                </c:pt>
                <c:pt idx="8">
                  <c:v>780.56732484873407</c:v>
                </c:pt>
                <c:pt idx="9">
                  <c:v>805.24451446132605</c:v>
                </c:pt>
                <c:pt idx="10">
                  <c:v>809.3862040634649</c:v>
                </c:pt>
                <c:pt idx="11">
                  <c:v>880.30331190767731</c:v>
                </c:pt>
              </c:numCache>
            </c:numRef>
          </c:val>
          <c:smooth val="0"/>
          <c:extLst>
            <c:ext xmlns:c16="http://schemas.microsoft.com/office/drawing/2014/chart" uri="{C3380CC4-5D6E-409C-BE32-E72D297353CC}">
              <c16:uniqueId val="{00000001-077E-44C4-BFC7-405CAF375EFA}"/>
            </c:ext>
          </c:extLst>
        </c:ser>
        <c:dLbls>
          <c:showLegendKey val="0"/>
          <c:showVal val="0"/>
          <c:showCatName val="0"/>
          <c:showSerName val="0"/>
          <c:showPercent val="0"/>
          <c:showBubbleSize val="0"/>
        </c:dLbls>
        <c:marker val="1"/>
        <c:smooth val="0"/>
        <c:axId val="1804773664"/>
        <c:axId val="1804780192"/>
      </c:lineChart>
      <c:catAx>
        <c:axId val="18047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804780192"/>
        <c:crosses val="autoZero"/>
        <c:auto val="1"/>
        <c:lblAlgn val="ctr"/>
        <c:lblOffset val="100"/>
        <c:noMultiLvlLbl val="0"/>
      </c:catAx>
      <c:valAx>
        <c:axId val="1804780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80477366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multiLvlStrRef>
              <c:f>Sheet1!$B$3:$EC$4</c:f>
              <c:multiLvlStrCache>
                <c:ptCount val="132"/>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pt idx="24">
                    <c:v>I</c:v>
                  </c:pt>
                  <c:pt idx="25">
                    <c:v>II</c:v>
                  </c:pt>
                  <c:pt idx="26">
                    <c:v>III</c:v>
                  </c:pt>
                  <c:pt idx="27">
                    <c:v>IV</c:v>
                  </c:pt>
                  <c:pt idx="28">
                    <c:v>V</c:v>
                  </c:pt>
                  <c:pt idx="29">
                    <c:v>VI</c:v>
                  </c:pt>
                  <c:pt idx="30">
                    <c:v>VII</c:v>
                  </c:pt>
                  <c:pt idx="31">
                    <c:v>VIII</c:v>
                  </c:pt>
                  <c:pt idx="32">
                    <c:v>IX</c:v>
                  </c:pt>
                  <c:pt idx="33">
                    <c:v>X</c:v>
                  </c:pt>
                  <c:pt idx="34">
                    <c:v>XI</c:v>
                  </c:pt>
                  <c:pt idx="35">
                    <c:v>XII</c:v>
                  </c:pt>
                  <c:pt idx="36">
                    <c:v>I</c:v>
                  </c:pt>
                  <c:pt idx="37">
                    <c:v>II</c:v>
                  </c:pt>
                  <c:pt idx="38">
                    <c:v>III</c:v>
                  </c:pt>
                  <c:pt idx="39">
                    <c:v>IV</c:v>
                  </c:pt>
                  <c:pt idx="40">
                    <c:v>V</c:v>
                  </c:pt>
                  <c:pt idx="41">
                    <c:v>VI</c:v>
                  </c:pt>
                  <c:pt idx="42">
                    <c:v>VII</c:v>
                  </c:pt>
                  <c:pt idx="43">
                    <c:v>VIII</c:v>
                  </c:pt>
                  <c:pt idx="44">
                    <c:v>IX</c:v>
                  </c:pt>
                  <c:pt idx="45">
                    <c:v>X</c:v>
                  </c:pt>
                  <c:pt idx="46">
                    <c:v>XI</c:v>
                  </c:pt>
                  <c:pt idx="47">
                    <c:v>XII</c:v>
                  </c:pt>
                  <c:pt idx="48">
                    <c:v>I</c:v>
                  </c:pt>
                  <c:pt idx="49">
                    <c:v>II</c:v>
                  </c:pt>
                  <c:pt idx="50">
                    <c:v>III</c:v>
                  </c:pt>
                  <c:pt idx="51">
                    <c:v>IV</c:v>
                  </c:pt>
                  <c:pt idx="52">
                    <c:v>V</c:v>
                  </c:pt>
                  <c:pt idx="53">
                    <c:v>VI</c:v>
                  </c:pt>
                  <c:pt idx="54">
                    <c:v>VII</c:v>
                  </c:pt>
                  <c:pt idx="55">
                    <c:v>VIII</c:v>
                  </c:pt>
                  <c:pt idx="56">
                    <c:v>IX</c:v>
                  </c:pt>
                  <c:pt idx="57">
                    <c:v>X</c:v>
                  </c:pt>
                  <c:pt idx="58">
                    <c:v>XI</c:v>
                  </c:pt>
                  <c:pt idx="59">
                    <c:v>XII</c:v>
                  </c:pt>
                  <c:pt idx="60">
                    <c:v>I</c:v>
                  </c:pt>
                  <c:pt idx="61">
                    <c:v>II</c:v>
                  </c:pt>
                  <c:pt idx="62">
                    <c:v>III</c:v>
                  </c:pt>
                  <c:pt idx="63">
                    <c:v>IV</c:v>
                  </c:pt>
                  <c:pt idx="64">
                    <c:v>V</c:v>
                  </c:pt>
                  <c:pt idx="65">
                    <c:v>VI</c:v>
                  </c:pt>
                  <c:pt idx="66">
                    <c:v>VII</c:v>
                  </c:pt>
                  <c:pt idx="67">
                    <c:v>VIII</c:v>
                  </c:pt>
                  <c:pt idx="68">
                    <c:v>IX</c:v>
                  </c:pt>
                  <c:pt idx="69">
                    <c:v>X</c:v>
                  </c:pt>
                  <c:pt idx="70">
                    <c:v>XI</c:v>
                  </c:pt>
                  <c:pt idx="71">
                    <c:v>XII</c:v>
                  </c:pt>
                  <c:pt idx="72">
                    <c:v>I</c:v>
                  </c:pt>
                  <c:pt idx="73">
                    <c:v>II</c:v>
                  </c:pt>
                  <c:pt idx="74">
                    <c:v>III</c:v>
                  </c:pt>
                  <c:pt idx="75">
                    <c:v>IV</c:v>
                  </c:pt>
                  <c:pt idx="76">
                    <c:v>V</c:v>
                  </c:pt>
                  <c:pt idx="77">
                    <c:v>VI</c:v>
                  </c:pt>
                  <c:pt idx="78">
                    <c:v>VII</c:v>
                  </c:pt>
                  <c:pt idx="79">
                    <c:v>VIII</c:v>
                  </c:pt>
                  <c:pt idx="80">
                    <c:v>IX</c:v>
                  </c:pt>
                  <c:pt idx="81">
                    <c:v>X</c:v>
                  </c:pt>
                  <c:pt idx="82">
                    <c:v>XI</c:v>
                  </c:pt>
                  <c:pt idx="83">
                    <c:v>XII</c:v>
                  </c:pt>
                  <c:pt idx="84">
                    <c:v>I</c:v>
                  </c:pt>
                  <c:pt idx="85">
                    <c:v>II</c:v>
                  </c:pt>
                  <c:pt idx="86">
                    <c:v>III</c:v>
                  </c:pt>
                  <c:pt idx="87">
                    <c:v>IV</c:v>
                  </c:pt>
                  <c:pt idx="88">
                    <c:v>V</c:v>
                  </c:pt>
                  <c:pt idx="89">
                    <c:v>VI</c:v>
                  </c:pt>
                  <c:pt idx="90">
                    <c:v>VII</c:v>
                  </c:pt>
                  <c:pt idx="91">
                    <c:v>VIII</c:v>
                  </c:pt>
                  <c:pt idx="92">
                    <c:v>IX</c:v>
                  </c:pt>
                  <c:pt idx="93">
                    <c:v>X</c:v>
                  </c:pt>
                  <c:pt idx="94">
                    <c:v>XI</c:v>
                  </c:pt>
                  <c:pt idx="95">
                    <c:v>XII</c:v>
                  </c:pt>
                  <c:pt idx="96">
                    <c:v>I</c:v>
                  </c:pt>
                  <c:pt idx="97">
                    <c:v>II</c:v>
                  </c:pt>
                  <c:pt idx="98">
                    <c:v>III</c:v>
                  </c:pt>
                  <c:pt idx="99">
                    <c:v>IV</c:v>
                  </c:pt>
                  <c:pt idx="100">
                    <c:v>V</c:v>
                  </c:pt>
                  <c:pt idx="101">
                    <c:v>VI</c:v>
                  </c:pt>
                  <c:pt idx="102">
                    <c:v>VII</c:v>
                  </c:pt>
                  <c:pt idx="103">
                    <c:v>VIII</c:v>
                  </c:pt>
                  <c:pt idx="104">
                    <c:v>IX</c:v>
                  </c:pt>
                  <c:pt idx="105">
                    <c:v>X</c:v>
                  </c:pt>
                  <c:pt idx="106">
                    <c:v>XI</c:v>
                  </c:pt>
                  <c:pt idx="107">
                    <c:v>XII</c:v>
                  </c:pt>
                  <c:pt idx="108">
                    <c:v>I</c:v>
                  </c:pt>
                  <c:pt idx="109">
                    <c:v>II</c:v>
                  </c:pt>
                  <c:pt idx="110">
                    <c:v>III</c:v>
                  </c:pt>
                  <c:pt idx="111">
                    <c:v>IV</c:v>
                  </c:pt>
                  <c:pt idx="112">
                    <c:v>V</c:v>
                  </c:pt>
                  <c:pt idx="113">
                    <c:v>VI</c:v>
                  </c:pt>
                  <c:pt idx="114">
                    <c:v>VII</c:v>
                  </c:pt>
                  <c:pt idx="115">
                    <c:v>VIII</c:v>
                  </c:pt>
                  <c:pt idx="116">
                    <c:v>IX</c:v>
                  </c:pt>
                  <c:pt idx="117">
                    <c:v>X</c:v>
                  </c:pt>
                  <c:pt idx="118">
                    <c:v>XI</c:v>
                  </c:pt>
                  <c:pt idx="119">
                    <c:v>XII</c:v>
                  </c:pt>
                  <c:pt idx="120">
                    <c:v>I</c:v>
                  </c:pt>
                  <c:pt idx="121">
                    <c:v>II</c:v>
                  </c:pt>
                  <c:pt idx="122">
                    <c:v>III</c:v>
                  </c:pt>
                  <c:pt idx="123">
                    <c:v>IV</c:v>
                  </c:pt>
                  <c:pt idx="124">
                    <c:v>V</c:v>
                  </c:pt>
                  <c:pt idx="125">
                    <c:v>VI</c:v>
                  </c:pt>
                  <c:pt idx="126">
                    <c:v>VII</c:v>
                  </c:pt>
                  <c:pt idx="127">
                    <c:v>VIII</c:v>
                  </c:pt>
                  <c:pt idx="128">
                    <c:v>IX</c:v>
                  </c:pt>
                  <c:pt idx="129">
                    <c:v>X</c:v>
                  </c:pt>
                  <c:pt idx="130">
                    <c:v>XI</c:v>
                  </c:pt>
                  <c:pt idx="131">
                    <c:v>XII</c:v>
                  </c:pt>
                </c:lvl>
                <c:lvl>
                  <c:pt idx="0">
                    <c:v>2008</c:v>
                  </c:pt>
                  <c:pt idx="12">
                    <c:v>2009</c:v>
                  </c:pt>
                  <c:pt idx="24">
                    <c:v>2010</c:v>
                  </c:pt>
                  <c:pt idx="36">
                    <c:v>2011</c:v>
                  </c:pt>
                  <c:pt idx="48">
                    <c:v>2012</c:v>
                  </c:pt>
                  <c:pt idx="60">
                    <c:v>2013</c:v>
                  </c:pt>
                  <c:pt idx="72">
                    <c:v>2014</c:v>
                  </c:pt>
                  <c:pt idx="84">
                    <c:v>2015</c:v>
                  </c:pt>
                  <c:pt idx="96">
                    <c:v>2016</c:v>
                  </c:pt>
                  <c:pt idx="108">
                    <c:v>2017</c:v>
                  </c:pt>
                  <c:pt idx="120">
                    <c:v>2018</c:v>
                  </c:pt>
                </c:lvl>
              </c:multiLvlStrCache>
            </c:multiLvlStrRef>
          </c:cat>
          <c:val>
            <c:numRef>
              <c:f>Sheet1!$B$5:$EC$5</c:f>
              <c:numCache>
                <c:formatCode>#,##0.0</c:formatCode>
                <c:ptCount val="132"/>
                <c:pt idx="0">
                  <c:v>91.892200000000003</c:v>
                </c:pt>
                <c:pt idx="1">
                  <c:v>93.534700000000001</c:v>
                </c:pt>
                <c:pt idx="2">
                  <c:v>95.899299999999997</c:v>
                </c:pt>
                <c:pt idx="3">
                  <c:v>100.92619999999999</c:v>
                </c:pt>
                <c:pt idx="4">
                  <c:v>106.2419</c:v>
                </c:pt>
                <c:pt idx="5">
                  <c:v>109.5992</c:v>
                </c:pt>
                <c:pt idx="6">
                  <c:v>112.081</c:v>
                </c:pt>
                <c:pt idx="7">
                  <c:v>114.229</c:v>
                </c:pt>
                <c:pt idx="8">
                  <c:v>114.9058</c:v>
                </c:pt>
                <c:pt idx="9">
                  <c:v>112.09910000000001</c:v>
                </c:pt>
                <c:pt idx="10">
                  <c:v>111.8283</c:v>
                </c:pt>
                <c:pt idx="11">
                  <c:v>109.78870000000001</c:v>
                </c:pt>
                <c:pt idx="12">
                  <c:v>106.71120000000001</c:v>
                </c:pt>
                <c:pt idx="13">
                  <c:v>105.2311</c:v>
                </c:pt>
                <c:pt idx="14">
                  <c:v>104.3557</c:v>
                </c:pt>
                <c:pt idx="15">
                  <c:v>100.7818</c:v>
                </c:pt>
                <c:pt idx="16">
                  <c:v>99.798100000000005</c:v>
                </c:pt>
                <c:pt idx="17">
                  <c:v>99.094099999999997</c:v>
                </c:pt>
                <c:pt idx="18">
                  <c:v>95.890199999999993</c:v>
                </c:pt>
                <c:pt idx="19">
                  <c:v>96.476900000000001</c:v>
                </c:pt>
                <c:pt idx="20">
                  <c:v>96.350499999999997</c:v>
                </c:pt>
                <c:pt idx="21">
                  <c:v>96.513000000000005</c:v>
                </c:pt>
                <c:pt idx="22">
                  <c:v>97.307199999999995</c:v>
                </c:pt>
                <c:pt idx="23">
                  <c:v>96.964200000000005</c:v>
                </c:pt>
                <c:pt idx="24">
                  <c:v>97.6721</c:v>
                </c:pt>
                <c:pt idx="25">
                  <c:v>97.769000000000005</c:v>
                </c:pt>
                <c:pt idx="26">
                  <c:v>98.292599999999993</c:v>
                </c:pt>
                <c:pt idx="27">
                  <c:v>98.632000000000005</c:v>
                </c:pt>
                <c:pt idx="28">
                  <c:v>100.73609999999999</c:v>
                </c:pt>
                <c:pt idx="29">
                  <c:v>100.7458</c:v>
                </c:pt>
                <c:pt idx="30">
                  <c:v>100.5519</c:v>
                </c:pt>
                <c:pt idx="31">
                  <c:v>99.310699999999997</c:v>
                </c:pt>
                <c:pt idx="32">
                  <c:v>102.2197</c:v>
                </c:pt>
                <c:pt idx="33">
                  <c:v>101.5894</c:v>
                </c:pt>
                <c:pt idx="34">
                  <c:v>101.07550000000001</c:v>
                </c:pt>
                <c:pt idx="35">
                  <c:v>101.40519999999999</c:v>
                </c:pt>
                <c:pt idx="36">
                  <c:v>101.88030000000001</c:v>
                </c:pt>
                <c:pt idx="37">
                  <c:v>101.4924</c:v>
                </c:pt>
                <c:pt idx="38">
                  <c:v>102.3942</c:v>
                </c:pt>
                <c:pt idx="39">
                  <c:v>102.5009</c:v>
                </c:pt>
                <c:pt idx="40">
                  <c:v>102.6754</c:v>
                </c:pt>
                <c:pt idx="41">
                  <c:v>102.6948</c:v>
                </c:pt>
                <c:pt idx="42">
                  <c:v>103.0827</c:v>
                </c:pt>
                <c:pt idx="43">
                  <c:v>103.20869999999999</c:v>
                </c:pt>
                <c:pt idx="44">
                  <c:v>103.20869999999999</c:v>
                </c:pt>
                <c:pt idx="45">
                  <c:v>103.9456</c:v>
                </c:pt>
                <c:pt idx="46">
                  <c:v>104.81829999999999</c:v>
                </c:pt>
                <c:pt idx="47">
                  <c:v>104.6341</c:v>
                </c:pt>
                <c:pt idx="48">
                  <c:v>104.5763</c:v>
                </c:pt>
                <c:pt idx="49">
                  <c:v>105.5355</c:v>
                </c:pt>
                <c:pt idx="50">
                  <c:v>105.0921</c:v>
                </c:pt>
                <c:pt idx="51">
                  <c:v>104.98350000000001</c:v>
                </c:pt>
                <c:pt idx="52">
                  <c:v>106.0467</c:v>
                </c:pt>
                <c:pt idx="53">
                  <c:v>105.9365</c:v>
                </c:pt>
                <c:pt idx="54">
                  <c:v>105.39960000000001</c:v>
                </c:pt>
                <c:pt idx="55">
                  <c:v>105.24809999999999</c:v>
                </c:pt>
                <c:pt idx="56">
                  <c:v>105.0459</c:v>
                </c:pt>
                <c:pt idx="57">
                  <c:v>103.6893</c:v>
                </c:pt>
                <c:pt idx="58">
                  <c:v>103.4731</c:v>
                </c:pt>
                <c:pt idx="59">
                  <c:v>103.6225</c:v>
                </c:pt>
                <c:pt idx="60">
                  <c:v>103.4944</c:v>
                </c:pt>
                <c:pt idx="61">
                  <c:v>102.71250000000001</c:v>
                </c:pt>
                <c:pt idx="62">
                  <c:v>101.7478</c:v>
                </c:pt>
                <c:pt idx="63">
                  <c:v>101.77809999999999</c:v>
                </c:pt>
                <c:pt idx="64">
                  <c:v>101.2255</c:v>
                </c:pt>
                <c:pt idx="65">
                  <c:v>100.8599</c:v>
                </c:pt>
                <c:pt idx="66">
                  <c:v>101.039</c:v>
                </c:pt>
                <c:pt idx="67">
                  <c:v>100.6207</c:v>
                </c:pt>
                <c:pt idx="68">
                  <c:v>101.0609</c:v>
                </c:pt>
                <c:pt idx="69">
                  <c:v>100.6921</c:v>
                </c:pt>
                <c:pt idx="70">
                  <c:v>100.93</c:v>
                </c:pt>
                <c:pt idx="71">
                  <c:v>100.98480000000001</c:v>
                </c:pt>
                <c:pt idx="72">
                  <c:v>101.4735</c:v>
                </c:pt>
                <c:pt idx="73">
                  <c:v>100.6315</c:v>
                </c:pt>
                <c:pt idx="74">
                  <c:v>101.9101</c:v>
                </c:pt>
                <c:pt idx="75">
                  <c:v>103.4194</c:v>
                </c:pt>
                <c:pt idx="76">
                  <c:v>102.3186</c:v>
                </c:pt>
                <c:pt idx="77">
                  <c:v>102.1405</c:v>
                </c:pt>
                <c:pt idx="78">
                  <c:v>102.7051</c:v>
                </c:pt>
                <c:pt idx="79">
                  <c:v>101.7795</c:v>
                </c:pt>
                <c:pt idx="80">
                  <c:v>101.8927</c:v>
                </c:pt>
                <c:pt idx="81">
                  <c:v>101.6202</c:v>
                </c:pt>
                <c:pt idx="82">
                  <c:v>101.5166</c:v>
                </c:pt>
                <c:pt idx="83">
                  <c:v>101.75839999999999</c:v>
                </c:pt>
                <c:pt idx="84">
                  <c:v>101.6026</c:v>
                </c:pt>
                <c:pt idx="85">
                  <c:v>100.91679999999999</c:v>
                </c:pt>
                <c:pt idx="86">
                  <c:v>100.679</c:v>
                </c:pt>
                <c:pt idx="87">
                  <c:v>101.1332</c:v>
                </c:pt>
                <c:pt idx="88">
                  <c:v>101.06189999999999</c:v>
                </c:pt>
                <c:pt idx="89">
                  <c:v>102.4426</c:v>
                </c:pt>
                <c:pt idx="90">
                  <c:v>102.49939999999999</c:v>
                </c:pt>
                <c:pt idx="91">
                  <c:v>102.95780000000001</c:v>
                </c:pt>
                <c:pt idx="92">
                  <c:v>104.6532</c:v>
                </c:pt>
                <c:pt idx="93">
                  <c:v>104.5402</c:v>
                </c:pt>
                <c:pt idx="94">
                  <c:v>104.6208</c:v>
                </c:pt>
                <c:pt idx="95">
                  <c:v>103.88679999999999</c:v>
                </c:pt>
                <c:pt idx="96">
                  <c:v>102.17400000000001</c:v>
                </c:pt>
                <c:pt idx="97">
                  <c:v>101.2377</c:v>
                </c:pt>
                <c:pt idx="98">
                  <c:v>101.00539999999999</c:v>
                </c:pt>
                <c:pt idx="99">
                  <c:v>100.7321</c:v>
                </c:pt>
                <c:pt idx="100">
                  <c:v>102.241</c:v>
                </c:pt>
                <c:pt idx="101">
                  <c:v>102.50790000000001</c:v>
                </c:pt>
                <c:pt idx="102">
                  <c:v>102.6292</c:v>
                </c:pt>
                <c:pt idx="103">
                  <c:v>103.28789999999999</c:v>
                </c:pt>
                <c:pt idx="104">
                  <c:v>103.0197</c:v>
                </c:pt>
                <c:pt idx="105">
                  <c:v>103.0324</c:v>
                </c:pt>
                <c:pt idx="106">
                  <c:v>105.67610000000001</c:v>
                </c:pt>
                <c:pt idx="107">
                  <c:v>106.8185</c:v>
                </c:pt>
                <c:pt idx="108">
                  <c:v>109.0201</c:v>
                </c:pt>
                <c:pt idx="109">
                  <c:v>110.1217</c:v>
                </c:pt>
                <c:pt idx="110">
                  <c:v>108.7063</c:v>
                </c:pt>
                <c:pt idx="111">
                  <c:v>108.4914</c:v>
                </c:pt>
                <c:pt idx="112">
                  <c:v>108.5538</c:v>
                </c:pt>
                <c:pt idx="113">
                  <c:v>108.48009999999999</c:v>
                </c:pt>
                <c:pt idx="114">
                  <c:v>109.3389</c:v>
                </c:pt>
                <c:pt idx="115">
                  <c:v>110.8663</c:v>
                </c:pt>
                <c:pt idx="116">
                  <c:v>112.2864</c:v>
                </c:pt>
                <c:pt idx="117">
                  <c:v>113.7389</c:v>
                </c:pt>
                <c:pt idx="118">
                  <c:v>114.4042</c:v>
                </c:pt>
                <c:pt idx="119">
                  <c:v>116.04</c:v>
                </c:pt>
                <c:pt idx="120">
                  <c:v>116.36499999999999</c:v>
                </c:pt>
                <c:pt idx="121">
                  <c:v>116.0461</c:v>
                </c:pt>
                <c:pt idx="122">
                  <c:v>115.0407</c:v>
                </c:pt>
                <c:pt idx="123">
                  <c:v>115.7111</c:v>
                </c:pt>
                <c:pt idx="124">
                  <c:v>115.5616</c:v>
                </c:pt>
                <c:pt idx="125">
                  <c:v>115.66370000000001</c:v>
                </c:pt>
                <c:pt idx="126">
                  <c:v>115.511</c:v>
                </c:pt>
                <c:pt idx="127">
                  <c:v>117.73650000000001</c:v>
                </c:pt>
                <c:pt idx="128">
                  <c:v>118.51519999999999</c:v>
                </c:pt>
                <c:pt idx="129">
                  <c:v>123.63809999999999</c:v>
                </c:pt>
                <c:pt idx="130">
                  <c:v>125.6981</c:v>
                </c:pt>
                <c:pt idx="131">
                  <c:v>125.6379</c:v>
                </c:pt>
              </c:numCache>
            </c:numRef>
          </c:val>
          <c:smooth val="0"/>
          <c:extLst>
            <c:ext xmlns:c16="http://schemas.microsoft.com/office/drawing/2014/chart" uri="{C3380CC4-5D6E-409C-BE32-E72D297353CC}">
              <c16:uniqueId val="{00000000-5722-4155-A4ED-A6A75540C1A8}"/>
            </c:ext>
          </c:extLst>
        </c:ser>
        <c:dLbls>
          <c:showLegendKey val="0"/>
          <c:showVal val="0"/>
          <c:showCatName val="0"/>
          <c:showSerName val="0"/>
          <c:showPercent val="0"/>
          <c:showBubbleSize val="0"/>
        </c:dLbls>
        <c:smooth val="0"/>
        <c:axId val="1804792704"/>
        <c:axId val="1804793248"/>
      </c:lineChart>
      <c:catAx>
        <c:axId val="180479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93248"/>
        <c:crosses val="autoZero"/>
        <c:auto val="1"/>
        <c:lblAlgn val="ctr"/>
        <c:lblOffset val="100"/>
        <c:noMultiLvlLbl val="0"/>
      </c:catAx>
      <c:valAx>
        <c:axId val="180479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9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Unaffordablerent1!$P$3</c:f>
              <c:strCache>
                <c:ptCount val="1"/>
                <c:pt idx="0">
                  <c:v>Georgian families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Unaffordablerent1!$Q$3:$AB$3</c:f>
              <c:numCache>
                <c:formatCode>0.00%</c:formatCode>
                <c:ptCount val="12"/>
                <c:pt idx="0">
                  <c:v>5.6459453832596984E-2</c:v>
                </c:pt>
                <c:pt idx="1">
                  <c:v>5.0538961849102892E-2</c:v>
                </c:pt>
                <c:pt idx="2">
                  <c:v>5.6191080008389252E-2</c:v>
                </c:pt>
                <c:pt idx="3">
                  <c:v>4.4748737612696148E-2</c:v>
                </c:pt>
                <c:pt idx="4">
                  <c:v>2.9451605061554614E-2</c:v>
                </c:pt>
                <c:pt idx="5">
                  <c:v>2.2668536394209345E-2</c:v>
                </c:pt>
                <c:pt idx="6">
                  <c:v>1.9621292485503757E-2</c:v>
                </c:pt>
                <c:pt idx="7">
                  <c:v>1.4629613814285153E-2</c:v>
                </c:pt>
                <c:pt idx="8">
                  <c:v>1.5972214091208539E-2</c:v>
                </c:pt>
                <c:pt idx="9">
                  <c:v>1.6108531697669404E-2</c:v>
                </c:pt>
                <c:pt idx="10">
                  <c:v>7.8486749890065738E-2</c:v>
                </c:pt>
                <c:pt idx="11">
                  <c:v>6.4899171998143393E-2</c:v>
                </c:pt>
              </c:numCache>
            </c:numRef>
          </c:val>
          <c:smooth val="0"/>
          <c:extLst>
            <c:ext xmlns:c16="http://schemas.microsoft.com/office/drawing/2014/chart" uri="{C3380CC4-5D6E-409C-BE32-E72D297353CC}">
              <c16:uniqueId val="{00000000-4E11-4DF9-A2EC-FA38623B37E7}"/>
            </c:ext>
          </c:extLst>
        </c:ser>
        <c:ser>
          <c:idx val="1"/>
          <c:order val="1"/>
          <c:tx>
            <c:strRef>
              <c:f>Unaffordablerent1!$P$4</c:f>
              <c:strCache>
                <c:ptCount val="1"/>
                <c:pt idx="0">
                  <c:v>Non-Georgian families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Unaffordablerent1!$Q$4:$AB$4</c:f>
              <c:numCache>
                <c:formatCode>0.0%</c:formatCode>
                <c:ptCount val="12"/>
                <c:pt idx="0">
                  <c:v>1.2871313420433324E-2</c:v>
                </c:pt>
                <c:pt idx="1">
                  <c:v>1.4004063365925707E-2</c:v>
                </c:pt>
                <c:pt idx="2">
                  <c:v>2.4327638478793712E-2</c:v>
                </c:pt>
                <c:pt idx="3">
                  <c:v>2.8771204429618787E-2</c:v>
                </c:pt>
                <c:pt idx="4">
                  <c:v>1.0479876071650452E-2</c:v>
                </c:pt>
                <c:pt idx="5">
                  <c:v>1.6604526425954998E-2</c:v>
                </c:pt>
                <c:pt idx="6">
                  <c:v>9.8039215686274508E-4</c:v>
                </c:pt>
                <c:pt idx="7">
                  <c:v>9.025270758122744E-4</c:v>
                </c:pt>
                <c:pt idx="8">
                  <c:v>9.0132559169752643E-3</c:v>
                </c:pt>
                <c:pt idx="9">
                  <c:v>5.8828377086733745E-3</c:v>
                </c:pt>
                <c:pt idx="10">
                  <c:v>3.0077186459685802E-2</c:v>
                </c:pt>
                <c:pt idx="11">
                  <c:v>1.0982622396776715E-2</c:v>
                </c:pt>
              </c:numCache>
            </c:numRef>
          </c:val>
          <c:smooth val="0"/>
          <c:extLst>
            <c:ext xmlns:c16="http://schemas.microsoft.com/office/drawing/2014/chart" uri="{C3380CC4-5D6E-409C-BE32-E72D297353CC}">
              <c16:uniqueId val="{00000001-4E11-4DF9-A2EC-FA38623B37E7}"/>
            </c:ext>
          </c:extLst>
        </c:ser>
        <c:ser>
          <c:idx val="2"/>
          <c:order val="2"/>
          <c:tx>
            <c:strRef>
              <c:f>Unaffordablerent1!$P$5</c:f>
              <c:strCache>
                <c:ptCount val="1"/>
                <c:pt idx="0">
                  <c:v>Mixed families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Unaffordablerent1!$Q$5:$AB$5</c:f>
              <c:numCache>
                <c:formatCode>0.0%</c:formatCode>
                <c:ptCount val="12"/>
                <c:pt idx="0">
                  <c:v>2.7777777777777776E-2</c:v>
                </c:pt>
                <c:pt idx="1">
                  <c:v>5.6913293923891509E-2</c:v>
                </c:pt>
                <c:pt idx="2">
                  <c:v>3.7119955776672195E-2</c:v>
                </c:pt>
                <c:pt idx="3">
                  <c:v>2.1682597961655586E-2</c:v>
                </c:pt>
                <c:pt idx="4">
                  <c:v>2.0955882352941178E-2</c:v>
                </c:pt>
                <c:pt idx="5">
                  <c:v>3.3651960784313734E-2</c:v>
                </c:pt>
                <c:pt idx="6">
                  <c:v>5.0000000000000001E-3</c:v>
                </c:pt>
                <c:pt idx="7">
                  <c:v>0</c:v>
                </c:pt>
                <c:pt idx="8">
                  <c:v>0</c:v>
                </c:pt>
                <c:pt idx="9">
                  <c:v>2.6578947368421053E-2</c:v>
                </c:pt>
                <c:pt idx="10">
                  <c:v>9.2740676170370892E-2</c:v>
                </c:pt>
                <c:pt idx="11">
                  <c:v>0.11645715395715396</c:v>
                </c:pt>
              </c:numCache>
            </c:numRef>
          </c:val>
          <c:smooth val="0"/>
          <c:extLst>
            <c:ext xmlns:c16="http://schemas.microsoft.com/office/drawing/2014/chart" uri="{C3380CC4-5D6E-409C-BE32-E72D297353CC}">
              <c16:uniqueId val="{00000002-4E11-4DF9-A2EC-FA38623B37E7}"/>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Unaffordableexp1!$A$3</c:f>
              <c:strCache>
                <c:ptCount val="1"/>
                <c:pt idx="0">
                  <c:v>Georgian families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Unaffordableexp1!$B$3:$M$3</c:f>
              <c:numCache>
                <c:formatCode>0.0%</c:formatCode>
                <c:ptCount val="12"/>
                <c:pt idx="0">
                  <c:v>0.30071625895488796</c:v>
                </c:pt>
                <c:pt idx="1">
                  <c:v>0.2506706271945951</c:v>
                </c:pt>
                <c:pt idx="2">
                  <c:v>0.21648474920947075</c:v>
                </c:pt>
                <c:pt idx="3">
                  <c:v>0.1960435798155363</c:v>
                </c:pt>
                <c:pt idx="4">
                  <c:v>0.21640668305441851</c:v>
                </c:pt>
                <c:pt idx="5">
                  <c:v>0.20467251211751117</c:v>
                </c:pt>
                <c:pt idx="6">
                  <c:v>0.18410685026178528</c:v>
                </c:pt>
                <c:pt idx="7">
                  <c:v>0.18550182125127371</c:v>
                </c:pt>
                <c:pt idx="8">
                  <c:v>0.18392644588426238</c:v>
                </c:pt>
                <c:pt idx="9">
                  <c:v>0.18428211240107353</c:v>
                </c:pt>
                <c:pt idx="10">
                  <c:v>0.26192636489711352</c:v>
                </c:pt>
                <c:pt idx="11">
                  <c:v>0.22368762209067633</c:v>
                </c:pt>
              </c:numCache>
            </c:numRef>
          </c:val>
          <c:smooth val="0"/>
          <c:extLst>
            <c:ext xmlns:c16="http://schemas.microsoft.com/office/drawing/2014/chart" uri="{C3380CC4-5D6E-409C-BE32-E72D297353CC}">
              <c16:uniqueId val="{00000000-E17A-4FA0-9DFC-E22522E1EB67}"/>
            </c:ext>
          </c:extLst>
        </c:ser>
        <c:ser>
          <c:idx val="1"/>
          <c:order val="1"/>
          <c:tx>
            <c:strRef>
              <c:f>Unaffordableexp1!$A$4</c:f>
              <c:strCache>
                <c:ptCount val="1"/>
                <c:pt idx="0">
                  <c:v>Non-Georgian families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Unaffordableexp1!$B$4:$M$4</c:f>
              <c:numCache>
                <c:formatCode>0.0%</c:formatCode>
                <c:ptCount val="12"/>
                <c:pt idx="0">
                  <c:v>0.35192948307954702</c:v>
                </c:pt>
                <c:pt idx="1">
                  <c:v>0.29714727132371321</c:v>
                </c:pt>
                <c:pt idx="2">
                  <c:v>0.26212237056964038</c:v>
                </c:pt>
                <c:pt idx="3">
                  <c:v>0.23165906438831552</c:v>
                </c:pt>
                <c:pt idx="4">
                  <c:v>0.19363619414030431</c:v>
                </c:pt>
                <c:pt idx="5">
                  <c:v>0.24674879637306324</c:v>
                </c:pt>
                <c:pt idx="6">
                  <c:v>0.21366495534239924</c:v>
                </c:pt>
                <c:pt idx="7">
                  <c:v>0.1882832348928592</c:v>
                </c:pt>
                <c:pt idx="8">
                  <c:v>0.20411398598819058</c:v>
                </c:pt>
                <c:pt idx="9">
                  <c:v>0.18715437438579036</c:v>
                </c:pt>
                <c:pt idx="10">
                  <c:v>0.21292724223052092</c:v>
                </c:pt>
                <c:pt idx="11">
                  <c:v>0.22544651058705023</c:v>
                </c:pt>
              </c:numCache>
            </c:numRef>
          </c:val>
          <c:smooth val="0"/>
          <c:extLst>
            <c:ext xmlns:c16="http://schemas.microsoft.com/office/drawing/2014/chart" uri="{C3380CC4-5D6E-409C-BE32-E72D297353CC}">
              <c16:uniqueId val="{00000001-E17A-4FA0-9DFC-E22522E1EB67}"/>
            </c:ext>
          </c:extLst>
        </c:ser>
        <c:ser>
          <c:idx val="2"/>
          <c:order val="2"/>
          <c:tx>
            <c:strRef>
              <c:f>Unaffordableexp1!$A$5</c:f>
              <c:strCache>
                <c:ptCount val="1"/>
                <c:pt idx="0">
                  <c:v>Mixed families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Unaffordableexp1!$B$5:$M$5</c:f>
              <c:numCache>
                <c:formatCode>0.0%</c:formatCode>
                <c:ptCount val="12"/>
                <c:pt idx="0">
                  <c:v>0.28071321632017138</c:v>
                </c:pt>
                <c:pt idx="1">
                  <c:v>0.24252733451536646</c:v>
                </c:pt>
                <c:pt idx="2">
                  <c:v>0.19256630939756603</c:v>
                </c:pt>
                <c:pt idx="3">
                  <c:v>0.19100931317843242</c:v>
                </c:pt>
                <c:pt idx="4">
                  <c:v>0.18261067098276401</c:v>
                </c:pt>
                <c:pt idx="5">
                  <c:v>0.17084582833533254</c:v>
                </c:pt>
                <c:pt idx="6">
                  <c:v>0.13452300456785671</c:v>
                </c:pt>
                <c:pt idx="7">
                  <c:v>0.15928377739550642</c:v>
                </c:pt>
                <c:pt idx="8">
                  <c:v>0.18140847247990105</c:v>
                </c:pt>
                <c:pt idx="9">
                  <c:v>0.2120737449684818</c:v>
                </c:pt>
                <c:pt idx="10">
                  <c:v>0.2528964239054477</c:v>
                </c:pt>
                <c:pt idx="11">
                  <c:v>0.29126724477235522</c:v>
                </c:pt>
              </c:numCache>
            </c:numRef>
          </c:val>
          <c:smooth val="0"/>
          <c:extLst>
            <c:ext xmlns:c16="http://schemas.microsoft.com/office/drawing/2014/chart" uri="{C3380CC4-5D6E-409C-BE32-E72D297353CC}">
              <c16:uniqueId val="{00000002-E17A-4FA0-9DFC-E22522E1EB67}"/>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Unaffordableexp1!$P$3</c:f>
              <c:strCache>
                <c:ptCount val="1"/>
                <c:pt idx="0">
                  <c:v>Georgian families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Unaffordableexp1!$Q$3:$AB$3</c:f>
              <c:numCache>
                <c:formatCode>0.00%</c:formatCode>
                <c:ptCount val="12"/>
                <c:pt idx="0">
                  <c:v>0.12268034503890816</c:v>
                </c:pt>
                <c:pt idx="1">
                  <c:v>0.11891836507905598</c:v>
                </c:pt>
                <c:pt idx="2">
                  <c:v>0.10233117417668422</c:v>
                </c:pt>
                <c:pt idx="3">
                  <c:v>8.9743020289290196E-2</c:v>
                </c:pt>
                <c:pt idx="4">
                  <c:v>7.3134851278048307E-2</c:v>
                </c:pt>
                <c:pt idx="5">
                  <c:v>6.3590518619082298E-2</c:v>
                </c:pt>
                <c:pt idx="6">
                  <c:v>5.1868918245625492E-2</c:v>
                </c:pt>
                <c:pt idx="7">
                  <c:v>4.593001467343516E-2</c:v>
                </c:pt>
                <c:pt idx="8">
                  <c:v>5.8739962420960995E-2</c:v>
                </c:pt>
                <c:pt idx="9">
                  <c:v>5.4713743406711632E-2</c:v>
                </c:pt>
                <c:pt idx="10">
                  <c:v>0.14957865464742226</c:v>
                </c:pt>
                <c:pt idx="11">
                  <c:v>0.11587354683496166</c:v>
                </c:pt>
              </c:numCache>
            </c:numRef>
          </c:val>
          <c:smooth val="0"/>
          <c:extLst>
            <c:ext xmlns:c16="http://schemas.microsoft.com/office/drawing/2014/chart" uri="{C3380CC4-5D6E-409C-BE32-E72D297353CC}">
              <c16:uniqueId val="{00000000-FDB4-4532-97C8-D41D7803CEF8}"/>
            </c:ext>
          </c:extLst>
        </c:ser>
        <c:ser>
          <c:idx val="1"/>
          <c:order val="1"/>
          <c:tx>
            <c:strRef>
              <c:f>Unaffordableexp1!$P$4</c:f>
              <c:strCache>
                <c:ptCount val="1"/>
                <c:pt idx="0">
                  <c:v>Non-Georgian families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Unaffordableexp1!$Q$4:$AB$4</c:f>
              <c:numCache>
                <c:formatCode>0.0%</c:formatCode>
                <c:ptCount val="12"/>
                <c:pt idx="0">
                  <c:v>0.1726432135639297</c:v>
                </c:pt>
                <c:pt idx="1">
                  <c:v>0.18462376863075403</c:v>
                </c:pt>
                <c:pt idx="2">
                  <c:v>0.15253002678148264</c:v>
                </c:pt>
                <c:pt idx="3">
                  <c:v>0.16806240079741724</c:v>
                </c:pt>
                <c:pt idx="4">
                  <c:v>0.1751339389557395</c:v>
                </c:pt>
                <c:pt idx="5">
                  <c:v>0.19073456305599162</c:v>
                </c:pt>
                <c:pt idx="6">
                  <c:v>0.10811608734402853</c:v>
                </c:pt>
                <c:pt idx="7">
                  <c:v>0.10007294592625317</c:v>
                </c:pt>
                <c:pt idx="8">
                  <c:v>8.7960276505587146E-2</c:v>
                </c:pt>
                <c:pt idx="9">
                  <c:v>5.9588968191288935E-2</c:v>
                </c:pt>
                <c:pt idx="10">
                  <c:v>0.19324238178283318</c:v>
                </c:pt>
                <c:pt idx="11">
                  <c:v>9.0688414034096207E-2</c:v>
                </c:pt>
              </c:numCache>
            </c:numRef>
          </c:val>
          <c:smooth val="0"/>
          <c:extLst>
            <c:ext xmlns:c16="http://schemas.microsoft.com/office/drawing/2014/chart" uri="{C3380CC4-5D6E-409C-BE32-E72D297353CC}">
              <c16:uniqueId val="{00000001-FDB4-4532-97C8-D41D7803CEF8}"/>
            </c:ext>
          </c:extLst>
        </c:ser>
        <c:ser>
          <c:idx val="2"/>
          <c:order val="2"/>
          <c:tx>
            <c:strRef>
              <c:f>Unaffordableexp1!$P$5</c:f>
              <c:strCache>
                <c:ptCount val="1"/>
                <c:pt idx="0">
                  <c:v>Mixed families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Unaffordableexp1!$Q$5:$AB$5</c:f>
              <c:numCache>
                <c:formatCode>0.0%</c:formatCode>
                <c:ptCount val="12"/>
                <c:pt idx="0">
                  <c:v>0.14463241436925647</c:v>
                </c:pt>
                <c:pt idx="1">
                  <c:v>0.18088396757075004</c:v>
                </c:pt>
                <c:pt idx="2">
                  <c:v>8.3813406512411481E-2</c:v>
                </c:pt>
                <c:pt idx="3">
                  <c:v>5.9440824635462221E-2</c:v>
                </c:pt>
                <c:pt idx="4">
                  <c:v>0.1086867251591068</c:v>
                </c:pt>
                <c:pt idx="5">
                  <c:v>0.11450980392156862</c:v>
                </c:pt>
                <c:pt idx="6">
                  <c:v>4.5986842105263159E-2</c:v>
                </c:pt>
                <c:pt idx="7">
                  <c:v>3.6607142857142859E-2</c:v>
                </c:pt>
                <c:pt idx="8">
                  <c:v>5.7581018518518517E-2</c:v>
                </c:pt>
                <c:pt idx="9">
                  <c:v>8.7615629984051036E-2</c:v>
                </c:pt>
                <c:pt idx="10">
                  <c:v>0.18494914095052856</c:v>
                </c:pt>
                <c:pt idx="11">
                  <c:v>0.17024040774040775</c:v>
                </c:pt>
              </c:numCache>
            </c:numRef>
          </c:val>
          <c:smooth val="0"/>
          <c:extLst>
            <c:ext xmlns:c16="http://schemas.microsoft.com/office/drawing/2014/chart" uri="{C3380CC4-5D6E-409C-BE32-E72D297353CC}">
              <c16:uniqueId val="{00000002-FDB4-4532-97C8-D41D7803CEF8}"/>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UnfitSDG!$A$3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UnfitSDG!$B$3:$M$3</c:f>
              <c:numCache>
                <c:formatCode>0.0%</c:formatCode>
                <c:ptCount val="12"/>
                <c:pt idx="0">
                  <c:v>7.2100186228337498E-2</c:v>
                </c:pt>
                <c:pt idx="1">
                  <c:v>5.0915780296380796E-2</c:v>
                </c:pt>
                <c:pt idx="2">
                  <c:v>5.9547222951577758E-2</c:v>
                </c:pt>
                <c:pt idx="3">
                  <c:v>0.32495634237204274</c:v>
                </c:pt>
                <c:pt idx="4">
                  <c:v>8.3939056200160705E-2</c:v>
                </c:pt>
                <c:pt idx="5">
                  <c:v>5.3811291731103751E-2</c:v>
                </c:pt>
                <c:pt idx="6">
                  <c:v>5.6367198632088916E-2</c:v>
                </c:pt>
                <c:pt idx="7">
                  <c:v>3.2311930916681796E-2</c:v>
                </c:pt>
                <c:pt idx="8">
                  <c:v>1.4123959608541107E-2</c:v>
                </c:pt>
                <c:pt idx="9">
                  <c:v>9.3303296836334329E-3</c:v>
                </c:pt>
                <c:pt idx="10">
                  <c:v>1.1154110183236397E-2</c:v>
                </c:pt>
                <c:pt idx="11">
                  <c:v>1.7085847364110479E-2</c:v>
                </c:pt>
              </c:numCache>
            </c:numRef>
          </c:val>
          <c:smooth val="0"/>
          <c:extLst>
            <c:ext xmlns:c16="http://schemas.microsoft.com/office/drawing/2014/chart" uri="{C3380CC4-5D6E-409C-BE32-E72D297353CC}">
              <c16:uniqueId val="{00000000-7283-4AF0-8BE5-91A9662916A2}"/>
            </c:ext>
          </c:extLst>
        </c:ser>
        <c:ser>
          <c:idx val="1"/>
          <c:order val="1"/>
          <c:tx>
            <c:strRef>
              <c:f>UnfitSDG!$A$4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UnfitSDG!$B$4:$M$4</c:f>
              <c:numCache>
                <c:formatCode>0.0%</c:formatCode>
                <c:ptCount val="12"/>
                <c:pt idx="0">
                  <c:v>5.208082233442838E-2</c:v>
                </c:pt>
                <c:pt idx="1">
                  <c:v>7.4198555657090021E-2</c:v>
                </c:pt>
                <c:pt idx="2">
                  <c:v>5.4304509746205029E-2</c:v>
                </c:pt>
                <c:pt idx="3">
                  <c:v>0.34246920515878237</c:v>
                </c:pt>
                <c:pt idx="4">
                  <c:v>6.6170698587796312E-2</c:v>
                </c:pt>
                <c:pt idx="5">
                  <c:v>4.0486091577085E-2</c:v>
                </c:pt>
                <c:pt idx="6">
                  <c:v>5.1673285819042701E-2</c:v>
                </c:pt>
                <c:pt idx="7">
                  <c:v>2.7649763766924133E-2</c:v>
                </c:pt>
                <c:pt idx="8">
                  <c:v>2.6405318398671822E-2</c:v>
                </c:pt>
                <c:pt idx="9">
                  <c:v>2.3567179404377355E-2</c:v>
                </c:pt>
                <c:pt idx="10">
                  <c:v>3.2063176910818364E-2</c:v>
                </c:pt>
                <c:pt idx="11">
                  <c:v>3.0168306614579941E-2</c:v>
                </c:pt>
              </c:numCache>
            </c:numRef>
          </c:val>
          <c:smooth val="0"/>
          <c:extLst>
            <c:ext xmlns:c16="http://schemas.microsoft.com/office/drawing/2014/chart" uri="{C3380CC4-5D6E-409C-BE32-E72D297353CC}">
              <c16:uniqueId val="{00000001-7283-4AF0-8BE5-91A9662916A2}"/>
            </c:ext>
          </c:extLst>
        </c:ser>
        <c:ser>
          <c:idx val="2"/>
          <c:order val="2"/>
          <c:tx>
            <c:strRef>
              <c:f>UnfitSDG!$A$5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UnfitSDG!$B$5:$M$5</c:f>
              <c:numCache>
                <c:formatCode>0.0%</c:formatCode>
                <c:ptCount val="12"/>
                <c:pt idx="0">
                  <c:v>4.8308812600247074E-2</c:v>
                </c:pt>
                <c:pt idx="1">
                  <c:v>4.447577165419489E-2</c:v>
                </c:pt>
                <c:pt idx="2">
                  <c:v>6.2687044270297587E-2</c:v>
                </c:pt>
                <c:pt idx="3">
                  <c:v>0.34755006720538001</c:v>
                </c:pt>
                <c:pt idx="4">
                  <c:v>6.4226203269845017E-2</c:v>
                </c:pt>
                <c:pt idx="5">
                  <c:v>3.0900553150553151E-2</c:v>
                </c:pt>
                <c:pt idx="6">
                  <c:v>2.7812945352203567E-2</c:v>
                </c:pt>
                <c:pt idx="7">
                  <c:v>1.6546350005110184E-2</c:v>
                </c:pt>
                <c:pt idx="8">
                  <c:v>1.3804595682541321E-2</c:v>
                </c:pt>
                <c:pt idx="9">
                  <c:v>7.3900594110327122E-3</c:v>
                </c:pt>
                <c:pt idx="10">
                  <c:v>1.47874550333116E-2</c:v>
                </c:pt>
                <c:pt idx="11">
                  <c:v>2.2273099824024003E-2</c:v>
                </c:pt>
              </c:numCache>
            </c:numRef>
          </c:val>
          <c:smooth val="0"/>
          <c:extLst>
            <c:ext xmlns:c16="http://schemas.microsoft.com/office/drawing/2014/chart" uri="{C3380CC4-5D6E-409C-BE32-E72D297353CC}">
              <c16:uniqueId val="{00000002-7283-4AF0-8BE5-91A9662916A2}"/>
            </c:ext>
          </c:extLst>
        </c:ser>
        <c:ser>
          <c:idx val="3"/>
          <c:order val="3"/>
          <c:tx>
            <c:strRef>
              <c:f>UnfitSDG!$A$6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UnfitSDG!$B$6:$M$6</c:f>
              <c:numCache>
                <c:formatCode>0.0%</c:formatCode>
                <c:ptCount val="12"/>
                <c:pt idx="0">
                  <c:v>2.8361549770000476E-2</c:v>
                </c:pt>
                <c:pt idx="1">
                  <c:v>2.3083632610058944E-2</c:v>
                </c:pt>
                <c:pt idx="2">
                  <c:v>2.8261262094642043E-2</c:v>
                </c:pt>
                <c:pt idx="3">
                  <c:v>0.38755570807456408</c:v>
                </c:pt>
                <c:pt idx="4">
                  <c:v>7.3407416280012586E-2</c:v>
                </c:pt>
                <c:pt idx="5">
                  <c:v>2.4041877011247402E-2</c:v>
                </c:pt>
                <c:pt idx="6">
                  <c:v>1.4679684567880174E-2</c:v>
                </c:pt>
                <c:pt idx="7">
                  <c:v>3.8088069498690542E-3</c:v>
                </c:pt>
                <c:pt idx="8">
                  <c:v>1.3061239662153284E-2</c:v>
                </c:pt>
                <c:pt idx="9">
                  <c:v>1.1507024032677032E-2</c:v>
                </c:pt>
                <c:pt idx="10">
                  <c:v>1.1445231788083231E-2</c:v>
                </c:pt>
                <c:pt idx="11">
                  <c:v>6.9379592793816676E-3</c:v>
                </c:pt>
              </c:numCache>
            </c:numRef>
          </c:val>
          <c:smooth val="0"/>
          <c:extLst>
            <c:ext xmlns:c16="http://schemas.microsoft.com/office/drawing/2014/chart" uri="{C3380CC4-5D6E-409C-BE32-E72D297353CC}">
              <c16:uniqueId val="{00000003-7283-4AF0-8BE5-91A9662916A2}"/>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UnfitSDG!$P$3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UnfitSDG!$Q$3:$AB$3</c:f>
              <c:numCache>
                <c:formatCode>0.0%</c:formatCode>
                <c:ptCount val="12"/>
                <c:pt idx="0">
                  <c:v>4.1466720520316858E-2</c:v>
                </c:pt>
                <c:pt idx="1">
                  <c:v>3.7307911064129722E-2</c:v>
                </c:pt>
                <c:pt idx="2">
                  <c:v>3.2711022096481468E-2</c:v>
                </c:pt>
                <c:pt idx="3">
                  <c:v>4.6177055778673787E-2</c:v>
                </c:pt>
                <c:pt idx="4">
                  <c:v>6.0510316354251276E-2</c:v>
                </c:pt>
                <c:pt idx="5">
                  <c:v>3.0435414580850799E-2</c:v>
                </c:pt>
                <c:pt idx="6">
                  <c:v>1.4832823539443322E-2</c:v>
                </c:pt>
                <c:pt idx="7">
                  <c:v>3.8636389167526616E-3</c:v>
                </c:pt>
                <c:pt idx="8">
                  <c:v>9.8150371955596019E-3</c:v>
                </c:pt>
                <c:pt idx="9">
                  <c:v>9.0964981213382586E-3</c:v>
                </c:pt>
                <c:pt idx="10">
                  <c:v>7.7496040288424512E-3</c:v>
                </c:pt>
                <c:pt idx="11">
                  <c:v>5.8147396889790398E-3</c:v>
                </c:pt>
              </c:numCache>
            </c:numRef>
          </c:val>
          <c:smooth val="0"/>
          <c:extLst>
            <c:ext xmlns:c16="http://schemas.microsoft.com/office/drawing/2014/chart" uri="{C3380CC4-5D6E-409C-BE32-E72D297353CC}">
              <c16:uniqueId val="{00000000-5259-494E-9778-A78D64C63285}"/>
            </c:ext>
          </c:extLst>
        </c:ser>
        <c:ser>
          <c:idx val="1"/>
          <c:order val="1"/>
          <c:tx>
            <c:strRef>
              <c:f>UnfitSDG!$P$4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UnfitSDG!$Q$4:$AB$4</c:f>
              <c:numCache>
                <c:formatCode>0.0%</c:formatCode>
                <c:ptCount val="12"/>
                <c:pt idx="0">
                  <c:v>2.7179493346192261E-2</c:v>
                </c:pt>
                <c:pt idx="1">
                  <c:v>3.0062283306929484E-2</c:v>
                </c:pt>
                <c:pt idx="2">
                  <c:v>1.7317229317779518E-2</c:v>
                </c:pt>
                <c:pt idx="3">
                  <c:v>3.9302798543220101E-2</c:v>
                </c:pt>
                <c:pt idx="4">
                  <c:v>3.8904168516876066E-2</c:v>
                </c:pt>
                <c:pt idx="5">
                  <c:v>1.7395656440412282E-2</c:v>
                </c:pt>
                <c:pt idx="6">
                  <c:v>1.4701101563247844E-2</c:v>
                </c:pt>
                <c:pt idx="7">
                  <c:v>3.8991420773606374E-3</c:v>
                </c:pt>
                <c:pt idx="8">
                  <c:v>5.4241532894852553E-3</c:v>
                </c:pt>
                <c:pt idx="9">
                  <c:v>8.4340749405160381E-3</c:v>
                </c:pt>
                <c:pt idx="10">
                  <c:v>9.0908993040311886E-3</c:v>
                </c:pt>
                <c:pt idx="11">
                  <c:v>1.4269704751028955E-2</c:v>
                </c:pt>
              </c:numCache>
            </c:numRef>
          </c:val>
          <c:smooth val="0"/>
          <c:extLst>
            <c:ext xmlns:c16="http://schemas.microsoft.com/office/drawing/2014/chart" uri="{C3380CC4-5D6E-409C-BE32-E72D297353CC}">
              <c16:uniqueId val="{00000001-5259-494E-9778-A78D64C63285}"/>
            </c:ext>
          </c:extLst>
        </c:ser>
        <c:ser>
          <c:idx val="2"/>
          <c:order val="2"/>
          <c:tx>
            <c:strRef>
              <c:f>UnfitSDG!$P$5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UnfitSDG!$Q$5:$AB$5</c:f>
              <c:numCache>
                <c:formatCode>0.0%</c:formatCode>
                <c:ptCount val="12"/>
                <c:pt idx="0">
                  <c:v>1.2632823711727893E-2</c:v>
                </c:pt>
                <c:pt idx="1">
                  <c:v>2.1824201610895284E-2</c:v>
                </c:pt>
                <c:pt idx="2">
                  <c:v>2.105414182451357E-2</c:v>
                </c:pt>
                <c:pt idx="3">
                  <c:v>2.7524381922313414E-2</c:v>
                </c:pt>
                <c:pt idx="4">
                  <c:v>2.7490527541839414E-2</c:v>
                </c:pt>
                <c:pt idx="5">
                  <c:v>1.9659537313262185E-2</c:v>
                </c:pt>
                <c:pt idx="6">
                  <c:v>1.0584837574520747E-2</c:v>
                </c:pt>
                <c:pt idx="7">
                  <c:v>1.1376696797440436E-3</c:v>
                </c:pt>
                <c:pt idx="8">
                  <c:v>5.9952038369304552E-4</c:v>
                </c:pt>
                <c:pt idx="9">
                  <c:v>4.3492907452423839E-3</c:v>
                </c:pt>
                <c:pt idx="10">
                  <c:v>6.7571944023772004E-3</c:v>
                </c:pt>
                <c:pt idx="11">
                  <c:v>1.0434315602155738E-2</c:v>
                </c:pt>
              </c:numCache>
            </c:numRef>
          </c:val>
          <c:smooth val="0"/>
          <c:extLst>
            <c:ext xmlns:c16="http://schemas.microsoft.com/office/drawing/2014/chart" uri="{C3380CC4-5D6E-409C-BE32-E72D297353CC}">
              <c16:uniqueId val="{00000002-5259-494E-9778-A78D64C63285}"/>
            </c:ext>
          </c:extLst>
        </c:ser>
        <c:ser>
          <c:idx val="3"/>
          <c:order val="3"/>
          <c:tx>
            <c:strRef>
              <c:f>UnfitSDG!$P$6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UnfitSDG!$Q$6:$AB$6</c:f>
              <c:numCache>
                <c:formatCode>0.0%</c:formatCode>
                <c:ptCount val="12"/>
                <c:pt idx="0">
                  <c:v>1.3591030007380026E-2</c:v>
                </c:pt>
                <c:pt idx="1">
                  <c:v>1.7191522400248623E-2</c:v>
                </c:pt>
                <c:pt idx="2">
                  <c:v>2.5815830594557752E-2</c:v>
                </c:pt>
                <c:pt idx="3">
                  <c:v>3.5104919772938191E-2</c:v>
                </c:pt>
                <c:pt idx="4">
                  <c:v>3.6030537600580559E-2</c:v>
                </c:pt>
                <c:pt idx="5">
                  <c:v>1.7263144215607922E-2</c:v>
                </c:pt>
                <c:pt idx="6">
                  <c:v>1.0737602241841192E-2</c:v>
                </c:pt>
                <c:pt idx="7">
                  <c:v>0</c:v>
                </c:pt>
                <c:pt idx="8">
                  <c:v>4.3562446116209557E-3</c:v>
                </c:pt>
                <c:pt idx="9">
                  <c:v>2.1340937763225155E-3</c:v>
                </c:pt>
                <c:pt idx="10">
                  <c:v>6.1564958552740075E-3</c:v>
                </c:pt>
                <c:pt idx="11">
                  <c:v>6.8848096005166047E-3</c:v>
                </c:pt>
              </c:numCache>
            </c:numRef>
          </c:val>
          <c:smooth val="0"/>
          <c:extLst>
            <c:ext xmlns:c16="http://schemas.microsoft.com/office/drawing/2014/chart" uri="{C3380CC4-5D6E-409C-BE32-E72D297353CC}">
              <c16:uniqueId val="{00000003-5259-494E-9778-A78D64C63285}"/>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UnfitSDG!$A$3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UnfitSDG!$B$3:$M$3</c:f>
              <c:numCache>
                <c:formatCode>0.0%</c:formatCode>
                <c:ptCount val="12"/>
                <c:pt idx="0">
                  <c:v>4.9470151363811762E-2</c:v>
                </c:pt>
                <c:pt idx="1">
                  <c:v>4.6487849331568971E-2</c:v>
                </c:pt>
                <c:pt idx="2">
                  <c:v>4.9592752358195859E-2</c:v>
                </c:pt>
                <c:pt idx="3">
                  <c:v>0.35360208239491397</c:v>
                </c:pt>
                <c:pt idx="4">
                  <c:v>7.2031964107102164E-2</c:v>
                </c:pt>
                <c:pt idx="5">
                  <c:v>3.7028515212898509E-2</c:v>
                </c:pt>
                <c:pt idx="6">
                  <c:v>3.5797518651263877E-2</c:v>
                </c:pt>
                <c:pt idx="7">
                  <c:v>1.8848381828388518E-2</c:v>
                </c:pt>
                <c:pt idx="8">
                  <c:v>2.1190646066019947E-2</c:v>
                </c:pt>
                <c:pt idx="9">
                  <c:v>1.8470075041971054E-2</c:v>
                </c:pt>
                <c:pt idx="10">
                  <c:v>2.2313366166039204E-2</c:v>
                </c:pt>
                <c:pt idx="11">
                  <c:v>2.188695208584299E-2</c:v>
                </c:pt>
              </c:numCache>
            </c:numRef>
          </c:val>
          <c:smooth val="0"/>
          <c:extLst>
            <c:ext xmlns:c16="http://schemas.microsoft.com/office/drawing/2014/chart" uri="{C3380CC4-5D6E-409C-BE32-E72D297353CC}">
              <c16:uniqueId val="{00000000-FE77-4B2C-9C6B-F7E9FADB5CC7}"/>
            </c:ext>
          </c:extLst>
        </c:ser>
        <c:ser>
          <c:idx val="1"/>
          <c:order val="1"/>
          <c:tx>
            <c:strRef>
              <c:f>UnfitSDG!$A$4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UnfitSDG!$B$4:$M$4</c:f>
              <c:numCache>
                <c:formatCode>0.0%</c:formatCode>
                <c:ptCount val="12"/>
                <c:pt idx="0">
                  <c:v>0.182195562472795</c:v>
                </c:pt>
                <c:pt idx="1">
                  <c:v>0.18454215570538321</c:v>
                </c:pt>
                <c:pt idx="2">
                  <c:v>0.18420520746313102</c:v>
                </c:pt>
                <c:pt idx="3">
                  <c:v>0.47760268067361211</c:v>
                </c:pt>
                <c:pt idx="4">
                  <c:v>0.10537962929318621</c:v>
                </c:pt>
                <c:pt idx="5">
                  <c:v>4.9749809229081225E-2</c:v>
                </c:pt>
                <c:pt idx="6">
                  <c:v>2.8017902813299234E-2</c:v>
                </c:pt>
                <c:pt idx="7">
                  <c:v>3.9605263157894741E-2</c:v>
                </c:pt>
                <c:pt idx="8">
                  <c:v>5.0164562024193171E-2</c:v>
                </c:pt>
                <c:pt idx="9">
                  <c:v>5.0370042545595191E-2</c:v>
                </c:pt>
                <c:pt idx="10">
                  <c:v>2.1509147452867427E-2</c:v>
                </c:pt>
                <c:pt idx="11">
                  <c:v>4.9735433245081589E-2</c:v>
                </c:pt>
              </c:numCache>
            </c:numRef>
          </c:val>
          <c:smooth val="0"/>
          <c:extLst>
            <c:ext xmlns:c16="http://schemas.microsoft.com/office/drawing/2014/chart" uri="{C3380CC4-5D6E-409C-BE32-E72D297353CC}">
              <c16:uniqueId val="{00000001-FE77-4B2C-9C6B-F7E9FADB5CC7}"/>
            </c:ext>
          </c:extLst>
        </c:ser>
        <c:ser>
          <c:idx val="2"/>
          <c:order val="2"/>
          <c:tx>
            <c:strRef>
              <c:f>UnfitSDG!$A$5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UnfitSDG!$B$5:$M$5</c:f>
              <c:numCache>
                <c:formatCode>0.0%</c:formatCode>
                <c:ptCount val="12"/>
                <c:pt idx="0">
                  <c:v>5.8451818338448973E-2</c:v>
                </c:pt>
                <c:pt idx="1">
                  <c:v>4.7425194274532248E-2</c:v>
                </c:pt>
                <c:pt idx="2">
                  <c:v>4.8322228644369122E-2</c:v>
                </c:pt>
                <c:pt idx="3">
                  <c:v>0.36073432332669381</c:v>
                </c:pt>
                <c:pt idx="4">
                  <c:v>6.9225469208605381E-2</c:v>
                </c:pt>
                <c:pt idx="5">
                  <c:v>4.4567546488013983E-2</c:v>
                </c:pt>
                <c:pt idx="6">
                  <c:v>4.9134297222889423E-2</c:v>
                </c:pt>
                <c:pt idx="7">
                  <c:v>2.7961948418049741E-2</c:v>
                </c:pt>
                <c:pt idx="8">
                  <c:v>3.4645059565032763E-2</c:v>
                </c:pt>
                <c:pt idx="9">
                  <c:v>2.4180266109157755E-2</c:v>
                </c:pt>
                <c:pt idx="10">
                  <c:v>2.3411203336472324E-2</c:v>
                </c:pt>
                <c:pt idx="11">
                  <c:v>3.1235397887953958E-2</c:v>
                </c:pt>
              </c:numCache>
            </c:numRef>
          </c:val>
          <c:smooth val="0"/>
          <c:extLst>
            <c:ext xmlns:c16="http://schemas.microsoft.com/office/drawing/2014/chart" uri="{C3380CC4-5D6E-409C-BE32-E72D297353CC}">
              <c16:uniqueId val="{00000002-FE77-4B2C-9C6B-F7E9FADB5CC7}"/>
            </c:ext>
          </c:extLst>
        </c:ser>
        <c:ser>
          <c:idx val="3"/>
          <c:order val="3"/>
          <c:tx>
            <c:strRef>
              <c:f>UnfitSDG!$A$6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UnfitSDG!$B$2:$M$2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UnfitSDG!$B$6:$M$6</c:f>
              <c:numCache>
                <c:formatCode>0.0%</c:formatCode>
                <c:ptCount val="12"/>
                <c:pt idx="0">
                  <c:v>5.6659986712163234E-2</c:v>
                </c:pt>
                <c:pt idx="1">
                  <c:v>5.1060251138102093E-2</c:v>
                </c:pt>
                <c:pt idx="2">
                  <c:v>3.6889218224940581E-2</c:v>
                </c:pt>
                <c:pt idx="3">
                  <c:v>0.3031099095916871</c:v>
                </c:pt>
                <c:pt idx="4">
                  <c:v>5.3581449414782746E-2</c:v>
                </c:pt>
                <c:pt idx="5">
                  <c:v>4.2841300933994436E-2</c:v>
                </c:pt>
                <c:pt idx="6">
                  <c:v>4.4882007588311033E-2</c:v>
                </c:pt>
                <c:pt idx="7">
                  <c:v>3.9326553949195459E-2</c:v>
                </c:pt>
                <c:pt idx="8">
                  <c:v>2.4698104034793927E-2</c:v>
                </c:pt>
                <c:pt idx="9">
                  <c:v>3.9610386990324729E-2</c:v>
                </c:pt>
                <c:pt idx="10">
                  <c:v>2.1733931200732727E-2</c:v>
                </c:pt>
                <c:pt idx="11">
                  <c:v>3.4906835541234041E-2</c:v>
                </c:pt>
              </c:numCache>
            </c:numRef>
          </c:val>
          <c:smooth val="0"/>
          <c:extLst>
            <c:ext xmlns:c16="http://schemas.microsoft.com/office/drawing/2014/chart" uri="{C3380CC4-5D6E-409C-BE32-E72D297353CC}">
              <c16:uniqueId val="{00000003-FE77-4B2C-9C6B-F7E9FADB5CC7}"/>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UnfitSDG!$P$3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UnfitSDG!$Q$3:$AB$3</c:f>
              <c:numCache>
                <c:formatCode>0.0%</c:formatCode>
                <c:ptCount val="12"/>
                <c:pt idx="0">
                  <c:v>2.3914663175646157E-2</c:v>
                </c:pt>
                <c:pt idx="1">
                  <c:v>2.6981326497490018E-2</c:v>
                </c:pt>
                <c:pt idx="2">
                  <c:v>2.4063817054563348E-2</c:v>
                </c:pt>
                <c:pt idx="3">
                  <c:v>3.7079759207764115E-2</c:v>
                </c:pt>
                <c:pt idx="4">
                  <c:v>4.0800198706618565E-2</c:v>
                </c:pt>
                <c:pt idx="5">
                  <c:v>2.1158858085678307E-2</c:v>
                </c:pt>
                <c:pt idx="6">
                  <c:v>1.2793428703512213E-2</c:v>
                </c:pt>
                <c:pt idx="7">
                  <c:v>2.333445021321429E-3</c:v>
                </c:pt>
                <c:pt idx="8">
                  <c:v>3.4094695894524314E-3</c:v>
                </c:pt>
                <c:pt idx="9">
                  <c:v>6.2812293791688857E-3</c:v>
                </c:pt>
                <c:pt idx="10">
                  <c:v>8.5117866352052655E-3</c:v>
                </c:pt>
                <c:pt idx="11">
                  <c:v>1.2491274332956687E-2</c:v>
                </c:pt>
              </c:numCache>
            </c:numRef>
          </c:val>
          <c:smooth val="0"/>
          <c:extLst>
            <c:ext xmlns:c16="http://schemas.microsoft.com/office/drawing/2014/chart" uri="{C3380CC4-5D6E-409C-BE32-E72D297353CC}">
              <c16:uniqueId val="{00000000-C59F-4119-B0B9-3D8C45674F7F}"/>
            </c:ext>
          </c:extLst>
        </c:ser>
        <c:ser>
          <c:idx val="1"/>
          <c:order val="1"/>
          <c:tx>
            <c:strRef>
              <c:f>UnfitSDG!$P$4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UnfitSDG!$Q$4:$AB$4</c:f>
              <c:numCache>
                <c:formatCode>0.0%</c:formatCode>
                <c:ptCount val="12"/>
                <c:pt idx="0">
                  <c:v>8.9285714285714281E-3</c:v>
                </c:pt>
                <c:pt idx="1">
                  <c:v>2.3558201058201056E-2</c:v>
                </c:pt>
                <c:pt idx="2">
                  <c:v>0</c:v>
                </c:pt>
                <c:pt idx="3">
                  <c:v>4.7456868434667204E-2</c:v>
                </c:pt>
                <c:pt idx="4">
                  <c:v>0.14497423898657591</c:v>
                </c:pt>
                <c:pt idx="5">
                  <c:v>9.3865481522956332E-2</c:v>
                </c:pt>
                <c:pt idx="6">
                  <c:v>2.8702814001372687E-2</c:v>
                </c:pt>
                <c:pt idx="7">
                  <c:v>0</c:v>
                </c:pt>
                <c:pt idx="8">
                  <c:v>0</c:v>
                </c:pt>
                <c:pt idx="9">
                  <c:v>0</c:v>
                </c:pt>
                <c:pt idx="10">
                  <c:v>3.1429849664002724E-2</c:v>
                </c:pt>
                <c:pt idx="11">
                  <c:v>2.2629772629772629E-2</c:v>
                </c:pt>
              </c:numCache>
            </c:numRef>
          </c:val>
          <c:smooth val="0"/>
          <c:extLst>
            <c:ext xmlns:c16="http://schemas.microsoft.com/office/drawing/2014/chart" uri="{C3380CC4-5D6E-409C-BE32-E72D297353CC}">
              <c16:uniqueId val="{00000001-C59F-4119-B0B9-3D8C45674F7F}"/>
            </c:ext>
          </c:extLst>
        </c:ser>
        <c:ser>
          <c:idx val="2"/>
          <c:order val="2"/>
          <c:tx>
            <c:strRef>
              <c:f>UnfitSDG!$P$5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UnfitSDG!$Q$5:$AB$5</c:f>
              <c:numCache>
                <c:formatCode>0.0%</c:formatCode>
                <c:ptCount val="12"/>
                <c:pt idx="0">
                  <c:v>2.6399122124361997E-2</c:v>
                </c:pt>
                <c:pt idx="1">
                  <c:v>2.5117488278057383E-2</c:v>
                </c:pt>
                <c:pt idx="2">
                  <c:v>2.5757316036491888E-2</c:v>
                </c:pt>
                <c:pt idx="3">
                  <c:v>3.8214879622845616E-2</c:v>
                </c:pt>
                <c:pt idx="4">
                  <c:v>4.1655426890775532E-2</c:v>
                </c:pt>
                <c:pt idx="5">
                  <c:v>1.6472559279163052E-2</c:v>
                </c:pt>
                <c:pt idx="6">
                  <c:v>1.5095661882110079E-2</c:v>
                </c:pt>
                <c:pt idx="7">
                  <c:v>1.5E-3</c:v>
                </c:pt>
                <c:pt idx="8">
                  <c:v>1.9897793530820594E-3</c:v>
                </c:pt>
                <c:pt idx="9">
                  <c:v>8.7673981046585761E-3</c:v>
                </c:pt>
                <c:pt idx="10">
                  <c:v>8.4468248815963796E-3</c:v>
                </c:pt>
                <c:pt idx="11">
                  <c:v>1.4175883330787448E-2</c:v>
                </c:pt>
              </c:numCache>
            </c:numRef>
          </c:val>
          <c:smooth val="0"/>
          <c:extLst>
            <c:ext xmlns:c16="http://schemas.microsoft.com/office/drawing/2014/chart" uri="{C3380CC4-5D6E-409C-BE32-E72D297353CC}">
              <c16:uniqueId val="{00000002-C59F-4119-B0B9-3D8C45674F7F}"/>
            </c:ext>
          </c:extLst>
        </c:ser>
        <c:ser>
          <c:idx val="3"/>
          <c:order val="3"/>
          <c:tx>
            <c:strRef>
              <c:f>UnfitSDG!$P$6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UnfitSDG!$Q$2:$AB$2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UnfitSDG!$Q$6:$AB$6</c:f>
              <c:numCache>
                <c:formatCode>0.0%</c:formatCode>
                <c:ptCount val="12"/>
                <c:pt idx="0">
                  <c:v>2.0383849292271772E-2</c:v>
                </c:pt>
                <c:pt idx="1">
                  <c:v>2.0105871875084544E-2</c:v>
                </c:pt>
                <c:pt idx="2">
                  <c:v>2.9521012337154682E-2</c:v>
                </c:pt>
                <c:pt idx="3">
                  <c:v>2.49683963663919E-2</c:v>
                </c:pt>
                <c:pt idx="4">
                  <c:v>3.2651680518904866E-2</c:v>
                </c:pt>
                <c:pt idx="5">
                  <c:v>1.8926037556550288E-2</c:v>
                </c:pt>
                <c:pt idx="6">
                  <c:v>3.171983038135488E-3</c:v>
                </c:pt>
                <c:pt idx="7">
                  <c:v>2.3081177671885637E-3</c:v>
                </c:pt>
                <c:pt idx="8">
                  <c:v>9.3149640761398256E-3</c:v>
                </c:pt>
                <c:pt idx="9">
                  <c:v>1.2129672850786588E-2</c:v>
                </c:pt>
                <c:pt idx="10">
                  <c:v>4.1299357850323069E-3</c:v>
                </c:pt>
                <c:pt idx="11">
                  <c:v>1.145320197044335E-2</c:v>
                </c:pt>
              </c:numCache>
            </c:numRef>
          </c:val>
          <c:smooth val="0"/>
          <c:extLst>
            <c:ext xmlns:c16="http://schemas.microsoft.com/office/drawing/2014/chart" uri="{C3380CC4-5D6E-409C-BE32-E72D297353CC}">
              <c16:uniqueId val="{00000003-C59F-4119-B0B9-3D8C45674F7F}"/>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OvercrowdingUN!$A$3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OvercrowdingUN!$B$3:$M$3</c:f>
              <c:numCache>
                <c:formatCode>0.0%</c:formatCode>
                <c:ptCount val="12"/>
                <c:pt idx="0">
                  <c:v>3.5036803182811591E-2</c:v>
                </c:pt>
                <c:pt idx="1">
                  <c:v>3.4329515932063286E-2</c:v>
                </c:pt>
                <c:pt idx="2">
                  <c:v>1.8932238379442599E-2</c:v>
                </c:pt>
                <c:pt idx="3">
                  <c:v>2.9627904209962704E-2</c:v>
                </c:pt>
                <c:pt idx="4">
                  <c:v>1.9644666306395827E-2</c:v>
                </c:pt>
                <c:pt idx="5">
                  <c:v>8.1813030061224055E-3</c:v>
                </c:pt>
                <c:pt idx="6">
                  <c:v>1.4125320604160729E-2</c:v>
                </c:pt>
                <c:pt idx="7">
                  <c:v>1.6189072087688952E-2</c:v>
                </c:pt>
                <c:pt idx="8">
                  <c:v>7.686113074044109E-3</c:v>
                </c:pt>
                <c:pt idx="9">
                  <c:v>1.006910586339933E-2</c:v>
                </c:pt>
                <c:pt idx="10">
                  <c:v>7.0479968025741312E-3</c:v>
                </c:pt>
                <c:pt idx="11">
                  <c:v>7.8353491430697229E-3</c:v>
                </c:pt>
              </c:numCache>
            </c:numRef>
          </c:val>
          <c:smooth val="0"/>
          <c:extLst>
            <c:ext xmlns:c16="http://schemas.microsoft.com/office/drawing/2014/chart" uri="{C3380CC4-5D6E-409C-BE32-E72D297353CC}">
              <c16:uniqueId val="{00000000-F530-433A-9EA6-B37408337DD7}"/>
            </c:ext>
          </c:extLst>
        </c:ser>
        <c:ser>
          <c:idx val="1"/>
          <c:order val="1"/>
          <c:tx>
            <c:strRef>
              <c:f>OvercrowdingUN!$A$4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OvercrowdingUN!$B$4:$M$4</c:f>
              <c:numCache>
                <c:formatCode>0.0%</c:formatCode>
                <c:ptCount val="12"/>
                <c:pt idx="0">
                  <c:v>3.6957289326108304E-2</c:v>
                </c:pt>
                <c:pt idx="1">
                  <c:v>4.168554652985465E-2</c:v>
                </c:pt>
                <c:pt idx="2">
                  <c:v>3.7019230818443376E-2</c:v>
                </c:pt>
                <c:pt idx="3">
                  <c:v>4.6813855485689726E-2</c:v>
                </c:pt>
                <c:pt idx="4">
                  <c:v>3.3345212560655896E-2</c:v>
                </c:pt>
                <c:pt idx="5">
                  <c:v>4.0581577626845527E-2</c:v>
                </c:pt>
                <c:pt idx="6">
                  <c:v>3.7584277344057899E-2</c:v>
                </c:pt>
                <c:pt idx="7">
                  <c:v>2.875801704356782E-2</c:v>
                </c:pt>
                <c:pt idx="8">
                  <c:v>9.593411697744747E-3</c:v>
                </c:pt>
                <c:pt idx="9">
                  <c:v>3.3270982723020801E-2</c:v>
                </c:pt>
                <c:pt idx="10">
                  <c:v>1.7703554550687468E-2</c:v>
                </c:pt>
                <c:pt idx="11">
                  <c:v>1.7943517049890313E-2</c:v>
                </c:pt>
              </c:numCache>
            </c:numRef>
          </c:val>
          <c:smooth val="0"/>
          <c:extLst>
            <c:ext xmlns:c16="http://schemas.microsoft.com/office/drawing/2014/chart" uri="{C3380CC4-5D6E-409C-BE32-E72D297353CC}">
              <c16:uniqueId val="{00000001-F530-433A-9EA6-B37408337DD7}"/>
            </c:ext>
          </c:extLst>
        </c:ser>
        <c:ser>
          <c:idx val="2"/>
          <c:order val="2"/>
          <c:tx>
            <c:strRef>
              <c:f>OvercrowdingUN!$A$5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OvercrowdingUN!$B$5:$M$5</c:f>
              <c:numCache>
                <c:formatCode>0.0%</c:formatCode>
                <c:ptCount val="12"/>
                <c:pt idx="0">
                  <c:v>5.2289119251722332E-2</c:v>
                </c:pt>
                <c:pt idx="1">
                  <c:v>3.2962201127254148E-2</c:v>
                </c:pt>
                <c:pt idx="2">
                  <c:v>4.9305289265086795E-2</c:v>
                </c:pt>
                <c:pt idx="3">
                  <c:v>3.8645235565177599E-2</c:v>
                </c:pt>
                <c:pt idx="4">
                  <c:v>3.663999828201607E-2</c:v>
                </c:pt>
                <c:pt idx="5">
                  <c:v>4.6421596921596919E-2</c:v>
                </c:pt>
                <c:pt idx="6">
                  <c:v>2.894005055167654E-2</c:v>
                </c:pt>
                <c:pt idx="7">
                  <c:v>2.5013390106408538E-2</c:v>
                </c:pt>
                <c:pt idx="8">
                  <c:v>1.6880820403481597E-2</c:v>
                </c:pt>
                <c:pt idx="9">
                  <c:v>2.8939566254046353E-2</c:v>
                </c:pt>
                <c:pt idx="10">
                  <c:v>1.4677881921734599E-2</c:v>
                </c:pt>
                <c:pt idx="11">
                  <c:v>2.1438452660068896E-2</c:v>
                </c:pt>
              </c:numCache>
            </c:numRef>
          </c:val>
          <c:smooth val="0"/>
          <c:extLst>
            <c:ext xmlns:c16="http://schemas.microsoft.com/office/drawing/2014/chart" uri="{C3380CC4-5D6E-409C-BE32-E72D297353CC}">
              <c16:uniqueId val="{00000002-F530-433A-9EA6-B37408337DD7}"/>
            </c:ext>
          </c:extLst>
        </c:ser>
        <c:ser>
          <c:idx val="3"/>
          <c:order val="3"/>
          <c:tx>
            <c:strRef>
              <c:f>OvercrowdingUN!$A$6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OvercrowdingUN!$B$6:$M$6</c:f>
              <c:numCache>
                <c:formatCode>0.0%</c:formatCode>
                <c:ptCount val="12"/>
                <c:pt idx="0">
                  <c:v>4.0058457224830465E-2</c:v>
                </c:pt>
                <c:pt idx="1">
                  <c:v>3.6875343906095856E-2</c:v>
                </c:pt>
                <c:pt idx="2">
                  <c:v>3.2646829104951321E-2</c:v>
                </c:pt>
                <c:pt idx="3">
                  <c:v>3.3378250960293773E-2</c:v>
                </c:pt>
                <c:pt idx="4">
                  <c:v>3.2076589430087496E-2</c:v>
                </c:pt>
                <c:pt idx="5">
                  <c:v>3.998292688593312E-2</c:v>
                </c:pt>
                <c:pt idx="6">
                  <c:v>2.6303860375652528E-2</c:v>
                </c:pt>
                <c:pt idx="7">
                  <c:v>1.7556773332037062E-2</c:v>
                </c:pt>
                <c:pt idx="8">
                  <c:v>2.7055997029244341E-2</c:v>
                </c:pt>
                <c:pt idx="9">
                  <c:v>2.2323404582953101E-2</c:v>
                </c:pt>
                <c:pt idx="10">
                  <c:v>1.7151836891010106E-2</c:v>
                </c:pt>
                <c:pt idx="11">
                  <c:v>1.8754987898250843E-2</c:v>
                </c:pt>
              </c:numCache>
            </c:numRef>
          </c:val>
          <c:smooth val="0"/>
          <c:extLst>
            <c:ext xmlns:c16="http://schemas.microsoft.com/office/drawing/2014/chart" uri="{C3380CC4-5D6E-409C-BE32-E72D297353CC}">
              <c16:uniqueId val="{00000003-F530-433A-9EA6-B37408337DD7}"/>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7.0000000000000007E-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OvercrowdingUN!$P$3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OvercrowdingUN!$Q$3:$AB$3</c:f>
              <c:numCache>
                <c:formatCode>0.0%</c:formatCode>
                <c:ptCount val="12"/>
                <c:pt idx="0">
                  <c:v>1.5540601234117695E-2</c:v>
                </c:pt>
                <c:pt idx="1">
                  <c:v>1.3069061015258239E-2</c:v>
                </c:pt>
                <c:pt idx="2">
                  <c:v>9.1421161695490437E-3</c:v>
                </c:pt>
                <c:pt idx="3">
                  <c:v>1.0227838961299047E-2</c:v>
                </c:pt>
                <c:pt idx="4">
                  <c:v>8.8720212262852517E-3</c:v>
                </c:pt>
                <c:pt idx="5">
                  <c:v>4.6285434674574969E-3</c:v>
                </c:pt>
                <c:pt idx="6">
                  <c:v>1.020185894153942E-2</c:v>
                </c:pt>
                <c:pt idx="7">
                  <c:v>1.6448004019013023E-3</c:v>
                </c:pt>
                <c:pt idx="8">
                  <c:v>0</c:v>
                </c:pt>
                <c:pt idx="9">
                  <c:v>3.7507871234686834E-3</c:v>
                </c:pt>
                <c:pt idx="10">
                  <c:v>4.2489872586959961E-3</c:v>
                </c:pt>
                <c:pt idx="11">
                  <c:v>1.3313787560106792E-3</c:v>
                </c:pt>
              </c:numCache>
            </c:numRef>
          </c:val>
          <c:smooth val="0"/>
          <c:extLst>
            <c:ext xmlns:c16="http://schemas.microsoft.com/office/drawing/2014/chart" uri="{C3380CC4-5D6E-409C-BE32-E72D297353CC}">
              <c16:uniqueId val="{00000000-C190-458C-86AF-F83197E90FB6}"/>
            </c:ext>
          </c:extLst>
        </c:ser>
        <c:ser>
          <c:idx val="1"/>
          <c:order val="1"/>
          <c:tx>
            <c:strRef>
              <c:f>OvercrowdingUN!$P$4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OvercrowdingUN!$Q$4:$AB$4</c:f>
              <c:numCache>
                <c:formatCode>0.0%</c:formatCode>
                <c:ptCount val="12"/>
                <c:pt idx="0">
                  <c:v>1.43205478931261E-2</c:v>
                </c:pt>
                <c:pt idx="1">
                  <c:v>2.0005002804823431E-2</c:v>
                </c:pt>
                <c:pt idx="2">
                  <c:v>1.0112648289526873E-2</c:v>
                </c:pt>
                <c:pt idx="3">
                  <c:v>1.8586718738775734E-2</c:v>
                </c:pt>
                <c:pt idx="4">
                  <c:v>9.7313562427823637E-3</c:v>
                </c:pt>
                <c:pt idx="5">
                  <c:v>1.6295738013068481E-2</c:v>
                </c:pt>
                <c:pt idx="6">
                  <c:v>7.6339320230179586E-3</c:v>
                </c:pt>
                <c:pt idx="7">
                  <c:v>6.6753685273415637E-3</c:v>
                </c:pt>
                <c:pt idx="8">
                  <c:v>1.1385226352345295E-2</c:v>
                </c:pt>
                <c:pt idx="9">
                  <c:v>5.0347851050233849E-3</c:v>
                </c:pt>
                <c:pt idx="10">
                  <c:v>3.2567047798140233E-3</c:v>
                </c:pt>
                <c:pt idx="11">
                  <c:v>5.433551252384098E-3</c:v>
                </c:pt>
              </c:numCache>
            </c:numRef>
          </c:val>
          <c:smooth val="0"/>
          <c:extLst>
            <c:ext xmlns:c16="http://schemas.microsoft.com/office/drawing/2014/chart" uri="{C3380CC4-5D6E-409C-BE32-E72D297353CC}">
              <c16:uniqueId val="{00000001-C190-458C-86AF-F83197E90FB6}"/>
            </c:ext>
          </c:extLst>
        </c:ser>
        <c:ser>
          <c:idx val="2"/>
          <c:order val="2"/>
          <c:tx>
            <c:strRef>
              <c:f>OvercrowdingUN!$P$5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OvercrowdingUN!$Q$5:$AB$5</c:f>
              <c:numCache>
                <c:formatCode>0.0%</c:formatCode>
                <c:ptCount val="12"/>
                <c:pt idx="0">
                  <c:v>1.0900882797101481E-2</c:v>
                </c:pt>
                <c:pt idx="1">
                  <c:v>1.2420060820569394E-2</c:v>
                </c:pt>
                <c:pt idx="2">
                  <c:v>1.2257529662739637E-2</c:v>
                </c:pt>
                <c:pt idx="3">
                  <c:v>1.1552624825968597E-2</c:v>
                </c:pt>
                <c:pt idx="4">
                  <c:v>1.5883560845590058E-2</c:v>
                </c:pt>
                <c:pt idx="5">
                  <c:v>1.1496179189320693E-2</c:v>
                </c:pt>
                <c:pt idx="6">
                  <c:v>5.0052043640574796E-3</c:v>
                </c:pt>
                <c:pt idx="7">
                  <c:v>6.2412259348687913E-3</c:v>
                </c:pt>
                <c:pt idx="8">
                  <c:v>6.5627740802199838E-3</c:v>
                </c:pt>
                <c:pt idx="9">
                  <c:v>1.0334063821561774E-2</c:v>
                </c:pt>
                <c:pt idx="10">
                  <c:v>6.7927370565190187E-3</c:v>
                </c:pt>
                <c:pt idx="11">
                  <c:v>8.2800415515829114E-3</c:v>
                </c:pt>
              </c:numCache>
            </c:numRef>
          </c:val>
          <c:smooth val="0"/>
          <c:extLst>
            <c:ext xmlns:c16="http://schemas.microsoft.com/office/drawing/2014/chart" uri="{C3380CC4-5D6E-409C-BE32-E72D297353CC}">
              <c16:uniqueId val="{00000002-C190-458C-86AF-F83197E90FB6}"/>
            </c:ext>
          </c:extLst>
        </c:ser>
        <c:ser>
          <c:idx val="3"/>
          <c:order val="3"/>
          <c:tx>
            <c:strRef>
              <c:f>OvercrowdingUN!$P$6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OvercrowdingUN!$Q$6:$AB$6</c:f>
              <c:numCache>
                <c:formatCode>0.0%</c:formatCode>
                <c:ptCount val="12"/>
                <c:pt idx="0">
                  <c:v>9.7081242430195752E-3</c:v>
                </c:pt>
                <c:pt idx="1">
                  <c:v>1.2513729388520467E-2</c:v>
                </c:pt>
                <c:pt idx="2">
                  <c:v>1.8806116223978195E-2</c:v>
                </c:pt>
                <c:pt idx="3">
                  <c:v>1.3805639305481671E-2</c:v>
                </c:pt>
                <c:pt idx="4">
                  <c:v>6.7728690800508834E-3</c:v>
                </c:pt>
                <c:pt idx="5">
                  <c:v>2.4542561855322911E-3</c:v>
                </c:pt>
                <c:pt idx="6">
                  <c:v>2.0313428401663694E-3</c:v>
                </c:pt>
                <c:pt idx="7">
                  <c:v>5.4057576745932907E-3</c:v>
                </c:pt>
                <c:pt idx="8">
                  <c:v>2.8003843528037076E-3</c:v>
                </c:pt>
                <c:pt idx="9">
                  <c:v>2.8097694519981912E-3</c:v>
                </c:pt>
                <c:pt idx="10">
                  <c:v>5.2513904689672607E-3</c:v>
                </c:pt>
                <c:pt idx="11">
                  <c:v>6.0367427192428644E-3</c:v>
                </c:pt>
              </c:numCache>
            </c:numRef>
          </c:val>
          <c:smooth val="0"/>
          <c:extLst>
            <c:ext xmlns:c16="http://schemas.microsoft.com/office/drawing/2014/chart" uri="{C3380CC4-5D6E-409C-BE32-E72D297353CC}">
              <c16:uniqueId val="{00000003-C190-458C-86AF-F83197E90FB6}"/>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7.0000000000000007E-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OvercrowdingSDG!$A$3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OvercrowdingSDG!$B$3:$M$3</c:f>
              <c:numCache>
                <c:formatCode>0.00%</c:formatCode>
                <c:ptCount val="12"/>
                <c:pt idx="0">
                  <c:v>1.9819466248037678E-3</c:v>
                </c:pt>
                <c:pt idx="1">
                  <c:v>4.0888193918967482E-3</c:v>
                </c:pt>
                <c:pt idx="2">
                  <c:v>2.5167813788498201E-3</c:v>
                </c:pt>
                <c:pt idx="3">
                  <c:v>1.5290649767667071E-3</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061E-4189-91A3-3A9923A15B5C}"/>
            </c:ext>
          </c:extLst>
        </c:ser>
        <c:ser>
          <c:idx val="1"/>
          <c:order val="1"/>
          <c:tx>
            <c:strRef>
              <c:f>OvercrowdingSDG!$A$4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OvercrowdingSDG!$B$4:$M$4</c:f>
              <c:numCache>
                <c:formatCode>0.00%</c:formatCode>
                <c:ptCount val="12"/>
                <c:pt idx="0">
                  <c:v>2.1947518057476561E-3</c:v>
                </c:pt>
                <c:pt idx="1">
                  <c:v>7.557629535078535E-3</c:v>
                </c:pt>
                <c:pt idx="2">
                  <c:v>5.9493353310234032E-3</c:v>
                </c:pt>
                <c:pt idx="3">
                  <c:v>9.7135372728650513E-3</c:v>
                </c:pt>
                <c:pt idx="4">
                  <c:v>7.3750509276575031E-3</c:v>
                </c:pt>
                <c:pt idx="5">
                  <c:v>1.1544545825058367E-2</c:v>
                </c:pt>
                <c:pt idx="6">
                  <c:v>4.4138521067879988E-3</c:v>
                </c:pt>
                <c:pt idx="7">
                  <c:v>9.9601593625498006E-4</c:v>
                </c:pt>
                <c:pt idx="8">
                  <c:v>0</c:v>
                </c:pt>
                <c:pt idx="9">
                  <c:v>1.0504201680672268E-3</c:v>
                </c:pt>
                <c:pt idx="10">
                  <c:v>7.5528700906344411E-4</c:v>
                </c:pt>
                <c:pt idx="11">
                  <c:v>7.5987841945288754E-4</c:v>
                </c:pt>
              </c:numCache>
            </c:numRef>
          </c:val>
          <c:smooth val="0"/>
          <c:extLst>
            <c:ext xmlns:c16="http://schemas.microsoft.com/office/drawing/2014/chart" uri="{C3380CC4-5D6E-409C-BE32-E72D297353CC}">
              <c16:uniqueId val="{00000001-061E-4189-91A3-3A9923A15B5C}"/>
            </c:ext>
          </c:extLst>
        </c:ser>
        <c:ser>
          <c:idx val="2"/>
          <c:order val="2"/>
          <c:tx>
            <c:strRef>
              <c:f>OvercrowdingSDG!$A$5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OvercrowdingSDG!$B$5:$M$5</c:f>
              <c:numCache>
                <c:formatCode>0.00%</c:formatCode>
                <c:ptCount val="12"/>
                <c:pt idx="0">
                  <c:v>7.3117475270111877E-3</c:v>
                </c:pt>
                <c:pt idx="1">
                  <c:v>3.1345270510784577E-3</c:v>
                </c:pt>
                <c:pt idx="2">
                  <c:v>5.7219041208490971E-3</c:v>
                </c:pt>
                <c:pt idx="3">
                  <c:v>5.5648303229014961E-3</c:v>
                </c:pt>
                <c:pt idx="4">
                  <c:v>2.7447777175442626E-3</c:v>
                </c:pt>
                <c:pt idx="5">
                  <c:v>5.6225348725348727E-3</c:v>
                </c:pt>
                <c:pt idx="6">
                  <c:v>2.0673865500273371E-3</c:v>
                </c:pt>
                <c:pt idx="7">
                  <c:v>9.6899224806201549E-4</c:v>
                </c:pt>
                <c:pt idx="8">
                  <c:v>1.8727642561548713E-3</c:v>
                </c:pt>
                <c:pt idx="9">
                  <c:v>1.8742147145050956E-3</c:v>
                </c:pt>
                <c:pt idx="10">
                  <c:v>5.9101654846335696E-4</c:v>
                </c:pt>
                <c:pt idx="11">
                  <c:v>7.246376811594203E-4</c:v>
                </c:pt>
              </c:numCache>
            </c:numRef>
          </c:val>
          <c:smooth val="0"/>
          <c:extLst>
            <c:ext xmlns:c16="http://schemas.microsoft.com/office/drawing/2014/chart" uri="{C3380CC4-5D6E-409C-BE32-E72D297353CC}">
              <c16:uniqueId val="{00000002-061E-4189-91A3-3A9923A15B5C}"/>
            </c:ext>
          </c:extLst>
        </c:ser>
        <c:ser>
          <c:idx val="3"/>
          <c:order val="3"/>
          <c:tx>
            <c:strRef>
              <c:f>OvercrowdingSDG!$A$6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OvercrowdingSDG!$B$6:$M$6</c:f>
              <c:numCache>
                <c:formatCode>0.00%</c:formatCode>
                <c:ptCount val="12"/>
                <c:pt idx="0">
                  <c:v>9.0745364442547539E-3</c:v>
                </c:pt>
                <c:pt idx="1">
                  <c:v>5.4438842209938486E-3</c:v>
                </c:pt>
                <c:pt idx="2">
                  <c:v>2.75893753846858E-3</c:v>
                </c:pt>
                <c:pt idx="3">
                  <c:v>1.6167326498475968E-3</c:v>
                </c:pt>
                <c:pt idx="4">
                  <c:v>0</c:v>
                </c:pt>
                <c:pt idx="5">
                  <c:v>1.7046906581790304E-3</c:v>
                </c:pt>
                <c:pt idx="6">
                  <c:v>0</c:v>
                </c:pt>
                <c:pt idx="7">
                  <c:v>1.6262738264955911E-3</c:v>
                </c:pt>
                <c:pt idx="8">
                  <c:v>1.4006591337099813E-3</c:v>
                </c:pt>
                <c:pt idx="9">
                  <c:v>0</c:v>
                </c:pt>
                <c:pt idx="10">
                  <c:v>1.1473195041687258E-3</c:v>
                </c:pt>
                <c:pt idx="11">
                  <c:v>6.2344139650872816E-4</c:v>
                </c:pt>
              </c:numCache>
            </c:numRef>
          </c:val>
          <c:smooth val="0"/>
          <c:extLst>
            <c:ext xmlns:c16="http://schemas.microsoft.com/office/drawing/2014/chart" uri="{C3380CC4-5D6E-409C-BE32-E72D297353CC}">
              <c16:uniqueId val="{00000003-061E-4189-91A3-3A9923A15B5C}"/>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1.5000000000000003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'Imports in Construction'!$A$16</c:f>
              <c:strCache>
                <c:ptCount val="1"/>
                <c:pt idx="0">
                  <c:v>USD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'Imports in Construction'!$G$15:$J$15</c:f>
              <c:numCache>
                <c:formatCode>General</c:formatCode>
                <c:ptCount val="4"/>
                <c:pt idx="0">
                  <c:v>2015</c:v>
                </c:pt>
                <c:pt idx="1">
                  <c:v>2016</c:v>
                </c:pt>
                <c:pt idx="2">
                  <c:v>2017</c:v>
                </c:pt>
                <c:pt idx="3">
                  <c:v>2018</c:v>
                </c:pt>
              </c:numCache>
            </c:numRef>
          </c:cat>
          <c:val>
            <c:numRef>
              <c:f>'Imports in Construction'!$G$16:$J$16</c:f>
              <c:numCache>
                <c:formatCode>0</c:formatCode>
                <c:ptCount val="4"/>
                <c:pt idx="0">
                  <c:v>359.8087309599</c:v>
                </c:pt>
                <c:pt idx="1">
                  <c:v>371.49340497355223</c:v>
                </c:pt>
                <c:pt idx="2">
                  <c:v>340.03063420667837</c:v>
                </c:pt>
                <c:pt idx="3">
                  <c:v>357.86318763763529</c:v>
                </c:pt>
              </c:numCache>
            </c:numRef>
          </c:val>
          <c:smooth val="0"/>
          <c:extLst>
            <c:ext xmlns:c16="http://schemas.microsoft.com/office/drawing/2014/chart" uri="{C3380CC4-5D6E-409C-BE32-E72D297353CC}">
              <c16:uniqueId val="{00000000-0AA4-4735-BC67-920D32B5AF72}"/>
            </c:ext>
          </c:extLst>
        </c:ser>
        <c:ser>
          <c:idx val="1"/>
          <c:order val="1"/>
          <c:tx>
            <c:strRef>
              <c:f>'Imports in Construction'!$A$17</c:f>
              <c:strCache>
                <c:ptCount val="1"/>
                <c:pt idx="0">
                  <c:v>GEL (monthly imports summed up (USD*Average Monthly Exchange 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'Imports in Construction'!$G$15:$J$15</c:f>
              <c:numCache>
                <c:formatCode>General</c:formatCode>
                <c:ptCount val="4"/>
                <c:pt idx="0">
                  <c:v>2015</c:v>
                </c:pt>
                <c:pt idx="1">
                  <c:v>2016</c:v>
                </c:pt>
                <c:pt idx="2">
                  <c:v>2017</c:v>
                </c:pt>
                <c:pt idx="3">
                  <c:v>2018</c:v>
                </c:pt>
              </c:numCache>
            </c:numRef>
          </c:cat>
          <c:val>
            <c:numRef>
              <c:f>'Imports in Construction'!$G$17:$J$17</c:f>
              <c:numCache>
                <c:formatCode>0</c:formatCode>
                <c:ptCount val="4"/>
                <c:pt idx="0">
                  <c:v>822.71914073150299</c:v>
                </c:pt>
                <c:pt idx="1">
                  <c:v>873.32910480768476</c:v>
                </c:pt>
                <c:pt idx="2">
                  <c:v>851.11386679740201</c:v>
                </c:pt>
                <c:pt idx="3">
                  <c:v>907.35669694730439</c:v>
                </c:pt>
              </c:numCache>
            </c:numRef>
          </c:val>
          <c:smooth val="0"/>
          <c:extLst>
            <c:ext xmlns:c16="http://schemas.microsoft.com/office/drawing/2014/chart" uri="{C3380CC4-5D6E-409C-BE32-E72D297353CC}">
              <c16:uniqueId val="{00000001-0AA4-4735-BC67-920D32B5AF72}"/>
            </c:ext>
          </c:extLst>
        </c:ser>
        <c:dLbls>
          <c:dLblPos val="t"/>
          <c:showLegendKey val="0"/>
          <c:showVal val="1"/>
          <c:showCatName val="0"/>
          <c:showSerName val="0"/>
          <c:showPercent val="0"/>
          <c:showBubbleSize val="0"/>
        </c:dLbls>
        <c:marker val="1"/>
        <c:smooth val="0"/>
        <c:axId val="1603252224"/>
        <c:axId val="1603252768"/>
      </c:lineChart>
      <c:catAx>
        <c:axId val="16032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252768"/>
        <c:crosses val="autoZero"/>
        <c:auto val="1"/>
        <c:lblAlgn val="ctr"/>
        <c:lblOffset val="100"/>
        <c:noMultiLvlLbl val="0"/>
      </c:catAx>
      <c:valAx>
        <c:axId val="1603252768"/>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25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OvercrowdingSDG!$P$3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OvercrowdingSDG!$Q$3:$AB$3</c:f>
              <c:numCache>
                <c:formatCode>0.000%</c:formatCode>
                <c:ptCount val="12"/>
                <c:pt idx="0">
                  <c:v>3.6250343386745728E-3</c:v>
                </c:pt>
                <c:pt idx="1">
                  <c:v>1.1124218798894518E-3</c:v>
                </c:pt>
                <c:pt idx="2">
                  <c:v>8.4530360973789759E-4</c:v>
                </c:pt>
                <c:pt idx="3">
                  <c:v>3.0084235860409147E-4</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0-91F4-4349-9991-DC04A4C9C20C}"/>
            </c:ext>
          </c:extLst>
        </c:ser>
        <c:ser>
          <c:idx val="1"/>
          <c:order val="1"/>
          <c:tx>
            <c:strRef>
              <c:f>OvercrowdingSDG!$P$4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OvercrowdingSDG!$Q$4:$AB$4</c:f>
              <c:numCache>
                <c:formatCode>0.000%</c:formatCode>
                <c:ptCount val="12"/>
                <c:pt idx="0">
                  <c:v>5.9523809523809529E-4</c:v>
                </c:pt>
                <c:pt idx="1">
                  <c:v>1.4201209058096647E-3</c:v>
                </c:pt>
                <c:pt idx="2">
                  <c:v>1.1041834858172925E-3</c:v>
                </c:pt>
                <c:pt idx="3">
                  <c:v>1.3951185317518282E-3</c:v>
                </c:pt>
                <c:pt idx="4">
                  <c:v>5.263157894736842E-4</c:v>
                </c:pt>
                <c:pt idx="5">
                  <c:v>0</c:v>
                </c:pt>
                <c:pt idx="6">
                  <c:v>1.6176621510673235E-3</c:v>
                </c:pt>
                <c:pt idx="7">
                  <c:v>0</c:v>
                </c:pt>
                <c:pt idx="8">
                  <c:v>0</c:v>
                </c:pt>
                <c:pt idx="9">
                  <c:v>0</c:v>
                </c:pt>
                <c:pt idx="10">
                  <c:v>0</c:v>
                </c:pt>
                <c:pt idx="11">
                  <c:v>0</c:v>
                </c:pt>
              </c:numCache>
            </c:numRef>
          </c:val>
          <c:smooth val="0"/>
          <c:extLst>
            <c:ext xmlns:c16="http://schemas.microsoft.com/office/drawing/2014/chart" uri="{C3380CC4-5D6E-409C-BE32-E72D297353CC}">
              <c16:uniqueId val="{00000001-91F4-4349-9991-DC04A4C9C20C}"/>
            </c:ext>
          </c:extLst>
        </c:ser>
        <c:ser>
          <c:idx val="2"/>
          <c:order val="2"/>
          <c:tx>
            <c:strRef>
              <c:f>OvercrowdingSDG!$P$5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OvercrowdingSDG!$Q$5:$AB$5</c:f>
              <c:numCache>
                <c:formatCode>0.000%</c:formatCode>
                <c:ptCount val="12"/>
                <c:pt idx="0">
                  <c:v>5.7870370370370367E-4</c:v>
                </c:pt>
                <c:pt idx="1">
                  <c:v>1.1163514051751491E-3</c:v>
                </c:pt>
                <c:pt idx="2">
                  <c:v>5.5741360089186175E-4</c:v>
                </c:pt>
                <c:pt idx="3">
                  <c:v>8.9302160689340253E-4</c:v>
                </c:pt>
                <c:pt idx="4">
                  <c:v>1.7837663349584807E-3</c:v>
                </c:pt>
                <c:pt idx="5">
                  <c:v>0</c:v>
                </c:pt>
                <c:pt idx="6">
                  <c:v>5.5679287305122492E-4</c:v>
                </c:pt>
                <c:pt idx="7">
                  <c:v>0</c:v>
                </c:pt>
                <c:pt idx="8">
                  <c:v>0</c:v>
                </c:pt>
                <c:pt idx="9">
                  <c:v>0</c:v>
                </c:pt>
                <c:pt idx="10">
                  <c:v>0</c:v>
                </c:pt>
                <c:pt idx="11">
                  <c:v>0</c:v>
                </c:pt>
              </c:numCache>
            </c:numRef>
          </c:val>
          <c:smooth val="0"/>
          <c:extLst>
            <c:ext xmlns:c16="http://schemas.microsoft.com/office/drawing/2014/chart" uri="{C3380CC4-5D6E-409C-BE32-E72D297353CC}">
              <c16:uniqueId val="{00000002-91F4-4349-9991-DC04A4C9C20C}"/>
            </c:ext>
          </c:extLst>
        </c:ser>
        <c:ser>
          <c:idx val="3"/>
          <c:order val="3"/>
          <c:tx>
            <c:strRef>
              <c:f>OvercrowdingSDG!$P$6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OvercrowdingSDG!$Q$6:$AB$6</c:f>
              <c:numCache>
                <c:formatCode>0.000%</c:formatCode>
                <c:ptCount val="12"/>
                <c:pt idx="0">
                  <c:v>0</c:v>
                </c:pt>
                <c:pt idx="1">
                  <c:v>6.873938478958294E-4</c:v>
                </c:pt>
                <c:pt idx="2">
                  <c:v>4.1033909318488465E-3</c:v>
                </c:pt>
                <c:pt idx="3">
                  <c:v>2.0652130544483245E-3</c:v>
                </c:pt>
                <c:pt idx="4">
                  <c:v>6.4432989690721648E-4</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91F4-4349-9991-DC04A4C9C20C}"/>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1.5000000000000003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OvercrowdingUN!$A$3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OvercrowdingUN!$B$3:$M$3</c:f>
              <c:numCache>
                <c:formatCode>0.0%</c:formatCode>
                <c:ptCount val="12"/>
                <c:pt idx="0">
                  <c:v>4.1145734199454033E-2</c:v>
                </c:pt>
                <c:pt idx="1">
                  <c:v>3.6255893006179193E-2</c:v>
                </c:pt>
                <c:pt idx="2">
                  <c:v>3.4365369281196392E-2</c:v>
                </c:pt>
                <c:pt idx="3">
                  <c:v>3.6678478227416975E-2</c:v>
                </c:pt>
                <c:pt idx="4">
                  <c:v>3.0361533602296837E-2</c:v>
                </c:pt>
                <c:pt idx="5">
                  <c:v>3.3546215438537877E-2</c:v>
                </c:pt>
                <c:pt idx="6">
                  <c:v>2.6488873222922159E-2</c:v>
                </c:pt>
                <c:pt idx="7">
                  <c:v>2.1583275793138762E-2</c:v>
                </c:pt>
                <c:pt idx="8">
                  <c:v>1.671982978064733E-2</c:v>
                </c:pt>
                <c:pt idx="9">
                  <c:v>2.4055008678467334E-2</c:v>
                </c:pt>
                <c:pt idx="10">
                  <c:v>1.4442827239133134E-2</c:v>
                </c:pt>
                <c:pt idx="11">
                  <c:v>1.6762642004867562E-2</c:v>
                </c:pt>
              </c:numCache>
            </c:numRef>
          </c:val>
          <c:smooth val="0"/>
          <c:extLst>
            <c:ext xmlns:c16="http://schemas.microsoft.com/office/drawing/2014/chart" uri="{C3380CC4-5D6E-409C-BE32-E72D297353CC}">
              <c16:uniqueId val="{00000000-14A4-4D29-83E5-FD2BE161381B}"/>
            </c:ext>
          </c:extLst>
        </c:ser>
        <c:ser>
          <c:idx val="1"/>
          <c:order val="1"/>
          <c:tx>
            <c:strRef>
              <c:f>OvercrowdingUN!$A$4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OvercrowdingUN!$B$4:$M$4</c:f>
              <c:numCache>
                <c:formatCode>0.0%</c:formatCode>
                <c:ptCount val="12"/>
                <c:pt idx="0">
                  <c:v>0.12457030930020768</c:v>
                </c:pt>
                <c:pt idx="1">
                  <c:v>0.10219162824694394</c:v>
                </c:pt>
                <c:pt idx="2">
                  <c:v>0.12441685759649929</c:v>
                </c:pt>
                <c:pt idx="3">
                  <c:v>0.12016036201889441</c:v>
                </c:pt>
                <c:pt idx="4">
                  <c:v>5.6340057491450969E-2</c:v>
                </c:pt>
                <c:pt idx="5">
                  <c:v>0.11909129938705268</c:v>
                </c:pt>
                <c:pt idx="6">
                  <c:v>0.12692848711390911</c:v>
                </c:pt>
                <c:pt idx="7">
                  <c:v>0.10131578947368422</c:v>
                </c:pt>
                <c:pt idx="8">
                  <c:v>4.4871648918780066E-2</c:v>
                </c:pt>
                <c:pt idx="9">
                  <c:v>2.1203375878928524E-2</c:v>
                </c:pt>
                <c:pt idx="10">
                  <c:v>4.6571699837028774E-2</c:v>
                </c:pt>
                <c:pt idx="11">
                  <c:v>5.2428628391014517E-2</c:v>
                </c:pt>
              </c:numCache>
            </c:numRef>
          </c:val>
          <c:smooth val="0"/>
          <c:extLst>
            <c:ext xmlns:c16="http://schemas.microsoft.com/office/drawing/2014/chart" uri="{C3380CC4-5D6E-409C-BE32-E72D297353CC}">
              <c16:uniqueId val="{00000001-14A4-4D29-83E5-FD2BE161381B}"/>
            </c:ext>
          </c:extLst>
        </c:ser>
        <c:ser>
          <c:idx val="2"/>
          <c:order val="2"/>
          <c:tx>
            <c:strRef>
              <c:f>OvercrowdingUN!$A$5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OvercrowdingUN!$B$5:$M$5</c:f>
              <c:numCache>
                <c:formatCode>0.0%</c:formatCode>
                <c:ptCount val="12"/>
                <c:pt idx="0">
                  <c:v>3.7697574626997951E-2</c:v>
                </c:pt>
                <c:pt idx="1">
                  <c:v>2.8041716389887065E-2</c:v>
                </c:pt>
                <c:pt idx="2">
                  <c:v>2.8276468893448606E-2</c:v>
                </c:pt>
                <c:pt idx="3">
                  <c:v>3.1480665807644623E-2</c:v>
                </c:pt>
                <c:pt idx="4">
                  <c:v>2.136100378738184E-2</c:v>
                </c:pt>
                <c:pt idx="5">
                  <c:v>2.4171801460136408E-2</c:v>
                </c:pt>
                <c:pt idx="6">
                  <c:v>1.8585241105910165E-2</c:v>
                </c:pt>
                <c:pt idx="7">
                  <c:v>2.289846156706556E-2</c:v>
                </c:pt>
                <c:pt idx="8">
                  <c:v>1.0046597436327952E-2</c:v>
                </c:pt>
                <c:pt idx="9">
                  <c:v>1.2319353023011057E-2</c:v>
                </c:pt>
                <c:pt idx="10">
                  <c:v>1.0099558301058988E-2</c:v>
                </c:pt>
                <c:pt idx="11">
                  <c:v>1.0593253316913881E-2</c:v>
                </c:pt>
              </c:numCache>
            </c:numRef>
          </c:val>
          <c:smooth val="0"/>
          <c:extLst>
            <c:ext xmlns:c16="http://schemas.microsoft.com/office/drawing/2014/chart" uri="{C3380CC4-5D6E-409C-BE32-E72D297353CC}">
              <c16:uniqueId val="{00000002-14A4-4D29-83E5-FD2BE161381B}"/>
            </c:ext>
          </c:extLst>
        </c:ser>
        <c:ser>
          <c:idx val="3"/>
          <c:order val="3"/>
          <c:tx>
            <c:strRef>
              <c:f>OvercrowdingUN!$A$6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OvercrowdingUN!$B$6:$M$6</c:f>
              <c:numCache>
                <c:formatCode>0.0%</c:formatCode>
                <c:ptCount val="12"/>
                <c:pt idx="0">
                  <c:v>4.5676044869711253E-2</c:v>
                </c:pt>
                <c:pt idx="1">
                  <c:v>2.3417461415886499E-2</c:v>
                </c:pt>
                <c:pt idx="2">
                  <c:v>3.1924618854144993E-2</c:v>
                </c:pt>
                <c:pt idx="3">
                  <c:v>4.3332219251336901E-2</c:v>
                </c:pt>
                <c:pt idx="4">
                  <c:v>1.6940235690235689E-2</c:v>
                </c:pt>
                <c:pt idx="5">
                  <c:v>3.7771337319957757E-2</c:v>
                </c:pt>
                <c:pt idx="6">
                  <c:v>3.2041583060672341E-2</c:v>
                </c:pt>
                <c:pt idx="7">
                  <c:v>1.7365705573252743E-2</c:v>
                </c:pt>
                <c:pt idx="8">
                  <c:v>1.0940566956022725E-2</c:v>
                </c:pt>
                <c:pt idx="9">
                  <c:v>1.4910764470578701E-2</c:v>
                </c:pt>
                <c:pt idx="10">
                  <c:v>1.0900076382209571E-2</c:v>
                </c:pt>
                <c:pt idx="11">
                  <c:v>2.6045396228666903E-2</c:v>
                </c:pt>
              </c:numCache>
            </c:numRef>
          </c:val>
          <c:smooth val="0"/>
          <c:extLst>
            <c:ext xmlns:c16="http://schemas.microsoft.com/office/drawing/2014/chart" uri="{C3380CC4-5D6E-409C-BE32-E72D297353CC}">
              <c16:uniqueId val="{00000003-14A4-4D29-83E5-FD2BE161381B}"/>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150000000000000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OvercrowdingUN!$P$3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OvercrowdingUN!$Q$3:$AB$3</c:f>
              <c:numCache>
                <c:formatCode>0.0%</c:formatCode>
                <c:ptCount val="12"/>
                <c:pt idx="0">
                  <c:v>1.2629024747753339E-2</c:v>
                </c:pt>
                <c:pt idx="1">
                  <c:v>1.4522548495803832E-2</c:v>
                </c:pt>
                <c:pt idx="2">
                  <c:v>1.2310270088167376E-2</c:v>
                </c:pt>
                <c:pt idx="3">
                  <c:v>1.3633703107246951E-2</c:v>
                </c:pt>
                <c:pt idx="4">
                  <c:v>1.0348882136028628E-2</c:v>
                </c:pt>
                <c:pt idx="5">
                  <c:v>8.983352485447094E-3</c:v>
                </c:pt>
                <c:pt idx="6">
                  <c:v>6.3963242047427342E-3</c:v>
                </c:pt>
                <c:pt idx="7">
                  <c:v>4.9546899878574833E-3</c:v>
                </c:pt>
                <c:pt idx="8">
                  <c:v>5.3338351991346067E-3</c:v>
                </c:pt>
                <c:pt idx="9">
                  <c:v>5.5337773279088886E-3</c:v>
                </c:pt>
                <c:pt idx="10">
                  <c:v>4.7931091220954286E-3</c:v>
                </c:pt>
                <c:pt idx="11">
                  <c:v>5.1451775046671968E-3</c:v>
                </c:pt>
              </c:numCache>
            </c:numRef>
          </c:val>
          <c:smooth val="0"/>
          <c:extLst>
            <c:ext xmlns:c16="http://schemas.microsoft.com/office/drawing/2014/chart" uri="{C3380CC4-5D6E-409C-BE32-E72D297353CC}">
              <c16:uniqueId val="{00000000-F4DD-4F4A-A758-9FE5A7EFA7C9}"/>
            </c:ext>
          </c:extLst>
        </c:ser>
        <c:ser>
          <c:idx val="1"/>
          <c:order val="1"/>
          <c:tx>
            <c:strRef>
              <c:f>OvercrowdingUN!$P$4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OvercrowdingUN!$Q$4:$AB$4</c:f>
              <c:numCache>
                <c:formatCode>0.0%</c:formatCode>
                <c:ptCount val="12"/>
                <c:pt idx="0">
                  <c:v>0</c:v>
                </c:pt>
                <c:pt idx="1">
                  <c:v>4.8151311249137331E-2</c:v>
                </c:pt>
                <c:pt idx="2">
                  <c:v>1.7520881636050173E-2</c:v>
                </c:pt>
                <c:pt idx="3">
                  <c:v>3.6037519400769283E-2</c:v>
                </c:pt>
                <c:pt idx="4">
                  <c:v>3.6599883855981417E-2</c:v>
                </c:pt>
                <c:pt idx="5">
                  <c:v>0</c:v>
                </c:pt>
                <c:pt idx="6">
                  <c:v>0</c:v>
                </c:pt>
                <c:pt idx="7">
                  <c:v>0</c:v>
                </c:pt>
                <c:pt idx="8">
                  <c:v>0</c:v>
                </c:pt>
                <c:pt idx="9">
                  <c:v>0</c:v>
                </c:pt>
                <c:pt idx="10">
                  <c:v>6.8262411347517725E-3</c:v>
                </c:pt>
                <c:pt idx="11">
                  <c:v>1.518288474810214E-2</c:v>
                </c:pt>
              </c:numCache>
            </c:numRef>
          </c:val>
          <c:smooth val="0"/>
          <c:extLst>
            <c:ext xmlns:c16="http://schemas.microsoft.com/office/drawing/2014/chart" uri="{C3380CC4-5D6E-409C-BE32-E72D297353CC}">
              <c16:uniqueId val="{00000001-F4DD-4F4A-A758-9FE5A7EFA7C9}"/>
            </c:ext>
          </c:extLst>
        </c:ser>
        <c:ser>
          <c:idx val="2"/>
          <c:order val="2"/>
          <c:tx>
            <c:strRef>
              <c:f>OvercrowdingUN!$P$5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OvercrowdingUN!$Q$5:$AB$5</c:f>
              <c:numCache>
                <c:formatCode>0.0%</c:formatCode>
                <c:ptCount val="12"/>
                <c:pt idx="0">
                  <c:v>1.5261130226910844E-3</c:v>
                </c:pt>
                <c:pt idx="1">
                  <c:v>5.7418699186991872E-3</c:v>
                </c:pt>
                <c:pt idx="2">
                  <c:v>8.921303929153749E-3</c:v>
                </c:pt>
                <c:pt idx="3">
                  <c:v>8.8670901240635105E-3</c:v>
                </c:pt>
                <c:pt idx="4">
                  <c:v>7.563956739978988E-3</c:v>
                </c:pt>
                <c:pt idx="5">
                  <c:v>6.6924871170154186E-3</c:v>
                </c:pt>
                <c:pt idx="6">
                  <c:v>2.5486435390908264E-3</c:v>
                </c:pt>
                <c:pt idx="7">
                  <c:v>2.9580269525667016E-3</c:v>
                </c:pt>
                <c:pt idx="8">
                  <c:v>5.9835676103648233E-3</c:v>
                </c:pt>
                <c:pt idx="9">
                  <c:v>7.7926421831087372E-3</c:v>
                </c:pt>
                <c:pt idx="10">
                  <c:v>2.4082599248462159E-3</c:v>
                </c:pt>
                <c:pt idx="11">
                  <c:v>1.2923002945242532E-3</c:v>
                </c:pt>
              </c:numCache>
            </c:numRef>
          </c:val>
          <c:smooth val="0"/>
          <c:extLst>
            <c:ext xmlns:c16="http://schemas.microsoft.com/office/drawing/2014/chart" uri="{C3380CC4-5D6E-409C-BE32-E72D297353CC}">
              <c16:uniqueId val="{00000002-F4DD-4F4A-A758-9FE5A7EFA7C9}"/>
            </c:ext>
          </c:extLst>
        </c:ser>
        <c:ser>
          <c:idx val="3"/>
          <c:order val="3"/>
          <c:tx>
            <c:strRef>
              <c:f>OvercrowdingUN!$P$6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OvercrowdingUN!$Q$2:$AB$2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OvercrowdingUN!$Q$6:$AB$6</c:f>
              <c:numCache>
                <c:formatCode>0.0%</c:formatCode>
                <c:ptCount val="12"/>
                <c:pt idx="0">
                  <c:v>1.0168401774120803E-2</c:v>
                </c:pt>
                <c:pt idx="1">
                  <c:v>9.5711848154245785E-3</c:v>
                </c:pt>
                <c:pt idx="2">
                  <c:v>1.743113543582437E-2</c:v>
                </c:pt>
                <c:pt idx="3">
                  <c:v>1.3007166413902552E-2</c:v>
                </c:pt>
                <c:pt idx="4">
                  <c:v>6.2857178740913424E-3</c:v>
                </c:pt>
                <c:pt idx="5">
                  <c:v>1.472435688428138E-2</c:v>
                </c:pt>
                <c:pt idx="6">
                  <c:v>8.401402741239402E-3</c:v>
                </c:pt>
                <c:pt idx="7">
                  <c:v>1.3190153838300198E-2</c:v>
                </c:pt>
                <c:pt idx="8">
                  <c:v>1.0514419345362538E-2</c:v>
                </c:pt>
                <c:pt idx="9">
                  <c:v>9.8255253853487996E-3</c:v>
                </c:pt>
                <c:pt idx="10">
                  <c:v>1.3736263736263737E-3</c:v>
                </c:pt>
                <c:pt idx="11">
                  <c:v>2.809786898184688E-3</c:v>
                </c:pt>
              </c:numCache>
            </c:numRef>
          </c:val>
          <c:smooth val="0"/>
          <c:extLst>
            <c:ext xmlns:c16="http://schemas.microsoft.com/office/drawing/2014/chart" uri="{C3380CC4-5D6E-409C-BE32-E72D297353CC}">
              <c16:uniqueId val="{00000003-F4DD-4F4A-A758-9FE5A7EFA7C9}"/>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1500000000000000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OvercrowdingSDG!$A$3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OvercrowdingSDG!$B$3:$M$3</c:f>
              <c:numCache>
                <c:formatCode>0.0%</c:formatCode>
                <c:ptCount val="12"/>
                <c:pt idx="0">
                  <c:v>5.2654200999110671E-3</c:v>
                </c:pt>
                <c:pt idx="1">
                  <c:v>5.0325514047877273E-3</c:v>
                </c:pt>
                <c:pt idx="2">
                  <c:v>4.0953627898114254E-3</c:v>
                </c:pt>
                <c:pt idx="3">
                  <c:v>4.209869862566446E-3</c:v>
                </c:pt>
                <c:pt idx="4">
                  <c:v>2.3002517103684192E-3</c:v>
                </c:pt>
                <c:pt idx="5">
                  <c:v>4.4011835418842262E-3</c:v>
                </c:pt>
                <c:pt idx="6">
                  <c:v>1.4399101221463273E-3</c:v>
                </c:pt>
                <c:pt idx="7">
                  <c:v>9.3057427765399201E-4</c:v>
                </c:pt>
                <c:pt idx="8">
                  <c:v>9.429909287627799E-4</c:v>
                </c:pt>
                <c:pt idx="9">
                  <c:v>7.223692668261039E-4</c:v>
                </c:pt>
                <c:pt idx="10">
                  <c:v>6.7114528971799065E-4</c:v>
                </c:pt>
                <c:pt idx="11">
                  <c:v>5.3111385340713808E-4</c:v>
                </c:pt>
              </c:numCache>
            </c:numRef>
          </c:val>
          <c:smooth val="0"/>
          <c:extLst>
            <c:ext xmlns:c16="http://schemas.microsoft.com/office/drawing/2014/chart" uri="{C3380CC4-5D6E-409C-BE32-E72D297353CC}">
              <c16:uniqueId val="{00000000-218C-4111-BF94-6AC423D08B7A}"/>
            </c:ext>
          </c:extLst>
        </c:ser>
        <c:ser>
          <c:idx val="1"/>
          <c:order val="1"/>
          <c:tx>
            <c:strRef>
              <c:f>OvercrowdingSDG!$A$4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OvercrowdingSDG!$B$4:$M$4</c:f>
              <c:numCache>
                <c:formatCode>0.0%</c:formatCode>
                <c:ptCount val="12"/>
                <c:pt idx="0">
                  <c:v>3.7237913167223205E-2</c:v>
                </c:pt>
                <c:pt idx="1">
                  <c:v>5.0080634284363476E-2</c:v>
                </c:pt>
                <c:pt idx="2">
                  <c:v>2.1796606677758859E-2</c:v>
                </c:pt>
                <c:pt idx="3">
                  <c:v>4.4774683980739013E-2</c:v>
                </c:pt>
                <c:pt idx="4">
                  <c:v>2.882470557836642E-2</c:v>
                </c:pt>
                <c:pt idx="5">
                  <c:v>2.9405257982103281E-2</c:v>
                </c:pt>
                <c:pt idx="6">
                  <c:v>4.9019607843137254E-3</c:v>
                </c:pt>
                <c:pt idx="7">
                  <c:v>0</c:v>
                </c:pt>
                <c:pt idx="8">
                  <c:v>0</c:v>
                </c:pt>
                <c:pt idx="9">
                  <c:v>0</c:v>
                </c:pt>
                <c:pt idx="10">
                  <c:v>2.7472527472527475E-3</c:v>
                </c:pt>
                <c:pt idx="11">
                  <c:v>3.0864197530864196E-3</c:v>
                </c:pt>
              </c:numCache>
            </c:numRef>
          </c:val>
          <c:smooth val="0"/>
          <c:extLst>
            <c:ext xmlns:c16="http://schemas.microsoft.com/office/drawing/2014/chart" uri="{C3380CC4-5D6E-409C-BE32-E72D297353CC}">
              <c16:uniqueId val="{00000001-218C-4111-BF94-6AC423D08B7A}"/>
            </c:ext>
          </c:extLst>
        </c:ser>
        <c:ser>
          <c:idx val="2"/>
          <c:order val="2"/>
          <c:tx>
            <c:strRef>
              <c:f>OvercrowdingSDG!$A$5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OvercrowdingSDG!$B$5:$M$5</c:f>
              <c:numCache>
                <c:formatCode>0.0%</c:formatCode>
                <c:ptCount val="12"/>
                <c:pt idx="0">
                  <c:v>4.056560366785051E-3</c:v>
                </c:pt>
                <c:pt idx="1">
                  <c:v>8.2955680264245307E-3</c:v>
                </c:pt>
                <c:pt idx="2">
                  <c:v>6.1509427724776404E-3</c:v>
                </c:pt>
                <c:pt idx="3">
                  <c:v>3.6323454901792808E-3</c:v>
                </c:pt>
                <c:pt idx="4">
                  <c:v>1.2749391727493917E-3</c:v>
                </c:pt>
                <c:pt idx="5">
                  <c:v>1.8567294693865068E-3</c:v>
                </c:pt>
                <c:pt idx="6">
                  <c:v>0</c:v>
                </c:pt>
                <c:pt idx="7">
                  <c:v>0</c:v>
                </c:pt>
                <c:pt idx="8">
                  <c:v>2.5144465305821668E-3</c:v>
                </c:pt>
                <c:pt idx="9">
                  <c:v>1.9218651845480106E-3</c:v>
                </c:pt>
                <c:pt idx="10">
                  <c:v>4.4326241134751772E-4</c:v>
                </c:pt>
                <c:pt idx="11">
                  <c:v>9.3372716683986969E-4</c:v>
                </c:pt>
              </c:numCache>
            </c:numRef>
          </c:val>
          <c:smooth val="0"/>
          <c:extLst>
            <c:ext xmlns:c16="http://schemas.microsoft.com/office/drawing/2014/chart" uri="{C3380CC4-5D6E-409C-BE32-E72D297353CC}">
              <c16:uniqueId val="{00000002-218C-4111-BF94-6AC423D08B7A}"/>
            </c:ext>
          </c:extLst>
        </c:ser>
        <c:ser>
          <c:idx val="3"/>
          <c:order val="3"/>
          <c:tx>
            <c:strRef>
              <c:f>OvercrowdingSDG!$A$6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OvercrowdingSDG!$B$6:$M$6</c:f>
              <c:numCache>
                <c:formatCode>0.0%</c:formatCode>
                <c:ptCount val="12"/>
                <c:pt idx="0">
                  <c:v>5.9727570959920125E-3</c:v>
                </c:pt>
                <c:pt idx="1">
                  <c:v>4.2996993342401032E-3</c:v>
                </c:pt>
                <c:pt idx="2">
                  <c:v>7.7177565737833603E-3</c:v>
                </c:pt>
                <c:pt idx="3">
                  <c:v>7.5359077197312491E-3</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218C-4111-BF94-6AC423D08B7A}"/>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OvercrowdingSDG!$P$3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OvercrowdingSDG!$Q$3:$AB$3</c:f>
              <c:numCache>
                <c:formatCode>0.00%</c:formatCode>
                <c:ptCount val="12"/>
                <c:pt idx="0">
                  <c:v>1.2036613748222025E-3</c:v>
                </c:pt>
                <c:pt idx="1">
                  <c:v>1.0970717083345211E-3</c:v>
                </c:pt>
                <c:pt idx="2">
                  <c:v>1.5544215829536372E-3</c:v>
                </c:pt>
                <c:pt idx="3">
                  <c:v>1.1303758272489524E-3</c:v>
                </c:pt>
                <c:pt idx="4">
                  <c:v>7.3461260326545912E-4</c:v>
                </c:pt>
                <c:pt idx="5">
                  <c:v>0</c:v>
                </c:pt>
                <c:pt idx="6">
                  <c:v>5.8149288559055246E-4</c:v>
                </c:pt>
                <c:pt idx="7">
                  <c:v>0</c:v>
                </c:pt>
                <c:pt idx="8">
                  <c:v>0</c:v>
                </c:pt>
                <c:pt idx="9">
                  <c:v>0</c:v>
                </c:pt>
                <c:pt idx="10">
                  <c:v>0</c:v>
                </c:pt>
                <c:pt idx="11">
                  <c:v>0</c:v>
                </c:pt>
              </c:numCache>
            </c:numRef>
          </c:val>
          <c:smooth val="0"/>
          <c:extLst>
            <c:ext xmlns:c16="http://schemas.microsoft.com/office/drawing/2014/chart" uri="{C3380CC4-5D6E-409C-BE32-E72D297353CC}">
              <c16:uniqueId val="{00000000-C1D2-4759-A081-1D16A1A7ADAF}"/>
            </c:ext>
          </c:extLst>
        </c:ser>
        <c:ser>
          <c:idx val="1"/>
          <c:order val="1"/>
          <c:tx>
            <c:strRef>
              <c:f>OvercrowdingSDG!$P$4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OvercrowdingSDG!$Q$4:$AB$4</c:f>
              <c:numCache>
                <c:formatCode>0.0%</c:formatCode>
                <c:ptCount val="12"/>
                <c:pt idx="0">
                  <c:v>0</c:v>
                </c:pt>
                <c:pt idx="1">
                  <c:v>1.3723544973544973E-2</c:v>
                </c:pt>
                <c:pt idx="2">
                  <c:v>0</c:v>
                </c:pt>
                <c:pt idx="3">
                  <c:v>1.3202982657399285E-2</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C1D2-4759-A081-1D16A1A7ADAF}"/>
            </c:ext>
          </c:extLst>
        </c:ser>
        <c:ser>
          <c:idx val="2"/>
          <c:order val="2"/>
          <c:tx>
            <c:strRef>
              <c:f>OvercrowdingSDG!$P$5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OvercrowdingSDG!$Q$5:$AB$5</c:f>
              <c:numCache>
                <c:formatCode>0.0%</c:formatCode>
                <c:ptCount val="12"/>
                <c:pt idx="0">
                  <c:v>1.0251110186830685E-3</c:v>
                </c:pt>
                <c:pt idx="1">
                  <c:v>2.2583559168925022E-4</c:v>
                </c:pt>
                <c:pt idx="2">
                  <c:v>4.9569789252247836E-4</c:v>
                </c:pt>
                <c:pt idx="3">
                  <c:v>1.5137841883676763E-3</c:v>
                </c:pt>
                <c:pt idx="4">
                  <c:v>4.8923679060665359E-4</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C1D2-4759-A081-1D16A1A7ADAF}"/>
            </c:ext>
          </c:extLst>
        </c:ser>
        <c:ser>
          <c:idx val="3"/>
          <c:order val="3"/>
          <c:tx>
            <c:strRef>
              <c:f>OvercrowdingSDG!$P$6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OvercrowdingSDG!$Q$6:$AB$6</c:f>
              <c:numCache>
                <c:formatCode>0.0%</c:formatCode>
                <c:ptCount val="12"/>
                <c:pt idx="0">
                  <c:v>0</c:v>
                </c:pt>
                <c:pt idx="1">
                  <c:v>2.2477262239687995E-3</c:v>
                </c:pt>
                <c:pt idx="2">
                  <c:v>6.0094060754361436E-3</c:v>
                </c:pt>
                <c:pt idx="3">
                  <c:v>0</c:v>
                </c:pt>
                <c:pt idx="4">
                  <c:v>0</c:v>
                </c:pt>
                <c:pt idx="5">
                  <c:v>0</c:v>
                </c:pt>
                <c:pt idx="6">
                  <c:v>4.2403591065115565E-3</c:v>
                </c:pt>
                <c:pt idx="7">
                  <c:v>0</c:v>
                </c:pt>
                <c:pt idx="8">
                  <c:v>0</c:v>
                </c:pt>
                <c:pt idx="9">
                  <c:v>0</c:v>
                </c:pt>
                <c:pt idx="10">
                  <c:v>0</c:v>
                </c:pt>
                <c:pt idx="11">
                  <c:v>0</c:v>
                </c:pt>
              </c:numCache>
            </c:numRef>
          </c:val>
          <c:smooth val="0"/>
          <c:extLst>
            <c:ext xmlns:c16="http://schemas.microsoft.com/office/drawing/2014/chart" uri="{C3380CC4-5D6E-409C-BE32-E72D297353CC}">
              <c16:uniqueId val="{00000003-C1D2-4759-A081-1D16A1A7ADAF}"/>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OvercrowdingUN!$A$3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OvercrowdingUN!$B$3:$M$3</c:f>
              <c:numCache>
                <c:formatCode>0.0%</c:formatCode>
                <c:ptCount val="12"/>
                <c:pt idx="0">
                  <c:v>4.0749004174997924E-2</c:v>
                </c:pt>
                <c:pt idx="1">
                  <c:v>3.7828740941580889E-2</c:v>
                </c:pt>
                <c:pt idx="2">
                  <c:v>3.6120476012424234E-2</c:v>
                </c:pt>
                <c:pt idx="3">
                  <c:v>3.7963506691230706E-2</c:v>
                </c:pt>
                <c:pt idx="4">
                  <c:v>3.1241697335044592E-2</c:v>
                </c:pt>
                <c:pt idx="5">
                  <c:v>3.2460430784281742E-2</c:v>
                </c:pt>
                <c:pt idx="6">
                  <c:v>2.7102409780573749E-2</c:v>
                </c:pt>
                <c:pt idx="7">
                  <c:v>2.200093051238889E-2</c:v>
                </c:pt>
                <c:pt idx="8">
                  <c:v>1.6402173785033478E-2</c:v>
                </c:pt>
                <c:pt idx="9">
                  <c:v>2.2614318696379768E-2</c:v>
                </c:pt>
                <c:pt idx="10">
                  <c:v>1.3734351296368144E-2</c:v>
                </c:pt>
                <c:pt idx="11">
                  <c:v>1.4752858362131499E-2</c:v>
                </c:pt>
              </c:numCache>
            </c:numRef>
          </c:val>
          <c:smooth val="0"/>
          <c:extLst>
            <c:ext xmlns:c16="http://schemas.microsoft.com/office/drawing/2014/chart" uri="{C3380CC4-5D6E-409C-BE32-E72D297353CC}">
              <c16:uniqueId val="{00000000-22F6-4BCB-9EF4-04F26969D5DB}"/>
            </c:ext>
          </c:extLst>
        </c:ser>
        <c:ser>
          <c:idx val="1"/>
          <c:order val="1"/>
          <c:tx>
            <c:strRef>
              <c:f>OvercrowdingUN!$A$4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OvercrowdingUN!$B$4:$M$4</c:f>
              <c:numCache>
                <c:formatCode>0.0%</c:formatCode>
                <c:ptCount val="12"/>
                <c:pt idx="0">
                  <c:v>4.3976009200265676E-2</c:v>
                </c:pt>
                <c:pt idx="1">
                  <c:v>2.5597971953472208E-2</c:v>
                </c:pt>
                <c:pt idx="2">
                  <c:v>2.2214688599695973E-2</c:v>
                </c:pt>
                <c:pt idx="3">
                  <c:v>2.302375353335883E-2</c:v>
                </c:pt>
                <c:pt idx="4">
                  <c:v>2.0915050583327516E-2</c:v>
                </c:pt>
                <c:pt idx="5">
                  <c:v>3.1838416552492796E-2</c:v>
                </c:pt>
                <c:pt idx="6">
                  <c:v>1.256298938275217E-2</c:v>
                </c:pt>
                <c:pt idx="7">
                  <c:v>1.5978196047676231E-2</c:v>
                </c:pt>
                <c:pt idx="8">
                  <c:v>1.703435177056048E-2</c:v>
                </c:pt>
                <c:pt idx="9">
                  <c:v>2.2712410370891618E-2</c:v>
                </c:pt>
                <c:pt idx="10">
                  <c:v>1.3756936093001666E-2</c:v>
                </c:pt>
                <c:pt idx="11">
                  <c:v>2.4736377688011409E-2</c:v>
                </c:pt>
              </c:numCache>
            </c:numRef>
          </c:val>
          <c:smooth val="0"/>
          <c:extLst>
            <c:ext xmlns:c16="http://schemas.microsoft.com/office/drawing/2014/chart" uri="{C3380CC4-5D6E-409C-BE32-E72D297353CC}">
              <c16:uniqueId val="{00000001-22F6-4BCB-9EF4-04F26969D5DB}"/>
            </c:ext>
          </c:extLst>
        </c:ser>
        <c:ser>
          <c:idx val="2"/>
          <c:order val="2"/>
          <c:tx>
            <c:strRef>
              <c:f>OvercrowdingUN!$A$5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OvercrowdingUN!$B$5:$M$5</c:f>
              <c:numCache>
                <c:formatCode>0.0%</c:formatCode>
                <c:ptCount val="12"/>
                <c:pt idx="0">
                  <c:v>4.1846608890403619E-2</c:v>
                </c:pt>
                <c:pt idx="1">
                  <c:v>3.2221483451536644E-2</c:v>
                </c:pt>
                <c:pt idx="2">
                  <c:v>2.9588879439754308E-2</c:v>
                </c:pt>
                <c:pt idx="3">
                  <c:v>5.0499581041860857E-2</c:v>
                </c:pt>
                <c:pt idx="4">
                  <c:v>4.158928926370787E-2</c:v>
                </c:pt>
                <c:pt idx="5">
                  <c:v>5.7755231240837007E-2</c:v>
                </c:pt>
                <c:pt idx="6">
                  <c:v>4.0987874143526871E-2</c:v>
                </c:pt>
                <c:pt idx="7">
                  <c:v>2.8564753413085061E-2</c:v>
                </c:pt>
                <c:pt idx="8">
                  <c:v>2.2291795506081222E-2</c:v>
                </c:pt>
                <c:pt idx="9">
                  <c:v>6.230063795853269E-2</c:v>
                </c:pt>
                <c:pt idx="10">
                  <c:v>3.102694983745025E-2</c:v>
                </c:pt>
                <c:pt idx="11">
                  <c:v>5.4789615657488674E-2</c:v>
                </c:pt>
              </c:numCache>
            </c:numRef>
          </c:val>
          <c:smooth val="0"/>
          <c:extLst>
            <c:ext xmlns:c16="http://schemas.microsoft.com/office/drawing/2014/chart" uri="{C3380CC4-5D6E-409C-BE32-E72D297353CC}">
              <c16:uniqueId val="{00000002-22F6-4BCB-9EF4-04F26969D5DB}"/>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7.0000000000000007E-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OvercrowdingSDG!$A$3</c:f>
              <c:strCache>
                <c:ptCount val="1"/>
                <c:pt idx="0">
                  <c:v>Georgian families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OvercrowdingSDG!$B$3:$M$3</c:f>
              <c:numCache>
                <c:formatCode>0.00%</c:formatCode>
                <c:ptCount val="12"/>
                <c:pt idx="0">
                  <c:v>5.9610753685626593E-3</c:v>
                </c:pt>
                <c:pt idx="1">
                  <c:v>5.9386527637061114E-3</c:v>
                </c:pt>
                <c:pt idx="2">
                  <c:v>4.0860489104140914E-3</c:v>
                </c:pt>
                <c:pt idx="3">
                  <c:v>4.2986904672721801E-3</c:v>
                </c:pt>
                <c:pt idx="4">
                  <c:v>2.4619499667968628E-3</c:v>
                </c:pt>
                <c:pt idx="5">
                  <c:v>4.369852143686747E-3</c:v>
                </c:pt>
                <c:pt idx="6">
                  <c:v>1.4063148289071769E-3</c:v>
                </c:pt>
                <c:pt idx="7">
                  <c:v>1.1047350122988782E-3</c:v>
                </c:pt>
                <c:pt idx="8">
                  <c:v>0</c:v>
                </c:pt>
                <c:pt idx="9">
                  <c:v>8.482302890697453E-4</c:v>
                </c:pt>
                <c:pt idx="10">
                  <c:v>7.5996312298219301E-4</c:v>
                </c:pt>
                <c:pt idx="11">
                  <c:v>5.9057900810755145E-4</c:v>
                </c:pt>
              </c:numCache>
            </c:numRef>
          </c:val>
          <c:smooth val="0"/>
          <c:extLst>
            <c:ext xmlns:c16="http://schemas.microsoft.com/office/drawing/2014/chart" uri="{C3380CC4-5D6E-409C-BE32-E72D297353CC}">
              <c16:uniqueId val="{00000000-1975-4CA5-B870-5CCAC882F8E5}"/>
            </c:ext>
          </c:extLst>
        </c:ser>
        <c:ser>
          <c:idx val="1"/>
          <c:order val="1"/>
          <c:tx>
            <c:strRef>
              <c:f>OvercrowdingSDG!$A$4</c:f>
              <c:strCache>
                <c:ptCount val="1"/>
                <c:pt idx="0">
                  <c:v>Non-Georgian families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OvercrowdingSDG!$B$4:$M$4</c:f>
              <c:numCache>
                <c:formatCode>0.00%</c:formatCode>
                <c:ptCount val="12"/>
                <c:pt idx="0">
                  <c:v>0</c:v>
                </c:pt>
                <c:pt idx="1">
                  <c:v>0</c:v>
                </c:pt>
                <c:pt idx="2">
                  <c:v>5.4827712989697942E-3</c:v>
                </c:pt>
                <c:pt idx="3">
                  <c:v>1.0460251046025104E-3</c:v>
                </c:pt>
                <c:pt idx="4">
                  <c:v>0</c:v>
                </c:pt>
                <c:pt idx="5">
                  <c:v>6.4350106963743329E-3</c:v>
                </c:pt>
                <c:pt idx="6">
                  <c:v>2.5773195876288659E-3</c:v>
                </c:pt>
                <c:pt idx="7">
                  <c:v>0</c:v>
                </c:pt>
                <c:pt idx="8">
                  <c:v>8.5774874375272765E-3</c:v>
                </c:pt>
                <c:pt idx="9">
                  <c:v>0</c:v>
                </c:pt>
                <c:pt idx="10">
                  <c:v>0</c:v>
                </c:pt>
                <c:pt idx="11">
                  <c:v>0</c:v>
                </c:pt>
              </c:numCache>
            </c:numRef>
          </c:val>
          <c:smooth val="0"/>
          <c:extLst>
            <c:ext xmlns:c16="http://schemas.microsoft.com/office/drawing/2014/chart" uri="{C3380CC4-5D6E-409C-BE32-E72D297353CC}">
              <c16:uniqueId val="{00000001-1975-4CA5-B870-5CCAC882F8E5}"/>
            </c:ext>
          </c:extLst>
        </c:ser>
        <c:ser>
          <c:idx val="2"/>
          <c:order val="2"/>
          <c:tx>
            <c:strRef>
              <c:f>OvercrowdingSDG!$A$5</c:f>
              <c:strCache>
                <c:ptCount val="1"/>
                <c:pt idx="0">
                  <c:v>Mixed families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OvercrowdingSDG!$B$2:$M$2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OvercrowdingSDG!$B$5:$M$5</c:f>
              <c:numCache>
                <c:formatCode>0.00%</c:formatCode>
                <c:ptCount val="12"/>
                <c:pt idx="0">
                  <c:v>5.3191489361702126E-3</c:v>
                </c:pt>
                <c:pt idx="1">
                  <c:v>0</c:v>
                </c:pt>
                <c:pt idx="2">
                  <c:v>0</c:v>
                </c:pt>
                <c:pt idx="3">
                  <c:v>1.1606692890194975E-2</c:v>
                </c:pt>
                <c:pt idx="4">
                  <c:v>5.5555555555555558E-3</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1975-4CA5-B870-5CCAC882F8E5}"/>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1.5000000000000003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OvercrowdingSDG!$P$3</c:f>
              <c:strCache>
                <c:ptCount val="1"/>
                <c:pt idx="0">
                  <c:v>Georgian families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OvercrowdingSDG!$Q$3:$AB$3</c:f>
              <c:numCache>
                <c:formatCode>0.000%</c:formatCode>
                <c:ptCount val="12"/>
                <c:pt idx="0">
                  <c:v>1.4986510409113411E-3</c:v>
                </c:pt>
                <c:pt idx="1">
                  <c:v>1.0864707002687351E-3</c:v>
                </c:pt>
                <c:pt idx="2">
                  <c:v>1.888460064315287E-3</c:v>
                </c:pt>
                <c:pt idx="3">
                  <c:v>1.0946136849567087E-3</c:v>
                </c:pt>
                <c:pt idx="4">
                  <c:v>7.2199514264612843E-4</c:v>
                </c:pt>
                <c:pt idx="5">
                  <c:v>0</c:v>
                </c:pt>
                <c:pt idx="6">
                  <c:v>7.0723780920083881E-4</c:v>
                </c:pt>
                <c:pt idx="7">
                  <c:v>0</c:v>
                </c:pt>
                <c:pt idx="8">
                  <c:v>0</c:v>
                </c:pt>
                <c:pt idx="9">
                  <c:v>0</c:v>
                </c:pt>
                <c:pt idx="10">
                  <c:v>0</c:v>
                </c:pt>
                <c:pt idx="11">
                  <c:v>0</c:v>
                </c:pt>
              </c:numCache>
            </c:numRef>
          </c:val>
          <c:smooth val="0"/>
          <c:extLst>
            <c:ext xmlns:c16="http://schemas.microsoft.com/office/drawing/2014/chart" uri="{C3380CC4-5D6E-409C-BE32-E72D297353CC}">
              <c16:uniqueId val="{00000000-9296-44EB-97E2-3749A95237E7}"/>
            </c:ext>
          </c:extLst>
        </c:ser>
        <c:ser>
          <c:idx val="1"/>
          <c:order val="1"/>
          <c:tx>
            <c:strRef>
              <c:f>OvercrowdingSDG!$P$4</c:f>
              <c:strCache>
                <c:ptCount val="1"/>
                <c:pt idx="0">
                  <c:v>Non-Georgian families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OvercrowdingSDG!$Q$4:$AB$4</c:f>
              <c:numCache>
                <c:formatCode>0.000%</c:formatCode>
                <c:ptCount val="12"/>
                <c:pt idx="0">
                  <c:v>0</c:v>
                </c:pt>
                <c:pt idx="1">
                  <c:v>0</c:v>
                </c:pt>
                <c:pt idx="2">
                  <c:v>0</c:v>
                </c:pt>
                <c:pt idx="3">
                  <c:v>1.5349776243370854E-3</c:v>
                </c:pt>
                <c:pt idx="4">
                  <c:v>8.6805555555555551E-4</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9296-44EB-97E2-3749A95237E7}"/>
            </c:ext>
          </c:extLst>
        </c:ser>
        <c:ser>
          <c:idx val="2"/>
          <c:order val="2"/>
          <c:tx>
            <c:strRef>
              <c:f>OvercrowdingSDG!$P$5</c:f>
              <c:strCache>
                <c:ptCount val="1"/>
                <c:pt idx="0">
                  <c:v>Mixed families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OvercrowdingSDG!$Q$2:$AB$2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OvercrowdingSDG!$Q$5:$AB$5</c:f>
              <c:numCache>
                <c:formatCode>0.000%</c:formatCode>
                <c:ptCount val="12"/>
                <c:pt idx="0">
                  <c:v>0</c:v>
                </c:pt>
                <c:pt idx="1">
                  <c:v>9.449912084589741E-3</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9296-44EB-97E2-3749A95237E7}"/>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1.5000000000000003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0713035870519"/>
          <c:y val="0.11802092446777486"/>
          <c:w val="0.85472965879265095"/>
          <c:h val="0.6306620882915952"/>
        </c:manualLayout>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Geo!$A$237:$A$284</c:f>
              <c:numCache>
                <c:formatCode>m/d/yyyy</c:formatCode>
                <c:ptCount val="48"/>
                <c:pt idx="0">
                  <c:v>42035</c:v>
                </c:pt>
                <c:pt idx="1">
                  <c:v>42063</c:v>
                </c:pt>
                <c:pt idx="2">
                  <c:v>42094</c:v>
                </c:pt>
                <c:pt idx="3">
                  <c:v>42124</c:v>
                </c:pt>
                <c:pt idx="4">
                  <c:v>42155</c:v>
                </c:pt>
                <c:pt idx="5">
                  <c:v>42185</c:v>
                </c:pt>
                <c:pt idx="6">
                  <c:v>42216</c:v>
                </c:pt>
                <c:pt idx="7">
                  <c:v>42247</c:v>
                </c:pt>
                <c:pt idx="8">
                  <c:v>42277</c:v>
                </c:pt>
                <c:pt idx="9">
                  <c:v>42308</c:v>
                </c:pt>
                <c:pt idx="10">
                  <c:v>42338</c:v>
                </c:pt>
                <c:pt idx="11">
                  <c:v>42369</c:v>
                </c:pt>
                <c:pt idx="12">
                  <c:v>42400</c:v>
                </c:pt>
                <c:pt idx="13">
                  <c:v>42429</c:v>
                </c:pt>
                <c:pt idx="14">
                  <c:v>42460</c:v>
                </c:pt>
                <c:pt idx="15">
                  <c:v>42490</c:v>
                </c:pt>
                <c:pt idx="16">
                  <c:v>42521</c:v>
                </c:pt>
                <c:pt idx="17">
                  <c:v>42551</c:v>
                </c:pt>
                <c:pt idx="18">
                  <c:v>42582</c:v>
                </c:pt>
                <c:pt idx="19">
                  <c:v>42613</c:v>
                </c:pt>
                <c:pt idx="20">
                  <c:v>42643</c:v>
                </c:pt>
                <c:pt idx="21">
                  <c:v>42674</c:v>
                </c:pt>
                <c:pt idx="22">
                  <c:v>42704</c:v>
                </c:pt>
                <c:pt idx="23">
                  <c:v>42735</c:v>
                </c:pt>
                <c:pt idx="24">
                  <c:v>42766</c:v>
                </c:pt>
                <c:pt idx="25">
                  <c:v>42794</c:v>
                </c:pt>
                <c:pt idx="26">
                  <c:v>42825</c:v>
                </c:pt>
                <c:pt idx="27">
                  <c:v>42855</c:v>
                </c:pt>
                <c:pt idx="28">
                  <c:v>42886</c:v>
                </c:pt>
                <c:pt idx="29">
                  <c:v>42916</c:v>
                </c:pt>
                <c:pt idx="30">
                  <c:v>42947</c:v>
                </c:pt>
                <c:pt idx="31">
                  <c:v>42978</c:v>
                </c:pt>
                <c:pt idx="32">
                  <c:v>43008</c:v>
                </c:pt>
                <c:pt idx="33">
                  <c:v>43039</c:v>
                </c:pt>
                <c:pt idx="34">
                  <c:v>43069</c:v>
                </c:pt>
                <c:pt idx="35">
                  <c:v>43100</c:v>
                </c:pt>
                <c:pt idx="36">
                  <c:v>43131</c:v>
                </c:pt>
                <c:pt idx="37">
                  <c:v>43159</c:v>
                </c:pt>
                <c:pt idx="38">
                  <c:v>43190</c:v>
                </c:pt>
                <c:pt idx="39">
                  <c:v>43220</c:v>
                </c:pt>
                <c:pt idx="40">
                  <c:v>43251</c:v>
                </c:pt>
                <c:pt idx="41">
                  <c:v>43281</c:v>
                </c:pt>
                <c:pt idx="42">
                  <c:v>43312</c:v>
                </c:pt>
                <c:pt idx="43">
                  <c:v>43343</c:v>
                </c:pt>
                <c:pt idx="44">
                  <c:v>43373</c:v>
                </c:pt>
                <c:pt idx="45">
                  <c:v>43404</c:v>
                </c:pt>
                <c:pt idx="46">
                  <c:v>43434</c:v>
                </c:pt>
                <c:pt idx="47">
                  <c:v>43465</c:v>
                </c:pt>
              </c:numCache>
            </c:numRef>
          </c:cat>
          <c:val>
            <c:numRef>
              <c:f>Geo!$C$237:$C$284</c:f>
              <c:numCache>
                <c:formatCode>0.0000</c:formatCode>
                <c:ptCount val="48"/>
                <c:pt idx="0">
                  <c:v>1.9413387096774188</c:v>
                </c:pt>
                <c:pt idx="1">
                  <c:v>2.0872642857142858</c:v>
                </c:pt>
                <c:pt idx="2">
                  <c:v>2.1915967741935485</c:v>
                </c:pt>
                <c:pt idx="3">
                  <c:v>2.2577933333333333</c:v>
                </c:pt>
                <c:pt idx="4">
                  <c:v>2.3227096774193545</c:v>
                </c:pt>
                <c:pt idx="5">
                  <c:v>2.262926666666667</c:v>
                </c:pt>
                <c:pt idx="6">
                  <c:v>2.2563999999999997</c:v>
                </c:pt>
                <c:pt idx="7">
                  <c:v>2.3199483870967743</c:v>
                </c:pt>
                <c:pt idx="8">
                  <c:v>2.3984700000000005</c:v>
                </c:pt>
                <c:pt idx="9">
                  <c:v>2.3928225806451611</c:v>
                </c:pt>
                <c:pt idx="10">
                  <c:v>2.4017433333333345</c:v>
                </c:pt>
                <c:pt idx="11">
                  <c:v>2.39918064516129</c:v>
                </c:pt>
                <c:pt idx="12">
                  <c:v>2.4360161290322577</c:v>
                </c:pt>
                <c:pt idx="13">
                  <c:v>2.4829448275862078</c:v>
                </c:pt>
                <c:pt idx="14">
                  <c:v>2.3894064516129028</c:v>
                </c:pt>
                <c:pt idx="15">
                  <c:v>2.2651533333333336</c:v>
                </c:pt>
                <c:pt idx="16">
                  <c:v>2.1860451612903224</c:v>
                </c:pt>
                <c:pt idx="17">
                  <c:v>2.1876633333333335</c:v>
                </c:pt>
                <c:pt idx="18">
                  <c:v>2.336725806451613</c:v>
                </c:pt>
                <c:pt idx="19">
                  <c:v>2.318748387096774</c:v>
                </c:pt>
                <c:pt idx="20">
                  <c:v>2.3112666666666666</c:v>
                </c:pt>
                <c:pt idx="21">
                  <c:v>2.3599096774193544</c:v>
                </c:pt>
                <c:pt idx="22">
                  <c:v>2.4758266666666668</c:v>
                </c:pt>
                <c:pt idx="23">
                  <c:v>2.6510645161290314</c:v>
                </c:pt>
                <c:pt idx="24">
                  <c:v>2.7006709677419356</c:v>
                </c:pt>
                <c:pt idx="25">
                  <c:v>2.6429142857142858</c:v>
                </c:pt>
                <c:pt idx="26">
                  <c:v>2.4688516129032263</c:v>
                </c:pt>
                <c:pt idx="27">
                  <c:v>2.4163533333333329</c:v>
                </c:pt>
                <c:pt idx="28">
                  <c:v>2.4280290322580651</c:v>
                </c:pt>
                <c:pt idx="29">
                  <c:v>2.4115566666666668</c:v>
                </c:pt>
                <c:pt idx="30">
                  <c:v>2.3995354838709679</c:v>
                </c:pt>
                <c:pt idx="31">
                  <c:v>2.397093548387097</c:v>
                </c:pt>
                <c:pt idx="32">
                  <c:v>2.4669266666666667</c:v>
                </c:pt>
                <c:pt idx="33">
                  <c:v>2.497203225806452</c:v>
                </c:pt>
                <c:pt idx="34">
                  <c:v>2.6727799999999999</c:v>
                </c:pt>
                <c:pt idx="35">
                  <c:v>2.6125451612903232</c:v>
                </c:pt>
                <c:pt idx="36">
                  <c:v>2.5473387096774198</c:v>
                </c:pt>
                <c:pt idx="37">
                  <c:v>2.4642821428571433</c:v>
                </c:pt>
                <c:pt idx="38">
                  <c:v>2.4424935483870969</c:v>
                </c:pt>
                <c:pt idx="39">
                  <c:v>2.4256399999999991</c:v>
                </c:pt>
                <c:pt idx="40">
                  <c:v>2.4542677419354844</c:v>
                </c:pt>
                <c:pt idx="41">
                  <c:v>2.457826666666667</c:v>
                </c:pt>
                <c:pt idx="42">
                  <c:v>2.4468967741935481</c:v>
                </c:pt>
                <c:pt idx="43">
                  <c:v>2.5344387096774192</c:v>
                </c:pt>
                <c:pt idx="44">
                  <c:v>2.6097999999999999</c:v>
                </c:pt>
                <c:pt idx="45">
                  <c:v>2.6608064516129</c:v>
                </c:pt>
                <c:pt idx="46">
                  <c:v>2.6970300000000007</c:v>
                </c:pt>
                <c:pt idx="47">
                  <c:v>2.668570967741934</c:v>
                </c:pt>
              </c:numCache>
            </c:numRef>
          </c:val>
          <c:smooth val="0"/>
          <c:extLst>
            <c:ext xmlns:c16="http://schemas.microsoft.com/office/drawing/2014/chart" uri="{C3380CC4-5D6E-409C-BE32-E72D297353CC}">
              <c16:uniqueId val="{00000001-226D-4046-A637-91D144AE037C}"/>
            </c:ext>
          </c:extLst>
        </c:ser>
        <c:dLbls>
          <c:showLegendKey val="0"/>
          <c:showVal val="0"/>
          <c:showCatName val="0"/>
          <c:showSerName val="0"/>
          <c:showPercent val="0"/>
          <c:showBubbleSize val="0"/>
        </c:dLbls>
        <c:smooth val="0"/>
        <c:axId val="1749687824"/>
        <c:axId val="1749680752"/>
      </c:lineChart>
      <c:dateAx>
        <c:axId val="174968782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80752"/>
        <c:crosses val="autoZero"/>
        <c:auto val="1"/>
        <c:lblOffset val="100"/>
        <c:baseTimeUnit val="months"/>
      </c:dateAx>
      <c:valAx>
        <c:axId val="1749680752"/>
        <c:scaling>
          <c:orientation val="minMax"/>
          <c:min val="1.8"/>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8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'By regions'!$A$7:$A$18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'By regions'!$B$7:$B$18</c:f>
              <c:numCache>
                <c:formatCode>#,##0.0</c:formatCode>
                <c:ptCount val="12"/>
                <c:pt idx="0">
                  <c:v>495</c:v>
                </c:pt>
                <c:pt idx="1">
                  <c:v>600.79999999999995</c:v>
                </c:pt>
                <c:pt idx="2">
                  <c:v>629.5</c:v>
                </c:pt>
                <c:pt idx="3">
                  <c:v>673.5</c:v>
                </c:pt>
                <c:pt idx="4">
                  <c:v>743.6</c:v>
                </c:pt>
                <c:pt idx="5">
                  <c:v>895.5</c:v>
                </c:pt>
                <c:pt idx="6">
                  <c:v>872.8</c:v>
                </c:pt>
                <c:pt idx="7">
                  <c:v>948.3</c:v>
                </c:pt>
                <c:pt idx="8">
                  <c:v>1190.7</c:v>
                </c:pt>
                <c:pt idx="9">
                  <c:v>1272.9000000000001</c:v>
                </c:pt>
                <c:pt idx="10">
                  <c:v>1473</c:v>
                </c:pt>
                <c:pt idx="11">
                  <c:v>1560.5</c:v>
                </c:pt>
              </c:numCache>
            </c:numRef>
          </c:val>
          <c:smooth val="0"/>
          <c:extLst>
            <c:ext xmlns:c16="http://schemas.microsoft.com/office/drawing/2014/chart" uri="{C3380CC4-5D6E-409C-BE32-E72D297353CC}">
              <c16:uniqueId val="{00000000-A4DC-47DE-B1FA-875610FCD384}"/>
            </c:ext>
          </c:extLst>
        </c:ser>
        <c:dLbls>
          <c:showLegendKey val="0"/>
          <c:showVal val="0"/>
          <c:showCatName val="0"/>
          <c:showSerName val="0"/>
          <c:showPercent val="0"/>
          <c:showBubbleSize val="0"/>
        </c:dLbls>
        <c:marker val="1"/>
        <c:smooth val="0"/>
        <c:axId val="1961373728"/>
        <c:axId val="1962123968"/>
      </c:lineChart>
      <c:catAx>
        <c:axId val="196137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123968"/>
        <c:crosses val="autoZero"/>
        <c:auto val="1"/>
        <c:lblAlgn val="ctr"/>
        <c:lblOffset val="100"/>
        <c:noMultiLvlLbl val="0"/>
      </c:catAx>
      <c:valAx>
        <c:axId val="1962123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137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8916829887081E-2"/>
          <c:y val="7.785888077858881E-2"/>
          <c:w val="0.91201083170112918"/>
          <c:h val="0.83358507193900033"/>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'Selling rental price land price'!$E$33:$E$36</c:f>
              <c:numCache>
                <c:formatCode>General</c:formatCode>
                <c:ptCount val="4"/>
                <c:pt idx="0">
                  <c:v>2014</c:v>
                </c:pt>
                <c:pt idx="1">
                  <c:v>2015</c:v>
                </c:pt>
                <c:pt idx="2">
                  <c:v>2016</c:v>
                </c:pt>
                <c:pt idx="3">
                  <c:v>2017</c:v>
                </c:pt>
              </c:numCache>
            </c:numRef>
          </c:cat>
          <c:val>
            <c:numRef>
              <c:f>'Selling rental price land price'!$F$33:$F$36</c:f>
              <c:numCache>
                <c:formatCode>General</c:formatCode>
                <c:ptCount val="4"/>
                <c:pt idx="0">
                  <c:v>187</c:v>
                </c:pt>
                <c:pt idx="1">
                  <c:v>102</c:v>
                </c:pt>
                <c:pt idx="2">
                  <c:v>172</c:v>
                </c:pt>
                <c:pt idx="3">
                  <c:v>198</c:v>
                </c:pt>
              </c:numCache>
            </c:numRef>
          </c:val>
          <c:smooth val="0"/>
          <c:extLst>
            <c:ext xmlns:c16="http://schemas.microsoft.com/office/drawing/2014/chart" uri="{C3380CC4-5D6E-409C-BE32-E72D297353CC}">
              <c16:uniqueId val="{00000000-7661-4044-B838-F27A706611E8}"/>
            </c:ext>
          </c:extLst>
        </c:ser>
        <c:dLbls>
          <c:showLegendKey val="0"/>
          <c:showVal val="0"/>
          <c:showCatName val="0"/>
          <c:showSerName val="0"/>
          <c:showPercent val="0"/>
          <c:showBubbleSize val="0"/>
        </c:dLbls>
        <c:marker val="1"/>
        <c:smooth val="0"/>
        <c:axId val="1749676944"/>
        <c:axId val="1749678576"/>
      </c:lineChart>
      <c:catAx>
        <c:axId val="174967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78576"/>
        <c:crosses val="autoZero"/>
        <c:auto val="1"/>
        <c:lblAlgn val="ctr"/>
        <c:lblOffset val="100"/>
        <c:noMultiLvlLbl val="0"/>
      </c:catAx>
      <c:valAx>
        <c:axId val="174967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7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'Selling rental price land price'!$E$4:$E$9</c:f>
              <c:numCache>
                <c:formatCode>General</c:formatCode>
                <c:ptCount val="6"/>
                <c:pt idx="0">
                  <c:v>2012</c:v>
                </c:pt>
                <c:pt idx="1">
                  <c:v>2013</c:v>
                </c:pt>
                <c:pt idx="2">
                  <c:v>2014</c:v>
                </c:pt>
                <c:pt idx="3">
                  <c:v>2015</c:v>
                </c:pt>
                <c:pt idx="4">
                  <c:v>2016</c:v>
                </c:pt>
                <c:pt idx="5">
                  <c:v>2017</c:v>
                </c:pt>
              </c:numCache>
            </c:numRef>
          </c:cat>
          <c:val>
            <c:numRef>
              <c:f>'Selling rental price land price'!$F$4:$F$9</c:f>
              <c:numCache>
                <c:formatCode>General</c:formatCode>
                <c:ptCount val="6"/>
                <c:pt idx="0">
                  <c:v>186</c:v>
                </c:pt>
                <c:pt idx="1">
                  <c:v>173</c:v>
                </c:pt>
                <c:pt idx="2">
                  <c:v>177</c:v>
                </c:pt>
                <c:pt idx="3">
                  <c:v>176</c:v>
                </c:pt>
                <c:pt idx="4">
                  <c:v>161</c:v>
                </c:pt>
                <c:pt idx="5">
                  <c:v>192</c:v>
                </c:pt>
              </c:numCache>
            </c:numRef>
          </c:val>
          <c:smooth val="0"/>
          <c:extLst>
            <c:ext xmlns:c16="http://schemas.microsoft.com/office/drawing/2014/chart" uri="{C3380CC4-5D6E-409C-BE32-E72D297353CC}">
              <c16:uniqueId val="{00000000-AB2E-4F94-80CC-D17E76E7FB32}"/>
            </c:ext>
          </c:extLst>
        </c:ser>
        <c:dLbls>
          <c:showLegendKey val="0"/>
          <c:showVal val="0"/>
          <c:showCatName val="0"/>
          <c:showSerName val="0"/>
          <c:showPercent val="0"/>
          <c:showBubbleSize val="0"/>
        </c:dLbls>
        <c:marker val="1"/>
        <c:smooth val="0"/>
        <c:axId val="1749690000"/>
        <c:axId val="1749679120"/>
      </c:lineChart>
      <c:catAx>
        <c:axId val="174969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79120"/>
        <c:crosses val="autoZero"/>
        <c:auto val="1"/>
        <c:lblAlgn val="ctr"/>
        <c:lblOffset val="100"/>
        <c:noMultiLvlLbl val="0"/>
      </c:catAx>
      <c:valAx>
        <c:axId val="174967912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9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56161821414549"/>
          <c:y val="9.7412480974124804E-2"/>
          <c:w val="0.84543838178585451"/>
          <c:h val="0.65252124306379511"/>
        </c:manualLayout>
      </c:layout>
      <c:lineChart>
        <c:grouping val="standard"/>
        <c:varyColors val="0"/>
        <c:ser>
          <c:idx val="0"/>
          <c:order val="0"/>
          <c:tx>
            <c:strRef>
              <c:f>'Selling rental price land price'!$B$32</c:f>
              <c:strCache>
                <c:ptCount val="1"/>
                <c:pt idx="0">
                  <c:v>Primary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'Selling rental price land price'!$A$33:$A$38</c:f>
              <c:numCache>
                <c:formatCode>General</c:formatCode>
                <c:ptCount val="6"/>
                <c:pt idx="0">
                  <c:v>2012</c:v>
                </c:pt>
                <c:pt idx="1">
                  <c:v>2013</c:v>
                </c:pt>
                <c:pt idx="2">
                  <c:v>2014</c:v>
                </c:pt>
                <c:pt idx="3">
                  <c:v>2015</c:v>
                </c:pt>
                <c:pt idx="4">
                  <c:v>2016</c:v>
                </c:pt>
                <c:pt idx="5">
                  <c:v>2017</c:v>
                </c:pt>
              </c:numCache>
            </c:numRef>
          </c:cat>
          <c:val>
            <c:numRef>
              <c:f>'Selling rental price land price'!$B$33:$B$38</c:f>
              <c:numCache>
                <c:formatCode>General</c:formatCode>
                <c:ptCount val="6"/>
                <c:pt idx="0">
                  <c:v>641</c:v>
                </c:pt>
                <c:pt idx="1">
                  <c:v>643</c:v>
                </c:pt>
                <c:pt idx="2">
                  <c:v>653</c:v>
                </c:pt>
                <c:pt idx="3">
                  <c:v>656</c:v>
                </c:pt>
                <c:pt idx="4">
                  <c:v>640</c:v>
                </c:pt>
                <c:pt idx="5">
                  <c:v>639</c:v>
                </c:pt>
              </c:numCache>
            </c:numRef>
          </c:val>
          <c:smooth val="0"/>
          <c:extLst>
            <c:ext xmlns:c16="http://schemas.microsoft.com/office/drawing/2014/chart" uri="{C3380CC4-5D6E-409C-BE32-E72D297353CC}">
              <c16:uniqueId val="{00000000-23C8-49AB-9D7D-4E258752713D}"/>
            </c:ext>
          </c:extLst>
        </c:ser>
        <c:ser>
          <c:idx val="1"/>
          <c:order val="1"/>
          <c:tx>
            <c:strRef>
              <c:f>'Selling rental price land price'!$C$32</c:f>
              <c:strCache>
                <c:ptCount val="1"/>
                <c:pt idx="0">
                  <c:v>Secondary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'Selling rental price land price'!$A$33:$A$38</c:f>
              <c:numCache>
                <c:formatCode>General</c:formatCode>
                <c:ptCount val="6"/>
                <c:pt idx="0">
                  <c:v>2012</c:v>
                </c:pt>
                <c:pt idx="1">
                  <c:v>2013</c:v>
                </c:pt>
                <c:pt idx="2">
                  <c:v>2014</c:v>
                </c:pt>
                <c:pt idx="3">
                  <c:v>2015</c:v>
                </c:pt>
                <c:pt idx="4">
                  <c:v>2016</c:v>
                </c:pt>
                <c:pt idx="5">
                  <c:v>2017</c:v>
                </c:pt>
              </c:numCache>
            </c:numRef>
          </c:cat>
          <c:val>
            <c:numRef>
              <c:f>'Selling rental price land price'!$C$33:$C$38</c:f>
              <c:numCache>
                <c:formatCode>General</c:formatCode>
                <c:ptCount val="6"/>
                <c:pt idx="0">
                  <c:v>504</c:v>
                </c:pt>
                <c:pt idx="1">
                  <c:v>558</c:v>
                </c:pt>
                <c:pt idx="2">
                  <c:v>619</c:v>
                </c:pt>
                <c:pt idx="3">
                  <c:v>688</c:v>
                </c:pt>
                <c:pt idx="4">
                  <c:v>691</c:v>
                </c:pt>
                <c:pt idx="5">
                  <c:v>723</c:v>
                </c:pt>
              </c:numCache>
            </c:numRef>
          </c:val>
          <c:smooth val="0"/>
          <c:extLst>
            <c:ext xmlns:c16="http://schemas.microsoft.com/office/drawing/2014/chart" uri="{C3380CC4-5D6E-409C-BE32-E72D297353CC}">
              <c16:uniqueId val="{00000001-23C8-49AB-9D7D-4E258752713D}"/>
            </c:ext>
          </c:extLst>
        </c:ser>
        <c:dLbls>
          <c:showLegendKey val="0"/>
          <c:showVal val="0"/>
          <c:showCatName val="0"/>
          <c:showSerName val="0"/>
          <c:showPercent val="0"/>
          <c:showBubbleSize val="0"/>
        </c:dLbls>
        <c:marker val="1"/>
        <c:smooth val="0"/>
        <c:axId val="1749677488"/>
        <c:axId val="1749685648"/>
      </c:lineChart>
      <c:catAx>
        <c:axId val="174967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85648"/>
        <c:crosses val="autoZero"/>
        <c:auto val="1"/>
        <c:lblAlgn val="ctr"/>
        <c:lblOffset val="100"/>
        <c:noMultiLvlLbl val="0"/>
      </c:catAx>
      <c:valAx>
        <c:axId val="1749685648"/>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967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0302919124356"/>
          <c:y val="8.9089299884026113E-2"/>
          <c:w val="0.85686351706036756"/>
          <c:h val="0.63962583165476417"/>
        </c:manualLayout>
      </c:layout>
      <c:lineChart>
        <c:grouping val="standard"/>
        <c:varyColors val="0"/>
        <c:ser>
          <c:idx val="0"/>
          <c:order val="0"/>
          <c:tx>
            <c:strRef>
              <c:f>'Selling rental price land price'!$B$3</c:f>
              <c:strCache>
                <c:ptCount val="1"/>
                <c:pt idx="0">
                  <c:v>Primary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'Selling rental price land price'!$A$4:$A$9</c:f>
              <c:numCache>
                <c:formatCode>General</c:formatCode>
                <c:ptCount val="6"/>
                <c:pt idx="0">
                  <c:v>2012</c:v>
                </c:pt>
                <c:pt idx="1">
                  <c:v>2013</c:v>
                </c:pt>
                <c:pt idx="2">
                  <c:v>2014</c:v>
                </c:pt>
                <c:pt idx="3">
                  <c:v>2015</c:v>
                </c:pt>
                <c:pt idx="4">
                  <c:v>2016</c:v>
                </c:pt>
                <c:pt idx="5">
                  <c:v>2017</c:v>
                </c:pt>
              </c:numCache>
            </c:numRef>
          </c:cat>
          <c:val>
            <c:numRef>
              <c:f>'Selling rental price land price'!$B$4:$B$9</c:f>
              <c:numCache>
                <c:formatCode>General</c:formatCode>
                <c:ptCount val="6"/>
                <c:pt idx="0">
                  <c:v>758</c:v>
                </c:pt>
                <c:pt idx="1">
                  <c:v>739</c:v>
                </c:pt>
                <c:pt idx="2">
                  <c:v>759</c:v>
                </c:pt>
                <c:pt idx="3">
                  <c:v>695</c:v>
                </c:pt>
                <c:pt idx="4">
                  <c:v>714</c:v>
                </c:pt>
                <c:pt idx="5">
                  <c:v>663</c:v>
                </c:pt>
              </c:numCache>
            </c:numRef>
          </c:val>
          <c:smooth val="0"/>
          <c:extLst>
            <c:ext xmlns:c16="http://schemas.microsoft.com/office/drawing/2014/chart" uri="{C3380CC4-5D6E-409C-BE32-E72D297353CC}">
              <c16:uniqueId val="{00000000-1B1E-4B56-98EE-5B184027B48F}"/>
            </c:ext>
          </c:extLst>
        </c:ser>
        <c:ser>
          <c:idx val="1"/>
          <c:order val="1"/>
          <c:tx>
            <c:strRef>
              <c:f>'Selling rental price land price'!$C$3</c:f>
              <c:strCache>
                <c:ptCount val="1"/>
                <c:pt idx="0">
                  <c:v>Secondary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'Selling rental price land price'!$A$4:$A$9</c:f>
              <c:numCache>
                <c:formatCode>General</c:formatCode>
                <c:ptCount val="6"/>
                <c:pt idx="0">
                  <c:v>2012</c:v>
                </c:pt>
                <c:pt idx="1">
                  <c:v>2013</c:v>
                </c:pt>
                <c:pt idx="2">
                  <c:v>2014</c:v>
                </c:pt>
                <c:pt idx="3">
                  <c:v>2015</c:v>
                </c:pt>
                <c:pt idx="4">
                  <c:v>2016</c:v>
                </c:pt>
                <c:pt idx="5">
                  <c:v>2017</c:v>
                </c:pt>
              </c:numCache>
            </c:numRef>
          </c:cat>
          <c:val>
            <c:numRef>
              <c:f>'Selling rental price land price'!$C$4:$C$9</c:f>
              <c:numCache>
                <c:formatCode>General</c:formatCode>
                <c:ptCount val="6"/>
                <c:pt idx="0">
                  <c:v>664</c:v>
                </c:pt>
                <c:pt idx="1">
                  <c:v>667</c:v>
                </c:pt>
                <c:pt idx="2">
                  <c:v>673</c:v>
                </c:pt>
                <c:pt idx="3">
                  <c:v>693</c:v>
                </c:pt>
                <c:pt idx="4">
                  <c:v>618</c:v>
                </c:pt>
                <c:pt idx="5">
                  <c:v>612</c:v>
                </c:pt>
              </c:numCache>
            </c:numRef>
          </c:val>
          <c:smooth val="0"/>
          <c:extLst>
            <c:ext xmlns:c16="http://schemas.microsoft.com/office/drawing/2014/chart" uri="{C3380CC4-5D6E-409C-BE32-E72D297353CC}">
              <c16:uniqueId val="{00000001-1B1E-4B56-98EE-5B184027B48F}"/>
            </c:ext>
          </c:extLst>
        </c:ser>
        <c:dLbls>
          <c:showLegendKey val="0"/>
          <c:showVal val="0"/>
          <c:showCatName val="0"/>
          <c:showSerName val="0"/>
          <c:showPercent val="0"/>
          <c:showBubbleSize val="0"/>
        </c:dLbls>
        <c:marker val="1"/>
        <c:smooth val="0"/>
        <c:axId val="1682944256"/>
        <c:axId val="1682940448"/>
      </c:lineChart>
      <c:catAx>
        <c:axId val="168294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940448"/>
        <c:crosses val="autoZero"/>
        <c:auto val="1"/>
        <c:lblAlgn val="ctr"/>
        <c:lblOffset val="100"/>
        <c:noMultiLvlLbl val="0"/>
      </c:catAx>
      <c:valAx>
        <c:axId val="1682940448"/>
        <c:scaling>
          <c:orientation val="minMax"/>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94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'Selling rental price land price'!$B$59</c:f>
              <c:strCache>
                <c:ptCount val="1"/>
                <c:pt idx="0">
                  <c:v>Primary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'Selling rental price land price'!$A$60:$A$65</c:f>
              <c:numCache>
                <c:formatCode>General</c:formatCode>
                <c:ptCount val="6"/>
                <c:pt idx="0">
                  <c:v>2012</c:v>
                </c:pt>
                <c:pt idx="1">
                  <c:v>2013</c:v>
                </c:pt>
                <c:pt idx="2">
                  <c:v>2014</c:v>
                </c:pt>
                <c:pt idx="3">
                  <c:v>2015</c:v>
                </c:pt>
                <c:pt idx="4">
                  <c:v>2016</c:v>
                </c:pt>
                <c:pt idx="5">
                  <c:v>2017</c:v>
                </c:pt>
              </c:numCache>
            </c:numRef>
          </c:cat>
          <c:val>
            <c:numRef>
              <c:f>'Selling rental price land price'!$B$60:$B$65</c:f>
              <c:numCache>
                <c:formatCode>General</c:formatCode>
                <c:ptCount val="6"/>
                <c:pt idx="0">
                  <c:v>508</c:v>
                </c:pt>
                <c:pt idx="1">
                  <c:v>516</c:v>
                </c:pt>
                <c:pt idx="2">
                  <c:v>509</c:v>
                </c:pt>
                <c:pt idx="3">
                  <c:v>518</c:v>
                </c:pt>
                <c:pt idx="4">
                  <c:v>516</c:v>
                </c:pt>
                <c:pt idx="5">
                  <c:v>514</c:v>
                </c:pt>
              </c:numCache>
            </c:numRef>
          </c:val>
          <c:smooth val="0"/>
          <c:extLst>
            <c:ext xmlns:c16="http://schemas.microsoft.com/office/drawing/2014/chart" uri="{C3380CC4-5D6E-409C-BE32-E72D297353CC}">
              <c16:uniqueId val="{00000000-E414-46E3-95B7-92A767DE24AF}"/>
            </c:ext>
          </c:extLst>
        </c:ser>
        <c:ser>
          <c:idx val="1"/>
          <c:order val="1"/>
          <c:tx>
            <c:strRef>
              <c:f>'Selling rental price land price'!$C$59</c:f>
              <c:strCache>
                <c:ptCount val="1"/>
                <c:pt idx="0">
                  <c:v>Secondary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'Selling rental price land price'!$A$60:$A$65</c:f>
              <c:numCache>
                <c:formatCode>General</c:formatCode>
                <c:ptCount val="6"/>
                <c:pt idx="0">
                  <c:v>2012</c:v>
                </c:pt>
                <c:pt idx="1">
                  <c:v>2013</c:v>
                </c:pt>
                <c:pt idx="2">
                  <c:v>2014</c:v>
                </c:pt>
                <c:pt idx="3">
                  <c:v>2015</c:v>
                </c:pt>
                <c:pt idx="4">
                  <c:v>2016</c:v>
                </c:pt>
                <c:pt idx="5">
                  <c:v>2017</c:v>
                </c:pt>
              </c:numCache>
            </c:numRef>
          </c:cat>
          <c:val>
            <c:numRef>
              <c:f>'Selling rental price land price'!$C$60:$C$65</c:f>
              <c:numCache>
                <c:formatCode>General</c:formatCode>
                <c:ptCount val="6"/>
                <c:pt idx="0">
                  <c:v>364</c:v>
                </c:pt>
                <c:pt idx="1">
                  <c:v>370</c:v>
                </c:pt>
                <c:pt idx="2">
                  <c:v>368</c:v>
                </c:pt>
                <c:pt idx="3">
                  <c:v>360</c:v>
                </c:pt>
                <c:pt idx="4">
                  <c:v>350</c:v>
                </c:pt>
                <c:pt idx="5">
                  <c:v>347</c:v>
                </c:pt>
              </c:numCache>
            </c:numRef>
          </c:val>
          <c:smooth val="0"/>
          <c:extLst>
            <c:ext xmlns:c16="http://schemas.microsoft.com/office/drawing/2014/chart" uri="{C3380CC4-5D6E-409C-BE32-E72D297353CC}">
              <c16:uniqueId val="{00000001-E414-46E3-95B7-92A767DE24AF}"/>
            </c:ext>
          </c:extLst>
        </c:ser>
        <c:dLbls>
          <c:showLegendKey val="0"/>
          <c:showVal val="0"/>
          <c:showCatName val="0"/>
          <c:showSerName val="0"/>
          <c:showPercent val="0"/>
          <c:showBubbleSize val="0"/>
        </c:dLbls>
        <c:marker val="1"/>
        <c:smooth val="0"/>
        <c:axId val="1682940992"/>
        <c:axId val="1682944800"/>
      </c:lineChart>
      <c:catAx>
        <c:axId val="168294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944800"/>
        <c:crosses val="autoZero"/>
        <c:auto val="1"/>
        <c:lblAlgn val="ctr"/>
        <c:lblOffset val="100"/>
        <c:noMultiLvlLbl val="0"/>
      </c:catAx>
      <c:valAx>
        <c:axId val="1682944800"/>
        <c:scaling>
          <c:orientation val="minMax"/>
          <c:max val="80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294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0307461567303"/>
          <c:y val="7.1703650680028638E-2"/>
          <c:w val="0.89019685039370078"/>
          <c:h val="0.69781579575280361"/>
        </c:manualLayout>
      </c:layout>
      <c:lineChart>
        <c:grouping val="standard"/>
        <c:varyColors val="0"/>
        <c:ser>
          <c:idx val="0"/>
          <c:order val="0"/>
          <c:tx>
            <c:strRef>
              <c:f>'Selling rental price land price'!$M$60</c:f>
              <c:strCache>
                <c:ptCount val="1"/>
                <c:pt idx="0">
                  <c:v>1 room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'Selling rental price land price'!$N$59:$P$59</c:f>
              <c:numCache>
                <c:formatCode>General</c:formatCode>
                <c:ptCount val="3"/>
                <c:pt idx="0">
                  <c:v>2014</c:v>
                </c:pt>
                <c:pt idx="1">
                  <c:v>2015</c:v>
                </c:pt>
                <c:pt idx="2">
                  <c:v>2017</c:v>
                </c:pt>
              </c:numCache>
            </c:numRef>
          </c:cat>
          <c:val>
            <c:numRef>
              <c:f>'Selling rental price land price'!$N$60:$P$60</c:f>
              <c:numCache>
                <c:formatCode>General</c:formatCode>
                <c:ptCount val="3"/>
                <c:pt idx="0">
                  <c:v>128</c:v>
                </c:pt>
                <c:pt idx="1">
                  <c:v>120</c:v>
                </c:pt>
                <c:pt idx="2">
                  <c:v>105</c:v>
                </c:pt>
              </c:numCache>
            </c:numRef>
          </c:val>
          <c:smooth val="0"/>
          <c:extLst>
            <c:ext xmlns:c16="http://schemas.microsoft.com/office/drawing/2014/chart" uri="{C3380CC4-5D6E-409C-BE32-E72D297353CC}">
              <c16:uniqueId val="{00000000-E4E7-4328-93A7-80273CF1835E}"/>
            </c:ext>
          </c:extLst>
        </c:ser>
        <c:ser>
          <c:idx val="1"/>
          <c:order val="1"/>
          <c:tx>
            <c:strRef>
              <c:f>'Selling rental price land price'!$M$61</c:f>
              <c:strCache>
                <c:ptCount val="1"/>
                <c:pt idx="0">
                  <c:v>2 rooms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'Selling rental price land price'!$N$59:$P$59</c:f>
              <c:numCache>
                <c:formatCode>General</c:formatCode>
                <c:ptCount val="3"/>
                <c:pt idx="0">
                  <c:v>2014</c:v>
                </c:pt>
                <c:pt idx="1">
                  <c:v>2015</c:v>
                </c:pt>
                <c:pt idx="2">
                  <c:v>2017</c:v>
                </c:pt>
              </c:numCache>
            </c:numRef>
          </c:cat>
          <c:val>
            <c:numRef>
              <c:f>'Selling rental price land price'!$N$61:$P$61</c:f>
              <c:numCache>
                <c:formatCode>General</c:formatCode>
                <c:ptCount val="3"/>
                <c:pt idx="0">
                  <c:v>236</c:v>
                </c:pt>
                <c:pt idx="1">
                  <c:v>225</c:v>
                </c:pt>
                <c:pt idx="2">
                  <c:v>161</c:v>
                </c:pt>
              </c:numCache>
            </c:numRef>
          </c:val>
          <c:smooth val="0"/>
          <c:extLst>
            <c:ext xmlns:c16="http://schemas.microsoft.com/office/drawing/2014/chart" uri="{C3380CC4-5D6E-409C-BE32-E72D297353CC}">
              <c16:uniqueId val="{00000001-E4E7-4328-93A7-80273CF1835E}"/>
            </c:ext>
          </c:extLst>
        </c:ser>
        <c:ser>
          <c:idx val="2"/>
          <c:order val="2"/>
          <c:tx>
            <c:strRef>
              <c:f>'Selling rental price land price'!$M$62</c:f>
              <c:strCache>
                <c:ptCount val="1"/>
                <c:pt idx="0">
                  <c:v>3 rooms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'Selling rental price land price'!$N$59:$P$59</c:f>
              <c:numCache>
                <c:formatCode>General</c:formatCode>
                <c:ptCount val="3"/>
                <c:pt idx="0">
                  <c:v>2014</c:v>
                </c:pt>
                <c:pt idx="1">
                  <c:v>2015</c:v>
                </c:pt>
                <c:pt idx="2">
                  <c:v>2017</c:v>
                </c:pt>
              </c:numCache>
            </c:numRef>
          </c:cat>
          <c:val>
            <c:numRef>
              <c:f>'Selling rental price land price'!$N$62:$P$62</c:f>
              <c:numCache>
                <c:formatCode>General</c:formatCode>
                <c:ptCount val="3"/>
                <c:pt idx="0">
                  <c:v>290</c:v>
                </c:pt>
                <c:pt idx="1">
                  <c:v>275</c:v>
                </c:pt>
                <c:pt idx="2">
                  <c:v>233</c:v>
                </c:pt>
              </c:numCache>
            </c:numRef>
          </c:val>
          <c:smooth val="0"/>
          <c:extLst>
            <c:ext xmlns:c16="http://schemas.microsoft.com/office/drawing/2014/chart" uri="{C3380CC4-5D6E-409C-BE32-E72D297353CC}">
              <c16:uniqueId val="{00000002-E4E7-4328-93A7-80273CF1835E}"/>
            </c:ext>
          </c:extLst>
        </c:ser>
        <c:dLbls>
          <c:showLegendKey val="0"/>
          <c:showVal val="0"/>
          <c:showCatName val="0"/>
          <c:showSerName val="0"/>
          <c:showPercent val="0"/>
          <c:showBubbleSize val="0"/>
        </c:dLbls>
        <c:marker val="1"/>
        <c:smooth val="0"/>
        <c:axId val="1570359888"/>
        <c:axId val="1570354448"/>
      </c:lineChart>
      <c:catAx>
        <c:axId val="157035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354448"/>
        <c:crosses val="autoZero"/>
        <c:auto val="1"/>
        <c:lblAlgn val="ctr"/>
        <c:lblOffset val="100"/>
        <c:noMultiLvlLbl val="0"/>
      </c:catAx>
      <c:valAx>
        <c:axId val="157035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35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997594050743652E-2"/>
          <c:y val="2.5428331875182269E-2"/>
          <c:w val="0.8585579615048119"/>
          <c:h val="0.8416746864975212"/>
        </c:manualLayout>
      </c:layout>
      <c:lineChart>
        <c:grouping val="standard"/>
        <c:varyColors val="0"/>
        <c:ser>
          <c:idx val="0"/>
          <c:order val="0"/>
          <c:spPr>
            <a:ln w="28575" cap="rnd">
              <a:solidFill>
                <a:srgbClr val="0070C0"/>
              </a:solidFill>
              <a:round/>
            </a:ln>
            <a:effectLst/>
          </c:spPr>
          <c:marker>
            <c:symbol val="circle"/>
            <c:size val="5"/>
            <c:spPr>
              <a:solidFill>
                <a:srgbClr val="0070C0"/>
              </a:solidFill>
              <a:ln w="9525">
                <a:solidFill>
                  <a:srgbClr val="0070C0"/>
                </a:solidFill>
              </a:ln>
              <a:effectLst/>
            </c:spPr>
          </c:marker>
          <c:cat>
            <c:numRef>
              <c:f>'Average Monthly Earnings'!$A$27:$A$38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'Average Monthly Earnings'!$B$27:$B$38</c:f>
              <c:numCache>
                <c:formatCode>0.0</c:formatCode>
                <c:ptCount val="12"/>
                <c:pt idx="0">
                  <c:v>368.1</c:v>
                </c:pt>
                <c:pt idx="1">
                  <c:v>534.9</c:v>
                </c:pt>
                <c:pt idx="2">
                  <c:v>556.79999999999995</c:v>
                </c:pt>
                <c:pt idx="3">
                  <c:v>597.6</c:v>
                </c:pt>
                <c:pt idx="4">
                  <c:v>635.96724671882146</c:v>
                </c:pt>
                <c:pt idx="5">
                  <c:v>712.5</c:v>
                </c:pt>
                <c:pt idx="6">
                  <c:v>773.11569989635825</c:v>
                </c:pt>
                <c:pt idx="7">
                  <c:v>818.02109008415971</c:v>
                </c:pt>
                <c:pt idx="8">
                  <c:v>900.41560965665087</c:v>
                </c:pt>
                <c:pt idx="9">
                  <c:v>940.01049260678531</c:v>
                </c:pt>
                <c:pt idx="10">
                  <c:v>999.13358973787854</c:v>
                </c:pt>
                <c:pt idx="11">
                  <c:v>1068.27064705882</c:v>
                </c:pt>
              </c:numCache>
            </c:numRef>
          </c:val>
          <c:smooth val="0"/>
          <c:extLst>
            <c:ext xmlns:c16="http://schemas.microsoft.com/office/drawing/2014/chart" uri="{C3380CC4-5D6E-409C-BE32-E72D297353CC}">
              <c16:uniqueId val="{00000000-31FD-4A54-BCD9-9D4FBB545935}"/>
            </c:ext>
          </c:extLst>
        </c:ser>
        <c:dLbls>
          <c:showLegendKey val="0"/>
          <c:showVal val="0"/>
          <c:showCatName val="0"/>
          <c:showSerName val="0"/>
          <c:showPercent val="0"/>
          <c:showBubbleSize val="0"/>
        </c:dLbls>
        <c:marker val="1"/>
        <c:smooth val="0"/>
        <c:axId val="1804793792"/>
        <c:axId val="1804797056"/>
      </c:lineChart>
      <c:catAx>
        <c:axId val="18047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804797056"/>
        <c:crosses val="autoZero"/>
        <c:auto val="1"/>
        <c:lblAlgn val="ctr"/>
        <c:lblOffset val="100"/>
        <c:noMultiLvlLbl val="0"/>
      </c:catAx>
      <c:valAx>
        <c:axId val="1804797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80479379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'Selling rental price land price'!$M$33</c:f>
              <c:strCache>
                <c:ptCount val="1"/>
                <c:pt idx="0">
                  <c:v>1 room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'Selling rental price land price'!$N$32:$P$32</c:f>
              <c:numCache>
                <c:formatCode>General</c:formatCode>
                <c:ptCount val="3"/>
                <c:pt idx="0">
                  <c:v>2014</c:v>
                </c:pt>
                <c:pt idx="1">
                  <c:v>2015</c:v>
                </c:pt>
                <c:pt idx="2">
                  <c:v>2017</c:v>
                </c:pt>
              </c:numCache>
            </c:numRef>
          </c:cat>
          <c:val>
            <c:numRef>
              <c:f>'Selling rental price land price'!$N$33:$P$33</c:f>
              <c:numCache>
                <c:formatCode>General</c:formatCode>
                <c:ptCount val="3"/>
                <c:pt idx="0">
                  <c:v>275</c:v>
                </c:pt>
                <c:pt idx="1">
                  <c:v>280</c:v>
                </c:pt>
                <c:pt idx="2">
                  <c:v>200</c:v>
                </c:pt>
              </c:numCache>
            </c:numRef>
          </c:val>
          <c:smooth val="0"/>
          <c:extLst>
            <c:ext xmlns:c16="http://schemas.microsoft.com/office/drawing/2014/chart" uri="{C3380CC4-5D6E-409C-BE32-E72D297353CC}">
              <c16:uniqueId val="{00000000-8DBB-476B-8465-F76C843BA0FB}"/>
            </c:ext>
          </c:extLst>
        </c:ser>
        <c:ser>
          <c:idx val="1"/>
          <c:order val="1"/>
          <c:tx>
            <c:strRef>
              <c:f>'Selling rental price land price'!$M$34</c:f>
              <c:strCache>
                <c:ptCount val="1"/>
                <c:pt idx="0">
                  <c:v>2 rooms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'Selling rental price land price'!$N$32:$P$32</c:f>
              <c:numCache>
                <c:formatCode>General</c:formatCode>
                <c:ptCount val="3"/>
                <c:pt idx="0">
                  <c:v>2014</c:v>
                </c:pt>
                <c:pt idx="1">
                  <c:v>2015</c:v>
                </c:pt>
                <c:pt idx="2">
                  <c:v>2017</c:v>
                </c:pt>
              </c:numCache>
            </c:numRef>
          </c:cat>
          <c:val>
            <c:numRef>
              <c:f>'Selling rental price land price'!$N$34:$P$34</c:f>
              <c:numCache>
                <c:formatCode>General</c:formatCode>
                <c:ptCount val="3"/>
                <c:pt idx="0">
                  <c:v>420</c:v>
                </c:pt>
                <c:pt idx="1">
                  <c:v>440</c:v>
                </c:pt>
                <c:pt idx="2">
                  <c:v>303</c:v>
                </c:pt>
              </c:numCache>
            </c:numRef>
          </c:val>
          <c:smooth val="0"/>
          <c:extLst>
            <c:ext xmlns:c16="http://schemas.microsoft.com/office/drawing/2014/chart" uri="{C3380CC4-5D6E-409C-BE32-E72D297353CC}">
              <c16:uniqueId val="{00000001-8DBB-476B-8465-F76C843BA0FB}"/>
            </c:ext>
          </c:extLst>
        </c:ser>
        <c:ser>
          <c:idx val="2"/>
          <c:order val="2"/>
          <c:tx>
            <c:strRef>
              <c:f>'Selling rental price land price'!$M$35</c:f>
              <c:strCache>
                <c:ptCount val="1"/>
                <c:pt idx="0">
                  <c:v>3 rooms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'Selling rental price land price'!$N$32:$P$32</c:f>
              <c:numCache>
                <c:formatCode>General</c:formatCode>
                <c:ptCount val="3"/>
                <c:pt idx="0">
                  <c:v>2014</c:v>
                </c:pt>
                <c:pt idx="1">
                  <c:v>2015</c:v>
                </c:pt>
                <c:pt idx="2">
                  <c:v>2017</c:v>
                </c:pt>
              </c:numCache>
            </c:numRef>
          </c:cat>
          <c:val>
            <c:numRef>
              <c:f>'Selling rental price land price'!$N$35:$P$35</c:f>
              <c:numCache>
                <c:formatCode>General</c:formatCode>
                <c:ptCount val="3"/>
                <c:pt idx="0">
                  <c:v>600</c:v>
                </c:pt>
                <c:pt idx="1">
                  <c:v>630</c:v>
                </c:pt>
                <c:pt idx="2">
                  <c:v>426</c:v>
                </c:pt>
              </c:numCache>
            </c:numRef>
          </c:val>
          <c:smooth val="0"/>
          <c:extLst>
            <c:ext xmlns:c16="http://schemas.microsoft.com/office/drawing/2014/chart" uri="{C3380CC4-5D6E-409C-BE32-E72D297353CC}">
              <c16:uniqueId val="{00000002-8DBB-476B-8465-F76C843BA0FB}"/>
            </c:ext>
          </c:extLst>
        </c:ser>
        <c:dLbls>
          <c:showLegendKey val="0"/>
          <c:showVal val="0"/>
          <c:showCatName val="0"/>
          <c:showSerName val="0"/>
          <c:showPercent val="0"/>
          <c:showBubbleSize val="0"/>
        </c:dLbls>
        <c:marker val="1"/>
        <c:smooth val="0"/>
        <c:axId val="1570357168"/>
        <c:axId val="1570357712"/>
      </c:lineChart>
      <c:catAx>
        <c:axId val="157035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357712"/>
        <c:crosses val="autoZero"/>
        <c:auto val="1"/>
        <c:lblAlgn val="ctr"/>
        <c:lblOffset val="100"/>
        <c:noMultiLvlLbl val="0"/>
      </c:catAx>
      <c:valAx>
        <c:axId val="157035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35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Individuals</a:t>
            </a:r>
          </a:p>
        </c:rich>
      </c:tx>
      <c:layout>
        <c:manualLayout>
          <c:xMode val="edge"/>
          <c:yMode val="edge"/>
          <c:x val="0.37917737256527145"/>
          <c:y val="2.39520958083832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944502003039095"/>
          <c:y val="0.18437675829443476"/>
          <c:w val="0.52219229175300452"/>
          <c:h val="0.4752887924937526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F0A-455D-B697-2891FE7F541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0A-455D-B697-2891FE7F541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0A-455D-B697-2891FE7F541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F0A-455D-B697-2891FE7F541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F0A-455D-B697-2891FE7F541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F0A-455D-B697-2891FE7F541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F0A-455D-B697-2891FE7F5419}"/>
              </c:ext>
            </c:extLst>
          </c:dPt>
          <c:dLbls>
            <c:dLbl>
              <c:idx val="1"/>
              <c:layout>
                <c:manualLayout>
                  <c:x val="1.1282261592300962E-2"/>
                  <c:y val="-6.295931758530183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0A-455D-B697-2891FE7F5419}"/>
                </c:ext>
              </c:extLst>
            </c:dLbl>
            <c:dLbl>
              <c:idx val="2"/>
              <c:layout>
                <c:manualLayout>
                  <c:x val="6.893635170603675E-2"/>
                  <c:y val="-2.87029746281714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0A-455D-B697-2891FE7F5419}"/>
                </c:ext>
              </c:extLst>
            </c:dLbl>
            <c:dLbl>
              <c:idx val="3"/>
              <c:layout>
                <c:manualLayout>
                  <c:x val="5.4243219597550304E-5"/>
                  <c:y val="1.91484397783610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0A-455D-B697-2891FE7F5419}"/>
                </c:ext>
              </c:extLst>
            </c:dLbl>
            <c:dLbl>
              <c:idx val="4"/>
              <c:layout>
                <c:manualLayout>
                  <c:x val="-3.3764873140857396E-2"/>
                  <c:y val="1.22703412073489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0A-455D-B697-2891FE7F5419}"/>
                </c:ext>
              </c:extLst>
            </c:dLbl>
            <c:dLbl>
              <c:idx val="5"/>
              <c:layout>
                <c:manualLayout>
                  <c:x val="-3.3367235345581801E-2"/>
                  <c:y val="-5.50145815106445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0A-455D-B697-2891FE7F5419}"/>
                </c:ext>
              </c:extLst>
            </c:dLbl>
            <c:dLbl>
              <c:idx val="6"/>
              <c:layout>
                <c:manualLayout>
                  <c:x val="-2.5770997375328085E-2"/>
                  <c:y val="1.3670166229221348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0A-455D-B697-2891FE7F541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'Homeless and Roofless'!$A$69:$A$75</c:f>
              <c:strCache>
                <c:ptCount val="7"/>
                <c:pt idx="0">
                  <c:v>Lagodekhi  </c:v>
                </c:pt>
                <c:pt idx="1">
                  <c:v>Khashuri  </c:v>
                </c:pt>
                <c:pt idx="2">
                  <c:v>Kharagauli  </c:v>
                </c:pt>
                <c:pt idx="3">
                  <c:v>Kutaisi  </c:v>
                </c:pt>
                <c:pt idx="4">
                  <c:v>Poti  </c:v>
                </c:pt>
                <c:pt idx="5">
                  <c:v>Marneuli  </c:v>
                </c:pt>
                <c:pt idx="6">
                  <c:v>Rustavi  </c:v>
                </c:pt>
              </c:strCache>
            </c:strRef>
          </c:cat>
          <c:val>
            <c:numRef>
              <c:f>'Homeless and Roofless'!$B$69:$B$75</c:f>
              <c:numCache>
                <c:formatCode>0%</c:formatCode>
                <c:ptCount val="7"/>
                <c:pt idx="0">
                  <c:v>2.1482277121374866E-2</c:v>
                </c:pt>
                <c:pt idx="1">
                  <c:v>0.38023630504833511</c:v>
                </c:pt>
                <c:pt idx="2">
                  <c:v>1.1815252416756176E-2</c:v>
                </c:pt>
                <c:pt idx="3">
                  <c:v>1.1815252416756176E-2</c:v>
                </c:pt>
                <c:pt idx="4">
                  <c:v>7.7336197636949516E-2</c:v>
                </c:pt>
                <c:pt idx="5">
                  <c:v>0.25349087003222343</c:v>
                </c:pt>
                <c:pt idx="6">
                  <c:v>0.24382384532760473</c:v>
                </c:pt>
              </c:numCache>
            </c:numRef>
          </c:val>
          <c:extLst>
            <c:ext xmlns:c16="http://schemas.microsoft.com/office/drawing/2014/chart" uri="{C3380CC4-5D6E-409C-BE32-E72D297353CC}">
              <c16:uniqueId val="{0000000E-6F0A-455D-B697-2891FE7F54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5770851996793809"/>
          <c:w val="1"/>
          <c:h val="0.16261738116068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Households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BC-4FB6-9285-7C85900C6C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BC-4FB6-9285-7C85900C6C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BC-4FB6-9285-7C85900C6C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BC-4FB6-9285-7C85900C6CB6}"/>
              </c:ext>
            </c:extLst>
          </c:dPt>
          <c:dLbls>
            <c:dLbl>
              <c:idx val="0"/>
              <c:layout>
                <c:manualLayout>
                  <c:x val="8.8114063867016618E-2"/>
                  <c:y val="2.13101487314085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BC-4FB6-9285-7C85900C6CB6}"/>
                </c:ext>
              </c:extLst>
            </c:dLbl>
            <c:dLbl>
              <c:idx val="1"/>
              <c:layout>
                <c:manualLayout>
                  <c:x val="1.1583552055993001E-2"/>
                  <c:y val="4.54677019539224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BC-4FB6-9285-7C85900C6CB6}"/>
                </c:ext>
              </c:extLst>
            </c:dLbl>
            <c:dLbl>
              <c:idx val="2"/>
              <c:layout>
                <c:manualLayout>
                  <c:x val="-6.0447834645669316E-2"/>
                  <c:y val="-0.20344816272965879"/>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BC-4FB6-9285-7C85900C6CB6}"/>
                </c:ext>
              </c:extLst>
            </c:dLbl>
            <c:dLbl>
              <c:idx val="3"/>
              <c:layout>
                <c:manualLayout>
                  <c:x val="-7.5054790026246723E-2"/>
                  <c:y val="-5.333552055993001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BC-4FB6-9285-7C85900C6CB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'Homeless and Roofless'!$A$49:$A$52</c:f>
              <c:strCache>
                <c:ptCount val="4"/>
                <c:pt idx="0">
                  <c:v>Gurjaani</c:v>
                </c:pt>
                <c:pt idx="1">
                  <c:v>Kutaisi</c:v>
                </c:pt>
                <c:pt idx="2">
                  <c:v>Mestia</c:v>
                </c:pt>
                <c:pt idx="3">
                  <c:v>Lentekhi</c:v>
                </c:pt>
              </c:strCache>
            </c:strRef>
          </c:cat>
          <c:val>
            <c:numRef>
              <c:f>'Homeless and Roofless'!$B$49:$B$52</c:f>
              <c:numCache>
                <c:formatCode>0.0%</c:formatCode>
                <c:ptCount val="4"/>
                <c:pt idx="0">
                  <c:v>3.6484245439469321E-2</c:v>
                </c:pt>
                <c:pt idx="1">
                  <c:v>0.19734660033167495</c:v>
                </c:pt>
                <c:pt idx="2">
                  <c:v>0.76202321724709787</c:v>
                </c:pt>
                <c:pt idx="3">
                  <c:v>4.1459369817578775E-3</c:v>
                </c:pt>
              </c:numCache>
            </c:numRef>
          </c:val>
          <c:extLst>
            <c:ext xmlns:c16="http://schemas.microsoft.com/office/drawing/2014/chart" uri="{C3380CC4-5D6E-409C-BE32-E72D297353CC}">
              <c16:uniqueId val="{00000008-C0BC-4FB6-9285-7C85900C6CB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Households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57C-4547-9672-2F170FB0AD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57C-4547-9672-2F170FB0AD5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57C-4547-9672-2F170FB0AD5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57C-4547-9672-2F170FB0AD52}"/>
              </c:ext>
            </c:extLst>
          </c:dPt>
          <c:dLbls>
            <c:dLbl>
              <c:idx val="0"/>
              <c:layout>
                <c:manualLayout>
                  <c:x val="2.9454286964129485E-3"/>
                  <c:y val="-0.132843394575678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7C-4547-9672-2F170FB0AD52}"/>
                </c:ext>
              </c:extLst>
            </c:dLbl>
            <c:dLbl>
              <c:idx val="1"/>
              <c:layout>
                <c:manualLayout>
                  <c:x val="0.17881638232720909"/>
                  <c:y val="-1.123213764946048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7C-4547-9672-2F170FB0AD52}"/>
                </c:ext>
              </c:extLst>
            </c:dLbl>
            <c:dLbl>
              <c:idx val="2"/>
              <c:layout>
                <c:manualLayout>
                  <c:x val="-9.2945319335083112E-2"/>
                  <c:y val="-0.1007010061242344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7C-4547-9672-2F170FB0AD52}"/>
                </c:ext>
              </c:extLst>
            </c:dLbl>
            <c:dLbl>
              <c:idx val="3"/>
              <c:layout>
                <c:manualLayout>
                  <c:x val="-3.1440288713910761E-2"/>
                  <c:y val="-8.67989938757655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7C-4547-9672-2F170FB0AD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'Homeless and Roofless'!$A$31:$A$34</c:f>
              <c:strCache>
                <c:ptCount val="4"/>
                <c:pt idx="0">
                  <c:v>Rented</c:v>
                </c:pt>
                <c:pt idx="1">
                  <c:v>Living Space</c:v>
                </c:pt>
                <c:pt idx="2">
                  <c:v>Shelters</c:v>
                </c:pt>
                <c:pt idx="3">
                  <c:v>Social Houses</c:v>
                </c:pt>
              </c:strCache>
            </c:strRef>
          </c:cat>
          <c:val>
            <c:numRef>
              <c:f>'Homeless and Roofless'!$B$31:$B$34</c:f>
              <c:numCache>
                <c:formatCode>0.0%</c:formatCode>
                <c:ptCount val="4"/>
                <c:pt idx="0">
                  <c:v>0.40304182509505704</c:v>
                </c:pt>
                <c:pt idx="1">
                  <c:v>9.2522179974651453E-2</c:v>
                </c:pt>
                <c:pt idx="2">
                  <c:v>0.15209125475285171</c:v>
                </c:pt>
                <c:pt idx="3">
                  <c:v>0.35234474017743977</c:v>
                </c:pt>
              </c:numCache>
            </c:numRef>
          </c:val>
          <c:extLst>
            <c:ext xmlns:c16="http://schemas.microsoft.com/office/drawing/2014/chart" uri="{C3380CC4-5D6E-409C-BE32-E72D297353CC}">
              <c16:uniqueId val="{00000008-657C-4547-9672-2F170FB0AD5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Individuals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111631046119235"/>
          <c:y val="0.19871612879375994"/>
          <c:w val="0.58243607049118851"/>
          <c:h val="0.5742327455546929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6F-41A0-8C8F-90F4B7446F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6F-41A0-8C8F-90F4B7446F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6F-41A0-8C8F-90F4B7446F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6F-41A0-8C8F-90F4B7446F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6F-41A0-8C8F-90F4B7446F72}"/>
              </c:ext>
            </c:extLst>
          </c:dPt>
          <c:dLbls>
            <c:dLbl>
              <c:idx val="0"/>
              <c:layout>
                <c:manualLayout>
                  <c:x val="-3.3330161854768156E-2"/>
                  <c:y val="-7.94630358705161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6F-41A0-8C8F-90F4B7446F72}"/>
                </c:ext>
              </c:extLst>
            </c:dLbl>
            <c:dLbl>
              <c:idx val="1"/>
              <c:layout>
                <c:manualLayout>
                  <c:x val="2.9518919510061241E-2"/>
                  <c:y val="-2.257874015748031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6F-41A0-8C8F-90F4B7446F72}"/>
                </c:ext>
              </c:extLst>
            </c:dLbl>
            <c:dLbl>
              <c:idx val="2"/>
              <c:layout>
                <c:manualLayout>
                  <c:x val="4.2698928258967629E-2"/>
                  <c:y val="-2.011665208515602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6F-41A0-8C8F-90F4B7446F72}"/>
                </c:ext>
              </c:extLst>
            </c:dLbl>
            <c:dLbl>
              <c:idx val="3"/>
              <c:layout>
                <c:manualLayout>
                  <c:x val="-1.0782261592300963E-2"/>
                  <c:y val="-4.805555555555555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6F-41A0-8C8F-90F4B7446F72}"/>
                </c:ext>
              </c:extLst>
            </c:dLbl>
            <c:dLbl>
              <c:idx val="4"/>
              <c:layout>
                <c:manualLayout>
                  <c:x val="-7.9453193350831147E-2"/>
                  <c:y val="1.25783756197141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6F-41A0-8C8F-90F4B7446F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'Homeless and Roofless'!$A$37:$A$41</c:f>
              <c:strCache>
                <c:ptCount val="5"/>
                <c:pt idx="0">
                  <c:v>Rented</c:v>
                </c:pt>
                <c:pt idx="1">
                  <c:v>Living Space</c:v>
                </c:pt>
                <c:pt idx="2">
                  <c:v>Shelters</c:v>
                </c:pt>
                <c:pt idx="3">
                  <c:v>Social Houses</c:v>
                </c:pt>
                <c:pt idx="4">
                  <c:v>Monetary Assistance</c:v>
                </c:pt>
              </c:strCache>
            </c:strRef>
          </c:cat>
          <c:val>
            <c:numRef>
              <c:f>'Homeless and Roofless'!$B$37:$B$41</c:f>
              <c:numCache>
                <c:formatCode>0.0%</c:formatCode>
                <c:ptCount val="5"/>
                <c:pt idx="0">
                  <c:v>0.32409972299168976</c:v>
                </c:pt>
                <c:pt idx="1">
                  <c:v>3.0470914127423823E-2</c:v>
                </c:pt>
                <c:pt idx="2">
                  <c:v>0.25900277008310252</c:v>
                </c:pt>
                <c:pt idx="3">
                  <c:v>0.28947368421052633</c:v>
                </c:pt>
                <c:pt idx="4">
                  <c:v>9.6952908587257622E-2</c:v>
                </c:pt>
              </c:numCache>
            </c:numRef>
          </c:val>
          <c:extLst>
            <c:ext xmlns:c16="http://schemas.microsoft.com/office/drawing/2014/chart" uri="{C3380CC4-5D6E-409C-BE32-E72D297353CC}">
              <c16:uniqueId val="{0000000A-A76F-41A0-8C8F-90F4B7446F7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2443569553805769E-2"/>
          <c:y val="0.83039739750841002"/>
          <c:w val="0.95987476565429319"/>
          <c:h val="0.141433588407082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Individuals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'Homeless and Roofless'!$E$2</c:f>
              <c:strCache>
                <c:ptCount val="1"/>
                <c:pt idx="0">
                  <c:v>Homeless Individuals</c:v>
                </c:pt>
              </c:strCache>
            </c:strRef>
          </c:tx>
          <c:spPr>
            <a:solidFill>
              <a:schemeClr val="accent1"/>
            </a:solidFill>
            <a:ln>
              <a:noFill/>
            </a:ln>
            <a:effectLst/>
          </c:spPr>
          <c:invertIfNegative val="0"/>
          <c:cat>
            <c:strRef>
              <c:f>'Homeless and Roofless'!$D$3:$D$17</c:f>
              <c:strCache>
                <c:ptCount val="15"/>
                <c:pt idx="0">
                  <c:v>Martvili </c:v>
                </c:pt>
                <c:pt idx="1">
                  <c:v>Chkorotskhu </c:v>
                </c:pt>
                <c:pt idx="2">
                  <c:v>Bagdati </c:v>
                </c:pt>
                <c:pt idx="3">
                  <c:v>Tetritskaro </c:v>
                </c:pt>
                <c:pt idx="4">
                  <c:v>Batumi </c:v>
                </c:pt>
                <c:pt idx="5">
                  <c:v>Senaki </c:v>
                </c:pt>
                <c:pt idx="6">
                  <c:v>Kharagauli </c:v>
                </c:pt>
                <c:pt idx="7">
                  <c:v>Kutaisi</c:v>
                </c:pt>
                <c:pt idx="8">
                  <c:v>Bolnisi </c:v>
                </c:pt>
                <c:pt idx="9">
                  <c:v>Akhalkalaki </c:v>
                </c:pt>
                <c:pt idx="10">
                  <c:v>Marneuli </c:v>
                </c:pt>
                <c:pt idx="11">
                  <c:v>Gori </c:v>
                </c:pt>
                <c:pt idx="12">
                  <c:v>Khoni </c:v>
                </c:pt>
                <c:pt idx="13">
                  <c:v>Tskhaltubo </c:v>
                </c:pt>
                <c:pt idx="14">
                  <c:v>Zestafoni </c:v>
                </c:pt>
              </c:strCache>
            </c:strRef>
          </c:cat>
          <c:val>
            <c:numRef>
              <c:f>'Homeless and Roofless'!$E$3:$E$17</c:f>
              <c:numCache>
                <c:formatCode>0.0%</c:formatCode>
                <c:ptCount val="15"/>
                <c:pt idx="0">
                  <c:v>1.8005540166204988E-2</c:v>
                </c:pt>
                <c:pt idx="1">
                  <c:v>3.6011080332409975E-2</c:v>
                </c:pt>
                <c:pt idx="2">
                  <c:v>0.13573407202216067</c:v>
                </c:pt>
                <c:pt idx="3">
                  <c:v>2.7700831024930748E-3</c:v>
                </c:pt>
                <c:pt idx="4">
                  <c:v>0.23822714681440443</c:v>
                </c:pt>
                <c:pt idx="5">
                  <c:v>4.1551246537396121E-2</c:v>
                </c:pt>
                <c:pt idx="6">
                  <c:v>1.3850415512465374E-3</c:v>
                </c:pt>
                <c:pt idx="7">
                  <c:v>1.3850415512465374E-2</c:v>
                </c:pt>
                <c:pt idx="8">
                  <c:v>2.077562326869806E-2</c:v>
                </c:pt>
                <c:pt idx="9">
                  <c:v>2.7700831024930748E-3</c:v>
                </c:pt>
                <c:pt idx="10">
                  <c:v>4.1551246537396124E-3</c:v>
                </c:pt>
                <c:pt idx="11">
                  <c:v>0.27562326869806092</c:v>
                </c:pt>
                <c:pt idx="12">
                  <c:v>2.7700831024930747E-2</c:v>
                </c:pt>
                <c:pt idx="13">
                  <c:v>8.4487534626038779E-2</c:v>
                </c:pt>
                <c:pt idx="14">
                  <c:v>9.6952908587257622E-2</c:v>
                </c:pt>
              </c:numCache>
            </c:numRef>
          </c:val>
          <c:extLst>
            <c:ext xmlns:c16="http://schemas.microsoft.com/office/drawing/2014/chart" uri="{C3380CC4-5D6E-409C-BE32-E72D297353CC}">
              <c16:uniqueId val="{00000000-A21A-4F4A-8BF1-ABEC9C8ADE6C}"/>
            </c:ext>
          </c:extLst>
        </c:ser>
        <c:dLbls>
          <c:showLegendKey val="0"/>
          <c:showVal val="0"/>
          <c:showCatName val="0"/>
          <c:showSerName val="0"/>
          <c:showPercent val="0"/>
          <c:showBubbleSize val="0"/>
        </c:dLbls>
        <c:gapWidth val="182"/>
        <c:axId val="1848363936"/>
        <c:axId val="1848336192"/>
      </c:barChart>
      <c:catAx>
        <c:axId val="184836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336192"/>
        <c:crosses val="autoZero"/>
        <c:auto val="1"/>
        <c:lblAlgn val="ctr"/>
        <c:lblOffset val="100"/>
        <c:noMultiLvlLbl val="0"/>
      </c:catAx>
      <c:valAx>
        <c:axId val="1848336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8363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Households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'Homeless and Roofless'!$B$2</c:f>
              <c:strCache>
                <c:ptCount val="1"/>
                <c:pt idx="0">
                  <c:v> Homeless Households</c:v>
                </c:pt>
              </c:strCache>
            </c:strRef>
          </c:tx>
          <c:spPr>
            <a:solidFill>
              <a:schemeClr val="accent1"/>
            </a:solidFill>
            <a:ln>
              <a:noFill/>
            </a:ln>
            <a:effectLst/>
          </c:spPr>
          <c:invertIfNegative val="0"/>
          <c:cat>
            <c:strRef>
              <c:f>'Homeless and Roofless'!$A$3:$A$18</c:f>
              <c:strCache>
                <c:ptCount val="16"/>
                <c:pt idx="0">
                  <c:v>Telavi</c:v>
                </c:pt>
                <c:pt idx="1">
                  <c:v>Ozurgeti</c:v>
                </c:pt>
                <c:pt idx="2">
                  <c:v>Sighnaghi</c:v>
                </c:pt>
                <c:pt idx="3">
                  <c:v>Batumi</c:v>
                </c:pt>
                <c:pt idx="4">
                  <c:v>Khashuri</c:v>
                </c:pt>
                <c:pt idx="5">
                  <c:v>Gurjaani</c:v>
                </c:pt>
                <c:pt idx="6">
                  <c:v>Kutaisi</c:v>
                </c:pt>
                <c:pt idx="7">
                  <c:v>Sagarejo</c:v>
                </c:pt>
                <c:pt idx="8">
                  <c:v>Bolnisi</c:v>
                </c:pt>
                <c:pt idx="9">
                  <c:v>Dedoflistkaro</c:v>
                </c:pt>
                <c:pt idx="10">
                  <c:v>Zugdidi</c:v>
                </c:pt>
                <c:pt idx="11">
                  <c:v>Samtredia</c:v>
                </c:pt>
                <c:pt idx="12">
                  <c:v>Sachkhere</c:v>
                </c:pt>
                <c:pt idx="13">
                  <c:v>Dmanisi</c:v>
                </c:pt>
                <c:pt idx="14">
                  <c:v>Lanchkhuti</c:v>
                </c:pt>
                <c:pt idx="15">
                  <c:v>Oni</c:v>
                </c:pt>
              </c:strCache>
            </c:strRef>
          </c:cat>
          <c:val>
            <c:numRef>
              <c:f>'Homeless and Roofless'!$B$3:$B$18</c:f>
              <c:numCache>
                <c:formatCode>0.0%</c:formatCode>
                <c:ptCount val="16"/>
                <c:pt idx="0">
                  <c:v>7.8212290502793297E-2</c:v>
                </c:pt>
                <c:pt idx="1">
                  <c:v>0.13631284916201117</c:v>
                </c:pt>
                <c:pt idx="2">
                  <c:v>1.564245810055866E-2</c:v>
                </c:pt>
                <c:pt idx="3">
                  <c:v>4.5810055865921788E-2</c:v>
                </c:pt>
                <c:pt idx="4">
                  <c:v>2.1229050279329607E-2</c:v>
                </c:pt>
                <c:pt idx="5">
                  <c:v>2.3463687150837988E-2</c:v>
                </c:pt>
                <c:pt idx="6">
                  <c:v>8.6033519553072632E-2</c:v>
                </c:pt>
                <c:pt idx="7">
                  <c:v>6.3687150837988829E-2</c:v>
                </c:pt>
                <c:pt idx="8">
                  <c:v>5.9217877094972067E-2</c:v>
                </c:pt>
                <c:pt idx="9">
                  <c:v>2.3463687150837988E-2</c:v>
                </c:pt>
                <c:pt idx="10">
                  <c:v>0.10837988826815642</c:v>
                </c:pt>
                <c:pt idx="11">
                  <c:v>0.13407821229050279</c:v>
                </c:pt>
                <c:pt idx="12">
                  <c:v>5.5865921787709499E-3</c:v>
                </c:pt>
                <c:pt idx="13">
                  <c:v>1.7877094972067038E-2</c:v>
                </c:pt>
                <c:pt idx="14">
                  <c:v>0.17988826815642459</c:v>
                </c:pt>
                <c:pt idx="15">
                  <c:v>1.1173184357541898E-3</c:v>
                </c:pt>
              </c:numCache>
            </c:numRef>
          </c:val>
          <c:extLst>
            <c:ext xmlns:c16="http://schemas.microsoft.com/office/drawing/2014/chart" uri="{C3380CC4-5D6E-409C-BE32-E72D297353CC}">
              <c16:uniqueId val="{00000000-E861-455C-9790-1B62B1B8070F}"/>
            </c:ext>
          </c:extLst>
        </c:ser>
        <c:dLbls>
          <c:showLegendKey val="0"/>
          <c:showVal val="0"/>
          <c:showCatName val="0"/>
          <c:showSerName val="0"/>
          <c:showPercent val="0"/>
          <c:showBubbleSize val="0"/>
        </c:dLbls>
        <c:gapWidth val="182"/>
        <c:axId val="1845750688"/>
        <c:axId val="1845751232"/>
      </c:barChart>
      <c:catAx>
        <c:axId val="1845750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751232"/>
        <c:crosses val="autoZero"/>
        <c:auto val="1"/>
        <c:lblAlgn val="ctr"/>
        <c:lblOffset val="100"/>
        <c:noMultiLvlLbl val="0"/>
      </c:catAx>
      <c:valAx>
        <c:axId val="1845751232"/>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750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Ecomigrants!$B$35:$B$39</c:f>
              <c:numCache>
                <c:formatCode>General</c:formatCode>
                <c:ptCount val="5"/>
                <c:pt idx="0">
                  <c:v>2014</c:v>
                </c:pt>
                <c:pt idx="1">
                  <c:v>2015</c:v>
                </c:pt>
                <c:pt idx="2">
                  <c:v>2016</c:v>
                </c:pt>
                <c:pt idx="3">
                  <c:v>2017</c:v>
                </c:pt>
                <c:pt idx="4">
                  <c:v>2018</c:v>
                </c:pt>
              </c:numCache>
            </c:numRef>
          </c:cat>
          <c:val>
            <c:numRef>
              <c:f>Ecomigrants!$C$35:$C$39</c:f>
              <c:numCache>
                <c:formatCode>General</c:formatCode>
                <c:ptCount val="5"/>
                <c:pt idx="0">
                  <c:v>2016</c:v>
                </c:pt>
                <c:pt idx="1">
                  <c:v>840</c:v>
                </c:pt>
                <c:pt idx="2">
                  <c:v>900</c:v>
                </c:pt>
                <c:pt idx="3">
                  <c:v>1084</c:v>
                </c:pt>
                <c:pt idx="4">
                  <c:v>617</c:v>
                </c:pt>
              </c:numCache>
            </c:numRef>
          </c:val>
          <c:extLst>
            <c:ext xmlns:c16="http://schemas.microsoft.com/office/drawing/2014/chart" uri="{C3380CC4-5D6E-409C-BE32-E72D297353CC}">
              <c16:uniqueId val="{00000000-EDDA-4020-B1A0-6E30898CD654}"/>
            </c:ext>
          </c:extLst>
        </c:ser>
        <c:dLbls>
          <c:dLblPos val="outEnd"/>
          <c:showLegendKey val="0"/>
          <c:showVal val="1"/>
          <c:showCatName val="0"/>
          <c:showSerName val="0"/>
          <c:showPercent val="0"/>
          <c:showBubbleSize val="0"/>
        </c:dLbls>
        <c:gapWidth val="219"/>
        <c:overlap val="-27"/>
        <c:axId val="1928562128"/>
        <c:axId val="1928558864"/>
      </c:barChart>
      <c:catAx>
        <c:axId val="192856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58864"/>
        <c:crosses val="autoZero"/>
        <c:auto val="1"/>
        <c:lblAlgn val="ctr"/>
        <c:lblOffset val="100"/>
        <c:noMultiLvlLbl val="0"/>
      </c:catAx>
      <c:valAx>
        <c:axId val="1928558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62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IDPs!$C$2:$I$2</c:f>
              <c:numCache>
                <c:formatCode>General</c:formatCode>
                <c:ptCount val="7"/>
                <c:pt idx="0">
                  <c:v>2012</c:v>
                </c:pt>
                <c:pt idx="1">
                  <c:v>2013</c:v>
                </c:pt>
                <c:pt idx="2">
                  <c:v>2014</c:v>
                </c:pt>
                <c:pt idx="3">
                  <c:v>2015</c:v>
                </c:pt>
                <c:pt idx="4">
                  <c:v>2016</c:v>
                </c:pt>
                <c:pt idx="5">
                  <c:v>2017</c:v>
                </c:pt>
                <c:pt idx="6">
                  <c:v>2018</c:v>
                </c:pt>
              </c:numCache>
            </c:numRef>
          </c:cat>
          <c:val>
            <c:numRef>
              <c:f>IDPs!$C$3:$I$3</c:f>
              <c:numCache>
                <c:formatCode>_(* #,##0_);_(* \(#,##0\);_(* "-"_);_(@_)</c:formatCode>
                <c:ptCount val="7"/>
                <c:pt idx="0">
                  <c:v>163183</c:v>
                </c:pt>
                <c:pt idx="1">
                  <c:v>150607</c:v>
                </c:pt>
                <c:pt idx="2">
                  <c:v>141776</c:v>
                </c:pt>
                <c:pt idx="3">
                  <c:v>125301</c:v>
                </c:pt>
                <c:pt idx="4">
                  <c:v>142967</c:v>
                </c:pt>
                <c:pt idx="5">
                  <c:v>131502</c:v>
                </c:pt>
                <c:pt idx="6">
                  <c:v>127819</c:v>
                </c:pt>
              </c:numCache>
            </c:numRef>
          </c:val>
          <c:extLst>
            <c:ext xmlns:c16="http://schemas.microsoft.com/office/drawing/2014/chart" uri="{C3380CC4-5D6E-409C-BE32-E72D297353CC}">
              <c16:uniqueId val="{00000000-879A-41B2-90BC-4546F8EA52FC}"/>
            </c:ext>
          </c:extLst>
        </c:ser>
        <c:dLbls>
          <c:dLblPos val="outEnd"/>
          <c:showLegendKey val="0"/>
          <c:showVal val="1"/>
          <c:showCatName val="0"/>
          <c:showSerName val="0"/>
          <c:showPercent val="0"/>
          <c:showBubbleSize val="0"/>
        </c:dLbls>
        <c:gapWidth val="219"/>
        <c:overlap val="-27"/>
        <c:axId val="1928565936"/>
        <c:axId val="1928561040"/>
      </c:barChart>
      <c:catAx>
        <c:axId val="192856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61040"/>
        <c:crosses val="autoZero"/>
        <c:auto val="1"/>
        <c:lblAlgn val="ctr"/>
        <c:lblOffset val="100"/>
        <c:noMultiLvlLbl val="0"/>
      </c:catAx>
      <c:valAx>
        <c:axId val="192856104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65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85,335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A1-4AB3-B668-18B02BEC9E35}"/>
                </c:ext>
              </c:extLst>
            </c:dLbl>
            <c:dLbl>
              <c:idx val="1"/>
              <c:tx>
                <c:rich>
                  <a:bodyPr/>
                  <a:lstStyle/>
                  <a:p>
                    <a:r>
                      <a:rPr lang="en-US"/>
                      <a:t>74,612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A1-4AB3-B668-18B02BEC9E35}"/>
                </c:ext>
              </c:extLst>
            </c:dLbl>
            <c:dLbl>
              <c:idx val="2"/>
              <c:tx>
                <c:rich>
                  <a:bodyPr/>
                  <a:lstStyle/>
                  <a:p>
                    <a:r>
                      <a:rPr lang="en-US"/>
                      <a:t>37,273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A1-4AB3-B668-18B02BEC9E35}"/>
                </c:ext>
              </c:extLst>
            </c:dLbl>
            <c:dLbl>
              <c:idx val="3"/>
              <c:tx>
                <c:rich>
                  <a:bodyPr/>
                  <a:lstStyle/>
                  <a:p>
                    <a:r>
                      <a:rPr lang="en-US"/>
                      <a:t>32,897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A1-4AB3-B668-18B02BEC9E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IDPs!$B$31:$E$31</c:f>
              <c:numCache>
                <c:formatCode>General</c:formatCode>
                <c:ptCount val="4"/>
                <c:pt idx="0">
                  <c:v>2010</c:v>
                </c:pt>
                <c:pt idx="1">
                  <c:v>2011</c:v>
                </c:pt>
                <c:pt idx="2">
                  <c:v>2012</c:v>
                </c:pt>
                <c:pt idx="3">
                  <c:v>2013</c:v>
                </c:pt>
              </c:numCache>
            </c:numRef>
          </c:cat>
          <c:val>
            <c:numRef>
              <c:f>IDPs!$B$32:$E$32</c:f>
              <c:numCache>
                <c:formatCode>General</c:formatCode>
                <c:ptCount val="4"/>
                <c:pt idx="0">
                  <c:v>85335</c:v>
                </c:pt>
                <c:pt idx="1">
                  <c:v>74612</c:v>
                </c:pt>
                <c:pt idx="2">
                  <c:v>37273</c:v>
                </c:pt>
                <c:pt idx="3">
                  <c:v>32897</c:v>
                </c:pt>
              </c:numCache>
            </c:numRef>
          </c:val>
          <c:extLst>
            <c:ext xmlns:c16="http://schemas.microsoft.com/office/drawing/2014/chart" uri="{C3380CC4-5D6E-409C-BE32-E72D297353CC}">
              <c16:uniqueId val="{00000000-58E4-41F2-A31B-28BC54E42BE2}"/>
            </c:ext>
          </c:extLst>
        </c:ser>
        <c:dLbls>
          <c:dLblPos val="outEnd"/>
          <c:showLegendKey val="0"/>
          <c:showVal val="1"/>
          <c:showCatName val="0"/>
          <c:showSerName val="0"/>
          <c:showPercent val="0"/>
          <c:showBubbleSize val="0"/>
        </c:dLbls>
        <c:gapWidth val="219"/>
        <c:overlap val="-27"/>
        <c:axId val="1928562672"/>
        <c:axId val="1928567024"/>
      </c:barChart>
      <c:catAx>
        <c:axId val="192856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67024"/>
        <c:crosses val="autoZero"/>
        <c:auto val="1"/>
        <c:lblAlgn val="ctr"/>
        <c:lblOffset val="100"/>
        <c:noMultiLvlLbl val="0"/>
      </c:catAx>
      <c:valAx>
        <c:axId val="1928567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6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Unemployment Rate</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'[All graphs.xlsx]Unemployement'!$K$3:$V$3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'[All graphs.xlsx]Unemployement'!$K$12:$V$12</c:f>
              <c:numCache>
                <c:formatCode>0.0</c:formatCode>
                <c:ptCount val="12"/>
                <c:pt idx="0">
                  <c:v>17.362325265584598</c:v>
                </c:pt>
                <c:pt idx="1">
                  <c:v>17.865471085616122</c:v>
                </c:pt>
                <c:pt idx="2">
                  <c:v>18.296265718784468</c:v>
                </c:pt>
                <c:pt idx="3">
                  <c:v>17.405866841210649</c:v>
                </c:pt>
                <c:pt idx="4">
                  <c:v>17.340680702813426</c:v>
                </c:pt>
                <c:pt idx="5">
                  <c:v>17.215033145484458</c:v>
                </c:pt>
                <c:pt idx="6">
                  <c:v>16.942982182193088</c:v>
                </c:pt>
                <c:pt idx="7">
                  <c:v>14.621597730233146</c:v>
                </c:pt>
                <c:pt idx="8">
                  <c:v>14.08115650136012</c:v>
                </c:pt>
                <c:pt idx="9">
                  <c:v>13.9730583386975</c:v>
                </c:pt>
                <c:pt idx="10">
                  <c:v>13.938857151214307</c:v>
                </c:pt>
                <c:pt idx="11">
                  <c:v>12.666951165746044</c:v>
                </c:pt>
              </c:numCache>
            </c:numRef>
          </c:val>
          <c:smooth val="0"/>
          <c:extLst>
            <c:ext xmlns:c16="http://schemas.microsoft.com/office/drawing/2014/chart" uri="{C3380CC4-5D6E-409C-BE32-E72D297353CC}">
              <c16:uniqueId val="{00000000-5AC4-4EE0-9285-F94FFAF9BD41}"/>
            </c:ext>
          </c:extLst>
        </c:ser>
        <c:dLbls>
          <c:showLegendKey val="0"/>
          <c:showVal val="0"/>
          <c:showCatName val="0"/>
          <c:showSerName val="0"/>
          <c:showPercent val="0"/>
          <c:showBubbleSize val="0"/>
        </c:dLbls>
        <c:marker val="1"/>
        <c:smooth val="0"/>
        <c:axId val="1804786176"/>
        <c:axId val="1804795968"/>
      </c:lineChart>
      <c:lineChart>
        <c:grouping val="stacked"/>
        <c:varyColors val="0"/>
        <c:ser>
          <c:idx val="1"/>
          <c:order val="1"/>
          <c:tx>
            <c:v>Labor Force Participation</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'[All graphs.xlsx]Unemployement'!$K$3:$V$3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'[All graphs.xlsx]Unemployement'!$K$13:$V$13</c:f>
              <c:numCache>
                <c:formatCode>0.0</c:formatCode>
                <c:ptCount val="12"/>
                <c:pt idx="0">
                  <c:v>60.310152132309724</c:v>
                </c:pt>
                <c:pt idx="1">
                  <c:v>61.59808637946891</c:v>
                </c:pt>
                <c:pt idx="2">
                  <c:v>62.679255541249645</c:v>
                </c:pt>
                <c:pt idx="3">
                  <c:v>63.276087410873735</c:v>
                </c:pt>
                <c:pt idx="4">
                  <c:v>64.382885677338038</c:v>
                </c:pt>
                <c:pt idx="5">
                  <c:v>65.564723588883027</c:v>
                </c:pt>
                <c:pt idx="6">
                  <c:v>65.152406978484052</c:v>
                </c:pt>
                <c:pt idx="7">
                  <c:v>65.463214326660889</c:v>
                </c:pt>
                <c:pt idx="8">
                  <c:v>66.839915503158963</c:v>
                </c:pt>
                <c:pt idx="9">
                  <c:v>66.332100892865327</c:v>
                </c:pt>
                <c:pt idx="10">
                  <c:v>65.832059415596973</c:v>
                </c:pt>
                <c:pt idx="11">
                  <c:v>63.934129622852353</c:v>
                </c:pt>
              </c:numCache>
            </c:numRef>
          </c:val>
          <c:smooth val="0"/>
          <c:extLst>
            <c:ext xmlns:c16="http://schemas.microsoft.com/office/drawing/2014/chart" uri="{C3380CC4-5D6E-409C-BE32-E72D297353CC}">
              <c16:uniqueId val="{00000000-D97A-40CC-8D3F-84F06E25B24D}"/>
            </c:ext>
          </c:extLst>
        </c:ser>
        <c:dLbls>
          <c:showLegendKey val="0"/>
          <c:showVal val="0"/>
          <c:showCatName val="0"/>
          <c:showSerName val="0"/>
          <c:showPercent val="0"/>
          <c:showBubbleSize val="0"/>
        </c:dLbls>
        <c:marker val="1"/>
        <c:smooth val="0"/>
        <c:axId val="1804798688"/>
        <c:axId val="1804774752"/>
      </c:lineChart>
      <c:catAx>
        <c:axId val="180478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95968"/>
        <c:crosses val="autoZero"/>
        <c:auto val="1"/>
        <c:lblAlgn val="ctr"/>
        <c:lblOffset val="100"/>
        <c:noMultiLvlLbl val="0"/>
      </c:catAx>
      <c:valAx>
        <c:axId val="180479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Unemployment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86176"/>
        <c:crosses val="autoZero"/>
        <c:crossBetween val="between"/>
      </c:valAx>
      <c:valAx>
        <c:axId val="18047747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Labour</a:t>
                </a:r>
                <a:r>
                  <a:rPr lang="en-US" baseline="0"/>
                  <a:t> Force Participation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98688"/>
        <c:crosses val="max"/>
        <c:crossBetween val="between"/>
      </c:valAx>
      <c:catAx>
        <c:axId val="1804798688"/>
        <c:scaling>
          <c:orientation val="minMax"/>
        </c:scaling>
        <c:delete val="1"/>
        <c:axPos val="b"/>
        <c:numFmt formatCode="General" sourceLinked="1"/>
        <c:majorTickMark val="out"/>
        <c:minorTickMark val="none"/>
        <c:tickLblPos val="nextTo"/>
        <c:crossAx val="1804774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'Children Houses'!$AI$1</c:f>
              <c:strCache>
                <c:ptCount val="1"/>
                <c:pt idx="0">
                  <c:v>Children Houses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 Houses'!$AH$2:$AH$9</c:f>
              <c:numCache>
                <c:formatCode>General</c:formatCode>
                <c:ptCount val="8"/>
                <c:pt idx="0">
                  <c:v>2011</c:v>
                </c:pt>
                <c:pt idx="1">
                  <c:v>2012</c:v>
                </c:pt>
                <c:pt idx="2">
                  <c:v>2013</c:v>
                </c:pt>
                <c:pt idx="3">
                  <c:v>2014</c:v>
                </c:pt>
                <c:pt idx="4">
                  <c:v>2015</c:v>
                </c:pt>
                <c:pt idx="5">
                  <c:v>2016</c:v>
                </c:pt>
                <c:pt idx="6">
                  <c:v>2017</c:v>
                </c:pt>
                <c:pt idx="7">
                  <c:v>2018</c:v>
                </c:pt>
              </c:numCache>
            </c:numRef>
          </c:cat>
          <c:val>
            <c:numRef>
              <c:f>'Children Houses'!$AI$2:$AI$9</c:f>
              <c:numCache>
                <c:formatCode>General</c:formatCode>
                <c:ptCount val="8"/>
                <c:pt idx="0">
                  <c:v>754</c:v>
                </c:pt>
                <c:pt idx="1">
                  <c:v>228</c:v>
                </c:pt>
                <c:pt idx="2">
                  <c:v>66</c:v>
                </c:pt>
                <c:pt idx="7">
                  <c:v>28</c:v>
                </c:pt>
              </c:numCache>
            </c:numRef>
          </c:val>
          <c:extLst>
            <c:ext xmlns:c16="http://schemas.microsoft.com/office/drawing/2014/chart" uri="{C3380CC4-5D6E-409C-BE32-E72D297353CC}">
              <c16:uniqueId val="{00000000-1ADF-446F-BADE-A9CB8D4AF03A}"/>
            </c:ext>
          </c:extLst>
        </c:ser>
        <c:ser>
          <c:idx val="1"/>
          <c:order val="1"/>
          <c:tx>
            <c:strRef>
              <c:f>'Children Houses'!$AJ$1</c:f>
              <c:strCache>
                <c:ptCount val="1"/>
                <c:pt idx="0">
                  <c:v>Toddler Houses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 Houses'!$AH$2:$AH$9</c:f>
              <c:numCache>
                <c:formatCode>General</c:formatCode>
                <c:ptCount val="8"/>
                <c:pt idx="0">
                  <c:v>2011</c:v>
                </c:pt>
                <c:pt idx="1">
                  <c:v>2012</c:v>
                </c:pt>
                <c:pt idx="2">
                  <c:v>2013</c:v>
                </c:pt>
                <c:pt idx="3">
                  <c:v>2014</c:v>
                </c:pt>
                <c:pt idx="4">
                  <c:v>2015</c:v>
                </c:pt>
                <c:pt idx="5">
                  <c:v>2016</c:v>
                </c:pt>
                <c:pt idx="6">
                  <c:v>2017</c:v>
                </c:pt>
                <c:pt idx="7">
                  <c:v>2018</c:v>
                </c:pt>
              </c:numCache>
            </c:numRef>
          </c:cat>
          <c:val>
            <c:numRef>
              <c:f>'Children Houses'!$AJ$2:$AJ$9</c:f>
              <c:numCache>
                <c:formatCode>General</c:formatCode>
                <c:ptCount val="8"/>
                <c:pt idx="0">
                  <c:v>209</c:v>
                </c:pt>
                <c:pt idx="1">
                  <c:v>199</c:v>
                </c:pt>
                <c:pt idx="2">
                  <c:v>93</c:v>
                </c:pt>
                <c:pt idx="3">
                  <c:v>76</c:v>
                </c:pt>
                <c:pt idx="4">
                  <c:v>68</c:v>
                </c:pt>
                <c:pt idx="5">
                  <c:v>79</c:v>
                </c:pt>
                <c:pt idx="6">
                  <c:v>67</c:v>
                </c:pt>
                <c:pt idx="7">
                  <c:v>70</c:v>
                </c:pt>
              </c:numCache>
            </c:numRef>
          </c:val>
          <c:extLst>
            <c:ext xmlns:c16="http://schemas.microsoft.com/office/drawing/2014/chart" uri="{C3380CC4-5D6E-409C-BE32-E72D297353CC}">
              <c16:uniqueId val="{00000001-1ADF-446F-BADE-A9CB8D4AF03A}"/>
            </c:ext>
          </c:extLst>
        </c:ser>
        <c:ser>
          <c:idx val="2"/>
          <c:order val="2"/>
          <c:tx>
            <c:strRef>
              <c:f>'Children Houses'!$AK$1</c:f>
              <c:strCache>
                <c:ptCount val="1"/>
                <c:pt idx="0">
                  <c:v>Children Crisis Center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 Houses'!$AH$2:$AH$9</c:f>
              <c:numCache>
                <c:formatCode>General</c:formatCode>
                <c:ptCount val="8"/>
                <c:pt idx="0">
                  <c:v>2011</c:v>
                </c:pt>
                <c:pt idx="1">
                  <c:v>2012</c:v>
                </c:pt>
                <c:pt idx="2">
                  <c:v>2013</c:v>
                </c:pt>
                <c:pt idx="3">
                  <c:v>2014</c:v>
                </c:pt>
                <c:pt idx="4">
                  <c:v>2015</c:v>
                </c:pt>
                <c:pt idx="5">
                  <c:v>2016</c:v>
                </c:pt>
                <c:pt idx="6">
                  <c:v>2017</c:v>
                </c:pt>
                <c:pt idx="7">
                  <c:v>2018</c:v>
                </c:pt>
              </c:numCache>
            </c:numRef>
          </c:cat>
          <c:val>
            <c:numRef>
              <c:f>'Children Houses'!$AK$2:$AK$9</c:f>
              <c:numCache>
                <c:formatCode>General</c:formatCode>
                <c:ptCount val="8"/>
                <c:pt idx="0">
                  <c:v>38</c:v>
                </c:pt>
                <c:pt idx="1">
                  <c:v>33</c:v>
                </c:pt>
                <c:pt idx="2">
                  <c:v>104</c:v>
                </c:pt>
                <c:pt idx="3">
                  <c:v>42</c:v>
                </c:pt>
              </c:numCache>
            </c:numRef>
          </c:val>
          <c:extLst>
            <c:ext xmlns:c16="http://schemas.microsoft.com/office/drawing/2014/chart" uri="{C3380CC4-5D6E-409C-BE32-E72D297353CC}">
              <c16:uniqueId val="{00000002-1ADF-446F-BADE-A9CB8D4AF03A}"/>
            </c:ext>
          </c:extLst>
        </c:ser>
        <c:ser>
          <c:idx val="3"/>
          <c:order val="3"/>
          <c:tx>
            <c:strRef>
              <c:f>'Children Houses'!$AL$1</c:f>
              <c:strCache>
                <c:ptCount val="1"/>
                <c:pt idx="0">
                  <c:v>Children Day Centers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 Houses'!$AH$2:$AH$9</c:f>
              <c:numCache>
                <c:formatCode>General</c:formatCode>
                <c:ptCount val="8"/>
                <c:pt idx="0">
                  <c:v>2011</c:v>
                </c:pt>
                <c:pt idx="1">
                  <c:v>2012</c:v>
                </c:pt>
                <c:pt idx="2">
                  <c:v>2013</c:v>
                </c:pt>
                <c:pt idx="3">
                  <c:v>2014</c:v>
                </c:pt>
                <c:pt idx="4">
                  <c:v>2015</c:v>
                </c:pt>
                <c:pt idx="5">
                  <c:v>2016</c:v>
                </c:pt>
                <c:pt idx="6">
                  <c:v>2017</c:v>
                </c:pt>
                <c:pt idx="7">
                  <c:v>2018</c:v>
                </c:pt>
              </c:numCache>
            </c:numRef>
          </c:cat>
          <c:val>
            <c:numRef>
              <c:f>'Children Houses'!$AL$2:$AL$9</c:f>
              <c:numCache>
                <c:formatCode>General</c:formatCode>
                <c:ptCount val="8"/>
                <c:pt idx="0">
                  <c:v>85</c:v>
                </c:pt>
                <c:pt idx="1">
                  <c:v>78</c:v>
                </c:pt>
                <c:pt idx="2">
                  <c:v>59</c:v>
                </c:pt>
              </c:numCache>
            </c:numRef>
          </c:val>
          <c:extLst>
            <c:ext xmlns:c16="http://schemas.microsoft.com/office/drawing/2014/chart" uri="{C3380CC4-5D6E-409C-BE32-E72D297353CC}">
              <c16:uniqueId val="{00000003-1ADF-446F-BADE-A9CB8D4AF03A}"/>
            </c:ext>
          </c:extLst>
        </c:ser>
        <c:dLbls>
          <c:dLblPos val="ctr"/>
          <c:showLegendKey val="0"/>
          <c:showVal val="1"/>
          <c:showCatName val="0"/>
          <c:showSerName val="0"/>
          <c:showPercent val="0"/>
          <c:showBubbleSize val="0"/>
        </c:dLbls>
        <c:gapWidth val="150"/>
        <c:overlap val="100"/>
        <c:axId val="1928567568"/>
        <c:axId val="1928558320"/>
      </c:barChart>
      <c:catAx>
        <c:axId val="192856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58320"/>
        <c:crosses val="autoZero"/>
        <c:auto val="1"/>
        <c:lblAlgn val="ctr"/>
        <c:lblOffset val="100"/>
        <c:noMultiLvlLbl val="0"/>
      </c:catAx>
      <c:valAx>
        <c:axId val="192855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67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'Summary for adoption 16-18 year'!$B$2:$G$2</c:f>
              <c:numCache>
                <c:formatCode>General</c:formatCode>
                <c:ptCount val="6"/>
                <c:pt idx="0">
                  <c:v>2013</c:v>
                </c:pt>
                <c:pt idx="1">
                  <c:v>2014</c:v>
                </c:pt>
                <c:pt idx="2">
                  <c:v>2015</c:v>
                </c:pt>
                <c:pt idx="3">
                  <c:v>2016</c:v>
                </c:pt>
                <c:pt idx="4">
                  <c:v>2017</c:v>
                </c:pt>
                <c:pt idx="5">
                  <c:v>2018</c:v>
                </c:pt>
              </c:numCache>
            </c:numRef>
          </c:cat>
          <c:val>
            <c:numRef>
              <c:f>'Summary for adoption 16-18 year'!$B$5:$G$5</c:f>
              <c:numCache>
                <c:formatCode>_(* #,##0_);_(* \(#,##0\);_(* "-"_);_(@_)</c:formatCode>
                <c:ptCount val="6"/>
                <c:pt idx="0">
                  <c:v>11</c:v>
                </c:pt>
                <c:pt idx="1">
                  <c:v>69</c:v>
                </c:pt>
                <c:pt idx="2">
                  <c:v>22</c:v>
                </c:pt>
                <c:pt idx="3">
                  <c:v>29</c:v>
                </c:pt>
                <c:pt idx="4">
                  <c:v>39</c:v>
                </c:pt>
                <c:pt idx="5">
                  <c:v>47</c:v>
                </c:pt>
              </c:numCache>
            </c:numRef>
          </c:val>
          <c:extLst>
            <c:ext xmlns:c16="http://schemas.microsoft.com/office/drawing/2014/chart" uri="{C3380CC4-5D6E-409C-BE32-E72D297353CC}">
              <c16:uniqueId val="{00000000-FA77-4E43-ADA1-BB14608E6B3B}"/>
            </c:ext>
          </c:extLst>
        </c:ser>
        <c:dLbls>
          <c:dLblPos val="inEnd"/>
          <c:showLegendKey val="0"/>
          <c:showVal val="1"/>
          <c:showCatName val="0"/>
          <c:showSerName val="0"/>
          <c:showPercent val="0"/>
          <c:showBubbleSize val="0"/>
        </c:dLbls>
        <c:gapWidth val="150"/>
        <c:overlap val="100"/>
        <c:axId val="1563818208"/>
        <c:axId val="1629397840"/>
      </c:barChart>
      <c:catAx>
        <c:axId val="156381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9397840"/>
        <c:crosses val="autoZero"/>
        <c:auto val="1"/>
        <c:lblAlgn val="ctr"/>
        <c:lblOffset val="100"/>
        <c:noMultiLvlLbl val="0"/>
      </c:catAx>
      <c:valAx>
        <c:axId val="1629397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381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'Disabled '!$A$2</c:f>
              <c:strCache>
                <c:ptCount val="1"/>
                <c:pt idx="0">
                  <c:v>Kojori house for children with disabilites </c:v>
                </c:pt>
              </c:strCache>
            </c:strRef>
          </c:tx>
          <c:spPr>
            <a:solidFill>
              <a:schemeClr val="accent1"/>
            </a:solidFill>
            <a:ln>
              <a:noFill/>
            </a:ln>
            <a:effectLst/>
          </c:spPr>
          <c:invertIfNegative val="0"/>
          <c:cat>
            <c:numRef>
              <c:f>'Disabled '!$B$1:$I$1</c:f>
              <c:numCache>
                <c:formatCode>General</c:formatCode>
                <c:ptCount val="8"/>
                <c:pt idx="0">
                  <c:v>2011</c:v>
                </c:pt>
                <c:pt idx="1">
                  <c:v>2012</c:v>
                </c:pt>
                <c:pt idx="2">
                  <c:v>2013</c:v>
                </c:pt>
                <c:pt idx="3">
                  <c:v>2014</c:v>
                </c:pt>
                <c:pt idx="4">
                  <c:v>2015</c:v>
                </c:pt>
                <c:pt idx="5">
                  <c:v>2016</c:v>
                </c:pt>
                <c:pt idx="6">
                  <c:v>2017</c:v>
                </c:pt>
                <c:pt idx="7">
                  <c:v>2018</c:v>
                </c:pt>
              </c:numCache>
            </c:numRef>
          </c:cat>
          <c:val>
            <c:numRef>
              <c:f>'Disabled '!$B$2:$I$2</c:f>
              <c:numCache>
                <c:formatCode>General</c:formatCode>
                <c:ptCount val="8"/>
                <c:pt idx="0">
                  <c:v>30</c:v>
                </c:pt>
                <c:pt idx="1">
                  <c:v>30</c:v>
                </c:pt>
                <c:pt idx="2">
                  <c:v>30</c:v>
                </c:pt>
                <c:pt idx="3">
                  <c:v>27</c:v>
                </c:pt>
                <c:pt idx="4">
                  <c:v>31</c:v>
                </c:pt>
                <c:pt idx="5">
                  <c:v>33</c:v>
                </c:pt>
                <c:pt idx="6">
                  <c:v>32</c:v>
                </c:pt>
              </c:numCache>
            </c:numRef>
          </c:val>
          <c:extLst>
            <c:ext xmlns:c16="http://schemas.microsoft.com/office/drawing/2014/chart" uri="{C3380CC4-5D6E-409C-BE32-E72D297353CC}">
              <c16:uniqueId val="{00000000-CCC2-48E3-BE7C-A6B1857357EF}"/>
            </c:ext>
          </c:extLst>
        </c:ser>
        <c:ser>
          <c:idx val="1"/>
          <c:order val="1"/>
          <c:tx>
            <c:strRef>
              <c:f>'Disabled '!$A$3</c:f>
              <c:strCache>
                <c:ptCount val="1"/>
                <c:pt idx="0">
                  <c:v>Senaki house for children with disabilites</c:v>
                </c:pt>
              </c:strCache>
            </c:strRef>
          </c:tx>
          <c:spPr>
            <a:solidFill>
              <a:schemeClr val="accent2"/>
            </a:solidFill>
            <a:ln>
              <a:noFill/>
            </a:ln>
            <a:effectLst/>
          </c:spPr>
          <c:invertIfNegative val="0"/>
          <c:cat>
            <c:numRef>
              <c:f>'Disabled '!$B$1:$I$1</c:f>
              <c:numCache>
                <c:formatCode>General</c:formatCode>
                <c:ptCount val="8"/>
                <c:pt idx="0">
                  <c:v>2011</c:v>
                </c:pt>
                <c:pt idx="1">
                  <c:v>2012</c:v>
                </c:pt>
                <c:pt idx="2">
                  <c:v>2013</c:v>
                </c:pt>
                <c:pt idx="3">
                  <c:v>2014</c:v>
                </c:pt>
                <c:pt idx="4">
                  <c:v>2015</c:v>
                </c:pt>
                <c:pt idx="5">
                  <c:v>2016</c:v>
                </c:pt>
                <c:pt idx="6">
                  <c:v>2017</c:v>
                </c:pt>
                <c:pt idx="7">
                  <c:v>2018</c:v>
                </c:pt>
              </c:numCache>
            </c:numRef>
          </c:cat>
          <c:val>
            <c:numRef>
              <c:f>'Disabled '!$B$3:$I$3</c:f>
              <c:numCache>
                <c:formatCode>General</c:formatCode>
                <c:ptCount val="8"/>
                <c:pt idx="0">
                  <c:v>49</c:v>
                </c:pt>
                <c:pt idx="1">
                  <c:v>49</c:v>
                </c:pt>
                <c:pt idx="2">
                  <c:v>31</c:v>
                </c:pt>
                <c:pt idx="3">
                  <c:v>26</c:v>
                </c:pt>
              </c:numCache>
            </c:numRef>
          </c:val>
          <c:extLst>
            <c:ext xmlns:c16="http://schemas.microsoft.com/office/drawing/2014/chart" uri="{C3380CC4-5D6E-409C-BE32-E72D297353CC}">
              <c16:uniqueId val="{00000001-CCC2-48E3-BE7C-A6B1857357EF}"/>
            </c:ext>
          </c:extLst>
        </c:ser>
        <c:ser>
          <c:idx val="2"/>
          <c:order val="2"/>
          <c:tx>
            <c:strRef>
              <c:f>'Disabled '!$A$4</c:f>
              <c:strCache>
                <c:ptCount val="1"/>
                <c:pt idx="0">
                  <c:v>Dzevri boarding house for people with disabilites</c:v>
                </c:pt>
              </c:strCache>
            </c:strRef>
          </c:tx>
          <c:spPr>
            <a:solidFill>
              <a:schemeClr val="accent3"/>
            </a:solidFill>
            <a:ln>
              <a:noFill/>
            </a:ln>
            <a:effectLst/>
          </c:spPr>
          <c:invertIfNegative val="0"/>
          <c:cat>
            <c:numRef>
              <c:f>'Disabled '!$B$1:$I$1</c:f>
              <c:numCache>
                <c:formatCode>General</c:formatCode>
                <c:ptCount val="8"/>
                <c:pt idx="0">
                  <c:v>2011</c:v>
                </c:pt>
                <c:pt idx="1">
                  <c:v>2012</c:v>
                </c:pt>
                <c:pt idx="2">
                  <c:v>2013</c:v>
                </c:pt>
                <c:pt idx="3">
                  <c:v>2014</c:v>
                </c:pt>
                <c:pt idx="4">
                  <c:v>2015</c:v>
                </c:pt>
                <c:pt idx="5">
                  <c:v>2016</c:v>
                </c:pt>
                <c:pt idx="6">
                  <c:v>2017</c:v>
                </c:pt>
                <c:pt idx="7">
                  <c:v>2018</c:v>
                </c:pt>
              </c:numCache>
            </c:numRef>
          </c:cat>
          <c:val>
            <c:numRef>
              <c:f>'Disabled '!$B$4:$I$4</c:f>
              <c:numCache>
                <c:formatCode>General</c:formatCode>
                <c:ptCount val="8"/>
                <c:pt idx="0">
                  <c:v>68</c:v>
                </c:pt>
                <c:pt idx="1">
                  <c:v>66</c:v>
                </c:pt>
                <c:pt idx="2">
                  <c:v>66</c:v>
                </c:pt>
                <c:pt idx="3">
                  <c:v>66</c:v>
                </c:pt>
                <c:pt idx="4">
                  <c:v>66</c:v>
                </c:pt>
                <c:pt idx="5">
                  <c:v>66</c:v>
                </c:pt>
                <c:pt idx="6">
                  <c:v>68</c:v>
                </c:pt>
                <c:pt idx="7">
                  <c:v>67</c:v>
                </c:pt>
              </c:numCache>
            </c:numRef>
          </c:val>
          <c:extLst>
            <c:ext xmlns:c16="http://schemas.microsoft.com/office/drawing/2014/chart" uri="{C3380CC4-5D6E-409C-BE32-E72D297353CC}">
              <c16:uniqueId val="{00000002-CCC2-48E3-BE7C-A6B1857357EF}"/>
            </c:ext>
          </c:extLst>
        </c:ser>
        <c:ser>
          <c:idx val="3"/>
          <c:order val="3"/>
          <c:tx>
            <c:strRef>
              <c:f>'Disabled '!$A$5</c:f>
              <c:strCache>
                <c:ptCount val="1"/>
                <c:pt idx="0">
                  <c:v>Dusheti boarding house for people with disabilites</c:v>
                </c:pt>
              </c:strCache>
            </c:strRef>
          </c:tx>
          <c:spPr>
            <a:solidFill>
              <a:schemeClr val="accent4"/>
            </a:solidFill>
            <a:ln>
              <a:noFill/>
            </a:ln>
            <a:effectLst/>
          </c:spPr>
          <c:invertIfNegative val="0"/>
          <c:cat>
            <c:numRef>
              <c:f>'Disabled '!$B$1:$I$1</c:f>
              <c:numCache>
                <c:formatCode>General</c:formatCode>
                <c:ptCount val="8"/>
                <c:pt idx="0">
                  <c:v>2011</c:v>
                </c:pt>
                <c:pt idx="1">
                  <c:v>2012</c:v>
                </c:pt>
                <c:pt idx="2">
                  <c:v>2013</c:v>
                </c:pt>
                <c:pt idx="3">
                  <c:v>2014</c:v>
                </c:pt>
                <c:pt idx="4">
                  <c:v>2015</c:v>
                </c:pt>
                <c:pt idx="5">
                  <c:v>2016</c:v>
                </c:pt>
                <c:pt idx="6">
                  <c:v>2017</c:v>
                </c:pt>
                <c:pt idx="7">
                  <c:v>2018</c:v>
                </c:pt>
              </c:numCache>
            </c:numRef>
          </c:cat>
          <c:val>
            <c:numRef>
              <c:f>'Disabled '!$B$5:$I$5</c:f>
              <c:numCache>
                <c:formatCode>General</c:formatCode>
                <c:ptCount val="8"/>
                <c:pt idx="0">
                  <c:v>40</c:v>
                </c:pt>
                <c:pt idx="1">
                  <c:v>40</c:v>
                </c:pt>
                <c:pt idx="2">
                  <c:v>56</c:v>
                </c:pt>
                <c:pt idx="3">
                  <c:v>51</c:v>
                </c:pt>
                <c:pt idx="4">
                  <c:v>49</c:v>
                </c:pt>
                <c:pt idx="5">
                  <c:v>53</c:v>
                </c:pt>
                <c:pt idx="6">
                  <c:v>47</c:v>
                </c:pt>
                <c:pt idx="7">
                  <c:v>51</c:v>
                </c:pt>
              </c:numCache>
            </c:numRef>
          </c:val>
          <c:extLst>
            <c:ext xmlns:c16="http://schemas.microsoft.com/office/drawing/2014/chart" uri="{C3380CC4-5D6E-409C-BE32-E72D297353CC}">
              <c16:uniqueId val="{00000003-CCC2-48E3-BE7C-A6B1857357EF}"/>
            </c:ext>
          </c:extLst>
        </c:ser>
        <c:ser>
          <c:idx val="4"/>
          <c:order val="4"/>
          <c:tx>
            <c:strRef>
              <c:f>'Disabled '!$A$6</c:f>
              <c:strCache>
                <c:ptCount val="1"/>
                <c:pt idx="0">
                  <c:v>Martkhopi boarding house for people with disabilites</c:v>
                </c:pt>
              </c:strCache>
            </c:strRef>
          </c:tx>
          <c:spPr>
            <a:solidFill>
              <a:schemeClr val="accent5"/>
            </a:solidFill>
            <a:ln>
              <a:noFill/>
            </a:ln>
            <a:effectLst/>
          </c:spPr>
          <c:invertIfNegative val="0"/>
          <c:cat>
            <c:numRef>
              <c:f>'Disabled '!$B$1:$I$1</c:f>
              <c:numCache>
                <c:formatCode>General</c:formatCode>
                <c:ptCount val="8"/>
                <c:pt idx="0">
                  <c:v>2011</c:v>
                </c:pt>
                <c:pt idx="1">
                  <c:v>2012</c:v>
                </c:pt>
                <c:pt idx="2">
                  <c:v>2013</c:v>
                </c:pt>
                <c:pt idx="3">
                  <c:v>2014</c:v>
                </c:pt>
                <c:pt idx="4">
                  <c:v>2015</c:v>
                </c:pt>
                <c:pt idx="5">
                  <c:v>2016</c:v>
                </c:pt>
                <c:pt idx="6">
                  <c:v>2017</c:v>
                </c:pt>
                <c:pt idx="7">
                  <c:v>2018</c:v>
                </c:pt>
              </c:numCache>
            </c:numRef>
          </c:cat>
          <c:val>
            <c:numRef>
              <c:f>'Disabled '!$B$6:$I$6</c:f>
              <c:numCache>
                <c:formatCode>General</c:formatCode>
                <c:ptCount val="8"/>
                <c:pt idx="1">
                  <c:v>68</c:v>
                </c:pt>
                <c:pt idx="2">
                  <c:v>75</c:v>
                </c:pt>
                <c:pt idx="3">
                  <c:v>73</c:v>
                </c:pt>
                <c:pt idx="4">
                  <c:v>74</c:v>
                </c:pt>
                <c:pt idx="5">
                  <c:v>72</c:v>
                </c:pt>
                <c:pt idx="6">
                  <c:v>71</c:v>
                </c:pt>
                <c:pt idx="7">
                  <c:v>74</c:v>
                </c:pt>
              </c:numCache>
            </c:numRef>
          </c:val>
          <c:extLst>
            <c:ext xmlns:c16="http://schemas.microsoft.com/office/drawing/2014/chart" uri="{C3380CC4-5D6E-409C-BE32-E72D297353CC}">
              <c16:uniqueId val="{00000004-CCC2-48E3-BE7C-A6B1857357EF}"/>
            </c:ext>
          </c:extLst>
        </c:ser>
        <c:dLbls>
          <c:showLegendKey val="0"/>
          <c:showVal val="0"/>
          <c:showCatName val="0"/>
          <c:showSerName val="0"/>
          <c:showPercent val="0"/>
          <c:showBubbleSize val="0"/>
        </c:dLbls>
        <c:gapWidth val="150"/>
        <c:overlap val="100"/>
        <c:axId val="1845758304"/>
        <c:axId val="1845751776"/>
      </c:barChart>
      <c:catAx>
        <c:axId val="18457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751776"/>
        <c:crosses val="autoZero"/>
        <c:auto val="1"/>
        <c:lblAlgn val="ctr"/>
        <c:lblOffset val="100"/>
        <c:noMultiLvlLbl val="0"/>
      </c:catAx>
      <c:valAx>
        <c:axId val="184575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575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'[All graphs.xlsx]Disabled '!$AG$1</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'[All graphs.xlsx]Disabled '!$AF$2:$AF$8</c:f>
              <c:numCache>
                <c:formatCode>General</c:formatCode>
                <c:ptCount val="7"/>
                <c:pt idx="0">
                  <c:v>2012</c:v>
                </c:pt>
                <c:pt idx="1">
                  <c:v>2013</c:v>
                </c:pt>
                <c:pt idx="2">
                  <c:v>2014</c:v>
                </c:pt>
                <c:pt idx="3">
                  <c:v>2015</c:v>
                </c:pt>
                <c:pt idx="4">
                  <c:v>2016</c:v>
                </c:pt>
                <c:pt idx="5">
                  <c:v>2017</c:v>
                </c:pt>
                <c:pt idx="6">
                  <c:v>2018</c:v>
                </c:pt>
              </c:numCache>
            </c:numRef>
          </c:cat>
          <c:val>
            <c:numRef>
              <c:f>'[All graphs.xlsx]Disabled '!$AG$2:$AG$8</c:f>
              <c:numCache>
                <c:formatCode>General</c:formatCode>
                <c:ptCount val="7"/>
                <c:pt idx="0">
                  <c:v>39</c:v>
                </c:pt>
                <c:pt idx="1">
                  <c:v>73</c:v>
                </c:pt>
                <c:pt idx="2">
                  <c:v>89</c:v>
                </c:pt>
                <c:pt idx="3">
                  <c:v>97</c:v>
                </c:pt>
                <c:pt idx="4">
                  <c:v>138</c:v>
                </c:pt>
                <c:pt idx="5">
                  <c:v>131</c:v>
                </c:pt>
                <c:pt idx="6">
                  <c:v>157</c:v>
                </c:pt>
              </c:numCache>
            </c:numRef>
          </c:val>
          <c:extLst>
            <c:ext xmlns:c16="http://schemas.microsoft.com/office/drawing/2014/chart" uri="{C3380CC4-5D6E-409C-BE32-E72D297353CC}">
              <c16:uniqueId val="{00000000-CCFC-4608-8A8E-45506EEF2F8D}"/>
            </c:ext>
          </c:extLst>
        </c:ser>
        <c:ser>
          <c:idx val="1"/>
          <c:order val="1"/>
          <c:tx>
            <c:strRef>
              <c:f>'[All graphs.xlsx]Disabled '!$AH$1</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'[All graphs.xlsx]Disabled '!$AF$2:$AF$8</c:f>
              <c:numCache>
                <c:formatCode>General</c:formatCode>
                <c:ptCount val="7"/>
                <c:pt idx="0">
                  <c:v>2012</c:v>
                </c:pt>
                <c:pt idx="1">
                  <c:v>2013</c:v>
                </c:pt>
                <c:pt idx="2">
                  <c:v>2014</c:v>
                </c:pt>
                <c:pt idx="3">
                  <c:v>2015</c:v>
                </c:pt>
                <c:pt idx="4">
                  <c:v>2016</c:v>
                </c:pt>
                <c:pt idx="5">
                  <c:v>2017</c:v>
                </c:pt>
                <c:pt idx="6">
                  <c:v>2018</c:v>
                </c:pt>
              </c:numCache>
            </c:numRef>
          </c:cat>
          <c:val>
            <c:numRef>
              <c:f>'[All graphs.xlsx]Disabled '!$AH$2:$AH$8</c:f>
              <c:numCache>
                <c:formatCode>General</c:formatCode>
                <c:ptCount val="7"/>
                <c:pt idx="0">
                  <c:v>30</c:v>
                </c:pt>
                <c:pt idx="1">
                  <c:v>51</c:v>
                </c:pt>
                <c:pt idx="2">
                  <c:v>77</c:v>
                </c:pt>
                <c:pt idx="3">
                  <c:v>78</c:v>
                </c:pt>
                <c:pt idx="4">
                  <c:v>80</c:v>
                </c:pt>
                <c:pt idx="5">
                  <c:v>113</c:v>
                </c:pt>
                <c:pt idx="6">
                  <c:v>112</c:v>
                </c:pt>
              </c:numCache>
            </c:numRef>
          </c:val>
          <c:extLst>
            <c:ext xmlns:c16="http://schemas.microsoft.com/office/drawing/2014/chart" uri="{C3380CC4-5D6E-409C-BE32-E72D297353CC}">
              <c16:uniqueId val="{00000001-CCFC-4608-8A8E-45506EEF2F8D}"/>
            </c:ext>
          </c:extLst>
        </c:ser>
        <c:dLbls>
          <c:dLblPos val="ctr"/>
          <c:showLegendKey val="0"/>
          <c:showVal val="1"/>
          <c:showCatName val="0"/>
          <c:showSerName val="0"/>
          <c:showPercent val="0"/>
          <c:showBubbleSize val="0"/>
        </c:dLbls>
        <c:gapWidth val="150"/>
        <c:overlap val="100"/>
        <c:axId val="1928570288"/>
        <c:axId val="1928570832"/>
      </c:barChart>
      <c:catAx>
        <c:axId val="192857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70832"/>
        <c:crosses val="autoZero"/>
        <c:auto val="1"/>
        <c:lblAlgn val="ctr"/>
        <c:lblOffset val="100"/>
        <c:noMultiLvlLbl val="0"/>
      </c:catAx>
      <c:valAx>
        <c:axId val="1928570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7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elder!$A$2</c:f>
              <c:strCache>
                <c:ptCount val="1"/>
                <c:pt idx="0">
                  <c:v>Tbilisi  Boarding houses for elderly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elder!$B$1:$J$1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elder!$B$2:$J$2</c:f>
              <c:numCache>
                <c:formatCode>General</c:formatCode>
                <c:ptCount val="9"/>
                <c:pt idx="0">
                  <c:v>115</c:v>
                </c:pt>
                <c:pt idx="1">
                  <c:v>113</c:v>
                </c:pt>
                <c:pt idx="2">
                  <c:v>108</c:v>
                </c:pt>
                <c:pt idx="3">
                  <c:v>94</c:v>
                </c:pt>
                <c:pt idx="4">
                  <c:v>83</c:v>
                </c:pt>
                <c:pt idx="5">
                  <c:v>71</c:v>
                </c:pt>
                <c:pt idx="6">
                  <c:v>62</c:v>
                </c:pt>
                <c:pt idx="7">
                  <c:v>56</c:v>
                </c:pt>
                <c:pt idx="8">
                  <c:v>49</c:v>
                </c:pt>
              </c:numCache>
            </c:numRef>
          </c:val>
          <c:extLst>
            <c:ext xmlns:c16="http://schemas.microsoft.com/office/drawing/2014/chart" uri="{C3380CC4-5D6E-409C-BE32-E72D297353CC}">
              <c16:uniqueId val="{00000000-7D86-4E9B-8575-8D11355004CA}"/>
            </c:ext>
          </c:extLst>
        </c:ser>
        <c:ser>
          <c:idx val="1"/>
          <c:order val="1"/>
          <c:tx>
            <c:strRef>
              <c:f>elder!$A$3</c:f>
              <c:strCache>
                <c:ptCount val="1"/>
                <c:pt idx="0">
                  <c:v>Kutaisi Boarding houses for elderly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elder!$B$1:$J$1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elder!$B$3:$J$3</c:f>
              <c:numCache>
                <c:formatCode>General</c:formatCode>
                <c:ptCount val="9"/>
                <c:pt idx="0">
                  <c:v>102</c:v>
                </c:pt>
                <c:pt idx="1">
                  <c:v>107</c:v>
                </c:pt>
                <c:pt idx="2">
                  <c:v>91</c:v>
                </c:pt>
                <c:pt idx="3">
                  <c:v>83</c:v>
                </c:pt>
                <c:pt idx="4">
                  <c:v>90</c:v>
                </c:pt>
                <c:pt idx="5">
                  <c:v>90</c:v>
                </c:pt>
                <c:pt idx="6">
                  <c:v>93</c:v>
                </c:pt>
                <c:pt idx="7">
                  <c:v>85</c:v>
                </c:pt>
                <c:pt idx="8">
                  <c:v>84</c:v>
                </c:pt>
              </c:numCache>
            </c:numRef>
          </c:val>
          <c:extLst>
            <c:ext xmlns:c16="http://schemas.microsoft.com/office/drawing/2014/chart" uri="{C3380CC4-5D6E-409C-BE32-E72D297353CC}">
              <c16:uniqueId val="{00000001-7D86-4E9B-8575-8D11355004CA}"/>
            </c:ext>
          </c:extLst>
        </c:ser>
        <c:dLbls>
          <c:dLblPos val="ctr"/>
          <c:showLegendKey val="0"/>
          <c:showVal val="1"/>
          <c:showCatName val="0"/>
          <c:showSerName val="0"/>
          <c:showPercent val="0"/>
          <c:showBubbleSize val="0"/>
        </c:dLbls>
        <c:gapWidth val="150"/>
        <c:overlap val="100"/>
        <c:axId val="1928571920"/>
        <c:axId val="1928564848"/>
      </c:barChart>
      <c:catAx>
        <c:axId val="192857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64848"/>
        <c:crosses val="autoZero"/>
        <c:auto val="1"/>
        <c:lblAlgn val="ctr"/>
        <c:lblOffset val="100"/>
        <c:noMultiLvlLbl val="0"/>
      </c:catAx>
      <c:valAx>
        <c:axId val="192856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857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615421214993E-2"/>
          <c:y val="6.0185185185185182E-2"/>
          <c:w val="0.92168571796281784"/>
          <c:h val="0.841674686497521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elder!$M$1:$S$1</c:f>
              <c:numCache>
                <c:formatCode>General</c:formatCode>
                <c:ptCount val="7"/>
                <c:pt idx="0">
                  <c:v>2012</c:v>
                </c:pt>
                <c:pt idx="1">
                  <c:v>2013</c:v>
                </c:pt>
                <c:pt idx="2">
                  <c:v>2014</c:v>
                </c:pt>
                <c:pt idx="3">
                  <c:v>2015</c:v>
                </c:pt>
                <c:pt idx="4">
                  <c:v>2016</c:v>
                </c:pt>
                <c:pt idx="5">
                  <c:v>2017</c:v>
                </c:pt>
                <c:pt idx="6">
                  <c:v>2018</c:v>
                </c:pt>
              </c:numCache>
            </c:numRef>
          </c:cat>
          <c:val>
            <c:numRef>
              <c:f>elder!$M$2:$S$2</c:f>
              <c:numCache>
                <c:formatCode>General</c:formatCode>
                <c:ptCount val="7"/>
                <c:pt idx="0">
                  <c:v>12</c:v>
                </c:pt>
                <c:pt idx="1">
                  <c:v>74</c:v>
                </c:pt>
                <c:pt idx="2">
                  <c:v>106</c:v>
                </c:pt>
                <c:pt idx="3">
                  <c:v>102</c:v>
                </c:pt>
                <c:pt idx="4">
                  <c:v>148</c:v>
                </c:pt>
                <c:pt idx="5">
                  <c:v>140</c:v>
                </c:pt>
                <c:pt idx="6">
                  <c:v>145</c:v>
                </c:pt>
              </c:numCache>
            </c:numRef>
          </c:val>
          <c:extLst>
            <c:ext xmlns:c16="http://schemas.microsoft.com/office/drawing/2014/chart" uri="{C3380CC4-5D6E-409C-BE32-E72D297353CC}">
              <c16:uniqueId val="{00000000-2F82-496B-91CA-924A40BE6EC1}"/>
            </c:ext>
          </c:extLst>
        </c:ser>
        <c:dLbls>
          <c:dLblPos val="outEnd"/>
          <c:showLegendKey val="0"/>
          <c:showVal val="1"/>
          <c:showCatName val="0"/>
          <c:showSerName val="0"/>
          <c:showPercent val="0"/>
          <c:showBubbleSize val="0"/>
        </c:dLbls>
        <c:gapWidth val="219"/>
        <c:overlap val="-27"/>
        <c:axId val="1793961792"/>
        <c:axId val="1793971040"/>
      </c:barChart>
      <c:catAx>
        <c:axId val="17939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71040"/>
        <c:crosses val="autoZero"/>
        <c:auto val="1"/>
        <c:lblAlgn val="ctr"/>
        <c:lblOffset val="100"/>
        <c:noMultiLvlLbl val="0"/>
      </c:catAx>
      <c:valAx>
        <c:axId val="179397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'Domestic Violence Centers'!$B$1</c:f>
              <c:strCache>
                <c:ptCount val="1"/>
                <c:pt idx="0">
                  <c:v>Adult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'Domestic Violence Centers'!$A$2:$A$10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'Domestic Violence Centers'!$B$2:$B$10</c:f>
              <c:numCache>
                <c:formatCode>General</c:formatCode>
                <c:ptCount val="9"/>
                <c:pt idx="0">
                  <c:v>18</c:v>
                </c:pt>
                <c:pt idx="1">
                  <c:v>36</c:v>
                </c:pt>
                <c:pt idx="2">
                  <c:v>37</c:v>
                </c:pt>
                <c:pt idx="3">
                  <c:v>40</c:v>
                </c:pt>
                <c:pt idx="4">
                  <c:v>47</c:v>
                </c:pt>
                <c:pt idx="5">
                  <c:v>66</c:v>
                </c:pt>
                <c:pt idx="6">
                  <c:v>103</c:v>
                </c:pt>
                <c:pt idx="7">
                  <c:v>128</c:v>
                </c:pt>
                <c:pt idx="8">
                  <c:v>165</c:v>
                </c:pt>
              </c:numCache>
            </c:numRef>
          </c:val>
          <c:extLst>
            <c:ext xmlns:c16="http://schemas.microsoft.com/office/drawing/2014/chart" uri="{C3380CC4-5D6E-409C-BE32-E72D297353CC}">
              <c16:uniqueId val="{00000000-2B55-4F39-B323-D0E14D4BE1FC}"/>
            </c:ext>
          </c:extLst>
        </c:ser>
        <c:ser>
          <c:idx val="1"/>
          <c:order val="1"/>
          <c:tx>
            <c:strRef>
              <c:f>'Domestic Violence Centers'!$C$1</c:f>
              <c:strCache>
                <c:ptCount val="1"/>
                <c:pt idx="0">
                  <c:v>Under 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'Domestic Violence Centers'!$A$2:$A$10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'Domestic Violence Centers'!$C$2:$C$10</c:f>
              <c:numCache>
                <c:formatCode>General</c:formatCode>
                <c:ptCount val="9"/>
                <c:pt idx="0">
                  <c:v>4</c:v>
                </c:pt>
                <c:pt idx="1">
                  <c:v>1</c:v>
                </c:pt>
                <c:pt idx="2">
                  <c:v>2</c:v>
                </c:pt>
                <c:pt idx="3">
                  <c:v>1</c:v>
                </c:pt>
                <c:pt idx="4">
                  <c:v>3</c:v>
                </c:pt>
                <c:pt idx="5">
                  <c:v>4</c:v>
                </c:pt>
                <c:pt idx="6">
                  <c:v>8</c:v>
                </c:pt>
                <c:pt idx="7">
                  <c:v>17</c:v>
                </c:pt>
                <c:pt idx="8">
                  <c:v>23</c:v>
                </c:pt>
              </c:numCache>
            </c:numRef>
          </c:val>
          <c:extLst>
            <c:ext xmlns:c16="http://schemas.microsoft.com/office/drawing/2014/chart" uri="{C3380CC4-5D6E-409C-BE32-E72D297353CC}">
              <c16:uniqueId val="{00000001-2B55-4F39-B323-D0E14D4BE1FC}"/>
            </c:ext>
          </c:extLst>
        </c:ser>
        <c:ser>
          <c:idx val="2"/>
          <c:order val="2"/>
          <c:tx>
            <c:strRef>
              <c:f>'Domestic Violence Centers'!$D$1</c:f>
              <c:strCache>
                <c:ptCount val="1"/>
                <c:pt idx="0">
                  <c:v>Dependent Person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'Domestic Violence Centers'!$A$2:$A$10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'Domestic Violence Centers'!$D$2:$D$10</c:f>
              <c:numCache>
                <c:formatCode>General</c:formatCode>
                <c:ptCount val="9"/>
                <c:pt idx="0">
                  <c:v>20</c:v>
                </c:pt>
                <c:pt idx="1">
                  <c:v>52</c:v>
                </c:pt>
                <c:pt idx="2">
                  <c:v>49</c:v>
                </c:pt>
                <c:pt idx="3">
                  <c:v>59</c:v>
                </c:pt>
                <c:pt idx="4">
                  <c:v>64</c:v>
                </c:pt>
                <c:pt idx="5">
                  <c:v>118</c:v>
                </c:pt>
                <c:pt idx="6">
                  <c:v>149</c:v>
                </c:pt>
                <c:pt idx="7">
                  <c:v>162</c:v>
                </c:pt>
                <c:pt idx="8">
                  <c:v>224</c:v>
                </c:pt>
              </c:numCache>
            </c:numRef>
          </c:val>
          <c:extLst>
            <c:ext xmlns:c16="http://schemas.microsoft.com/office/drawing/2014/chart" uri="{C3380CC4-5D6E-409C-BE32-E72D297353CC}">
              <c16:uniqueId val="{00000002-2B55-4F39-B323-D0E14D4BE1FC}"/>
            </c:ext>
          </c:extLst>
        </c:ser>
        <c:dLbls>
          <c:dLblPos val="ctr"/>
          <c:showLegendKey val="0"/>
          <c:showVal val="1"/>
          <c:showCatName val="0"/>
          <c:showSerName val="0"/>
          <c:showPercent val="0"/>
          <c:showBubbleSize val="0"/>
        </c:dLbls>
        <c:gapWidth val="150"/>
        <c:overlap val="100"/>
        <c:axId val="1793969408"/>
        <c:axId val="1793962336"/>
      </c:barChart>
      <c:catAx>
        <c:axId val="179396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2336"/>
        <c:crosses val="autoZero"/>
        <c:auto val="1"/>
        <c:lblAlgn val="ctr"/>
        <c:lblOffset val="100"/>
        <c:noMultiLvlLbl val="0"/>
      </c:catAx>
      <c:valAx>
        <c:axId val="179396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doubleuphouseholds!$BN$17</c:f>
              <c:strCache>
                <c:ptCount val="1"/>
                <c:pt idx="0">
                  <c:v>Max</c:v>
                </c:pt>
              </c:strCache>
            </c:strRef>
          </c:tx>
          <c:spPr>
            <a:ln w="28575" cap="rnd">
              <a:noFill/>
              <a:round/>
            </a:ln>
            <a:effectLst/>
          </c:spPr>
          <c:marker>
            <c:symbol val="none"/>
          </c:marker>
          <c:cat>
            <c:numRef>
              <c:f>doubleuphouseholds!$BO$13:$BZ$13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doubleuphouseholds!$BO$17:$BZ$17</c:f>
              <c:numCache>
                <c:formatCode>0.0%</c:formatCode>
                <c:ptCount val="12"/>
                <c:pt idx="0">
                  <c:v>1.5046296296296295E-2</c:v>
                </c:pt>
                <c:pt idx="1">
                  <c:v>1.6235718580877932E-2</c:v>
                </c:pt>
                <c:pt idx="2">
                  <c:v>1.6100178890876567E-2</c:v>
                </c:pt>
                <c:pt idx="3">
                  <c:v>1.8563603164942179E-2</c:v>
                </c:pt>
                <c:pt idx="4">
                  <c:v>1.9318181818181818E-2</c:v>
                </c:pt>
                <c:pt idx="5">
                  <c:v>3.2999410724808484E-2</c:v>
                </c:pt>
                <c:pt idx="6">
                  <c:v>3.255813953488372E-2</c:v>
                </c:pt>
                <c:pt idx="7">
                  <c:v>3.5672514619883043E-2</c:v>
                </c:pt>
                <c:pt idx="8">
                  <c:v>4.1292639138240578E-2</c:v>
                </c:pt>
                <c:pt idx="9">
                  <c:v>3.3333333333333333E-2</c:v>
                </c:pt>
                <c:pt idx="10">
                  <c:v>4.978962131837307E-2</c:v>
                </c:pt>
                <c:pt idx="11">
                  <c:v>6.0249816311535635E-2</c:v>
                </c:pt>
              </c:numCache>
            </c:numRef>
          </c:val>
          <c:smooth val="0"/>
          <c:extLst>
            <c:ext xmlns:c16="http://schemas.microsoft.com/office/drawing/2014/chart" uri="{C3380CC4-5D6E-409C-BE32-E72D297353CC}">
              <c16:uniqueId val="{00000000-E83B-4ED4-867D-68A2EEE47719}"/>
            </c:ext>
          </c:extLst>
        </c:ser>
        <c:ser>
          <c:idx val="1"/>
          <c:order val="1"/>
          <c:tx>
            <c:strRef>
              <c:f>doubleuphouseholds!$BN$18</c:f>
              <c:strCache>
                <c:ptCount val="1"/>
                <c:pt idx="0">
                  <c:v>Min</c:v>
                </c:pt>
              </c:strCache>
            </c:strRef>
          </c:tx>
          <c:spPr>
            <a:ln w="28575" cap="rnd">
              <a:noFill/>
              <a:round/>
            </a:ln>
            <a:effectLst/>
          </c:spPr>
          <c:marker>
            <c:symbol val="none"/>
          </c:marker>
          <c:cat>
            <c:numRef>
              <c:f>doubleuphouseholds!$BO$13:$BZ$13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doubleuphouseholds!$BO$18:$BZ$18</c:f>
              <c:numCache>
                <c:formatCode>0.0%</c:formatCode>
                <c:ptCount val="12"/>
                <c:pt idx="0">
                  <c:v>1.1130638547158758E-2</c:v>
                </c:pt>
                <c:pt idx="1">
                  <c:v>1.3973799126637555E-2</c:v>
                </c:pt>
                <c:pt idx="2">
                  <c:v>1.3694638694638694E-2</c:v>
                </c:pt>
                <c:pt idx="3">
                  <c:v>1.399642644431209E-2</c:v>
                </c:pt>
                <c:pt idx="4">
                  <c:v>1.8562874251497007E-2</c:v>
                </c:pt>
                <c:pt idx="5">
                  <c:v>2.4826789838337183E-2</c:v>
                </c:pt>
                <c:pt idx="6">
                  <c:v>2.7151935297515885E-2</c:v>
                </c:pt>
                <c:pt idx="7">
                  <c:v>2.9850746268656716E-2</c:v>
                </c:pt>
                <c:pt idx="8">
                  <c:v>3.7212049616066153E-2</c:v>
                </c:pt>
                <c:pt idx="9">
                  <c:v>3.0704394942805538E-2</c:v>
                </c:pt>
                <c:pt idx="10">
                  <c:v>3.4236804564907276E-2</c:v>
                </c:pt>
                <c:pt idx="11">
                  <c:v>4.9034175334323922E-2</c:v>
                </c:pt>
              </c:numCache>
            </c:numRef>
          </c:val>
          <c:smooth val="0"/>
          <c:extLst>
            <c:ext xmlns:c16="http://schemas.microsoft.com/office/drawing/2014/chart" uri="{C3380CC4-5D6E-409C-BE32-E72D297353CC}">
              <c16:uniqueId val="{00000001-E83B-4ED4-867D-68A2EEE47719}"/>
            </c:ext>
          </c:extLst>
        </c:ser>
        <c:ser>
          <c:idx val="2"/>
          <c:order val="2"/>
          <c:tx>
            <c:strRef>
              <c:f>doubleuphouseholds!$BN$19</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doubleuphouseholds!$BO$13:$BZ$13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doubleuphouseholds!$BO$19:$BZ$19</c:f>
              <c:numCache>
                <c:formatCode>0.0%</c:formatCode>
                <c:ptCount val="12"/>
                <c:pt idx="0">
                  <c:v>1.2767967398101099E-2</c:v>
                </c:pt>
                <c:pt idx="1">
                  <c:v>1.4982782152901967E-2</c:v>
                </c:pt>
                <c:pt idx="2">
                  <c:v>1.4892869169499149E-2</c:v>
                </c:pt>
                <c:pt idx="3">
                  <c:v>1.5822572209005917E-2</c:v>
                </c:pt>
                <c:pt idx="4">
                  <c:v>1.9030144944384753E-2</c:v>
                </c:pt>
                <c:pt idx="5">
                  <c:v>2.8286073201875764E-2</c:v>
                </c:pt>
                <c:pt idx="6">
                  <c:v>2.92217428788967E-2</c:v>
                </c:pt>
                <c:pt idx="7">
                  <c:v>3.2356711753587029E-2</c:v>
                </c:pt>
                <c:pt idx="8">
                  <c:v>3.9134490667483396E-2</c:v>
                </c:pt>
                <c:pt idx="9">
                  <c:v>3.1699458079438872E-2</c:v>
                </c:pt>
                <c:pt idx="10">
                  <c:v>4.4308780677560236E-2</c:v>
                </c:pt>
                <c:pt idx="11">
                  <c:v>5.4508972098633486E-2</c:v>
                </c:pt>
              </c:numCache>
            </c:numRef>
          </c:val>
          <c:smooth val="0"/>
          <c:extLst>
            <c:ext xmlns:c16="http://schemas.microsoft.com/office/drawing/2014/chart" uri="{C3380CC4-5D6E-409C-BE32-E72D297353CC}">
              <c16:uniqueId val="{00000002-E83B-4ED4-867D-68A2EEE47719}"/>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93963968"/>
        <c:axId val="1793959616"/>
      </c:stockChart>
      <c:catAx>
        <c:axId val="179396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59616"/>
        <c:crosses val="autoZero"/>
        <c:auto val="1"/>
        <c:lblAlgn val="ctr"/>
        <c:lblOffset val="100"/>
        <c:noMultiLvlLbl val="0"/>
      </c:catAx>
      <c:valAx>
        <c:axId val="1793959616"/>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3968"/>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doubleuphouseholds!$BN$14</c:f>
              <c:strCache>
                <c:ptCount val="1"/>
                <c:pt idx="0">
                  <c:v>Max</c:v>
                </c:pt>
              </c:strCache>
            </c:strRef>
          </c:tx>
          <c:spPr>
            <a:ln w="28575" cap="rnd">
              <a:noFill/>
              <a:round/>
            </a:ln>
            <a:effectLst/>
          </c:spPr>
          <c:marker>
            <c:symbol val="none"/>
          </c:marker>
          <c:cat>
            <c:numRef>
              <c:f>doubleuphouseholds!$BO$13:$BZ$13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doubleuphouseholds!$BO$14:$BZ$14</c:f>
              <c:numCache>
                <c:formatCode>0.0%</c:formatCode>
                <c:ptCount val="12"/>
                <c:pt idx="0">
                  <c:v>3.5000000000000003E-2</c:v>
                </c:pt>
                <c:pt idx="1">
                  <c:v>2.7027027027027029E-2</c:v>
                </c:pt>
                <c:pt idx="2">
                  <c:v>3.1203566121842496E-2</c:v>
                </c:pt>
                <c:pt idx="3">
                  <c:v>3.5820895522388062E-2</c:v>
                </c:pt>
                <c:pt idx="4">
                  <c:v>3.8175046554934824E-2</c:v>
                </c:pt>
                <c:pt idx="5">
                  <c:v>4.2632066728452274E-2</c:v>
                </c:pt>
                <c:pt idx="6">
                  <c:v>4.0658276863504358E-2</c:v>
                </c:pt>
                <c:pt idx="7">
                  <c:v>3.8533834586466163E-2</c:v>
                </c:pt>
                <c:pt idx="8">
                  <c:v>5.0420168067226892E-2</c:v>
                </c:pt>
                <c:pt idx="9">
                  <c:v>5.2475247524752473E-2</c:v>
                </c:pt>
                <c:pt idx="10">
                  <c:v>4.7026279391424619E-2</c:v>
                </c:pt>
                <c:pt idx="11">
                  <c:v>5.5276381909547742E-2</c:v>
                </c:pt>
              </c:numCache>
            </c:numRef>
          </c:val>
          <c:smooth val="0"/>
          <c:extLst>
            <c:ext xmlns:c16="http://schemas.microsoft.com/office/drawing/2014/chart" uri="{C3380CC4-5D6E-409C-BE32-E72D297353CC}">
              <c16:uniqueId val="{00000000-378B-4B22-8B97-BCD441EE67FC}"/>
            </c:ext>
          </c:extLst>
        </c:ser>
        <c:ser>
          <c:idx val="1"/>
          <c:order val="1"/>
          <c:tx>
            <c:strRef>
              <c:f>doubleuphouseholds!$BN$15</c:f>
              <c:strCache>
                <c:ptCount val="1"/>
                <c:pt idx="0">
                  <c:v>Min</c:v>
                </c:pt>
              </c:strCache>
            </c:strRef>
          </c:tx>
          <c:spPr>
            <a:ln w="28575" cap="rnd">
              <a:noFill/>
              <a:round/>
            </a:ln>
            <a:effectLst/>
          </c:spPr>
          <c:marker>
            <c:symbol val="none"/>
          </c:marker>
          <c:cat>
            <c:numRef>
              <c:f>doubleuphouseholds!$BO$13:$BZ$13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doubleuphouseholds!$BO$15:$BZ$15</c:f>
              <c:numCache>
                <c:formatCode>0.0%</c:formatCode>
                <c:ptCount val="12"/>
                <c:pt idx="0">
                  <c:v>2.5329280648429583E-2</c:v>
                </c:pt>
                <c:pt idx="1">
                  <c:v>2.3703703703703703E-2</c:v>
                </c:pt>
                <c:pt idx="2">
                  <c:v>2.5590551181102362E-2</c:v>
                </c:pt>
                <c:pt idx="3">
                  <c:v>2.8598665395614873E-2</c:v>
                </c:pt>
                <c:pt idx="4">
                  <c:v>2.7829313543599257E-2</c:v>
                </c:pt>
                <c:pt idx="5">
                  <c:v>3.0658250676284943E-2</c:v>
                </c:pt>
                <c:pt idx="6">
                  <c:v>3.4676663542642927E-2</c:v>
                </c:pt>
                <c:pt idx="7">
                  <c:v>3.581526861451461E-2</c:v>
                </c:pt>
                <c:pt idx="8">
                  <c:v>4.653371320037987E-2</c:v>
                </c:pt>
                <c:pt idx="9">
                  <c:v>4.5801526717557252E-2</c:v>
                </c:pt>
                <c:pt idx="10">
                  <c:v>4.1076487252124649E-2</c:v>
                </c:pt>
                <c:pt idx="11">
                  <c:v>4.4194756554307116E-2</c:v>
                </c:pt>
              </c:numCache>
            </c:numRef>
          </c:val>
          <c:smooth val="0"/>
          <c:extLst>
            <c:ext xmlns:c16="http://schemas.microsoft.com/office/drawing/2014/chart" uri="{C3380CC4-5D6E-409C-BE32-E72D297353CC}">
              <c16:uniqueId val="{00000001-378B-4B22-8B97-BCD441EE67FC}"/>
            </c:ext>
          </c:extLst>
        </c:ser>
        <c:ser>
          <c:idx val="2"/>
          <c:order val="2"/>
          <c:tx>
            <c:strRef>
              <c:f>doubleuphouseholds!$BN$16</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doubleuphouseholds!$BO$13:$BZ$13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doubleuphouseholds!$BO$16:$BZ$16</c:f>
              <c:numCache>
                <c:formatCode>0.0%</c:formatCode>
                <c:ptCount val="12"/>
                <c:pt idx="0">
                  <c:v>3.0358050109248292E-2</c:v>
                </c:pt>
                <c:pt idx="1">
                  <c:v>2.5903899893235556E-2</c:v>
                </c:pt>
                <c:pt idx="2">
                  <c:v>2.8522285646295206E-2</c:v>
                </c:pt>
                <c:pt idx="3">
                  <c:v>3.2436815176572618E-2</c:v>
                </c:pt>
                <c:pt idx="4">
                  <c:v>3.477949628788933E-2</c:v>
                </c:pt>
                <c:pt idx="5">
                  <c:v>3.4477384562386339E-2</c:v>
                </c:pt>
                <c:pt idx="6">
                  <c:v>3.7434405264706982E-2</c:v>
                </c:pt>
                <c:pt idx="7">
                  <c:v>3.7217307284046271E-2</c:v>
                </c:pt>
                <c:pt idx="8">
                  <c:v>4.9262278312107985E-2</c:v>
                </c:pt>
                <c:pt idx="9">
                  <c:v>4.8147610779733792E-2</c:v>
                </c:pt>
                <c:pt idx="10">
                  <c:v>4.380645144676492E-2</c:v>
                </c:pt>
                <c:pt idx="11">
                  <c:v>4.9368086408144982E-2</c:v>
                </c:pt>
              </c:numCache>
            </c:numRef>
          </c:val>
          <c:smooth val="0"/>
          <c:extLst>
            <c:ext xmlns:c16="http://schemas.microsoft.com/office/drawing/2014/chart" uri="{C3380CC4-5D6E-409C-BE32-E72D297353CC}">
              <c16:uniqueId val="{00000002-378B-4B22-8B97-BCD441EE67FC}"/>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93962880"/>
        <c:axId val="1793966688"/>
      </c:stockChart>
      <c:catAx>
        <c:axId val="179396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6688"/>
        <c:crosses val="autoZero"/>
        <c:auto val="1"/>
        <c:lblAlgn val="ctr"/>
        <c:lblOffset val="100"/>
        <c:noMultiLvlLbl val="0"/>
      </c:catAx>
      <c:valAx>
        <c:axId val="179396668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2880"/>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layout>
        <c:manualLayout>
          <c:xMode val="edge"/>
          <c:yMode val="edge"/>
          <c:x val="0.43310412285420846"/>
          <c:y val="3.9668740037632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34233220847393"/>
          <c:y val="0.24433265286283659"/>
          <c:w val="0.78553137379566684"/>
          <c:h val="0.31466399929045163"/>
        </c:manualLayout>
      </c:layout>
      <c:stockChart>
        <c:ser>
          <c:idx val="0"/>
          <c:order val="0"/>
          <c:tx>
            <c:strRef>
              <c:f>'Ownership '!$BN$48</c:f>
              <c:strCache>
                <c:ptCount val="1"/>
                <c:pt idx="0">
                  <c:v>Max</c:v>
                </c:pt>
              </c:strCache>
            </c:strRef>
          </c:tx>
          <c:spPr>
            <a:ln w="28575" cap="rnd">
              <a:noFill/>
              <a:round/>
            </a:ln>
            <a:effectLst/>
          </c:spPr>
          <c:marker>
            <c:symbol val="none"/>
          </c:marker>
          <c:cat>
            <c:numRef>
              <c:f>'Ownership '!$BO$29:$BZ$29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'Ownership '!$BO$48:$BZ$48</c:f>
              <c:numCache>
                <c:formatCode>0.000%</c:formatCode>
                <c:ptCount val="12"/>
                <c:pt idx="0">
                  <c:v>1.7574692442882249E-3</c:v>
                </c:pt>
                <c:pt idx="1">
                  <c:v>6.0132291040288638E-4</c:v>
                </c:pt>
                <c:pt idx="2">
                  <c:v>1.456876456876457E-3</c:v>
                </c:pt>
                <c:pt idx="3">
                  <c:v>2.7413950654888823E-3</c:v>
                </c:pt>
                <c:pt idx="4">
                  <c:v>1.1976047904191617E-3</c:v>
                </c:pt>
                <c:pt idx="5">
                  <c:v>5.8927519151443723E-4</c:v>
                </c:pt>
                <c:pt idx="6">
                  <c:v>1.1627906976744186E-3</c:v>
                </c:pt>
                <c:pt idx="7">
                  <c:v>1.1695906432748538E-3</c:v>
                </c:pt>
                <c:pt idx="8">
                  <c:v>3.5650623885918001E-3</c:v>
                </c:pt>
                <c:pt idx="9">
                  <c:v>2.4009603841536613E-3</c:v>
                </c:pt>
                <c:pt idx="10">
                  <c:v>1.4461315979754157E-3</c:v>
                </c:pt>
                <c:pt idx="11">
                  <c:v>2.9717682020802376E-3</c:v>
                </c:pt>
              </c:numCache>
            </c:numRef>
          </c:val>
          <c:smooth val="0"/>
          <c:extLst>
            <c:ext xmlns:c16="http://schemas.microsoft.com/office/drawing/2014/chart" uri="{C3380CC4-5D6E-409C-BE32-E72D297353CC}">
              <c16:uniqueId val="{00000000-6ADD-42FD-B383-0B7037C5B537}"/>
            </c:ext>
          </c:extLst>
        </c:ser>
        <c:ser>
          <c:idx val="1"/>
          <c:order val="1"/>
          <c:tx>
            <c:strRef>
              <c:f>'Ownership '!$BN$49</c:f>
              <c:strCache>
                <c:ptCount val="1"/>
                <c:pt idx="0">
                  <c:v>Min</c:v>
                </c:pt>
              </c:strCache>
            </c:strRef>
          </c:tx>
          <c:spPr>
            <a:ln w="28575" cap="rnd">
              <a:noFill/>
              <a:round/>
            </a:ln>
            <a:effectLst/>
          </c:spPr>
          <c:marker>
            <c:symbol val="none"/>
          </c:marker>
          <c:cat>
            <c:numRef>
              <c:f>'Ownership '!$BO$29:$BZ$29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'Ownership '!$BO$49:$BZ$49</c:f>
              <c:numCache>
                <c:formatCode>0.0%</c:formatCode>
                <c:ptCount val="12"/>
                <c:pt idx="0">
                  <c:v>0</c:v>
                </c:pt>
                <c:pt idx="1">
                  <c:v>0</c:v>
                </c:pt>
                <c:pt idx="2">
                  <c:v>8.9445438282647585E-4</c:v>
                </c:pt>
                <c:pt idx="3">
                  <c:v>2.0889286780065653E-3</c:v>
                </c:pt>
                <c:pt idx="4">
                  <c:v>5.6818181818181815E-4</c:v>
                </c:pt>
                <c:pt idx="5">
                  <c:v>5.7077625570776253E-4</c:v>
                </c:pt>
                <c:pt idx="6">
                  <c:v>5.7770075101097628E-4</c:v>
                </c:pt>
                <c:pt idx="7">
                  <c:v>0</c:v>
                </c:pt>
                <c:pt idx="8">
                  <c:v>5.9066745422327229E-4</c:v>
                </c:pt>
                <c:pt idx="9">
                  <c:v>1.1904761904761906E-3</c:v>
                </c:pt>
                <c:pt idx="10">
                  <c:v>0</c:v>
                </c:pt>
                <c:pt idx="11">
                  <c:v>7.2886297376093293E-4</c:v>
                </c:pt>
              </c:numCache>
            </c:numRef>
          </c:val>
          <c:smooth val="0"/>
          <c:extLst>
            <c:ext xmlns:c16="http://schemas.microsoft.com/office/drawing/2014/chart" uri="{C3380CC4-5D6E-409C-BE32-E72D297353CC}">
              <c16:uniqueId val="{00000001-6ADD-42FD-B383-0B7037C5B537}"/>
            </c:ext>
          </c:extLst>
        </c:ser>
        <c:ser>
          <c:idx val="2"/>
          <c:order val="2"/>
          <c:tx>
            <c:strRef>
              <c:f>'Ownership '!$BN$50</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'Ownership '!$BO$29:$BZ$29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'Ownership '!$BO$50:$BZ$50</c:f>
              <c:numCache>
                <c:formatCode>0.000%</c:formatCode>
                <c:ptCount val="12"/>
                <c:pt idx="0">
                  <c:v>1.0250021234162379E-3</c:v>
                </c:pt>
                <c:pt idx="1">
                  <c:v>3.6877898001470226E-4</c:v>
                </c:pt>
                <c:pt idx="2">
                  <c:v>1.1834794158646395E-3</c:v>
                </c:pt>
                <c:pt idx="3">
                  <c:v>2.4903411950885166E-3</c:v>
                </c:pt>
                <c:pt idx="4">
                  <c:v>1.0208333749966115E-3</c:v>
                </c:pt>
                <c:pt idx="5">
                  <c:v>5.7995745876490625E-4</c:v>
                </c:pt>
                <c:pt idx="6">
                  <c:v>8.7219056000915711E-4</c:v>
                </c:pt>
                <c:pt idx="7">
                  <c:v>7.2830852485212269E-4</c:v>
                </c:pt>
                <c:pt idx="8">
                  <c:v>2.0760007889327257E-3</c:v>
                </c:pt>
                <c:pt idx="9">
                  <c:v>1.6453111949174613E-3</c:v>
                </c:pt>
                <c:pt idx="10">
                  <c:v>8.8711155128401117E-4</c:v>
                </c:pt>
                <c:pt idx="11">
                  <c:v>2.0244688010886943E-3</c:v>
                </c:pt>
              </c:numCache>
            </c:numRef>
          </c:val>
          <c:smooth val="0"/>
          <c:extLst>
            <c:ext xmlns:c16="http://schemas.microsoft.com/office/drawing/2014/chart" uri="{C3380CC4-5D6E-409C-BE32-E72D297353CC}">
              <c16:uniqueId val="{00000002-6ADD-42FD-B383-0B7037C5B537}"/>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93963424"/>
        <c:axId val="1793960160"/>
      </c:stockChart>
      <c:catAx>
        <c:axId val="17939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0160"/>
        <c:crosses val="autoZero"/>
        <c:auto val="1"/>
        <c:lblAlgn val="ctr"/>
        <c:lblOffset val="100"/>
        <c:noMultiLvlLbl val="0"/>
      </c:catAx>
      <c:valAx>
        <c:axId val="1793960160"/>
        <c:scaling>
          <c:orientation val="minMax"/>
          <c:max val="8.0000000000000016E-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3424"/>
        <c:crosses val="autoZero"/>
        <c:crossBetween val="between"/>
        <c:majorUnit val="2.0000000000000004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6985807808507"/>
          <c:y val="7.0661571715300298E-2"/>
          <c:w val="0.74357377741575403"/>
          <c:h val="0.71995831403427502"/>
        </c:manualLayout>
      </c:layout>
      <c:lineChart>
        <c:grouping val="standard"/>
        <c:varyColors val="0"/>
        <c:ser>
          <c:idx val="0"/>
          <c:order val="0"/>
          <c:tx>
            <c:strRef>
              <c:f>'poverty indicators'!$H$5</c:f>
              <c:strCache>
                <c:ptCount val="1"/>
                <c:pt idx="0">
                  <c:v>Absolute Poverty </c:v>
                </c:pt>
              </c:strCache>
            </c:strRef>
          </c:tx>
          <c:spPr>
            <a:ln w="28575" cap="rnd">
              <a:solidFill>
                <a:schemeClr val="accent1"/>
              </a:solidFill>
              <a:round/>
            </a:ln>
            <a:effectLst/>
          </c:spPr>
          <c:marker>
            <c:symbol val="none"/>
          </c:marker>
          <c:cat>
            <c:numRef>
              <c:f>'poverty indicators'!$G$7:$G$18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'poverty indicators'!$H$7:$H$18</c:f>
              <c:numCache>
                <c:formatCode>0%</c:formatCode>
                <c:ptCount val="12"/>
                <c:pt idx="0">
                  <c:v>0.3878542746071359</c:v>
                </c:pt>
                <c:pt idx="1">
                  <c:v>0.34924605851875884</c:v>
                </c:pt>
                <c:pt idx="2">
                  <c:v>0.34924707785136566</c:v>
                </c:pt>
                <c:pt idx="3">
                  <c:v>0.37331722636078424</c:v>
                </c:pt>
                <c:pt idx="4">
                  <c:v>0.34095881433734809</c:v>
                </c:pt>
                <c:pt idx="5">
                  <c:v>0.30037218761079748</c:v>
                </c:pt>
                <c:pt idx="6">
                  <c:v>0.26215324615115487</c:v>
                </c:pt>
                <c:pt idx="7">
                  <c:v>0.23476984084750613</c:v>
                </c:pt>
                <c:pt idx="8">
                  <c:v>0.21626422365141565</c:v>
                </c:pt>
                <c:pt idx="9">
                  <c:v>0.2198246685304725</c:v>
                </c:pt>
                <c:pt idx="10">
                  <c:v>0.21947739322035484</c:v>
                </c:pt>
                <c:pt idx="11">
                  <c:v>0.20099951405470751</c:v>
                </c:pt>
              </c:numCache>
            </c:numRef>
          </c:val>
          <c:smooth val="0"/>
          <c:extLst>
            <c:ext xmlns:c16="http://schemas.microsoft.com/office/drawing/2014/chart" uri="{C3380CC4-5D6E-409C-BE32-E72D297353CC}">
              <c16:uniqueId val="{00000000-FC88-413E-AF3E-3D6D62330595}"/>
            </c:ext>
          </c:extLst>
        </c:ser>
        <c:ser>
          <c:idx val="1"/>
          <c:order val="1"/>
          <c:tx>
            <c:strRef>
              <c:f>'poverty indicators'!$I$5</c:f>
              <c:strCache>
                <c:ptCount val="1"/>
                <c:pt idx="0">
                  <c:v>Relative Poverty </c:v>
                </c:pt>
              </c:strCache>
            </c:strRef>
          </c:tx>
          <c:spPr>
            <a:ln w="28575" cap="rnd">
              <a:solidFill>
                <a:schemeClr val="accent2"/>
              </a:solidFill>
              <a:round/>
            </a:ln>
            <a:effectLst/>
          </c:spPr>
          <c:marker>
            <c:symbol val="none"/>
          </c:marker>
          <c:cat>
            <c:numRef>
              <c:f>'poverty indicators'!$G$7:$G$18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'poverty indicators'!$I$7:$I$18</c:f>
              <c:numCache>
                <c:formatCode>0%</c:formatCode>
                <c:ptCount val="12"/>
                <c:pt idx="0">
                  <c:v>0.21060962549681761</c:v>
                </c:pt>
                <c:pt idx="1">
                  <c:v>0.22624970623346702</c:v>
                </c:pt>
                <c:pt idx="2">
                  <c:v>0.21639236607213186</c:v>
                </c:pt>
                <c:pt idx="3">
                  <c:v>0.22806174068546445</c:v>
                </c:pt>
                <c:pt idx="4">
                  <c:v>0.22963023768016513</c:v>
                </c:pt>
                <c:pt idx="5">
                  <c:v>0.2239976805778901</c:v>
                </c:pt>
                <c:pt idx="6">
                  <c:v>0.21538791642655297</c:v>
                </c:pt>
                <c:pt idx="7">
                  <c:v>0.21354660718485158</c:v>
                </c:pt>
                <c:pt idx="8">
                  <c:v>0.20246788964307283</c:v>
                </c:pt>
                <c:pt idx="9">
                  <c:v>0.20983874725103135</c:v>
                </c:pt>
                <c:pt idx="10">
                  <c:v>0.22304877809954896</c:v>
                </c:pt>
                <c:pt idx="11">
                  <c:v>0.20527342891550984</c:v>
                </c:pt>
              </c:numCache>
            </c:numRef>
          </c:val>
          <c:smooth val="0"/>
          <c:extLst>
            <c:ext xmlns:c16="http://schemas.microsoft.com/office/drawing/2014/chart" uri="{C3380CC4-5D6E-409C-BE32-E72D297353CC}">
              <c16:uniqueId val="{00000001-FC88-413E-AF3E-3D6D62330595}"/>
            </c:ext>
          </c:extLst>
        </c:ser>
        <c:dLbls>
          <c:showLegendKey val="0"/>
          <c:showVal val="0"/>
          <c:showCatName val="0"/>
          <c:showSerName val="0"/>
          <c:showPercent val="0"/>
          <c:showBubbleSize val="0"/>
        </c:dLbls>
        <c:marker val="1"/>
        <c:smooth val="0"/>
        <c:axId val="1804789440"/>
        <c:axId val="1804789984"/>
      </c:lineChart>
      <c:lineChart>
        <c:grouping val="standard"/>
        <c:varyColors val="0"/>
        <c:ser>
          <c:idx val="2"/>
          <c:order val="2"/>
          <c:tx>
            <c:strRef>
              <c:f>'poverty indicators'!$K$5</c:f>
              <c:strCache>
                <c:ptCount val="1"/>
                <c:pt idx="0">
                  <c:v>Gini Coefficient</c:v>
                </c:pt>
              </c:strCache>
            </c:strRef>
          </c:tx>
          <c:spPr>
            <a:ln w="28575" cap="rnd">
              <a:solidFill>
                <a:schemeClr val="accent3"/>
              </a:solidFill>
              <a:round/>
            </a:ln>
            <a:effectLst/>
          </c:spPr>
          <c:marker>
            <c:symbol val="none"/>
          </c:marker>
          <c:cat>
            <c:numRef>
              <c:f>'poverty indicators'!$G$7:$G$18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'poverty indicators'!$K$7:$K$18</c:f>
              <c:numCache>
                <c:formatCode>0.00</c:formatCode>
                <c:ptCount val="12"/>
                <c:pt idx="0">
                  <c:v>0.43830226243666098</c:v>
                </c:pt>
                <c:pt idx="1">
                  <c:v>0.429646698276057</c:v>
                </c:pt>
                <c:pt idx="2">
                  <c:v>0.43363452746199599</c:v>
                </c:pt>
                <c:pt idx="3">
                  <c:v>0.43534442577476801</c:v>
                </c:pt>
                <c:pt idx="4">
                  <c:v>0.432861875796479</c:v>
                </c:pt>
                <c:pt idx="5">
                  <c:v>0.41843300778514098</c:v>
                </c:pt>
                <c:pt idx="6">
                  <c:v>0.40193691429072498</c:v>
                </c:pt>
                <c:pt idx="7">
                  <c:v>0.39522830799943298</c:v>
                </c:pt>
                <c:pt idx="8">
                  <c:v>0.39555254897028003</c:v>
                </c:pt>
                <c:pt idx="9">
                  <c:v>0.40266571512695198</c:v>
                </c:pt>
                <c:pt idx="10">
                  <c:v>0.413923690439711</c:v>
                </c:pt>
                <c:pt idx="11">
                  <c:v>0.39085978457961901</c:v>
                </c:pt>
              </c:numCache>
            </c:numRef>
          </c:val>
          <c:smooth val="0"/>
          <c:extLst>
            <c:ext xmlns:c16="http://schemas.microsoft.com/office/drawing/2014/chart" uri="{C3380CC4-5D6E-409C-BE32-E72D297353CC}">
              <c16:uniqueId val="{00000002-FC88-413E-AF3E-3D6D62330595}"/>
            </c:ext>
          </c:extLst>
        </c:ser>
        <c:dLbls>
          <c:showLegendKey val="0"/>
          <c:showVal val="0"/>
          <c:showCatName val="0"/>
          <c:showSerName val="0"/>
          <c:showPercent val="0"/>
          <c:showBubbleSize val="0"/>
        </c:dLbls>
        <c:marker val="1"/>
        <c:smooth val="0"/>
        <c:axId val="1804788352"/>
        <c:axId val="1804778560"/>
      </c:lineChart>
      <c:catAx>
        <c:axId val="18047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804789984"/>
        <c:crosses val="autoZero"/>
        <c:auto val="1"/>
        <c:lblAlgn val="ctr"/>
        <c:lblOffset val="100"/>
        <c:noMultiLvlLbl val="0"/>
      </c:catAx>
      <c:valAx>
        <c:axId val="1804789984"/>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Absoulute</a:t>
                </a:r>
                <a:r>
                  <a:rPr lang="en-US" baseline="0"/>
                  <a:t> and Relative Poverty</a:t>
                </a:r>
                <a:endParaRPr lang="en-US"/>
              </a:p>
            </c:rich>
          </c:tx>
          <c:layout>
            <c:manualLayout>
              <c:xMode val="edge"/>
              <c:yMode val="edge"/>
              <c:x val="2.1367521367521368E-2"/>
              <c:y val="5.532503457814660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804789440"/>
        <c:crosses val="autoZero"/>
        <c:crossBetween val="between"/>
        <c:majorUnit val="0.1"/>
      </c:valAx>
      <c:valAx>
        <c:axId val="18047785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Gini Coefficient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804788352"/>
        <c:crosses val="max"/>
        <c:crossBetween val="between"/>
        <c:majorUnit val="2.0000000000000004E-2"/>
      </c:valAx>
      <c:catAx>
        <c:axId val="1804788352"/>
        <c:scaling>
          <c:orientation val="minMax"/>
        </c:scaling>
        <c:delete val="1"/>
        <c:axPos val="b"/>
        <c:numFmt formatCode="General" sourceLinked="1"/>
        <c:majorTickMark val="out"/>
        <c:minorTickMark val="none"/>
        <c:tickLblPos val="nextTo"/>
        <c:crossAx val="1804778560"/>
        <c:crosses val="autoZero"/>
        <c:auto val="1"/>
        <c:lblAlgn val="ctr"/>
        <c:lblOffset val="100"/>
        <c:noMultiLvlLbl val="0"/>
      </c:catAx>
      <c:spPr>
        <a:noFill/>
        <a:ln>
          <a:noFill/>
        </a:ln>
        <a:effectLst/>
      </c:spPr>
    </c:plotArea>
    <c:legend>
      <c:legendPos val="b"/>
      <c:layout>
        <c:manualLayout>
          <c:xMode val="edge"/>
          <c:yMode val="edge"/>
          <c:x val="0.17360101621912646"/>
          <c:y val="0.90110584724627263"/>
          <c:w val="0.65279779931354731"/>
          <c:h val="9.33616492959127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'Ownership '!$BN$33</c:f>
              <c:strCache>
                <c:ptCount val="1"/>
                <c:pt idx="0">
                  <c:v>Max</c:v>
                </c:pt>
              </c:strCache>
            </c:strRef>
          </c:tx>
          <c:spPr>
            <a:ln w="28575" cap="rnd">
              <a:noFill/>
              <a:round/>
            </a:ln>
            <a:effectLst/>
          </c:spPr>
          <c:marker>
            <c:symbol val="none"/>
          </c:marker>
          <c:cat>
            <c:numRef>
              <c:f>'Ownership '!$BO$29:$BZ$29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'Ownership '!$BO$33:$BZ$33</c:f>
              <c:numCache>
                <c:formatCode>0.0%</c:formatCode>
                <c:ptCount val="12"/>
                <c:pt idx="0">
                  <c:v>3.4930139720558882E-2</c:v>
                </c:pt>
                <c:pt idx="1">
                  <c:v>3.903903903903904E-2</c:v>
                </c:pt>
                <c:pt idx="2">
                  <c:v>4.0703052728954671E-2</c:v>
                </c:pt>
                <c:pt idx="3">
                  <c:v>4.3395326657129231E-2</c:v>
                </c:pt>
                <c:pt idx="4">
                  <c:v>4.5581395348837206E-2</c:v>
                </c:pt>
                <c:pt idx="5">
                  <c:v>3.9851714550509731E-2</c:v>
                </c:pt>
                <c:pt idx="6">
                  <c:v>5.2274927395934173E-2</c:v>
                </c:pt>
                <c:pt idx="7">
                  <c:v>4.8623853211009177E-2</c:v>
                </c:pt>
                <c:pt idx="8">
                  <c:v>5.128205128205128E-2</c:v>
                </c:pt>
                <c:pt idx="9">
                  <c:v>5.0572519083969467E-2</c:v>
                </c:pt>
                <c:pt idx="10">
                  <c:v>4.3909348441926344E-2</c:v>
                </c:pt>
                <c:pt idx="11">
                  <c:v>6.3202247191011238E-2</c:v>
                </c:pt>
              </c:numCache>
            </c:numRef>
          </c:val>
          <c:smooth val="0"/>
          <c:extLst>
            <c:ext xmlns:c16="http://schemas.microsoft.com/office/drawing/2014/chart" uri="{C3380CC4-5D6E-409C-BE32-E72D297353CC}">
              <c16:uniqueId val="{00000000-7CB3-4556-860F-F56FEB92FC7A}"/>
            </c:ext>
          </c:extLst>
        </c:ser>
        <c:ser>
          <c:idx val="1"/>
          <c:order val="1"/>
          <c:tx>
            <c:strRef>
              <c:f>'Ownership '!$BN$34</c:f>
              <c:strCache>
                <c:ptCount val="1"/>
                <c:pt idx="0">
                  <c:v>Min</c:v>
                </c:pt>
              </c:strCache>
            </c:strRef>
          </c:tx>
          <c:spPr>
            <a:ln w="28575" cap="rnd">
              <a:noFill/>
              <a:round/>
            </a:ln>
            <a:effectLst/>
          </c:spPr>
          <c:marker>
            <c:symbol val="none"/>
          </c:marker>
          <c:cat>
            <c:numRef>
              <c:f>'Ownership '!$BO$29:$BZ$29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'Ownership '!$BO$34:$BZ$34</c:f>
              <c:numCache>
                <c:formatCode>0.0%</c:formatCode>
                <c:ptCount val="12"/>
                <c:pt idx="0">
                  <c:v>2.9000000000000001E-2</c:v>
                </c:pt>
                <c:pt idx="1">
                  <c:v>3.4026465028355386E-2</c:v>
                </c:pt>
                <c:pt idx="2">
                  <c:v>3.7642397226349676E-2</c:v>
                </c:pt>
                <c:pt idx="3">
                  <c:v>3.2470588235294119E-2</c:v>
                </c:pt>
                <c:pt idx="4">
                  <c:v>3.4141958670260555E-2</c:v>
                </c:pt>
                <c:pt idx="5">
                  <c:v>3.3363390441839495E-2</c:v>
                </c:pt>
                <c:pt idx="6">
                  <c:v>4.450757575757576E-2</c:v>
                </c:pt>
                <c:pt idx="7">
                  <c:v>4.1512915129151291E-2</c:v>
                </c:pt>
                <c:pt idx="8">
                  <c:v>3.5781544256120526E-2</c:v>
                </c:pt>
                <c:pt idx="9">
                  <c:v>3.7463976945244955E-2</c:v>
                </c:pt>
                <c:pt idx="10">
                  <c:v>3.8821954484605084E-2</c:v>
                </c:pt>
                <c:pt idx="11">
                  <c:v>3.5893754486719311E-2</c:v>
                </c:pt>
              </c:numCache>
            </c:numRef>
          </c:val>
          <c:smooth val="0"/>
          <c:extLst>
            <c:ext xmlns:c16="http://schemas.microsoft.com/office/drawing/2014/chart" uri="{C3380CC4-5D6E-409C-BE32-E72D297353CC}">
              <c16:uniqueId val="{00000001-7CB3-4556-860F-F56FEB92FC7A}"/>
            </c:ext>
          </c:extLst>
        </c:ser>
        <c:ser>
          <c:idx val="2"/>
          <c:order val="2"/>
          <c:tx>
            <c:strRef>
              <c:f>'Ownership '!$BN$35</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'Ownership '!$BO$29:$BZ$29</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'Ownership '!$BO$35:$BZ$35</c:f>
              <c:numCache>
                <c:formatCode>0.0%</c:formatCode>
                <c:ptCount val="12"/>
                <c:pt idx="0">
                  <c:v>3.0614458478988318E-2</c:v>
                </c:pt>
                <c:pt idx="1">
                  <c:v>3.7108107854928386E-2</c:v>
                </c:pt>
                <c:pt idx="2">
                  <c:v>3.9016260814642156E-2</c:v>
                </c:pt>
                <c:pt idx="3">
                  <c:v>3.9516325013357854E-2</c:v>
                </c:pt>
                <c:pt idx="4">
                  <c:v>3.9914047634033042E-2</c:v>
                </c:pt>
                <c:pt idx="5">
                  <c:v>3.7495950501929554E-2</c:v>
                </c:pt>
                <c:pt idx="6">
                  <c:v>4.8392466318980906E-2</c:v>
                </c:pt>
                <c:pt idx="7">
                  <c:v>4.4651883226182319E-2</c:v>
                </c:pt>
                <c:pt idx="8">
                  <c:v>4.3413573105746582E-2</c:v>
                </c:pt>
                <c:pt idx="9">
                  <c:v>4.3038433932625061E-2</c:v>
                </c:pt>
                <c:pt idx="10">
                  <c:v>4.129835171289159E-2</c:v>
                </c:pt>
                <c:pt idx="11">
                  <c:v>5.0518034220156938E-2</c:v>
                </c:pt>
              </c:numCache>
            </c:numRef>
          </c:val>
          <c:smooth val="0"/>
          <c:extLst>
            <c:ext xmlns:c16="http://schemas.microsoft.com/office/drawing/2014/chart" uri="{C3380CC4-5D6E-409C-BE32-E72D297353CC}">
              <c16:uniqueId val="{00000002-7CB3-4556-860F-F56FEB92FC7A}"/>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93960704"/>
        <c:axId val="1793957984"/>
      </c:stockChart>
      <c:catAx>
        <c:axId val="179396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57984"/>
        <c:crosses val="autoZero"/>
        <c:auto val="1"/>
        <c:lblAlgn val="ctr"/>
        <c:lblOffset val="100"/>
        <c:noMultiLvlLbl val="0"/>
      </c:catAx>
      <c:valAx>
        <c:axId val="1793957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6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'unaffrdable housholds'!$BN$47</c:f>
              <c:strCache>
                <c:ptCount val="1"/>
                <c:pt idx="0">
                  <c:v>Max</c:v>
                </c:pt>
              </c:strCache>
            </c:strRef>
          </c:tx>
          <c:spPr>
            <a:ln w="28575" cap="rnd">
              <a:noFill/>
              <a:round/>
            </a:ln>
            <a:effectLst/>
          </c:spPr>
          <c:marker>
            <c:symbol val="none"/>
          </c:marker>
          <c:cat>
            <c:numRef>
              <c:f>'unaffrdable housholds'!$BO$43:$BZ$43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housholds'!$BO$47:$BZ$47</c:f>
              <c:numCache>
                <c:formatCode>0.0%</c:formatCode>
                <c:ptCount val="12"/>
                <c:pt idx="0">
                  <c:v>1.2773722627737226E-2</c:v>
                </c:pt>
                <c:pt idx="1">
                  <c:v>5.531295487627365E-3</c:v>
                </c:pt>
                <c:pt idx="2">
                  <c:v>7.4537865235539654E-3</c:v>
                </c:pt>
                <c:pt idx="3">
                  <c:v>5.3892215568862277E-3</c:v>
                </c:pt>
                <c:pt idx="4">
                  <c:v>2.3952095808383233E-3</c:v>
                </c:pt>
                <c:pt idx="5">
                  <c:v>1.7678255745433118E-3</c:v>
                </c:pt>
                <c:pt idx="6">
                  <c:v>5.8548009367681499E-4</c:v>
                </c:pt>
                <c:pt idx="7">
                  <c:v>1.1695906432748538E-3</c:v>
                </c:pt>
                <c:pt idx="8">
                  <c:v>1.7825311942959001E-3</c:v>
                </c:pt>
                <c:pt idx="9">
                  <c:v>1.8007202881152461E-3</c:v>
                </c:pt>
                <c:pt idx="10">
                  <c:v>4.2796005706134095E-3</c:v>
                </c:pt>
                <c:pt idx="11">
                  <c:v>1.4619883040935672E-3</c:v>
                </c:pt>
              </c:numCache>
            </c:numRef>
          </c:val>
          <c:smooth val="0"/>
          <c:extLst>
            <c:ext xmlns:c16="http://schemas.microsoft.com/office/drawing/2014/chart" uri="{C3380CC4-5D6E-409C-BE32-E72D297353CC}">
              <c16:uniqueId val="{00000000-E5F0-4305-A256-D658ACDC5086}"/>
            </c:ext>
          </c:extLst>
        </c:ser>
        <c:ser>
          <c:idx val="1"/>
          <c:order val="1"/>
          <c:tx>
            <c:strRef>
              <c:f>'unaffrdable housholds'!$BN$48</c:f>
              <c:strCache>
                <c:ptCount val="1"/>
                <c:pt idx="0">
                  <c:v>Min</c:v>
                </c:pt>
              </c:strCache>
            </c:strRef>
          </c:tx>
          <c:spPr>
            <a:ln w="28575" cap="rnd">
              <a:noFill/>
              <a:round/>
            </a:ln>
            <a:effectLst/>
          </c:spPr>
          <c:marker>
            <c:symbol val="none"/>
          </c:marker>
          <c:cat>
            <c:numRef>
              <c:f>'unaffrdable housholds'!$BO$43:$BZ$43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housholds'!$BO$48:$BZ$48</c:f>
              <c:numCache>
                <c:formatCode>0.0%</c:formatCode>
                <c:ptCount val="12"/>
                <c:pt idx="0">
                  <c:v>5.7870370370370367E-4</c:v>
                </c:pt>
                <c:pt idx="1">
                  <c:v>0</c:v>
                </c:pt>
                <c:pt idx="2">
                  <c:v>8.7412587412587413E-4</c:v>
                </c:pt>
                <c:pt idx="3">
                  <c:v>3.3475349969567863E-3</c:v>
                </c:pt>
                <c:pt idx="4">
                  <c:v>0</c:v>
                </c:pt>
                <c:pt idx="5">
                  <c:v>0</c:v>
                </c:pt>
                <c:pt idx="6">
                  <c:v>5.7770075101097628E-4</c:v>
                </c:pt>
                <c:pt idx="7">
                  <c:v>5.7405281285878302E-4</c:v>
                </c:pt>
                <c:pt idx="8">
                  <c:v>5.9066745422327229E-4</c:v>
                </c:pt>
                <c:pt idx="9">
                  <c:v>0</c:v>
                </c:pt>
                <c:pt idx="10">
                  <c:v>1.4461315979754157E-3</c:v>
                </c:pt>
                <c:pt idx="11">
                  <c:v>0</c:v>
                </c:pt>
              </c:numCache>
            </c:numRef>
          </c:val>
          <c:smooth val="0"/>
          <c:extLst>
            <c:ext xmlns:c16="http://schemas.microsoft.com/office/drawing/2014/chart" uri="{C3380CC4-5D6E-409C-BE32-E72D297353CC}">
              <c16:uniqueId val="{00000001-E5F0-4305-A256-D658ACDC5086}"/>
            </c:ext>
          </c:extLst>
        </c:ser>
        <c:ser>
          <c:idx val="2"/>
          <c:order val="2"/>
          <c:tx>
            <c:strRef>
              <c:f>'unaffrdable housholds'!$BN$49</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cat>
            <c:numRef>
              <c:f>'unaffrdable housholds'!$BO$43:$BZ$43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housholds'!$BO$49:$BZ$49</c:f>
              <c:numCache>
                <c:formatCode>0.0%</c:formatCode>
                <c:ptCount val="12"/>
                <c:pt idx="0">
                  <c:v>7.2269067106761767E-3</c:v>
                </c:pt>
                <c:pt idx="1">
                  <c:v>3.2060140234656132E-3</c:v>
                </c:pt>
                <c:pt idx="2">
                  <c:v>4.5425683892079361E-3</c:v>
                </c:pt>
                <c:pt idx="3">
                  <c:v>4.289424771482489E-3</c:v>
                </c:pt>
                <c:pt idx="4">
                  <c:v>1.3154192558575833E-3</c:v>
                </c:pt>
                <c:pt idx="5">
                  <c:v>8.7750378616885936E-4</c:v>
                </c:pt>
                <c:pt idx="6">
                  <c:v>5.8149288559055246E-4</c:v>
                </c:pt>
                <c:pt idx="7">
                  <c:v>7.2908206363735736E-4</c:v>
                </c:pt>
                <c:pt idx="8">
                  <c:v>1.1866393319294904E-3</c:v>
                </c:pt>
                <c:pt idx="9">
                  <c:v>9.0001307566976219E-4</c:v>
                </c:pt>
                <c:pt idx="10">
                  <c:v>3.533011544753507E-3</c:v>
                </c:pt>
                <c:pt idx="11">
                  <c:v>9.1566407553387305E-4</c:v>
                </c:pt>
              </c:numCache>
            </c:numRef>
          </c:val>
          <c:smooth val="0"/>
          <c:extLst>
            <c:ext xmlns:c16="http://schemas.microsoft.com/office/drawing/2014/chart" uri="{C3380CC4-5D6E-409C-BE32-E72D297353CC}">
              <c16:uniqueId val="{00000002-E5F0-4305-A256-D658ACDC5086}"/>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89764128"/>
        <c:axId val="1689766848"/>
      </c:stockChart>
      <c:catAx>
        <c:axId val="168976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6848"/>
        <c:crosses val="autoZero"/>
        <c:auto val="1"/>
        <c:lblAlgn val="ctr"/>
        <c:lblOffset val="100"/>
        <c:noMultiLvlLbl val="0"/>
      </c:catAx>
      <c:valAx>
        <c:axId val="1689766848"/>
        <c:scaling>
          <c:orientation val="minMax"/>
          <c:max val="4.0000000000000008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'unaffrdable housholds'!$BN$44</c:f>
              <c:strCache>
                <c:ptCount val="1"/>
                <c:pt idx="0">
                  <c:v>Max</c:v>
                </c:pt>
              </c:strCache>
            </c:strRef>
          </c:tx>
          <c:spPr>
            <a:ln w="28575" cap="rnd">
              <a:noFill/>
              <a:round/>
            </a:ln>
            <a:effectLst/>
          </c:spPr>
          <c:marker>
            <c:symbol val="none"/>
          </c:marker>
          <c:cat>
            <c:numRef>
              <c:f>'unaffrdable housholds'!$BO$43:$BZ$43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housholds'!$BO$44:$BZ$44</c:f>
              <c:numCache>
                <c:formatCode>0.0%</c:formatCode>
                <c:ptCount val="12"/>
                <c:pt idx="0">
                  <c:v>2.4E-2</c:v>
                </c:pt>
                <c:pt idx="1">
                  <c:v>2.8148148148148148E-2</c:v>
                </c:pt>
                <c:pt idx="2">
                  <c:v>3.3184744923229322E-2</c:v>
                </c:pt>
                <c:pt idx="3">
                  <c:v>3.1935176358436609E-2</c:v>
                </c:pt>
                <c:pt idx="4">
                  <c:v>3.4322820037105753E-2</c:v>
                </c:pt>
                <c:pt idx="5">
                  <c:v>2.644003777148253E-2</c:v>
                </c:pt>
                <c:pt idx="6">
                  <c:v>2.462121212121212E-2</c:v>
                </c:pt>
                <c:pt idx="7">
                  <c:v>2.6752767527675275E-2</c:v>
                </c:pt>
                <c:pt idx="8">
                  <c:v>1.8993352326685659E-2</c:v>
                </c:pt>
                <c:pt idx="9">
                  <c:v>2.9580152671755726E-2</c:v>
                </c:pt>
                <c:pt idx="10">
                  <c:v>2.5495750708215296E-2</c:v>
                </c:pt>
                <c:pt idx="11">
                  <c:v>2.8089887640449437E-2</c:v>
                </c:pt>
              </c:numCache>
            </c:numRef>
          </c:val>
          <c:smooth val="0"/>
          <c:extLst>
            <c:ext xmlns:c16="http://schemas.microsoft.com/office/drawing/2014/chart" uri="{C3380CC4-5D6E-409C-BE32-E72D297353CC}">
              <c16:uniqueId val="{00000000-2BBA-440D-AD88-43BFB06FE1C3}"/>
            </c:ext>
          </c:extLst>
        </c:ser>
        <c:ser>
          <c:idx val="1"/>
          <c:order val="1"/>
          <c:tx>
            <c:strRef>
              <c:f>'unaffrdable housholds'!$BN$45</c:f>
              <c:strCache>
                <c:ptCount val="1"/>
                <c:pt idx="0">
                  <c:v>Min</c:v>
                </c:pt>
              </c:strCache>
            </c:strRef>
          </c:tx>
          <c:spPr>
            <a:ln w="28575" cap="rnd">
              <a:noFill/>
              <a:round/>
            </a:ln>
            <a:effectLst/>
          </c:spPr>
          <c:marker>
            <c:symbol val="none"/>
          </c:marker>
          <c:cat>
            <c:numRef>
              <c:f>'unaffrdable housholds'!$BO$43:$BZ$43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housholds'!$BO$45:$BZ$45</c:f>
              <c:numCache>
                <c:formatCode>0.0%</c:formatCode>
                <c:ptCount val="12"/>
                <c:pt idx="0">
                  <c:v>1.4970059880239521E-2</c:v>
                </c:pt>
                <c:pt idx="1">
                  <c:v>1.5015015015015015E-2</c:v>
                </c:pt>
                <c:pt idx="2">
                  <c:v>2.4271844660194174E-2</c:v>
                </c:pt>
                <c:pt idx="3">
                  <c:v>1.780693533270853E-2</c:v>
                </c:pt>
                <c:pt idx="4">
                  <c:v>2.605570530098832E-2</c:v>
                </c:pt>
                <c:pt idx="5">
                  <c:v>1.8535681186283594E-2</c:v>
                </c:pt>
                <c:pt idx="6">
                  <c:v>1.5488867376573089E-2</c:v>
                </c:pt>
                <c:pt idx="7">
                  <c:v>1.5977443609022556E-2</c:v>
                </c:pt>
                <c:pt idx="8">
                  <c:v>1.3071895424836602E-2</c:v>
                </c:pt>
                <c:pt idx="9">
                  <c:v>1.9848771266540641E-2</c:v>
                </c:pt>
                <c:pt idx="10">
                  <c:v>1.7402945113788489E-2</c:v>
                </c:pt>
                <c:pt idx="11">
                  <c:v>2.2254127781765973E-2</c:v>
                </c:pt>
              </c:numCache>
            </c:numRef>
          </c:val>
          <c:smooth val="0"/>
          <c:extLst>
            <c:ext xmlns:c16="http://schemas.microsoft.com/office/drawing/2014/chart" uri="{C3380CC4-5D6E-409C-BE32-E72D297353CC}">
              <c16:uniqueId val="{00000001-2BBA-440D-AD88-43BFB06FE1C3}"/>
            </c:ext>
          </c:extLst>
        </c:ser>
        <c:ser>
          <c:idx val="2"/>
          <c:order val="2"/>
          <c:tx>
            <c:strRef>
              <c:f>'unaffrdable housholds'!$BN$46</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'unaffrdable housholds'!$BO$43:$BZ$43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housholds'!$BO$46:$BZ$46</c:f>
              <c:numCache>
                <c:formatCode>0.0%</c:formatCode>
                <c:ptCount val="12"/>
                <c:pt idx="0">
                  <c:v>1.7562007569836884E-2</c:v>
                </c:pt>
                <c:pt idx="1">
                  <c:v>2.3376788953150804E-2</c:v>
                </c:pt>
                <c:pt idx="2">
                  <c:v>2.6759940515379211E-2</c:v>
                </c:pt>
                <c:pt idx="3">
                  <c:v>2.60627120795968E-2</c:v>
                </c:pt>
                <c:pt idx="4">
                  <c:v>3.1606057196222476E-2</c:v>
                </c:pt>
                <c:pt idx="5">
                  <c:v>2.3126953166404014E-2</c:v>
                </c:pt>
                <c:pt idx="6">
                  <c:v>2.1654295161015403E-2</c:v>
                </c:pt>
                <c:pt idx="7">
                  <c:v>2.2765882514652024E-2</c:v>
                </c:pt>
                <c:pt idx="8">
                  <c:v>1.5806073964930726E-2</c:v>
                </c:pt>
                <c:pt idx="9">
                  <c:v>2.4811459116320982E-2</c:v>
                </c:pt>
                <c:pt idx="10">
                  <c:v>1.9960667401827444E-2</c:v>
                </c:pt>
                <c:pt idx="11">
                  <c:v>2.5698100305239679E-2</c:v>
                </c:pt>
              </c:numCache>
            </c:numRef>
          </c:val>
          <c:smooth val="0"/>
          <c:extLst>
            <c:ext xmlns:c16="http://schemas.microsoft.com/office/drawing/2014/chart" uri="{C3380CC4-5D6E-409C-BE32-E72D297353CC}">
              <c16:uniqueId val="{00000002-2BBA-440D-AD88-43BFB06FE1C3}"/>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93970496"/>
        <c:axId val="1793959072"/>
      </c:stockChart>
      <c:catAx>
        <c:axId val="179397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59072"/>
        <c:crosses val="autoZero"/>
        <c:auto val="1"/>
        <c:lblAlgn val="ctr"/>
        <c:lblOffset val="100"/>
        <c:noMultiLvlLbl val="0"/>
      </c:catAx>
      <c:valAx>
        <c:axId val="179395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397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layout>
        <c:manualLayout>
          <c:xMode val="edge"/>
          <c:yMode val="edge"/>
          <c:x val="0.46269622237814334"/>
          <c:y val="5.9834606101373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'unaffrdable housholds'!$BN$58</c:f>
              <c:strCache>
                <c:ptCount val="1"/>
                <c:pt idx="0">
                  <c:v>Max</c:v>
                </c:pt>
              </c:strCache>
            </c:strRef>
          </c:tx>
          <c:spPr>
            <a:ln w="28575" cap="rnd">
              <a:noFill/>
              <a:round/>
            </a:ln>
            <a:effectLst/>
          </c:spPr>
          <c:marker>
            <c:symbol val="none"/>
          </c:marker>
          <c:cat>
            <c:numRef>
              <c:f>'unaffrdable housholds'!$BO$54:$BZ$54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housholds'!$BO$58:$BZ$58</c:f>
              <c:numCache>
                <c:formatCode>0.0%</c:formatCode>
                <c:ptCount val="12"/>
                <c:pt idx="0">
                  <c:v>0.11678832116788321</c:v>
                </c:pt>
                <c:pt idx="1">
                  <c:v>0.11798895669863411</c:v>
                </c:pt>
                <c:pt idx="2">
                  <c:v>8.5955710955710959E-2</c:v>
                </c:pt>
                <c:pt idx="3">
                  <c:v>8.2471089470480832E-2</c:v>
                </c:pt>
                <c:pt idx="4">
                  <c:v>9.880239520958084E-2</c:v>
                </c:pt>
                <c:pt idx="5">
                  <c:v>7.6605774896876838E-2</c:v>
                </c:pt>
                <c:pt idx="6">
                  <c:v>6.9767441860465115E-2</c:v>
                </c:pt>
                <c:pt idx="7">
                  <c:v>5.9964726631393295E-2</c:v>
                </c:pt>
                <c:pt idx="8">
                  <c:v>6.497341996455995E-2</c:v>
                </c:pt>
                <c:pt idx="9">
                  <c:v>6.0806742925948225E-2</c:v>
                </c:pt>
                <c:pt idx="10">
                  <c:v>0.11921458625525946</c:v>
                </c:pt>
                <c:pt idx="11">
                  <c:v>6.5393093313739895E-2</c:v>
                </c:pt>
              </c:numCache>
            </c:numRef>
          </c:val>
          <c:smooth val="0"/>
          <c:extLst>
            <c:ext xmlns:c16="http://schemas.microsoft.com/office/drawing/2014/chart" uri="{C3380CC4-5D6E-409C-BE32-E72D297353CC}">
              <c16:uniqueId val="{00000000-C1F6-4892-AF76-39043056D4FC}"/>
            </c:ext>
          </c:extLst>
        </c:ser>
        <c:ser>
          <c:idx val="1"/>
          <c:order val="1"/>
          <c:tx>
            <c:strRef>
              <c:f>'unaffrdable housholds'!$BN$59</c:f>
              <c:strCache>
                <c:ptCount val="1"/>
                <c:pt idx="0">
                  <c:v>Min</c:v>
                </c:pt>
              </c:strCache>
            </c:strRef>
          </c:tx>
          <c:spPr>
            <a:ln w="28575" cap="rnd">
              <a:noFill/>
              <a:round/>
            </a:ln>
            <a:effectLst/>
          </c:spPr>
          <c:marker>
            <c:symbol val="none"/>
          </c:marker>
          <c:cat>
            <c:numRef>
              <c:f>'unaffrdable housholds'!$BO$54:$BZ$54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housholds'!$BO$59:$BZ$59</c:f>
              <c:numCache>
                <c:formatCode>0.0%</c:formatCode>
                <c:ptCount val="12"/>
                <c:pt idx="0">
                  <c:v>5.2138254247217339E-2</c:v>
                </c:pt>
                <c:pt idx="1">
                  <c:v>4.9094097019286964E-2</c:v>
                </c:pt>
                <c:pt idx="2">
                  <c:v>2.8562838244137103E-2</c:v>
                </c:pt>
                <c:pt idx="3">
                  <c:v>3.3060357901122231E-2</c:v>
                </c:pt>
                <c:pt idx="4">
                  <c:v>2.9685681024447033E-2</c:v>
                </c:pt>
                <c:pt idx="5">
                  <c:v>3.1963470319634701E-2</c:v>
                </c:pt>
                <c:pt idx="6">
                  <c:v>1.3953488372093023E-2</c:v>
                </c:pt>
                <c:pt idx="7">
                  <c:v>1.8369690011481057E-2</c:v>
                </c:pt>
                <c:pt idx="8">
                  <c:v>1.8235294117647058E-2</c:v>
                </c:pt>
                <c:pt idx="9">
                  <c:v>8.9285714285714281E-3</c:v>
                </c:pt>
                <c:pt idx="10">
                  <c:v>1.6405135520684736E-2</c:v>
                </c:pt>
                <c:pt idx="11">
                  <c:v>9.5029239766081866E-3</c:v>
                </c:pt>
              </c:numCache>
            </c:numRef>
          </c:val>
          <c:smooth val="0"/>
          <c:extLst>
            <c:ext xmlns:c16="http://schemas.microsoft.com/office/drawing/2014/chart" uri="{C3380CC4-5D6E-409C-BE32-E72D297353CC}">
              <c16:uniqueId val="{00000001-C1F6-4892-AF76-39043056D4FC}"/>
            </c:ext>
          </c:extLst>
        </c:ser>
        <c:ser>
          <c:idx val="2"/>
          <c:order val="2"/>
          <c:tx>
            <c:strRef>
              <c:f>'unaffrdable housholds'!$BN$60</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'unaffrdable housholds'!$BO$54:$BZ$54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housholds'!$BO$60:$BZ$60</c:f>
              <c:numCache>
                <c:formatCode>0.0%</c:formatCode>
                <c:ptCount val="12"/>
                <c:pt idx="0">
                  <c:v>8.0800141328522604E-2</c:v>
                </c:pt>
                <c:pt idx="1">
                  <c:v>8.3188301226607753E-2</c:v>
                </c:pt>
                <c:pt idx="2">
                  <c:v>5.6204821599781019E-2</c:v>
                </c:pt>
                <c:pt idx="3">
                  <c:v>5.8126280901151142E-2</c:v>
                </c:pt>
                <c:pt idx="4">
                  <c:v>6.0805206905838412E-2</c:v>
                </c:pt>
                <c:pt idx="5">
                  <c:v>5.4932857815646309E-2</c:v>
                </c:pt>
                <c:pt idx="6">
                  <c:v>3.6978424571257537E-2</c:v>
                </c:pt>
                <c:pt idx="7">
                  <c:v>3.8443253283525602E-2</c:v>
                </c:pt>
                <c:pt idx="8">
                  <c:v>4.2599516137933724E-2</c:v>
                </c:pt>
                <c:pt idx="9">
                  <c:v>3.8088340393351801E-2</c:v>
                </c:pt>
                <c:pt idx="10">
                  <c:v>6.4123160708818377E-2</c:v>
                </c:pt>
                <c:pt idx="11">
                  <c:v>3.5688479562906036E-2</c:v>
                </c:pt>
              </c:numCache>
            </c:numRef>
          </c:val>
          <c:smooth val="0"/>
          <c:extLst>
            <c:ext xmlns:c16="http://schemas.microsoft.com/office/drawing/2014/chart" uri="{C3380CC4-5D6E-409C-BE32-E72D297353CC}">
              <c16:uniqueId val="{00000002-C1F6-4892-AF76-39043056D4FC}"/>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89761952"/>
        <c:axId val="1689751616"/>
      </c:stockChart>
      <c:catAx>
        <c:axId val="168976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51616"/>
        <c:crosses val="autoZero"/>
        <c:auto val="1"/>
        <c:lblAlgn val="ctr"/>
        <c:lblOffset val="100"/>
        <c:noMultiLvlLbl val="0"/>
      </c:catAx>
      <c:valAx>
        <c:axId val="1689751616"/>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1952"/>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layout>
        <c:manualLayout>
          <c:xMode val="edge"/>
          <c:yMode val="edge"/>
          <c:x val="0.4228584130566741"/>
          <c:y val="5.14075446451546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'unaffrdable housholds'!$BN$55</c:f>
              <c:strCache>
                <c:ptCount val="1"/>
                <c:pt idx="0">
                  <c:v>Max</c:v>
                </c:pt>
              </c:strCache>
            </c:strRef>
          </c:tx>
          <c:spPr>
            <a:ln w="28575" cap="rnd">
              <a:noFill/>
              <a:round/>
            </a:ln>
            <a:effectLst/>
          </c:spPr>
          <c:marker>
            <c:symbol val="none"/>
          </c:marker>
          <c:cat>
            <c:numRef>
              <c:f>'unaffrdable housholds'!$BO$54:$BZ$54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housholds'!$BO$55:$BZ$55</c:f>
              <c:numCache>
                <c:formatCode>0.0%</c:formatCode>
                <c:ptCount val="12"/>
                <c:pt idx="0">
                  <c:v>0.17399999999999999</c:v>
                </c:pt>
                <c:pt idx="1">
                  <c:v>0.1891891891891892</c:v>
                </c:pt>
                <c:pt idx="2">
                  <c:v>0.16929133858267717</c:v>
                </c:pt>
                <c:pt idx="3">
                  <c:v>0.14620431115276475</c:v>
                </c:pt>
                <c:pt idx="4">
                  <c:v>0.16635687732342008</c:v>
                </c:pt>
                <c:pt idx="5">
                  <c:v>0.20649233543733092</c:v>
                </c:pt>
                <c:pt idx="6">
                  <c:v>0.11519845111326234</c:v>
                </c:pt>
                <c:pt idx="7">
                  <c:v>0.10183486238532111</c:v>
                </c:pt>
                <c:pt idx="8">
                  <c:v>0.10731244064577398</c:v>
                </c:pt>
                <c:pt idx="9">
                  <c:v>8.9337175792507204E-2</c:v>
                </c:pt>
                <c:pt idx="10">
                  <c:v>0.14538558786346398</c:v>
                </c:pt>
                <c:pt idx="11">
                  <c:v>0.10606060606060606</c:v>
                </c:pt>
              </c:numCache>
            </c:numRef>
          </c:val>
          <c:smooth val="0"/>
          <c:extLst>
            <c:ext xmlns:c16="http://schemas.microsoft.com/office/drawing/2014/chart" uri="{C3380CC4-5D6E-409C-BE32-E72D297353CC}">
              <c16:uniqueId val="{00000000-8233-44DC-96B2-D8A22B17CD6B}"/>
            </c:ext>
          </c:extLst>
        </c:ser>
        <c:ser>
          <c:idx val="1"/>
          <c:order val="1"/>
          <c:tx>
            <c:strRef>
              <c:f>'unaffrdable housholds'!$BN$56</c:f>
              <c:strCache>
                <c:ptCount val="1"/>
                <c:pt idx="0">
                  <c:v>Min</c:v>
                </c:pt>
              </c:strCache>
            </c:strRef>
          </c:tx>
          <c:spPr>
            <a:ln w="28575" cap="rnd">
              <a:noFill/>
              <a:round/>
            </a:ln>
            <a:effectLst/>
          </c:spPr>
          <c:marker>
            <c:symbol val="none"/>
          </c:marker>
          <c:cat>
            <c:numRef>
              <c:f>'unaffrdable housholds'!$BO$54:$BZ$54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housholds'!$BO$56:$BZ$56</c:f>
              <c:numCache>
                <c:formatCode>0.0%</c:formatCode>
                <c:ptCount val="12"/>
                <c:pt idx="0">
                  <c:v>9.5238095238095233E-2</c:v>
                </c:pt>
                <c:pt idx="1">
                  <c:v>9.2131474103585659E-2</c:v>
                </c:pt>
                <c:pt idx="2">
                  <c:v>8.7378640776699032E-2</c:v>
                </c:pt>
                <c:pt idx="3">
                  <c:v>8.6069651741293537E-2</c:v>
                </c:pt>
                <c:pt idx="4">
                  <c:v>9.7402597402597407E-2</c:v>
                </c:pt>
                <c:pt idx="5">
                  <c:v>7.4598677998111429E-2</c:v>
                </c:pt>
                <c:pt idx="6">
                  <c:v>5.2884615384615384E-2</c:v>
                </c:pt>
                <c:pt idx="7">
                  <c:v>4.1470311027332708E-2</c:v>
                </c:pt>
                <c:pt idx="8">
                  <c:v>3.0131826741996232E-2</c:v>
                </c:pt>
                <c:pt idx="9">
                  <c:v>4.3564356435643561E-2</c:v>
                </c:pt>
                <c:pt idx="10">
                  <c:v>4.2492917847025496E-2</c:v>
                </c:pt>
                <c:pt idx="11">
                  <c:v>4.49438202247191E-2</c:v>
                </c:pt>
              </c:numCache>
            </c:numRef>
          </c:val>
          <c:smooth val="0"/>
          <c:extLst>
            <c:ext xmlns:c16="http://schemas.microsoft.com/office/drawing/2014/chart" uri="{C3380CC4-5D6E-409C-BE32-E72D297353CC}">
              <c16:uniqueId val="{00000001-8233-44DC-96B2-D8A22B17CD6B}"/>
            </c:ext>
          </c:extLst>
        </c:ser>
        <c:ser>
          <c:idx val="2"/>
          <c:order val="2"/>
          <c:tx>
            <c:strRef>
              <c:f>'unaffrdable housholds'!$BN$57</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'unaffrdable housholds'!$BO$54:$BZ$54</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housholds'!$BO$57:$BZ$57</c:f>
              <c:numCache>
                <c:formatCode>0.0%</c:formatCode>
                <c:ptCount val="12"/>
                <c:pt idx="0">
                  <c:v>0.14018111730594804</c:v>
                </c:pt>
                <c:pt idx="1">
                  <c:v>0.14113351012527778</c:v>
                </c:pt>
                <c:pt idx="2">
                  <c:v>0.12608477329397477</c:v>
                </c:pt>
                <c:pt idx="3">
                  <c:v>0.1169879364290454</c:v>
                </c:pt>
                <c:pt idx="4">
                  <c:v>0.13480603641981292</c:v>
                </c:pt>
                <c:pt idx="5">
                  <c:v>0.1298883315920849</c:v>
                </c:pt>
                <c:pt idx="6">
                  <c:v>7.8796383619158583E-2</c:v>
                </c:pt>
                <c:pt idx="7">
                  <c:v>6.3713989993287742E-2</c:v>
                </c:pt>
                <c:pt idx="8">
                  <c:v>6.4488363977916158E-2</c:v>
                </c:pt>
                <c:pt idx="9">
                  <c:v>6.4819453678547384E-2</c:v>
                </c:pt>
                <c:pt idx="10">
                  <c:v>8.3670371315889128E-2</c:v>
                </c:pt>
                <c:pt idx="11">
                  <c:v>6.7323880150301579E-2</c:v>
                </c:pt>
              </c:numCache>
            </c:numRef>
          </c:val>
          <c:smooth val="0"/>
          <c:extLst>
            <c:ext xmlns:c16="http://schemas.microsoft.com/office/drawing/2014/chart" uri="{C3380CC4-5D6E-409C-BE32-E72D297353CC}">
              <c16:uniqueId val="{00000002-8233-44DC-96B2-D8A22B17CD6B}"/>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89763040"/>
        <c:axId val="1689763584"/>
      </c:stockChart>
      <c:catAx>
        <c:axId val="16897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3584"/>
        <c:crosses val="autoZero"/>
        <c:auto val="1"/>
        <c:lblAlgn val="ctr"/>
        <c:lblOffset val="100"/>
        <c:noMultiLvlLbl val="0"/>
      </c:catAx>
      <c:valAx>
        <c:axId val="1689763584"/>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'unaffrdable housholds'!$BN$69</c:f>
              <c:strCache>
                <c:ptCount val="1"/>
                <c:pt idx="0">
                  <c:v>Max</c:v>
                </c:pt>
              </c:strCache>
            </c:strRef>
          </c:tx>
          <c:spPr>
            <a:ln w="28575" cap="rnd">
              <a:noFill/>
              <a:round/>
            </a:ln>
            <a:effectLst/>
          </c:spPr>
          <c:marker>
            <c:symbol val="none"/>
          </c:marker>
          <c:cat>
            <c:numRef>
              <c:f>'unaffrdable housholds'!$BO$65:$BZ$65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housholds'!$BO$69:$BZ$69</c:f>
              <c:numCache>
                <c:formatCode>0.0%</c:formatCode>
                <c:ptCount val="12"/>
                <c:pt idx="0">
                  <c:v>5.8181818181818182E-2</c:v>
                </c:pt>
                <c:pt idx="1">
                  <c:v>5.4344667247893053E-2</c:v>
                </c:pt>
                <c:pt idx="2">
                  <c:v>6.2236921226698737E-2</c:v>
                </c:pt>
                <c:pt idx="3">
                  <c:v>4.6107784431137722E-2</c:v>
                </c:pt>
                <c:pt idx="4">
                  <c:v>3.4131736526946108E-2</c:v>
                </c:pt>
                <c:pt idx="5">
                  <c:v>2.5114155251141551E-2</c:v>
                </c:pt>
                <c:pt idx="6">
                  <c:v>1.9906323185011711E-2</c:v>
                </c:pt>
                <c:pt idx="7">
                  <c:v>1.4351320321469576E-2</c:v>
                </c:pt>
                <c:pt idx="8">
                  <c:v>1.7825311942959002E-2</c:v>
                </c:pt>
                <c:pt idx="9">
                  <c:v>1.5051173991571343E-2</c:v>
                </c:pt>
                <c:pt idx="10">
                  <c:v>8.6773967809657099E-2</c:v>
                </c:pt>
                <c:pt idx="11">
                  <c:v>7.4344023323615158E-2</c:v>
                </c:pt>
              </c:numCache>
            </c:numRef>
          </c:val>
          <c:smooth val="0"/>
          <c:extLst>
            <c:ext xmlns:c16="http://schemas.microsoft.com/office/drawing/2014/chart" uri="{C3380CC4-5D6E-409C-BE32-E72D297353CC}">
              <c16:uniqueId val="{00000000-35C3-47B6-BB48-13904C75BF62}"/>
            </c:ext>
          </c:extLst>
        </c:ser>
        <c:ser>
          <c:idx val="1"/>
          <c:order val="1"/>
          <c:tx>
            <c:strRef>
              <c:f>'unaffrdable housholds'!$BN$70</c:f>
              <c:strCache>
                <c:ptCount val="1"/>
                <c:pt idx="0">
                  <c:v>Min</c:v>
                </c:pt>
              </c:strCache>
            </c:strRef>
          </c:tx>
          <c:spPr>
            <a:ln w="28575" cap="rnd">
              <a:noFill/>
              <a:round/>
            </a:ln>
            <a:effectLst/>
          </c:spPr>
          <c:marker>
            <c:symbol val="none"/>
          </c:marker>
          <c:cat>
            <c:numRef>
              <c:f>'unaffrdable housholds'!$BO$65:$BZ$65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housholds'!$BO$70:$BZ$70</c:f>
              <c:numCache>
                <c:formatCode>0.0%</c:formatCode>
                <c:ptCount val="12"/>
                <c:pt idx="0">
                  <c:v>2.9513888888888888E-2</c:v>
                </c:pt>
                <c:pt idx="1">
                  <c:v>2.5255562236921228E-2</c:v>
                </c:pt>
                <c:pt idx="2">
                  <c:v>3.7004662004662008E-2</c:v>
                </c:pt>
                <c:pt idx="3">
                  <c:v>3.7609948437973918E-2</c:v>
                </c:pt>
                <c:pt idx="4">
                  <c:v>1.9886363636363636E-2</c:v>
                </c:pt>
                <c:pt idx="5">
                  <c:v>1.7472335468841003E-2</c:v>
                </c:pt>
                <c:pt idx="6">
                  <c:v>1.0465116279069767E-2</c:v>
                </c:pt>
                <c:pt idx="7">
                  <c:v>8.1871345029239772E-3</c:v>
                </c:pt>
                <c:pt idx="8">
                  <c:v>1.2567324955116697E-2</c:v>
                </c:pt>
                <c:pt idx="9">
                  <c:v>1.4285714285714285E-2</c:v>
                </c:pt>
                <c:pt idx="10">
                  <c:v>5.7122198120028923E-2</c:v>
                </c:pt>
                <c:pt idx="11">
                  <c:v>3.9676708302718591E-2</c:v>
                </c:pt>
              </c:numCache>
            </c:numRef>
          </c:val>
          <c:smooth val="0"/>
          <c:extLst>
            <c:ext xmlns:c16="http://schemas.microsoft.com/office/drawing/2014/chart" uri="{C3380CC4-5D6E-409C-BE32-E72D297353CC}">
              <c16:uniqueId val="{00000001-35C3-47B6-BB48-13904C75BF62}"/>
            </c:ext>
          </c:extLst>
        </c:ser>
        <c:ser>
          <c:idx val="2"/>
          <c:order val="2"/>
          <c:tx>
            <c:strRef>
              <c:f>'unaffrdable housholds'!$BN$71</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'unaffrdable housholds'!$BO$65:$BZ$65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housholds'!$BO$71:$BZ$71</c:f>
              <c:numCache>
                <c:formatCode>0.0%</c:formatCode>
                <c:ptCount val="12"/>
                <c:pt idx="0">
                  <c:v>4.8222091473760352E-2</c:v>
                </c:pt>
                <c:pt idx="1">
                  <c:v>4.455091656894538E-2</c:v>
                </c:pt>
                <c:pt idx="2">
                  <c:v>5.0833081703956833E-2</c:v>
                </c:pt>
                <c:pt idx="3">
                  <c:v>4.1765523084699642E-2</c:v>
                </c:pt>
                <c:pt idx="4">
                  <c:v>2.6109543080365376E-2</c:v>
                </c:pt>
                <c:pt idx="5">
                  <c:v>2.200947806533126E-2</c:v>
                </c:pt>
                <c:pt idx="6">
                  <c:v>1.6431429452091063E-2</c:v>
                </c:pt>
                <c:pt idx="7">
                  <c:v>1.2232126005365072E-2</c:v>
                </c:pt>
                <c:pt idx="8">
                  <c:v>1.4671575714564442E-2</c:v>
                </c:pt>
                <c:pt idx="9">
                  <c:v>1.4655900740789995E-2</c:v>
                </c:pt>
                <c:pt idx="10">
                  <c:v>7.2745794117907187E-2</c:v>
                </c:pt>
                <c:pt idx="11">
                  <c:v>5.7777262622962053E-2</c:v>
                </c:pt>
              </c:numCache>
            </c:numRef>
          </c:val>
          <c:smooth val="0"/>
          <c:extLst>
            <c:ext xmlns:c16="http://schemas.microsoft.com/office/drawing/2014/chart" uri="{C3380CC4-5D6E-409C-BE32-E72D297353CC}">
              <c16:uniqueId val="{00000002-35C3-47B6-BB48-13904C75BF62}"/>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89755968"/>
        <c:axId val="1689759776"/>
      </c:stockChart>
      <c:catAx>
        <c:axId val="16897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59776"/>
        <c:crosses val="autoZero"/>
        <c:auto val="1"/>
        <c:lblAlgn val="ctr"/>
        <c:lblOffset val="100"/>
        <c:noMultiLvlLbl val="0"/>
      </c:catAx>
      <c:valAx>
        <c:axId val="1689759776"/>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5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layout>
        <c:manualLayout>
          <c:xMode val="edge"/>
          <c:yMode val="edge"/>
          <c:x val="0.4294171247461992"/>
          <c:y val="3.1496062992125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'unaffrdable housholds'!$BN$66</c:f>
              <c:strCache>
                <c:ptCount val="1"/>
                <c:pt idx="0">
                  <c:v>Max</c:v>
                </c:pt>
              </c:strCache>
            </c:strRef>
          </c:tx>
          <c:spPr>
            <a:ln w="28575" cap="rnd">
              <a:noFill/>
              <a:round/>
            </a:ln>
            <a:effectLst/>
          </c:spPr>
          <c:marker>
            <c:symbol val="none"/>
          </c:marker>
          <c:cat>
            <c:numRef>
              <c:f>'unaffrdable housholds'!$BO$65:$BZ$65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housholds'!$BO$66:$BZ$66</c:f>
              <c:numCache>
                <c:formatCode>0.0%</c:formatCode>
                <c:ptCount val="12"/>
                <c:pt idx="0">
                  <c:v>0.19400000000000001</c:v>
                </c:pt>
                <c:pt idx="1">
                  <c:v>0.13234567901234567</c:v>
                </c:pt>
                <c:pt idx="2">
                  <c:v>0.13571074789499751</c:v>
                </c:pt>
                <c:pt idx="3">
                  <c:v>0.10295519542421354</c:v>
                </c:pt>
                <c:pt idx="4">
                  <c:v>0.11059479553903345</c:v>
                </c:pt>
                <c:pt idx="5">
                  <c:v>9.9150141643059492E-2</c:v>
                </c:pt>
                <c:pt idx="6">
                  <c:v>0.1162136832239925</c:v>
                </c:pt>
                <c:pt idx="7">
                  <c:v>0.12912346842601319</c:v>
                </c:pt>
                <c:pt idx="8">
                  <c:v>0.12060778727445394</c:v>
                </c:pt>
                <c:pt idx="9">
                  <c:v>0.12673267326732673</c:v>
                </c:pt>
                <c:pt idx="10">
                  <c:v>0.16666666666666666</c:v>
                </c:pt>
                <c:pt idx="11">
                  <c:v>0.15702479338842976</c:v>
                </c:pt>
              </c:numCache>
            </c:numRef>
          </c:val>
          <c:smooth val="0"/>
          <c:extLst>
            <c:ext xmlns:c16="http://schemas.microsoft.com/office/drawing/2014/chart" uri="{C3380CC4-5D6E-409C-BE32-E72D297353CC}">
              <c16:uniqueId val="{00000000-212F-49BA-97B8-0BBE374054DB}"/>
            </c:ext>
          </c:extLst>
        </c:ser>
        <c:ser>
          <c:idx val="1"/>
          <c:order val="1"/>
          <c:tx>
            <c:strRef>
              <c:f>'unaffrdable housholds'!$BN$67</c:f>
              <c:strCache>
                <c:ptCount val="1"/>
                <c:pt idx="0">
                  <c:v>Min</c:v>
                </c:pt>
              </c:strCache>
            </c:strRef>
          </c:tx>
          <c:spPr>
            <a:ln w="28575" cap="rnd">
              <a:noFill/>
              <a:round/>
            </a:ln>
            <a:effectLst/>
          </c:spPr>
          <c:marker>
            <c:symbol val="none"/>
          </c:marker>
          <c:cat>
            <c:numRef>
              <c:f>'unaffrdable housholds'!$BO$65:$BZ$65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housholds'!$BO$67:$BZ$67</c:f>
              <c:numCache>
                <c:formatCode>0.0%</c:formatCode>
                <c:ptCount val="12"/>
                <c:pt idx="0">
                  <c:v>0.15469061876247506</c:v>
                </c:pt>
                <c:pt idx="1">
                  <c:v>0.12381852551984877</c:v>
                </c:pt>
                <c:pt idx="2">
                  <c:v>0.11054579093432007</c:v>
                </c:pt>
                <c:pt idx="3">
                  <c:v>9.7014925373134331E-2</c:v>
                </c:pt>
                <c:pt idx="4">
                  <c:v>9.5238095238095233E-2</c:v>
                </c:pt>
                <c:pt idx="5">
                  <c:v>8.72794800371402E-2</c:v>
                </c:pt>
                <c:pt idx="6">
                  <c:v>0.10067763794772508</c:v>
                </c:pt>
                <c:pt idx="7">
                  <c:v>0.12084870848708487</c:v>
                </c:pt>
                <c:pt idx="8">
                  <c:v>0.11017740429505135</c:v>
                </c:pt>
                <c:pt idx="9">
                  <c:v>0.10687022900763359</c:v>
                </c:pt>
                <c:pt idx="10">
                  <c:v>0.14384508990318118</c:v>
                </c:pt>
                <c:pt idx="11">
                  <c:v>0.13280689160086145</c:v>
                </c:pt>
              </c:numCache>
            </c:numRef>
          </c:val>
          <c:smooth val="0"/>
          <c:extLst>
            <c:ext xmlns:c16="http://schemas.microsoft.com/office/drawing/2014/chart" uri="{C3380CC4-5D6E-409C-BE32-E72D297353CC}">
              <c16:uniqueId val="{00000001-212F-49BA-97B8-0BBE374054DB}"/>
            </c:ext>
          </c:extLst>
        </c:ser>
        <c:ser>
          <c:idx val="2"/>
          <c:order val="2"/>
          <c:tx>
            <c:strRef>
              <c:f>'unaffrdable housholds'!$BN$68</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'unaffrdable housholds'!$BO$65:$BZ$65</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housholds'!$BO$68:$BZ$68</c:f>
              <c:numCache>
                <c:formatCode>0.0%</c:formatCode>
                <c:ptCount val="12"/>
                <c:pt idx="0">
                  <c:v>0.1724312679188674</c:v>
                </c:pt>
                <c:pt idx="1">
                  <c:v>0.12707158664864387</c:v>
                </c:pt>
                <c:pt idx="2">
                  <c:v>0.12108916146369358</c:v>
                </c:pt>
                <c:pt idx="3">
                  <c:v>0.10110929293503639</c:v>
                </c:pt>
                <c:pt idx="4">
                  <c:v>0.10280296069105528</c:v>
                </c:pt>
                <c:pt idx="5">
                  <c:v>9.3021194028043652E-2</c:v>
                </c:pt>
                <c:pt idx="6">
                  <c:v>0.11002848297358207</c:v>
                </c:pt>
                <c:pt idx="7">
                  <c:v>0.1235483487740426</c:v>
                </c:pt>
                <c:pt idx="8">
                  <c:v>0.1155323383820185</c:v>
                </c:pt>
                <c:pt idx="9">
                  <c:v>0.11889812065017442</c:v>
                </c:pt>
                <c:pt idx="10">
                  <c:v>0.15785727196962879</c:v>
                </c:pt>
                <c:pt idx="11">
                  <c:v>0.14572571150949509</c:v>
                </c:pt>
              </c:numCache>
            </c:numRef>
          </c:val>
          <c:smooth val="0"/>
          <c:extLst>
            <c:ext xmlns:c16="http://schemas.microsoft.com/office/drawing/2014/chart" uri="{C3380CC4-5D6E-409C-BE32-E72D297353CC}">
              <c16:uniqueId val="{00000002-212F-49BA-97B8-0BBE374054DB}"/>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89753248"/>
        <c:axId val="1689765760"/>
      </c:stockChart>
      <c:catAx>
        <c:axId val="16897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5760"/>
        <c:crosses val="autoZero"/>
        <c:auto val="1"/>
        <c:lblAlgn val="ctr"/>
        <c:lblOffset val="100"/>
        <c:noMultiLvlLbl val="0"/>
      </c:catAx>
      <c:valAx>
        <c:axId val="1689765760"/>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5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 </a:t>
            </a:r>
          </a:p>
        </c:rich>
      </c:tx>
      <c:layout>
        <c:manualLayout>
          <c:xMode val="edge"/>
          <c:yMode val="edge"/>
          <c:x val="0.43168341331070992"/>
          <c:y val="4.76190476190476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715678216990554"/>
          <c:y val="0.21558518463687923"/>
          <c:w val="0.7834605017807118"/>
          <c:h val="0.37546564023797846"/>
        </c:manualLayout>
      </c:layout>
      <c:stockChart>
        <c:ser>
          <c:idx val="0"/>
          <c:order val="0"/>
          <c:tx>
            <c:strRef>
              <c:f>'unaffrdable housholds'!$BN$80</c:f>
              <c:strCache>
                <c:ptCount val="1"/>
                <c:pt idx="0">
                  <c:v>Max</c:v>
                </c:pt>
              </c:strCache>
            </c:strRef>
          </c:tx>
          <c:spPr>
            <a:ln w="28575" cap="rnd">
              <a:noFill/>
              <a:round/>
            </a:ln>
            <a:effectLst/>
          </c:spPr>
          <c:marker>
            <c:symbol val="none"/>
          </c:marker>
          <c:cat>
            <c:numRef>
              <c:f>'unaffrdable housholds'!$BO$76:$BZ$76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housholds'!$BO$80:$BZ$80</c:f>
              <c:numCache>
                <c:formatCode>0.0%</c:formatCode>
                <c:ptCount val="12"/>
                <c:pt idx="0">
                  <c:v>0.17153284671532848</c:v>
                </c:pt>
                <c:pt idx="1">
                  <c:v>0.17756466143562918</c:v>
                </c:pt>
                <c:pt idx="2">
                  <c:v>0.13178294573643412</c:v>
                </c:pt>
                <c:pt idx="3">
                  <c:v>0.12294583079732198</c:v>
                </c:pt>
                <c:pt idx="4">
                  <c:v>0.13532934131736526</c:v>
                </c:pt>
                <c:pt idx="5">
                  <c:v>0.10681293302540416</c:v>
                </c:pt>
                <c:pt idx="6">
                  <c:v>8.895348837209302E-2</c:v>
                </c:pt>
                <c:pt idx="7">
                  <c:v>8.2304526748971193E-2</c:v>
                </c:pt>
                <c:pt idx="8">
                  <c:v>8.6828115770821029E-2</c:v>
                </c:pt>
                <c:pt idx="9">
                  <c:v>7.8266104756170976E-2</c:v>
                </c:pt>
                <c:pt idx="10">
                  <c:v>0.20967741935483872</c:v>
                </c:pt>
                <c:pt idx="11">
                  <c:v>0.1278471711976488</c:v>
                </c:pt>
              </c:numCache>
            </c:numRef>
          </c:val>
          <c:smooth val="0"/>
          <c:extLst>
            <c:ext xmlns:c16="http://schemas.microsoft.com/office/drawing/2014/chart" uri="{C3380CC4-5D6E-409C-BE32-E72D297353CC}">
              <c16:uniqueId val="{00000000-E55C-41EC-AD19-7D273253E50B}"/>
            </c:ext>
          </c:extLst>
        </c:ser>
        <c:ser>
          <c:idx val="1"/>
          <c:order val="1"/>
          <c:tx>
            <c:strRef>
              <c:f>'unaffrdable housholds'!$BN$81</c:f>
              <c:strCache>
                <c:ptCount val="1"/>
                <c:pt idx="0">
                  <c:v>Min</c:v>
                </c:pt>
              </c:strCache>
            </c:strRef>
          </c:tx>
          <c:spPr>
            <a:ln w="28575" cap="rnd">
              <a:noFill/>
              <a:round/>
            </a:ln>
            <a:effectLst/>
          </c:spPr>
          <c:marker>
            <c:symbol val="none"/>
          </c:marker>
          <c:cat>
            <c:numRef>
              <c:f>'unaffrdable housholds'!$BO$76:$BZ$76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housholds'!$BO$81:$BZ$81</c:f>
              <c:numCache>
                <c:formatCode>0.0%</c:formatCode>
                <c:ptCount val="12"/>
                <c:pt idx="0">
                  <c:v>0.1054481546572935</c:v>
                </c:pt>
                <c:pt idx="1">
                  <c:v>0.10374050263004091</c:v>
                </c:pt>
                <c:pt idx="2">
                  <c:v>8.5545722713864306E-2</c:v>
                </c:pt>
                <c:pt idx="3">
                  <c:v>7.2490142553836817E-2</c:v>
                </c:pt>
                <c:pt idx="4">
                  <c:v>5.7043073341094298E-2</c:v>
                </c:pt>
                <c:pt idx="5">
                  <c:v>6.0570762958648806E-2</c:v>
                </c:pt>
                <c:pt idx="6">
                  <c:v>3.6972848064702482E-2</c:v>
                </c:pt>
                <c:pt idx="7">
                  <c:v>3.1578947368421054E-2</c:v>
                </c:pt>
                <c:pt idx="8">
                  <c:v>3.7647058823529408E-2</c:v>
                </c:pt>
                <c:pt idx="9">
                  <c:v>2.6785714285714284E-2</c:v>
                </c:pt>
                <c:pt idx="10">
                  <c:v>0.10271041369472182</c:v>
                </c:pt>
                <c:pt idx="11">
                  <c:v>9.6491228070175433E-2</c:v>
                </c:pt>
              </c:numCache>
            </c:numRef>
          </c:val>
          <c:smooth val="0"/>
          <c:extLst>
            <c:ext xmlns:c16="http://schemas.microsoft.com/office/drawing/2014/chart" uri="{C3380CC4-5D6E-409C-BE32-E72D297353CC}">
              <c16:uniqueId val="{00000001-E55C-41EC-AD19-7D273253E50B}"/>
            </c:ext>
          </c:extLst>
        </c:ser>
        <c:ser>
          <c:idx val="2"/>
          <c:order val="2"/>
          <c:tx>
            <c:strRef>
              <c:f>'unaffrdable housholds'!$BN$82</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'unaffrdable housholds'!$BO$76:$BZ$76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housholds'!$BO$82:$BZ$82</c:f>
              <c:numCache>
                <c:formatCode>0.0%</c:formatCode>
                <c:ptCount val="12"/>
                <c:pt idx="0">
                  <c:v>0.13188045657211173</c:v>
                </c:pt>
                <c:pt idx="1">
                  <c:v>0.13151606134957844</c:v>
                </c:pt>
                <c:pt idx="2">
                  <c:v>0.10967078269622928</c:v>
                </c:pt>
                <c:pt idx="3">
                  <c:v>0.10041925875097761</c:v>
                </c:pt>
                <c:pt idx="4">
                  <c:v>9.0932505468117042E-2</c:v>
                </c:pt>
                <c:pt idx="5">
                  <c:v>8.4621181433930812E-2</c:v>
                </c:pt>
                <c:pt idx="6">
                  <c:v>6.0396471642557625E-2</c:v>
                </c:pt>
                <c:pt idx="7">
                  <c:v>5.41896095073192E-2</c:v>
                </c:pt>
                <c:pt idx="8">
                  <c:v>6.2901666201340828E-2</c:v>
                </c:pt>
                <c:pt idx="9">
                  <c:v>5.6177420546785845E-2</c:v>
                </c:pt>
                <c:pt idx="10">
                  <c:v>0.15396915321995494</c:v>
                </c:pt>
                <c:pt idx="11">
                  <c:v>0.1130994456618956</c:v>
                </c:pt>
              </c:numCache>
            </c:numRef>
          </c:val>
          <c:smooth val="0"/>
          <c:extLst>
            <c:ext xmlns:c16="http://schemas.microsoft.com/office/drawing/2014/chart" uri="{C3380CC4-5D6E-409C-BE32-E72D297353CC}">
              <c16:uniqueId val="{00000002-E55C-41EC-AD19-7D273253E50B}"/>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89761408"/>
        <c:axId val="1689764672"/>
      </c:stockChart>
      <c:catAx>
        <c:axId val="16897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4672"/>
        <c:crosses val="autoZero"/>
        <c:auto val="1"/>
        <c:lblAlgn val="ctr"/>
        <c:lblOffset val="100"/>
        <c:noMultiLvlLbl val="0"/>
      </c:catAx>
      <c:valAx>
        <c:axId val="1689764672"/>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6140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layout>
        <c:manualLayout>
          <c:xMode val="edge"/>
          <c:yMode val="edge"/>
          <c:x val="0.43724569489789378"/>
          <c:y val="4.87062404870624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'unaffrdable housholds'!$BN$77</c:f>
              <c:strCache>
                <c:ptCount val="1"/>
                <c:pt idx="0">
                  <c:v>Max</c:v>
                </c:pt>
              </c:strCache>
            </c:strRef>
          </c:tx>
          <c:spPr>
            <a:ln w="28575" cap="rnd">
              <a:noFill/>
              <a:round/>
            </a:ln>
            <a:effectLst/>
          </c:spPr>
          <c:marker>
            <c:symbol val="none"/>
          </c:marker>
          <c:cat>
            <c:numRef>
              <c:f>'unaffrdable housholds'!$BO$76:$BZ$76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housholds'!$BO$77:$BZ$77</c:f>
              <c:numCache>
                <c:formatCode>0.0%</c:formatCode>
                <c:ptCount val="12"/>
                <c:pt idx="0">
                  <c:v>0.33900000000000002</c:v>
                </c:pt>
                <c:pt idx="1">
                  <c:v>0.30230230230230232</c:v>
                </c:pt>
                <c:pt idx="2">
                  <c:v>0.26771653543307089</c:v>
                </c:pt>
                <c:pt idx="3">
                  <c:v>0.23336457357075913</c:v>
                </c:pt>
                <c:pt idx="4">
                  <c:v>0.24814126394052044</c:v>
                </c:pt>
                <c:pt idx="5">
                  <c:v>0.27412082957619477</c:v>
                </c:pt>
                <c:pt idx="6">
                  <c:v>0.2158760890609874</c:v>
                </c:pt>
                <c:pt idx="7">
                  <c:v>0.21743119266055047</c:v>
                </c:pt>
                <c:pt idx="8">
                  <c:v>0.22981956315289648</c:v>
                </c:pt>
                <c:pt idx="9">
                  <c:v>0.22382324687800192</c:v>
                </c:pt>
                <c:pt idx="10">
                  <c:v>0.31479140328697852</c:v>
                </c:pt>
                <c:pt idx="11">
                  <c:v>0.28512396694214875</c:v>
                </c:pt>
              </c:numCache>
            </c:numRef>
          </c:val>
          <c:smooth val="0"/>
          <c:extLst>
            <c:ext xmlns:c16="http://schemas.microsoft.com/office/drawing/2014/chart" uri="{C3380CC4-5D6E-409C-BE32-E72D297353CC}">
              <c16:uniqueId val="{00000000-C2A0-41C8-9CD9-591D2BD04EBB}"/>
            </c:ext>
          </c:extLst>
        </c:ser>
        <c:ser>
          <c:idx val="1"/>
          <c:order val="1"/>
          <c:tx>
            <c:strRef>
              <c:f>'unaffrdable housholds'!$BN$78</c:f>
              <c:strCache>
                <c:ptCount val="1"/>
                <c:pt idx="0">
                  <c:v>Min</c:v>
                </c:pt>
              </c:strCache>
            </c:strRef>
          </c:tx>
          <c:spPr>
            <a:ln w="28575" cap="rnd">
              <a:noFill/>
              <a:round/>
            </a:ln>
            <a:effectLst/>
          </c:spPr>
          <c:marker>
            <c:symbol val="none"/>
          </c:marker>
          <c:cat>
            <c:numRef>
              <c:f>'unaffrdable housholds'!$BO$76:$BZ$76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housholds'!$BO$78:$BZ$78</c:f>
              <c:numCache>
                <c:formatCode>0.0%</c:formatCode>
                <c:ptCount val="12"/>
                <c:pt idx="0">
                  <c:v>0.26342451874366768</c:v>
                </c:pt>
                <c:pt idx="1">
                  <c:v>0.20916334661354583</c:v>
                </c:pt>
                <c:pt idx="2">
                  <c:v>0.18398058252427185</c:v>
                </c:pt>
                <c:pt idx="3">
                  <c:v>0.16815920398009951</c:v>
                </c:pt>
                <c:pt idx="4">
                  <c:v>0.17346938775510204</c:v>
                </c:pt>
                <c:pt idx="5">
                  <c:v>0.16241737488196412</c:v>
                </c:pt>
                <c:pt idx="6">
                  <c:v>0.16153846153846155</c:v>
                </c:pt>
                <c:pt idx="7">
                  <c:v>0.16965127238454289</c:v>
                </c:pt>
                <c:pt idx="8">
                  <c:v>0.1487758945386064</c:v>
                </c:pt>
                <c:pt idx="9">
                  <c:v>0.1603960396039604</c:v>
                </c:pt>
                <c:pt idx="10">
                  <c:v>0.21300138312586445</c:v>
                </c:pt>
                <c:pt idx="11">
                  <c:v>0.18576779026217227</c:v>
                </c:pt>
              </c:numCache>
            </c:numRef>
          </c:val>
          <c:smooth val="0"/>
          <c:extLst>
            <c:ext xmlns:c16="http://schemas.microsoft.com/office/drawing/2014/chart" uri="{C3380CC4-5D6E-409C-BE32-E72D297353CC}">
              <c16:uniqueId val="{00000001-C2A0-41C8-9CD9-591D2BD04EBB}"/>
            </c:ext>
          </c:extLst>
        </c:ser>
        <c:ser>
          <c:idx val="2"/>
          <c:order val="2"/>
          <c:tx>
            <c:strRef>
              <c:f>'unaffrdable housholds'!$BN$79</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'unaffrdable housholds'!$BO$76:$BZ$76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'unaffrdable housholds'!$BO$79:$BZ$79</c:f>
              <c:numCache>
                <c:formatCode>0.0%</c:formatCode>
                <c:ptCount val="12"/>
                <c:pt idx="0">
                  <c:v>0.30562298040658614</c:v>
                </c:pt>
                <c:pt idx="1">
                  <c:v>0.25524762299234038</c:v>
                </c:pt>
                <c:pt idx="2">
                  <c:v>0.2204622776648551</c:v>
                </c:pt>
                <c:pt idx="3">
                  <c:v>0.2000455133874271</c:v>
                </c:pt>
                <c:pt idx="4">
                  <c:v>0.21222427846798347</c:v>
                </c:pt>
                <c:pt idx="5">
                  <c:v>0.20770517816957798</c:v>
                </c:pt>
                <c:pt idx="6">
                  <c:v>0.18434504658457013</c:v>
                </c:pt>
                <c:pt idx="7">
                  <c:v>0.18474539638501442</c:v>
                </c:pt>
                <c:pt idx="8">
                  <c:v>0.18615146925268641</c:v>
                </c:pt>
                <c:pt idx="9">
                  <c:v>0.18578014233218917</c:v>
                </c:pt>
                <c:pt idx="10">
                  <c:v>0.25771732600087693</c:v>
                </c:pt>
                <c:pt idx="11">
                  <c:v>0.2262177357149312</c:v>
                </c:pt>
              </c:numCache>
            </c:numRef>
          </c:val>
          <c:smooth val="0"/>
          <c:extLst>
            <c:ext xmlns:c16="http://schemas.microsoft.com/office/drawing/2014/chart" uri="{C3380CC4-5D6E-409C-BE32-E72D297353CC}">
              <c16:uniqueId val="{00000002-C2A0-41C8-9CD9-591D2BD04EBB}"/>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89754336"/>
        <c:axId val="1689754880"/>
      </c:stockChart>
      <c:catAx>
        <c:axId val="16897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54880"/>
        <c:crosses val="autoZero"/>
        <c:auto val="1"/>
        <c:lblAlgn val="ctr"/>
        <c:lblOffset val="100"/>
        <c:noMultiLvlLbl val="0"/>
      </c:catAx>
      <c:valAx>
        <c:axId val="1689754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754336"/>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cked"/>
        <c:varyColors val="0"/>
        <c:ser>
          <c:idx val="0"/>
          <c:order val="0"/>
          <c:tx>
            <c:strRef>
              <c:f>Sheet1!$A$2</c:f>
              <c:strCache>
                <c:ptCount val="1"/>
                <c:pt idx="0">
                  <c:v>Cases</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numRef>
              <c:f>Sheet1!$B$1:$E$1</c:f>
              <c:numCache>
                <c:formatCode>General</c:formatCode>
                <c:ptCount val="4"/>
                <c:pt idx="0">
                  <c:v>2015</c:v>
                </c:pt>
                <c:pt idx="1">
                  <c:v>2016</c:v>
                </c:pt>
                <c:pt idx="2">
                  <c:v>2017</c:v>
                </c:pt>
                <c:pt idx="3">
                  <c:v>2018</c:v>
                </c:pt>
              </c:numCache>
            </c:numRef>
          </c:cat>
          <c:val>
            <c:numRef>
              <c:f>Sheet1!$B$2:$E$2</c:f>
              <c:numCache>
                <c:formatCode>General</c:formatCode>
                <c:ptCount val="4"/>
                <c:pt idx="0">
                  <c:v>2722</c:v>
                </c:pt>
                <c:pt idx="1">
                  <c:v>3089</c:v>
                </c:pt>
                <c:pt idx="2">
                  <c:v>4370</c:v>
                </c:pt>
                <c:pt idx="3">
                  <c:v>7646</c:v>
                </c:pt>
              </c:numCache>
            </c:numRef>
          </c:val>
          <c:smooth val="0"/>
          <c:extLst>
            <c:ext xmlns:c16="http://schemas.microsoft.com/office/drawing/2014/chart" uri="{C3380CC4-5D6E-409C-BE32-E72D297353CC}">
              <c16:uniqueId val="{00000000-1C3D-423E-8577-9E70D9CDD043}"/>
            </c:ext>
          </c:extLst>
        </c:ser>
        <c:dLbls>
          <c:showLegendKey val="0"/>
          <c:showVal val="0"/>
          <c:showCatName val="0"/>
          <c:showSerName val="0"/>
          <c:showPercent val="0"/>
          <c:showBubbleSize val="0"/>
        </c:dLbls>
        <c:marker val="1"/>
        <c:smooth val="0"/>
        <c:axId val="1718777968"/>
        <c:axId val="1718788304"/>
      </c:lineChart>
      <c:lineChart>
        <c:grouping val="stacked"/>
        <c:varyColors val="0"/>
        <c:ser>
          <c:idx val="1"/>
          <c:order val="1"/>
          <c:tx>
            <c:strRef>
              <c:f>Sheet1!$A$3</c:f>
              <c:strCache>
                <c:ptCount val="1"/>
                <c:pt idx="0">
                  <c:v>Victims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Sheet1!$B$1:$E$1</c:f>
              <c:numCache>
                <c:formatCode>General</c:formatCode>
                <c:ptCount val="4"/>
                <c:pt idx="0">
                  <c:v>2015</c:v>
                </c:pt>
                <c:pt idx="1">
                  <c:v>2016</c:v>
                </c:pt>
                <c:pt idx="2">
                  <c:v>2017</c:v>
                </c:pt>
                <c:pt idx="3">
                  <c:v>2018</c:v>
                </c:pt>
              </c:numCache>
            </c:numRef>
          </c:cat>
          <c:val>
            <c:numRef>
              <c:f>Sheet1!$B$3:$E$3</c:f>
              <c:numCache>
                <c:formatCode>General</c:formatCode>
                <c:ptCount val="4"/>
                <c:pt idx="0">
                  <c:v>2638</c:v>
                </c:pt>
                <c:pt idx="1">
                  <c:v>3002</c:v>
                </c:pt>
                <c:pt idx="2">
                  <c:v>4096</c:v>
                </c:pt>
                <c:pt idx="3">
                  <c:v>6893</c:v>
                </c:pt>
              </c:numCache>
            </c:numRef>
          </c:val>
          <c:smooth val="0"/>
          <c:extLst>
            <c:ext xmlns:c16="http://schemas.microsoft.com/office/drawing/2014/chart" uri="{C3380CC4-5D6E-409C-BE32-E72D297353CC}">
              <c16:uniqueId val="{00000001-1C3D-423E-8577-9E70D9CDD043}"/>
            </c:ext>
          </c:extLst>
        </c:ser>
        <c:dLbls>
          <c:showLegendKey val="0"/>
          <c:showVal val="0"/>
          <c:showCatName val="0"/>
          <c:showSerName val="0"/>
          <c:showPercent val="0"/>
          <c:showBubbleSize val="0"/>
        </c:dLbls>
        <c:marker val="1"/>
        <c:smooth val="0"/>
        <c:axId val="1718776336"/>
        <c:axId val="1718776880"/>
      </c:lineChart>
      <c:valAx>
        <c:axId val="1718788304"/>
        <c:scaling>
          <c:orientation val="minMax"/>
        </c:scaling>
        <c:delete val="0"/>
        <c:axPos val="r"/>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Victims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77968"/>
        <c:crosses val="max"/>
        <c:crossBetween val="between"/>
      </c:valAx>
      <c:catAx>
        <c:axId val="171877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8304"/>
        <c:crosses val="autoZero"/>
        <c:auto val="1"/>
        <c:lblAlgn val="ctr"/>
        <c:lblOffset val="100"/>
        <c:noMultiLvlLbl val="0"/>
      </c:catAx>
      <c:valAx>
        <c:axId val="1718776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76336"/>
        <c:crosses val="autoZero"/>
        <c:crossBetween val="between"/>
      </c:valAx>
      <c:catAx>
        <c:axId val="1718776336"/>
        <c:scaling>
          <c:orientation val="minMax"/>
        </c:scaling>
        <c:delete val="1"/>
        <c:axPos val="b"/>
        <c:numFmt formatCode="General" sourceLinked="1"/>
        <c:majorTickMark val="none"/>
        <c:minorTickMark val="none"/>
        <c:tickLblPos val="nextTo"/>
        <c:crossAx val="1718776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80201378336482"/>
          <c:y val="4.1374912881652508E-2"/>
          <c:w val="0.93201285184179561"/>
          <c:h val="0.64823155619479456"/>
        </c:manualLayout>
      </c:layout>
      <c:lineChart>
        <c:grouping val="standard"/>
        <c:varyColors val="0"/>
        <c:ser>
          <c:idx val="0"/>
          <c:order val="0"/>
          <c:tx>
            <c:strRef>
              <c:f>'Domestic and Foreign Mortga (2'!$B$15</c:f>
              <c:strCache>
                <c:ptCount val="1"/>
                <c:pt idx="0">
                  <c:v>National Currency (5-10 years)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'Domestic and Foreign Mortga (2'!$C$1:$AO$1</c:f>
              <c:numCache>
                <c:formatCode>[$-409]mmm\-yy;@</c:formatCode>
                <c:ptCount val="39"/>
                <c:pt idx="0">
                  <c:v>42308</c:v>
                </c:pt>
                <c:pt idx="1">
                  <c:v>42338</c:v>
                </c:pt>
                <c:pt idx="2">
                  <c:v>42353</c:v>
                </c:pt>
                <c:pt idx="3">
                  <c:v>42400</c:v>
                </c:pt>
                <c:pt idx="4">
                  <c:v>42429</c:v>
                </c:pt>
                <c:pt idx="5">
                  <c:v>42460</c:v>
                </c:pt>
                <c:pt idx="6">
                  <c:v>42490</c:v>
                </c:pt>
                <c:pt idx="7">
                  <c:v>42521</c:v>
                </c:pt>
                <c:pt idx="8">
                  <c:v>42551</c:v>
                </c:pt>
                <c:pt idx="9">
                  <c:v>42582</c:v>
                </c:pt>
                <c:pt idx="10">
                  <c:v>42613</c:v>
                </c:pt>
                <c:pt idx="11">
                  <c:v>42643</c:v>
                </c:pt>
                <c:pt idx="12">
                  <c:v>42674</c:v>
                </c:pt>
                <c:pt idx="13">
                  <c:v>42704</c:v>
                </c:pt>
                <c:pt idx="14">
                  <c:v>42735</c:v>
                </c:pt>
                <c:pt idx="15">
                  <c:v>42766</c:v>
                </c:pt>
                <c:pt idx="16">
                  <c:v>42794</c:v>
                </c:pt>
                <c:pt idx="17">
                  <c:v>42825</c:v>
                </c:pt>
                <c:pt idx="18">
                  <c:v>42855</c:v>
                </c:pt>
                <c:pt idx="19">
                  <c:v>42886</c:v>
                </c:pt>
                <c:pt idx="20">
                  <c:v>42916</c:v>
                </c:pt>
                <c:pt idx="21">
                  <c:v>42947</c:v>
                </c:pt>
                <c:pt idx="22">
                  <c:v>42978</c:v>
                </c:pt>
                <c:pt idx="23">
                  <c:v>43008</c:v>
                </c:pt>
                <c:pt idx="24">
                  <c:v>43039</c:v>
                </c:pt>
                <c:pt idx="25">
                  <c:v>43069</c:v>
                </c:pt>
                <c:pt idx="26">
                  <c:v>43100</c:v>
                </c:pt>
                <c:pt idx="27">
                  <c:v>43131</c:v>
                </c:pt>
                <c:pt idx="28">
                  <c:v>43159</c:v>
                </c:pt>
                <c:pt idx="29">
                  <c:v>43190</c:v>
                </c:pt>
                <c:pt idx="30">
                  <c:v>43220</c:v>
                </c:pt>
                <c:pt idx="31">
                  <c:v>43251</c:v>
                </c:pt>
                <c:pt idx="32">
                  <c:v>43281</c:v>
                </c:pt>
                <c:pt idx="33">
                  <c:v>43312</c:v>
                </c:pt>
                <c:pt idx="34">
                  <c:v>43343</c:v>
                </c:pt>
                <c:pt idx="35">
                  <c:v>43373</c:v>
                </c:pt>
                <c:pt idx="36">
                  <c:v>43404</c:v>
                </c:pt>
                <c:pt idx="37">
                  <c:v>43434</c:v>
                </c:pt>
                <c:pt idx="38">
                  <c:v>43465</c:v>
                </c:pt>
              </c:numCache>
            </c:numRef>
          </c:cat>
          <c:val>
            <c:numRef>
              <c:f>'Domestic and Foreign Mortga (2'!$C$15:$AO$15</c:f>
              <c:numCache>
                <c:formatCode>0%</c:formatCode>
                <c:ptCount val="39"/>
                <c:pt idx="0">
                  <c:v>0.14893400000000001</c:v>
                </c:pt>
                <c:pt idx="1">
                  <c:v>0.16010000000000002</c:v>
                </c:pt>
                <c:pt idx="2">
                  <c:v>0.1396</c:v>
                </c:pt>
                <c:pt idx="3">
                  <c:v>0.13009999999999999</c:v>
                </c:pt>
                <c:pt idx="4">
                  <c:v>0.1613</c:v>
                </c:pt>
                <c:pt idx="5">
                  <c:v>0.159</c:v>
                </c:pt>
                <c:pt idx="6">
                  <c:v>0.1656</c:v>
                </c:pt>
                <c:pt idx="7">
                  <c:v>0.15740000000000001</c:v>
                </c:pt>
                <c:pt idx="8">
                  <c:v>0.11800000000000001</c:v>
                </c:pt>
                <c:pt idx="9">
                  <c:v>0.1065</c:v>
                </c:pt>
                <c:pt idx="10">
                  <c:v>0.10589999999999999</c:v>
                </c:pt>
                <c:pt idx="11">
                  <c:v>0.10400000000000001</c:v>
                </c:pt>
                <c:pt idx="12">
                  <c:v>0.1007</c:v>
                </c:pt>
                <c:pt idx="13">
                  <c:v>9.9900000000000003E-2</c:v>
                </c:pt>
                <c:pt idx="14">
                  <c:v>9.7799999999999998E-2</c:v>
                </c:pt>
                <c:pt idx="15">
                  <c:v>0.10730000000000001</c:v>
                </c:pt>
                <c:pt idx="16">
                  <c:v>0.1082</c:v>
                </c:pt>
                <c:pt idx="17">
                  <c:v>0.1051</c:v>
                </c:pt>
                <c:pt idx="18">
                  <c:v>0.1099</c:v>
                </c:pt>
                <c:pt idx="19">
                  <c:v>0.1157</c:v>
                </c:pt>
                <c:pt idx="20">
                  <c:v>0.11939999999999999</c:v>
                </c:pt>
                <c:pt idx="21">
                  <c:v>0.11890000000000001</c:v>
                </c:pt>
                <c:pt idx="22">
                  <c:v>0.1208</c:v>
                </c:pt>
                <c:pt idx="23">
                  <c:v>0.1201</c:v>
                </c:pt>
                <c:pt idx="24">
                  <c:v>0.1216</c:v>
                </c:pt>
                <c:pt idx="25">
                  <c:v>0.1231</c:v>
                </c:pt>
                <c:pt idx="26">
                  <c:v>0.12609999999999999</c:v>
                </c:pt>
                <c:pt idx="27">
                  <c:v>0.12330000000000001</c:v>
                </c:pt>
                <c:pt idx="28">
                  <c:v>0.1244</c:v>
                </c:pt>
                <c:pt idx="29">
                  <c:v>0.12529999999999999</c:v>
                </c:pt>
                <c:pt idx="30">
                  <c:v>0.12560000000000002</c:v>
                </c:pt>
                <c:pt idx="31">
                  <c:v>0.128</c:v>
                </c:pt>
                <c:pt idx="32">
                  <c:v>0.12670000000000001</c:v>
                </c:pt>
                <c:pt idx="33">
                  <c:v>0.12720000000000001</c:v>
                </c:pt>
                <c:pt idx="34">
                  <c:v>0.12570000000000001</c:v>
                </c:pt>
                <c:pt idx="35">
                  <c:v>0.12590000000000001</c:v>
                </c:pt>
                <c:pt idx="36">
                  <c:v>0.1232</c:v>
                </c:pt>
                <c:pt idx="37">
                  <c:v>0.1234</c:v>
                </c:pt>
                <c:pt idx="38">
                  <c:v>0.12240000000000001</c:v>
                </c:pt>
              </c:numCache>
            </c:numRef>
          </c:val>
          <c:smooth val="0"/>
          <c:extLst>
            <c:ext xmlns:c16="http://schemas.microsoft.com/office/drawing/2014/chart" uri="{C3380CC4-5D6E-409C-BE32-E72D297353CC}">
              <c16:uniqueId val="{00000000-5F75-4D79-8A60-4093BB945912}"/>
            </c:ext>
          </c:extLst>
        </c:ser>
        <c:ser>
          <c:idx val="1"/>
          <c:order val="1"/>
          <c:tx>
            <c:strRef>
              <c:f>'Domestic and Foreign Mortga (2'!$B$16</c:f>
              <c:strCache>
                <c:ptCount val="1"/>
                <c:pt idx="0">
                  <c:v>National Currency ( 10 years)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'Domestic and Foreign Mortga (2'!$C$1:$AO$1</c:f>
              <c:numCache>
                <c:formatCode>[$-409]mmm\-yy;@</c:formatCode>
                <c:ptCount val="39"/>
                <c:pt idx="0">
                  <c:v>42308</c:v>
                </c:pt>
                <c:pt idx="1">
                  <c:v>42338</c:v>
                </c:pt>
                <c:pt idx="2">
                  <c:v>42353</c:v>
                </c:pt>
                <c:pt idx="3">
                  <c:v>42400</c:v>
                </c:pt>
                <c:pt idx="4">
                  <c:v>42429</c:v>
                </c:pt>
                <c:pt idx="5">
                  <c:v>42460</c:v>
                </c:pt>
                <c:pt idx="6">
                  <c:v>42490</c:v>
                </c:pt>
                <c:pt idx="7">
                  <c:v>42521</c:v>
                </c:pt>
                <c:pt idx="8">
                  <c:v>42551</c:v>
                </c:pt>
                <c:pt idx="9">
                  <c:v>42582</c:v>
                </c:pt>
                <c:pt idx="10">
                  <c:v>42613</c:v>
                </c:pt>
                <c:pt idx="11">
                  <c:v>42643</c:v>
                </c:pt>
                <c:pt idx="12">
                  <c:v>42674</c:v>
                </c:pt>
                <c:pt idx="13">
                  <c:v>42704</c:v>
                </c:pt>
                <c:pt idx="14">
                  <c:v>42735</c:v>
                </c:pt>
                <c:pt idx="15">
                  <c:v>42766</c:v>
                </c:pt>
                <c:pt idx="16">
                  <c:v>42794</c:v>
                </c:pt>
                <c:pt idx="17">
                  <c:v>42825</c:v>
                </c:pt>
                <c:pt idx="18">
                  <c:v>42855</c:v>
                </c:pt>
                <c:pt idx="19">
                  <c:v>42886</c:v>
                </c:pt>
                <c:pt idx="20">
                  <c:v>42916</c:v>
                </c:pt>
                <c:pt idx="21">
                  <c:v>42947</c:v>
                </c:pt>
                <c:pt idx="22">
                  <c:v>42978</c:v>
                </c:pt>
                <c:pt idx="23">
                  <c:v>43008</c:v>
                </c:pt>
                <c:pt idx="24">
                  <c:v>43039</c:v>
                </c:pt>
                <c:pt idx="25">
                  <c:v>43069</c:v>
                </c:pt>
                <c:pt idx="26">
                  <c:v>43100</c:v>
                </c:pt>
                <c:pt idx="27">
                  <c:v>43131</c:v>
                </c:pt>
                <c:pt idx="28">
                  <c:v>43159</c:v>
                </c:pt>
                <c:pt idx="29">
                  <c:v>43190</c:v>
                </c:pt>
                <c:pt idx="30">
                  <c:v>43220</c:v>
                </c:pt>
                <c:pt idx="31">
                  <c:v>43251</c:v>
                </c:pt>
                <c:pt idx="32">
                  <c:v>43281</c:v>
                </c:pt>
                <c:pt idx="33">
                  <c:v>43312</c:v>
                </c:pt>
                <c:pt idx="34">
                  <c:v>43343</c:v>
                </c:pt>
                <c:pt idx="35">
                  <c:v>43373</c:v>
                </c:pt>
                <c:pt idx="36">
                  <c:v>43404</c:v>
                </c:pt>
                <c:pt idx="37">
                  <c:v>43434</c:v>
                </c:pt>
                <c:pt idx="38">
                  <c:v>43465</c:v>
                </c:pt>
              </c:numCache>
            </c:numRef>
          </c:cat>
          <c:val>
            <c:numRef>
              <c:f>'Domestic and Foreign Mortga (2'!$C$16:$AO$16</c:f>
              <c:numCache>
                <c:formatCode>0%</c:formatCode>
                <c:ptCount val="39"/>
                <c:pt idx="0">
                  <c:v>0.142267</c:v>
                </c:pt>
                <c:pt idx="1">
                  <c:v>0.1472</c:v>
                </c:pt>
                <c:pt idx="2">
                  <c:v>0.13669999999999999</c:v>
                </c:pt>
                <c:pt idx="3">
                  <c:v>0.15710000000000002</c:v>
                </c:pt>
                <c:pt idx="4">
                  <c:v>0.12509999999999999</c:v>
                </c:pt>
                <c:pt idx="5">
                  <c:v>0.1434</c:v>
                </c:pt>
                <c:pt idx="6">
                  <c:v>0.151</c:v>
                </c:pt>
                <c:pt idx="7">
                  <c:v>0.15789999999999998</c:v>
                </c:pt>
                <c:pt idx="8">
                  <c:v>0.1051</c:v>
                </c:pt>
                <c:pt idx="9">
                  <c:v>0.10060000000000001</c:v>
                </c:pt>
                <c:pt idx="10">
                  <c:v>9.5299999999999996E-2</c:v>
                </c:pt>
                <c:pt idx="11">
                  <c:v>0.1014</c:v>
                </c:pt>
                <c:pt idx="12">
                  <c:v>9.9000000000000005E-2</c:v>
                </c:pt>
                <c:pt idx="13">
                  <c:v>9.5700000000000007E-2</c:v>
                </c:pt>
                <c:pt idx="14">
                  <c:v>9.6600000000000005E-2</c:v>
                </c:pt>
                <c:pt idx="15">
                  <c:v>0.1047</c:v>
                </c:pt>
                <c:pt idx="16">
                  <c:v>0.1082</c:v>
                </c:pt>
                <c:pt idx="17">
                  <c:v>0.1051</c:v>
                </c:pt>
                <c:pt idx="18">
                  <c:v>0.1096</c:v>
                </c:pt>
                <c:pt idx="19">
                  <c:v>0.11470000000000001</c:v>
                </c:pt>
                <c:pt idx="20">
                  <c:v>0.11810000000000001</c:v>
                </c:pt>
                <c:pt idx="21">
                  <c:v>0.1166</c:v>
                </c:pt>
                <c:pt idx="22">
                  <c:v>0.11609999999999999</c:v>
                </c:pt>
                <c:pt idx="23">
                  <c:v>0.11650000000000001</c:v>
                </c:pt>
                <c:pt idx="24">
                  <c:v>0.1157</c:v>
                </c:pt>
                <c:pt idx="25">
                  <c:v>0.11810000000000001</c:v>
                </c:pt>
                <c:pt idx="26">
                  <c:v>0.1206</c:v>
                </c:pt>
                <c:pt idx="27">
                  <c:v>0.122</c:v>
                </c:pt>
                <c:pt idx="28">
                  <c:v>0.1216</c:v>
                </c:pt>
                <c:pt idx="29">
                  <c:v>0.12189999999999999</c:v>
                </c:pt>
                <c:pt idx="30">
                  <c:v>0.1232</c:v>
                </c:pt>
                <c:pt idx="31">
                  <c:v>0.12330000000000001</c:v>
                </c:pt>
                <c:pt idx="32">
                  <c:v>0.12509999999999999</c:v>
                </c:pt>
                <c:pt idx="33">
                  <c:v>0.12369999999999999</c:v>
                </c:pt>
                <c:pt idx="34">
                  <c:v>0.12210000000000001</c:v>
                </c:pt>
                <c:pt idx="35">
                  <c:v>0.1231</c:v>
                </c:pt>
                <c:pt idx="36">
                  <c:v>0.12240000000000001</c:v>
                </c:pt>
                <c:pt idx="37">
                  <c:v>0.12380000000000001</c:v>
                </c:pt>
                <c:pt idx="38">
                  <c:v>0.11849999999999999</c:v>
                </c:pt>
              </c:numCache>
            </c:numRef>
          </c:val>
          <c:smooth val="0"/>
          <c:extLst>
            <c:ext xmlns:c16="http://schemas.microsoft.com/office/drawing/2014/chart" uri="{C3380CC4-5D6E-409C-BE32-E72D297353CC}">
              <c16:uniqueId val="{00000002-5F75-4D79-8A60-4093BB945912}"/>
            </c:ext>
          </c:extLst>
        </c:ser>
        <c:dLbls>
          <c:showLegendKey val="0"/>
          <c:showVal val="0"/>
          <c:showCatName val="0"/>
          <c:showSerName val="0"/>
          <c:showPercent val="0"/>
          <c:showBubbleSize val="0"/>
        </c:dLbls>
        <c:marker val="1"/>
        <c:smooth val="0"/>
        <c:axId val="1804775840"/>
        <c:axId val="1804798144"/>
      </c:lineChart>
      <c:dateAx>
        <c:axId val="1804775840"/>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98144"/>
        <c:crosses val="autoZero"/>
        <c:auto val="1"/>
        <c:lblOffset val="100"/>
        <c:baseTimeUnit val="days"/>
      </c:dateAx>
      <c:valAx>
        <c:axId val="1804798144"/>
        <c:scaling>
          <c:orientation val="minMax"/>
          <c:max val="0.18000000000000002"/>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75840"/>
        <c:crosses val="autoZero"/>
        <c:crossBetween val="between"/>
      </c:valAx>
      <c:spPr>
        <a:noFill/>
        <a:ln>
          <a:noFill/>
        </a:ln>
        <a:effectLst/>
      </c:spPr>
    </c:plotArea>
    <c:legend>
      <c:legendPos val="b"/>
      <c:layout>
        <c:manualLayout>
          <c:xMode val="edge"/>
          <c:yMode val="edge"/>
          <c:x val="0"/>
          <c:y val="0.83885403039353623"/>
          <c:w val="1"/>
          <c:h val="0.156364539606050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layout>
        <c:manualLayout>
          <c:xMode val="edge"/>
          <c:yMode val="edge"/>
          <c:x val="0.42372026077385488"/>
          <c:y val="5.98802395209580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077063754127508"/>
          <c:y val="0.21768837803320565"/>
          <c:w val="0.82191753450173566"/>
          <c:h val="0.38557687472973923"/>
        </c:manualLayout>
      </c:layout>
      <c:stockChart>
        <c:ser>
          <c:idx val="0"/>
          <c:order val="0"/>
          <c:tx>
            <c:strRef>
              <c:f>'Unfitfit housholds'!$BN$77</c:f>
              <c:strCache>
                <c:ptCount val="1"/>
                <c:pt idx="0">
                  <c:v>Max</c:v>
                </c:pt>
              </c:strCache>
            </c:strRef>
          </c:tx>
          <c:spPr>
            <a:ln w="28575" cap="rnd">
              <a:noFill/>
              <a:round/>
            </a:ln>
            <a:effectLst/>
          </c:spPr>
          <c:marker>
            <c:symbol val="none"/>
          </c:marker>
          <c:cat>
            <c:numRef>
              <c:f>'Unfitfit housholds'!$BO$73:$BZ$73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'Unfitfit housholds'!$BO$77:$BZ$77</c:f>
              <c:numCache>
                <c:formatCode>0.0%</c:formatCode>
                <c:ptCount val="12"/>
                <c:pt idx="0">
                  <c:v>3.2220269478617461E-2</c:v>
                </c:pt>
                <c:pt idx="1">
                  <c:v>3.2471437161755864E-2</c:v>
                </c:pt>
                <c:pt idx="2">
                  <c:v>2.5368731563421829E-2</c:v>
                </c:pt>
                <c:pt idx="3">
                  <c:v>4.5343883140596467E-2</c:v>
                </c:pt>
                <c:pt idx="4">
                  <c:v>4.8502994011976046E-2</c:v>
                </c:pt>
                <c:pt idx="5">
                  <c:v>2.7136258660508082E-2</c:v>
                </c:pt>
                <c:pt idx="6">
                  <c:v>1.6393442622950821E-2</c:v>
                </c:pt>
                <c:pt idx="7">
                  <c:v>4.0935672514619886E-3</c:v>
                </c:pt>
                <c:pt idx="8">
                  <c:v>4.7058823529411761E-3</c:v>
                </c:pt>
                <c:pt idx="9">
                  <c:v>6.6225165562913907E-3</c:v>
                </c:pt>
                <c:pt idx="10">
                  <c:v>9.0972708187543744E-3</c:v>
                </c:pt>
                <c:pt idx="11">
                  <c:v>1.4858841010401188E-2</c:v>
                </c:pt>
              </c:numCache>
            </c:numRef>
          </c:val>
          <c:smooth val="0"/>
          <c:extLst>
            <c:ext xmlns:c16="http://schemas.microsoft.com/office/drawing/2014/chart" uri="{C3380CC4-5D6E-409C-BE32-E72D297353CC}">
              <c16:uniqueId val="{00000000-D432-4632-88D9-5D2FD664CDD2}"/>
            </c:ext>
          </c:extLst>
        </c:ser>
        <c:ser>
          <c:idx val="1"/>
          <c:order val="1"/>
          <c:tx>
            <c:strRef>
              <c:f>'Unfitfit housholds'!$BN$78</c:f>
              <c:strCache>
                <c:ptCount val="1"/>
                <c:pt idx="0">
                  <c:v>Min</c:v>
                </c:pt>
              </c:strCache>
            </c:strRef>
          </c:tx>
          <c:spPr>
            <a:ln w="28575" cap="rnd">
              <a:noFill/>
              <a:round/>
            </a:ln>
            <a:effectLst/>
          </c:spPr>
          <c:marker>
            <c:symbol val="none"/>
          </c:marker>
          <c:cat>
            <c:numRef>
              <c:f>'Unfitfit housholds'!$BO$73:$BZ$73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'Unfitfit housholds'!$BO$78:$BZ$78</c:f>
              <c:numCache>
                <c:formatCode>0.0%</c:formatCode>
                <c:ptCount val="12"/>
                <c:pt idx="0">
                  <c:v>1.0948905109489052E-2</c:v>
                </c:pt>
                <c:pt idx="1">
                  <c:v>2.4411508282476024E-2</c:v>
                </c:pt>
                <c:pt idx="2">
                  <c:v>2.2850270595309682E-2</c:v>
                </c:pt>
                <c:pt idx="3">
                  <c:v>3.1268612269207859E-2</c:v>
                </c:pt>
                <c:pt idx="4">
                  <c:v>3.125E-2</c:v>
                </c:pt>
                <c:pt idx="5">
                  <c:v>1.8264840182648401E-2</c:v>
                </c:pt>
                <c:pt idx="6">
                  <c:v>6.3953488372093022E-3</c:v>
                </c:pt>
                <c:pt idx="7">
                  <c:v>1.722158438576349E-3</c:v>
                </c:pt>
                <c:pt idx="8">
                  <c:v>1.7720023626698169E-3</c:v>
                </c:pt>
                <c:pt idx="9">
                  <c:v>5.9523809523809521E-3</c:v>
                </c:pt>
                <c:pt idx="10">
                  <c:v>7.7138849929873771E-3</c:v>
                </c:pt>
                <c:pt idx="11">
                  <c:v>1.0286554004408524E-2</c:v>
                </c:pt>
              </c:numCache>
            </c:numRef>
          </c:val>
          <c:smooth val="0"/>
          <c:extLst>
            <c:ext xmlns:c16="http://schemas.microsoft.com/office/drawing/2014/chart" uri="{C3380CC4-5D6E-409C-BE32-E72D297353CC}">
              <c16:uniqueId val="{00000001-D432-4632-88D9-5D2FD664CDD2}"/>
            </c:ext>
          </c:extLst>
        </c:ser>
        <c:ser>
          <c:idx val="2"/>
          <c:order val="2"/>
          <c:tx>
            <c:strRef>
              <c:f>'Unfitfit housholds'!$BN$79</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'Unfitfit housholds'!$BO$73:$BZ$73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'Unfitfit housholds'!$BO$79:$BZ$79</c:f>
              <c:numCache>
                <c:formatCode>0.0%</c:formatCode>
                <c:ptCount val="12"/>
                <c:pt idx="0">
                  <c:v>2.3914663175646157E-2</c:v>
                </c:pt>
                <c:pt idx="1">
                  <c:v>2.6981326497490018E-2</c:v>
                </c:pt>
                <c:pt idx="2">
                  <c:v>2.4063817054563348E-2</c:v>
                </c:pt>
                <c:pt idx="3">
                  <c:v>3.7079759207764115E-2</c:v>
                </c:pt>
                <c:pt idx="4">
                  <c:v>4.0800198706618565E-2</c:v>
                </c:pt>
                <c:pt idx="5">
                  <c:v>2.1158858085678307E-2</c:v>
                </c:pt>
                <c:pt idx="6">
                  <c:v>1.2793428703512213E-2</c:v>
                </c:pt>
                <c:pt idx="7">
                  <c:v>2.333445021321429E-3</c:v>
                </c:pt>
                <c:pt idx="8">
                  <c:v>3.4094695894524314E-3</c:v>
                </c:pt>
                <c:pt idx="9">
                  <c:v>6.2812293791688857E-3</c:v>
                </c:pt>
                <c:pt idx="10">
                  <c:v>8.5117866352052655E-3</c:v>
                </c:pt>
                <c:pt idx="11">
                  <c:v>1.2491274332956687E-2</c:v>
                </c:pt>
              </c:numCache>
            </c:numRef>
          </c:val>
          <c:smooth val="0"/>
          <c:extLst>
            <c:ext xmlns:c16="http://schemas.microsoft.com/office/drawing/2014/chart" uri="{C3380CC4-5D6E-409C-BE32-E72D297353CC}">
              <c16:uniqueId val="{00000002-D432-4632-88D9-5D2FD664CDD2}"/>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18786128"/>
        <c:axId val="1718782864"/>
      </c:stockChart>
      <c:catAx>
        <c:axId val="171878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2864"/>
        <c:crosses val="autoZero"/>
        <c:auto val="1"/>
        <c:lblAlgn val="ctr"/>
        <c:lblOffset val="100"/>
        <c:noMultiLvlLbl val="0"/>
      </c:catAx>
      <c:valAx>
        <c:axId val="1718782864"/>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906320533462729"/>
          <c:y val="0.20320261437908499"/>
          <c:w val="0.81985369475874337"/>
          <c:h val="0.39517317688230147"/>
        </c:manualLayout>
      </c:layout>
      <c:stockChart>
        <c:ser>
          <c:idx val="0"/>
          <c:order val="0"/>
          <c:tx>
            <c:strRef>
              <c:f>'Unfitfit housholds'!$BN$74</c:f>
              <c:strCache>
                <c:ptCount val="1"/>
                <c:pt idx="0">
                  <c:v>Max</c:v>
                </c:pt>
              </c:strCache>
            </c:strRef>
          </c:tx>
          <c:spPr>
            <a:ln w="28575" cap="rnd">
              <a:noFill/>
              <a:round/>
            </a:ln>
            <a:effectLst/>
          </c:spPr>
          <c:marker>
            <c:symbol val="none"/>
          </c:marker>
          <c:cat>
            <c:numRef>
              <c:f>'Unfitfit housholds'!$BO$73:$BZ$73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'Unfitfit housholds'!$BO$74:$BZ$74</c:f>
              <c:numCache>
                <c:formatCode>0.0%</c:formatCode>
                <c:ptCount val="12"/>
                <c:pt idx="0">
                  <c:v>6.2874251497005984E-2</c:v>
                </c:pt>
                <c:pt idx="1">
                  <c:v>5.6056056056056056E-2</c:v>
                </c:pt>
                <c:pt idx="2">
                  <c:v>5.1510648836057452E-2</c:v>
                </c:pt>
                <c:pt idx="3">
                  <c:v>0.40299906279287723</c:v>
                </c:pt>
                <c:pt idx="4">
                  <c:v>0.16356877323420074</c:v>
                </c:pt>
                <c:pt idx="5">
                  <c:v>4.077849860982391E-2</c:v>
                </c:pt>
                <c:pt idx="6">
                  <c:v>4.5498547918683449E-2</c:v>
                </c:pt>
                <c:pt idx="7">
                  <c:v>1.9792648444863337E-2</c:v>
                </c:pt>
                <c:pt idx="8">
                  <c:v>2.7306967984934087E-2</c:v>
                </c:pt>
                <c:pt idx="9">
                  <c:v>2.8818443804034581E-2</c:v>
                </c:pt>
                <c:pt idx="10">
                  <c:v>2.4765729585006693E-2</c:v>
                </c:pt>
                <c:pt idx="11">
                  <c:v>2.6170798898071626E-2</c:v>
                </c:pt>
              </c:numCache>
            </c:numRef>
          </c:val>
          <c:smooth val="0"/>
          <c:extLst>
            <c:ext xmlns:c16="http://schemas.microsoft.com/office/drawing/2014/chart" uri="{C3380CC4-5D6E-409C-BE32-E72D297353CC}">
              <c16:uniqueId val="{00000000-35D8-411E-AFB0-52E787735AC5}"/>
            </c:ext>
          </c:extLst>
        </c:ser>
        <c:ser>
          <c:idx val="1"/>
          <c:order val="1"/>
          <c:tx>
            <c:strRef>
              <c:f>'Unfitfit housholds'!$BN$75</c:f>
              <c:strCache>
                <c:ptCount val="1"/>
                <c:pt idx="0">
                  <c:v>Min</c:v>
                </c:pt>
              </c:strCache>
            </c:strRef>
          </c:tx>
          <c:spPr>
            <a:ln w="28575" cap="rnd">
              <a:noFill/>
              <a:round/>
            </a:ln>
            <a:effectLst/>
          </c:spPr>
          <c:marker>
            <c:symbol val="none"/>
          </c:marker>
          <c:cat>
            <c:numRef>
              <c:f>'Unfitfit housholds'!$BO$73:$BZ$73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'Unfitfit housholds'!$BO$75:$BZ$75</c:f>
              <c:numCache>
                <c:formatCode>0.0%</c:formatCode>
                <c:ptCount val="12"/>
                <c:pt idx="0">
                  <c:v>3.1E-2</c:v>
                </c:pt>
                <c:pt idx="1">
                  <c:v>4.0642722117202268E-2</c:v>
                </c:pt>
                <c:pt idx="2">
                  <c:v>4.7641073080481038E-2</c:v>
                </c:pt>
                <c:pt idx="3">
                  <c:v>0.26549094375595805</c:v>
                </c:pt>
                <c:pt idx="4">
                  <c:v>2.7852650494159928E-2</c:v>
                </c:pt>
                <c:pt idx="5">
                  <c:v>3.4265103697024346E-2</c:v>
                </c:pt>
                <c:pt idx="6">
                  <c:v>3.2196969696969696E-2</c:v>
                </c:pt>
                <c:pt idx="7">
                  <c:v>1.743119266055046E-2</c:v>
                </c:pt>
                <c:pt idx="8">
                  <c:v>1.5151515151515152E-2</c:v>
                </c:pt>
                <c:pt idx="9">
                  <c:v>1.089108910891089E-2</c:v>
                </c:pt>
                <c:pt idx="10">
                  <c:v>1.7705382436260624E-2</c:v>
                </c:pt>
                <c:pt idx="11">
                  <c:v>1.9382627422828428E-2</c:v>
                </c:pt>
              </c:numCache>
            </c:numRef>
          </c:val>
          <c:smooth val="0"/>
          <c:extLst>
            <c:ext xmlns:c16="http://schemas.microsoft.com/office/drawing/2014/chart" uri="{C3380CC4-5D6E-409C-BE32-E72D297353CC}">
              <c16:uniqueId val="{00000001-35D8-411E-AFB0-52E787735AC5}"/>
            </c:ext>
          </c:extLst>
        </c:ser>
        <c:ser>
          <c:idx val="2"/>
          <c:order val="2"/>
          <c:tx>
            <c:strRef>
              <c:f>'Unfitfit housholds'!$BN$76</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'Unfitfit housholds'!$BO$73:$BZ$73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'Unfitfit housholds'!$BO$76:$BZ$76</c:f>
              <c:numCache>
                <c:formatCode>0.0%</c:formatCode>
                <c:ptCount val="12"/>
                <c:pt idx="0">
                  <c:v>4.9470151363811762E-2</c:v>
                </c:pt>
                <c:pt idx="1">
                  <c:v>4.6487849331568971E-2</c:v>
                </c:pt>
                <c:pt idx="2">
                  <c:v>4.9592752358195859E-2</c:v>
                </c:pt>
                <c:pt idx="3">
                  <c:v>0.35360208239491397</c:v>
                </c:pt>
                <c:pt idx="4">
                  <c:v>7.2031964107102164E-2</c:v>
                </c:pt>
                <c:pt idx="5">
                  <c:v>3.7028515212898509E-2</c:v>
                </c:pt>
                <c:pt idx="6">
                  <c:v>3.5797518651263877E-2</c:v>
                </c:pt>
                <c:pt idx="7">
                  <c:v>1.8848381828388518E-2</c:v>
                </c:pt>
                <c:pt idx="8">
                  <c:v>2.1190646066019947E-2</c:v>
                </c:pt>
                <c:pt idx="9">
                  <c:v>1.8470075041971054E-2</c:v>
                </c:pt>
                <c:pt idx="10">
                  <c:v>2.2313366166039204E-2</c:v>
                </c:pt>
                <c:pt idx="11">
                  <c:v>2.188695208584299E-2</c:v>
                </c:pt>
              </c:numCache>
            </c:numRef>
          </c:val>
          <c:smooth val="0"/>
          <c:extLst>
            <c:ext xmlns:c16="http://schemas.microsoft.com/office/drawing/2014/chart" uri="{C3380CC4-5D6E-409C-BE32-E72D297353CC}">
              <c16:uniqueId val="{00000002-35D8-411E-AFB0-52E787735AC5}"/>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18781776"/>
        <c:axId val="1718785040"/>
      </c:stockChart>
      <c:catAx>
        <c:axId val="171878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5040"/>
        <c:crosses val="autoZero"/>
        <c:auto val="1"/>
        <c:lblAlgn val="ctr"/>
        <c:lblOffset val="100"/>
        <c:noMultiLvlLbl val="0"/>
      </c:catAx>
      <c:valAx>
        <c:axId val="1718785040"/>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1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'Unfitfit housholds'!$BN$123</c:f>
              <c:strCache>
                <c:ptCount val="1"/>
                <c:pt idx="0">
                  <c:v>Max</c:v>
                </c:pt>
              </c:strCache>
            </c:strRef>
          </c:tx>
          <c:spPr>
            <a:ln w="28575" cap="rnd">
              <a:noFill/>
              <a:round/>
            </a:ln>
            <a:effectLst/>
          </c:spPr>
          <c:marker>
            <c:symbol val="none"/>
          </c:marker>
          <c:cat>
            <c:numRef>
              <c:f>'Unfitfit housholds'!$BT$119:$BZ$119</c:f>
              <c:numCache>
                <c:formatCode>General</c:formatCode>
                <c:ptCount val="7"/>
                <c:pt idx="0">
                  <c:v>2012</c:v>
                </c:pt>
                <c:pt idx="1">
                  <c:v>2013</c:v>
                </c:pt>
                <c:pt idx="2">
                  <c:v>2014</c:v>
                </c:pt>
                <c:pt idx="3">
                  <c:v>2015</c:v>
                </c:pt>
                <c:pt idx="4">
                  <c:v>2016</c:v>
                </c:pt>
                <c:pt idx="5">
                  <c:v>2017</c:v>
                </c:pt>
                <c:pt idx="6">
                  <c:v>2018</c:v>
                </c:pt>
              </c:numCache>
            </c:numRef>
          </c:cat>
          <c:val>
            <c:numRef>
              <c:f>'Unfitfit housholds'!$BT$123:$BZ$123</c:f>
              <c:numCache>
                <c:formatCode>0.0%</c:formatCode>
                <c:ptCount val="7"/>
                <c:pt idx="0">
                  <c:v>0.60400707130229814</c:v>
                </c:pt>
                <c:pt idx="1">
                  <c:v>0.61124121779859486</c:v>
                </c:pt>
                <c:pt idx="2">
                  <c:v>0.56608187134502919</c:v>
                </c:pt>
                <c:pt idx="3">
                  <c:v>0.52451269935026579</c:v>
                </c:pt>
                <c:pt idx="4">
                  <c:v>0.53521974714027698</c:v>
                </c:pt>
                <c:pt idx="5">
                  <c:v>0.57082748948106588</c:v>
                </c:pt>
                <c:pt idx="6">
                  <c:v>0.52902277736958114</c:v>
                </c:pt>
              </c:numCache>
            </c:numRef>
          </c:val>
          <c:smooth val="0"/>
          <c:extLst>
            <c:ext xmlns:c16="http://schemas.microsoft.com/office/drawing/2014/chart" uri="{C3380CC4-5D6E-409C-BE32-E72D297353CC}">
              <c16:uniqueId val="{00000000-9CE8-42F3-BEC7-F104269C004E}"/>
            </c:ext>
          </c:extLst>
        </c:ser>
        <c:ser>
          <c:idx val="1"/>
          <c:order val="1"/>
          <c:tx>
            <c:strRef>
              <c:f>'Unfitfit housholds'!$BN$124</c:f>
              <c:strCache>
                <c:ptCount val="1"/>
                <c:pt idx="0">
                  <c:v>Min</c:v>
                </c:pt>
              </c:strCache>
            </c:strRef>
          </c:tx>
          <c:spPr>
            <a:ln w="28575" cap="rnd">
              <a:noFill/>
              <a:round/>
            </a:ln>
            <a:effectLst/>
          </c:spPr>
          <c:marker>
            <c:symbol val="none"/>
          </c:marker>
          <c:cat>
            <c:numRef>
              <c:f>'Unfitfit housholds'!$BT$119:$BZ$119</c:f>
              <c:numCache>
                <c:formatCode>General</c:formatCode>
                <c:ptCount val="7"/>
                <c:pt idx="0">
                  <c:v>2012</c:v>
                </c:pt>
                <c:pt idx="1">
                  <c:v>2013</c:v>
                </c:pt>
                <c:pt idx="2">
                  <c:v>2014</c:v>
                </c:pt>
                <c:pt idx="3">
                  <c:v>2015</c:v>
                </c:pt>
                <c:pt idx="4">
                  <c:v>2016</c:v>
                </c:pt>
                <c:pt idx="5">
                  <c:v>2017</c:v>
                </c:pt>
                <c:pt idx="6">
                  <c:v>2018</c:v>
                </c:pt>
              </c:numCache>
            </c:numRef>
          </c:cat>
          <c:val>
            <c:numRef>
              <c:f>'Unfitfit housholds'!$BT$124:$BZ$124</c:f>
              <c:numCache>
                <c:formatCode>0.0%</c:formatCode>
                <c:ptCount val="7"/>
                <c:pt idx="0">
                  <c:v>0.57134703196347036</c:v>
                </c:pt>
                <c:pt idx="1">
                  <c:v>0.57499999999999996</c:v>
                </c:pt>
                <c:pt idx="2">
                  <c:v>0.53791887125220461</c:v>
                </c:pt>
                <c:pt idx="3">
                  <c:v>0.50117647058823533</c:v>
                </c:pt>
                <c:pt idx="4">
                  <c:v>0.50960384153661464</c:v>
                </c:pt>
                <c:pt idx="5">
                  <c:v>0.54013015184381774</c:v>
                </c:pt>
                <c:pt idx="6">
                  <c:v>0.50146198830409361</c:v>
                </c:pt>
              </c:numCache>
            </c:numRef>
          </c:val>
          <c:smooth val="0"/>
          <c:extLst>
            <c:ext xmlns:c16="http://schemas.microsoft.com/office/drawing/2014/chart" uri="{C3380CC4-5D6E-409C-BE32-E72D297353CC}">
              <c16:uniqueId val="{00000001-9CE8-42F3-BEC7-F104269C004E}"/>
            </c:ext>
          </c:extLst>
        </c:ser>
        <c:ser>
          <c:idx val="2"/>
          <c:order val="2"/>
          <c:tx>
            <c:strRef>
              <c:f>'Unfitfit housholds'!$BN$125</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'Unfitfit housholds'!$BT$119:$BZ$119</c:f>
              <c:numCache>
                <c:formatCode>General</c:formatCode>
                <c:ptCount val="7"/>
                <c:pt idx="0">
                  <c:v>2012</c:v>
                </c:pt>
                <c:pt idx="1">
                  <c:v>2013</c:v>
                </c:pt>
                <c:pt idx="2">
                  <c:v>2014</c:v>
                </c:pt>
                <c:pt idx="3">
                  <c:v>2015</c:v>
                </c:pt>
                <c:pt idx="4">
                  <c:v>2016</c:v>
                </c:pt>
                <c:pt idx="5">
                  <c:v>2017</c:v>
                </c:pt>
                <c:pt idx="6">
                  <c:v>2018</c:v>
                </c:pt>
              </c:numCache>
            </c:numRef>
          </c:cat>
          <c:val>
            <c:numRef>
              <c:f>'Unfitfit housholds'!$BT$125:$BZ$125</c:f>
              <c:numCache>
                <c:formatCode>0.0%</c:formatCode>
                <c:ptCount val="7"/>
                <c:pt idx="0">
                  <c:v>0.58320449457606771</c:v>
                </c:pt>
                <c:pt idx="1">
                  <c:v>0.59675603416630663</c:v>
                </c:pt>
                <c:pt idx="2">
                  <c:v>0.55437316555410299</c:v>
                </c:pt>
                <c:pt idx="3">
                  <c:v>0.50985747864766018</c:v>
                </c:pt>
                <c:pt idx="4">
                  <c:v>0.5225154209787467</c:v>
                </c:pt>
                <c:pt idx="5">
                  <c:v>0.56049540022469513</c:v>
                </c:pt>
                <c:pt idx="6">
                  <c:v>0.51719848338381447</c:v>
                </c:pt>
              </c:numCache>
            </c:numRef>
          </c:val>
          <c:smooth val="0"/>
          <c:extLst>
            <c:ext xmlns:c16="http://schemas.microsoft.com/office/drawing/2014/chart" uri="{C3380CC4-5D6E-409C-BE32-E72D297353CC}">
              <c16:uniqueId val="{00000002-9CE8-42F3-BEC7-F104269C004E}"/>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18775792"/>
        <c:axId val="1718779600"/>
      </c:stockChart>
      <c:catAx>
        <c:axId val="171877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79600"/>
        <c:crosses val="autoZero"/>
        <c:auto val="1"/>
        <c:lblAlgn val="ctr"/>
        <c:lblOffset val="100"/>
        <c:noMultiLvlLbl val="0"/>
      </c:catAx>
      <c:valAx>
        <c:axId val="1718779600"/>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7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'Unfitfit housholds'!$BN$120</c:f>
              <c:strCache>
                <c:ptCount val="1"/>
                <c:pt idx="0">
                  <c:v>Max</c:v>
                </c:pt>
              </c:strCache>
            </c:strRef>
          </c:tx>
          <c:spPr>
            <a:ln w="28575" cap="rnd">
              <a:noFill/>
              <a:round/>
            </a:ln>
            <a:effectLst/>
          </c:spPr>
          <c:marker>
            <c:symbol val="none"/>
          </c:marker>
          <c:cat>
            <c:numRef>
              <c:f>'Unfitfit housholds'!$BT$119:$BZ$119</c:f>
              <c:numCache>
                <c:formatCode>General</c:formatCode>
                <c:ptCount val="7"/>
                <c:pt idx="0">
                  <c:v>2012</c:v>
                </c:pt>
                <c:pt idx="1">
                  <c:v>2013</c:v>
                </c:pt>
                <c:pt idx="2">
                  <c:v>2014</c:v>
                </c:pt>
                <c:pt idx="3">
                  <c:v>2015</c:v>
                </c:pt>
                <c:pt idx="4">
                  <c:v>2016</c:v>
                </c:pt>
                <c:pt idx="5">
                  <c:v>2017</c:v>
                </c:pt>
                <c:pt idx="6">
                  <c:v>2018</c:v>
                </c:pt>
              </c:numCache>
            </c:numRef>
          </c:cat>
          <c:val>
            <c:numRef>
              <c:f>'Unfitfit housholds'!$BT$120:$BZ$120</c:f>
              <c:numCache>
                <c:formatCode>0.0%</c:formatCode>
                <c:ptCount val="7"/>
                <c:pt idx="0">
                  <c:v>0.52030217186024552</c:v>
                </c:pt>
                <c:pt idx="1">
                  <c:v>0.4878993223620523</c:v>
                </c:pt>
                <c:pt idx="2">
                  <c:v>0.4718045112781955</c:v>
                </c:pt>
                <c:pt idx="3">
                  <c:v>0.47821969696969696</c:v>
                </c:pt>
                <c:pt idx="4">
                  <c:v>0.44188280499519694</c:v>
                </c:pt>
                <c:pt idx="5">
                  <c:v>0.46317280453257792</c:v>
                </c:pt>
                <c:pt idx="6">
                  <c:v>0.4508426966292135</c:v>
                </c:pt>
              </c:numCache>
            </c:numRef>
          </c:val>
          <c:smooth val="0"/>
          <c:extLst>
            <c:ext xmlns:c16="http://schemas.microsoft.com/office/drawing/2014/chart" uri="{C3380CC4-5D6E-409C-BE32-E72D297353CC}">
              <c16:uniqueId val="{00000000-C3DD-479A-9EC3-E1C37488F522}"/>
            </c:ext>
          </c:extLst>
        </c:ser>
        <c:ser>
          <c:idx val="1"/>
          <c:order val="1"/>
          <c:tx>
            <c:strRef>
              <c:f>'Unfitfit housholds'!$BN$121</c:f>
              <c:strCache>
                <c:ptCount val="1"/>
                <c:pt idx="0">
                  <c:v>Min</c:v>
                </c:pt>
              </c:strCache>
            </c:strRef>
          </c:tx>
          <c:spPr>
            <a:ln w="28575" cap="rnd">
              <a:noFill/>
              <a:round/>
            </a:ln>
            <a:effectLst/>
          </c:spPr>
          <c:marker>
            <c:symbol val="none"/>
          </c:marker>
          <c:cat>
            <c:numRef>
              <c:f>'Unfitfit housholds'!$BT$119:$BZ$119</c:f>
              <c:numCache>
                <c:formatCode>General</c:formatCode>
                <c:ptCount val="7"/>
                <c:pt idx="0">
                  <c:v>2012</c:v>
                </c:pt>
                <c:pt idx="1">
                  <c:v>2013</c:v>
                </c:pt>
                <c:pt idx="2">
                  <c:v>2014</c:v>
                </c:pt>
                <c:pt idx="3">
                  <c:v>2015</c:v>
                </c:pt>
                <c:pt idx="4">
                  <c:v>2016</c:v>
                </c:pt>
                <c:pt idx="5">
                  <c:v>2017</c:v>
                </c:pt>
                <c:pt idx="6">
                  <c:v>2018</c:v>
                </c:pt>
              </c:numCache>
            </c:numRef>
          </c:cat>
          <c:val>
            <c:numRef>
              <c:f>'Unfitfit housholds'!$BT$121:$BZ$121</c:f>
              <c:numCache>
                <c:formatCode>0.0%</c:formatCode>
                <c:ptCount val="7"/>
                <c:pt idx="0">
                  <c:v>0.49594229035166815</c:v>
                </c:pt>
                <c:pt idx="1">
                  <c:v>0.43767572633552015</c:v>
                </c:pt>
                <c:pt idx="2">
                  <c:v>0.44557195571955721</c:v>
                </c:pt>
                <c:pt idx="3">
                  <c:v>0.44164332399626516</c:v>
                </c:pt>
                <c:pt idx="4">
                  <c:v>0.41587901701323249</c:v>
                </c:pt>
                <c:pt idx="5">
                  <c:v>0.45228215767634855</c:v>
                </c:pt>
                <c:pt idx="6">
                  <c:v>0.43144292893036612</c:v>
                </c:pt>
              </c:numCache>
            </c:numRef>
          </c:val>
          <c:smooth val="0"/>
          <c:extLst>
            <c:ext xmlns:c16="http://schemas.microsoft.com/office/drawing/2014/chart" uri="{C3380CC4-5D6E-409C-BE32-E72D297353CC}">
              <c16:uniqueId val="{00000001-C3DD-479A-9EC3-E1C37488F522}"/>
            </c:ext>
          </c:extLst>
        </c:ser>
        <c:ser>
          <c:idx val="2"/>
          <c:order val="2"/>
          <c:tx>
            <c:strRef>
              <c:f>'Unfitfit housholds'!$BN$122</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'Unfitfit housholds'!$BT$119:$BZ$119</c:f>
              <c:numCache>
                <c:formatCode>General</c:formatCode>
                <c:ptCount val="7"/>
                <c:pt idx="0">
                  <c:v>2012</c:v>
                </c:pt>
                <c:pt idx="1">
                  <c:v>2013</c:v>
                </c:pt>
                <c:pt idx="2">
                  <c:v>2014</c:v>
                </c:pt>
                <c:pt idx="3">
                  <c:v>2015</c:v>
                </c:pt>
                <c:pt idx="4">
                  <c:v>2016</c:v>
                </c:pt>
                <c:pt idx="5">
                  <c:v>2017</c:v>
                </c:pt>
                <c:pt idx="6">
                  <c:v>2018</c:v>
                </c:pt>
              </c:numCache>
            </c:numRef>
          </c:cat>
          <c:val>
            <c:numRef>
              <c:f>'Unfitfit housholds'!$BT$122:$BZ$122</c:f>
              <c:numCache>
                <c:formatCode>0.0%</c:formatCode>
                <c:ptCount val="7"/>
                <c:pt idx="0">
                  <c:v>0.50730550515337702</c:v>
                </c:pt>
                <c:pt idx="1">
                  <c:v>0.46106305121868218</c:v>
                </c:pt>
                <c:pt idx="2">
                  <c:v>0.45837722555280008</c:v>
                </c:pt>
                <c:pt idx="3">
                  <c:v>0.46353368866818107</c:v>
                </c:pt>
                <c:pt idx="4">
                  <c:v>0.42338960900524392</c:v>
                </c:pt>
                <c:pt idx="5">
                  <c:v>0.45626491710843536</c:v>
                </c:pt>
                <c:pt idx="6">
                  <c:v>0.44281581162714995</c:v>
                </c:pt>
              </c:numCache>
            </c:numRef>
          </c:val>
          <c:smooth val="0"/>
          <c:extLst>
            <c:ext xmlns:c16="http://schemas.microsoft.com/office/drawing/2014/chart" uri="{C3380CC4-5D6E-409C-BE32-E72D297353CC}">
              <c16:uniqueId val="{00000002-C3DD-479A-9EC3-E1C37488F522}"/>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18783952"/>
        <c:axId val="1718786672"/>
      </c:stockChart>
      <c:catAx>
        <c:axId val="171878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6672"/>
        <c:crosses val="autoZero"/>
        <c:auto val="1"/>
        <c:lblAlgn val="ctr"/>
        <c:lblOffset val="100"/>
        <c:noMultiLvlLbl val="0"/>
      </c:catAx>
      <c:valAx>
        <c:axId val="1718786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'Unfitfit housholds'!$BN$135</c:f>
              <c:strCache>
                <c:ptCount val="1"/>
                <c:pt idx="0">
                  <c:v>Max</c:v>
                </c:pt>
              </c:strCache>
            </c:strRef>
          </c:tx>
          <c:spPr>
            <a:ln w="28575" cap="rnd">
              <a:noFill/>
              <a:round/>
            </a:ln>
            <a:effectLst/>
          </c:spPr>
          <c:marker>
            <c:symbol val="none"/>
          </c:marker>
          <c:cat>
            <c:numRef>
              <c:f>'Unfitfit housholds'!$BT$131:$BZ$131</c:f>
              <c:numCache>
                <c:formatCode>General</c:formatCode>
                <c:ptCount val="7"/>
                <c:pt idx="0">
                  <c:v>2012</c:v>
                </c:pt>
                <c:pt idx="1">
                  <c:v>2013</c:v>
                </c:pt>
                <c:pt idx="2">
                  <c:v>2014</c:v>
                </c:pt>
                <c:pt idx="3">
                  <c:v>2015</c:v>
                </c:pt>
                <c:pt idx="4">
                  <c:v>2016</c:v>
                </c:pt>
                <c:pt idx="5">
                  <c:v>2017</c:v>
                </c:pt>
                <c:pt idx="6">
                  <c:v>2018</c:v>
                </c:pt>
              </c:numCache>
            </c:numRef>
          </c:cat>
          <c:val>
            <c:numRef>
              <c:f>'Unfitfit housholds'!$BT$135:$BZ$135</c:f>
              <c:numCache>
                <c:formatCode>0.0%</c:formatCode>
                <c:ptCount val="7"/>
                <c:pt idx="0">
                  <c:v>6.4665127020785224E-2</c:v>
                </c:pt>
                <c:pt idx="1">
                  <c:v>5.9302325581395351E-2</c:v>
                </c:pt>
                <c:pt idx="2">
                  <c:v>5.6140350877192984E-2</c:v>
                </c:pt>
                <c:pt idx="3">
                  <c:v>4.4563279857397504E-2</c:v>
                </c:pt>
                <c:pt idx="4">
                  <c:v>3.9615846338535411E-2</c:v>
                </c:pt>
                <c:pt idx="5">
                  <c:v>6.2054208273894434E-2</c:v>
                </c:pt>
                <c:pt idx="6">
                  <c:v>5.9435364041604752E-2</c:v>
                </c:pt>
              </c:numCache>
            </c:numRef>
          </c:val>
          <c:smooth val="0"/>
          <c:extLst>
            <c:ext xmlns:c16="http://schemas.microsoft.com/office/drawing/2014/chart" uri="{C3380CC4-5D6E-409C-BE32-E72D297353CC}">
              <c16:uniqueId val="{00000000-C28B-41A9-AA81-30E5E52DBEBF}"/>
            </c:ext>
          </c:extLst>
        </c:ser>
        <c:ser>
          <c:idx val="1"/>
          <c:order val="1"/>
          <c:tx>
            <c:strRef>
              <c:f>'Unfitfit housholds'!$BN$136</c:f>
              <c:strCache>
                <c:ptCount val="1"/>
                <c:pt idx="0">
                  <c:v>Min</c:v>
                </c:pt>
              </c:strCache>
            </c:strRef>
          </c:tx>
          <c:spPr>
            <a:ln w="28575" cap="rnd">
              <a:noFill/>
              <a:round/>
            </a:ln>
            <a:effectLst/>
          </c:spPr>
          <c:marker>
            <c:symbol val="none"/>
          </c:marker>
          <c:cat>
            <c:numRef>
              <c:f>'Unfitfit housholds'!$BT$131:$BZ$131</c:f>
              <c:numCache>
                <c:formatCode>General</c:formatCode>
                <c:ptCount val="7"/>
                <c:pt idx="0">
                  <c:v>2012</c:v>
                </c:pt>
                <c:pt idx="1">
                  <c:v>2013</c:v>
                </c:pt>
                <c:pt idx="2">
                  <c:v>2014</c:v>
                </c:pt>
                <c:pt idx="3">
                  <c:v>2015</c:v>
                </c:pt>
                <c:pt idx="4">
                  <c:v>2016</c:v>
                </c:pt>
                <c:pt idx="5">
                  <c:v>2017</c:v>
                </c:pt>
                <c:pt idx="6">
                  <c:v>2018</c:v>
                </c:pt>
              </c:numCache>
            </c:numRef>
          </c:cat>
          <c:val>
            <c:numRef>
              <c:f>'Unfitfit housholds'!$BT$136:$BZ$136</c:f>
              <c:numCache>
                <c:formatCode>0.0%</c:formatCode>
                <c:ptCount val="7"/>
                <c:pt idx="0">
                  <c:v>5.4802592810842661E-2</c:v>
                </c:pt>
                <c:pt idx="1">
                  <c:v>4.6216060080878106E-2</c:v>
                </c:pt>
                <c:pt idx="2">
                  <c:v>4.1740152851263965E-2</c:v>
                </c:pt>
                <c:pt idx="3">
                  <c:v>3.7701974865350089E-2</c:v>
                </c:pt>
                <c:pt idx="4">
                  <c:v>3.4316676700782658E-2</c:v>
                </c:pt>
                <c:pt idx="5">
                  <c:v>5.2783803326102677E-2</c:v>
                </c:pt>
                <c:pt idx="6">
                  <c:v>4.4085231447465102E-2</c:v>
                </c:pt>
              </c:numCache>
            </c:numRef>
          </c:val>
          <c:smooth val="0"/>
          <c:extLst>
            <c:ext xmlns:c16="http://schemas.microsoft.com/office/drawing/2014/chart" uri="{C3380CC4-5D6E-409C-BE32-E72D297353CC}">
              <c16:uniqueId val="{00000001-C28B-41A9-AA81-30E5E52DBEBF}"/>
            </c:ext>
          </c:extLst>
        </c:ser>
        <c:ser>
          <c:idx val="2"/>
          <c:order val="2"/>
          <c:tx>
            <c:strRef>
              <c:f>'Unfitfit housholds'!$BN$137</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'Unfitfit housholds'!$BT$131:$BZ$131</c:f>
              <c:numCache>
                <c:formatCode>General</c:formatCode>
                <c:ptCount val="7"/>
                <c:pt idx="0">
                  <c:v>2012</c:v>
                </c:pt>
                <c:pt idx="1">
                  <c:v>2013</c:v>
                </c:pt>
                <c:pt idx="2">
                  <c:v>2014</c:v>
                </c:pt>
                <c:pt idx="3">
                  <c:v>2015</c:v>
                </c:pt>
                <c:pt idx="4">
                  <c:v>2016</c:v>
                </c:pt>
                <c:pt idx="5">
                  <c:v>2017</c:v>
                </c:pt>
                <c:pt idx="6">
                  <c:v>2018</c:v>
                </c:pt>
              </c:numCache>
            </c:numRef>
          </c:cat>
          <c:val>
            <c:numRef>
              <c:f>'Unfitfit housholds'!$BT$137:$BZ$137</c:f>
              <c:numCache>
                <c:formatCode>0.0%</c:formatCode>
                <c:ptCount val="7"/>
                <c:pt idx="0">
                  <c:v>5.7971510661746897E-2</c:v>
                </c:pt>
                <c:pt idx="1">
                  <c:v>5.3653778105018826E-2</c:v>
                </c:pt>
                <c:pt idx="2">
                  <c:v>5.0701150297466968E-2</c:v>
                </c:pt>
                <c:pt idx="3">
                  <c:v>4.060766040248253E-2</c:v>
                </c:pt>
                <c:pt idx="4">
                  <c:v>3.5893845045543805E-2</c:v>
                </c:pt>
                <c:pt idx="5">
                  <c:v>5.7606023284697327E-2</c:v>
                </c:pt>
                <c:pt idx="6">
                  <c:v>5.0518168240415717E-2</c:v>
                </c:pt>
              </c:numCache>
            </c:numRef>
          </c:val>
          <c:smooth val="0"/>
          <c:extLst>
            <c:ext xmlns:c16="http://schemas.microsoft.com/office/drawing/2014/chart" uri="{C3380CC4-5D6E-409C-BE32-E72D297353CC}">
              <c16:uniqueId val="{00000002-C28B-41A9-AA81-30E5E52DBEBF}"/>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18784496"/>
        <c:axId val="1718785584"/>
      </c:stockChart>
      <c:catAx>
        <c:axId val="171878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5584"/>
        <c:crosses val="autoZero"/>
        <c:auto val="1"/>
        <c:lblAlgn val="ctr"/>
        <c:lblOffset val="100"/>
        <c:noMultiLvlLbl val="0"/>
      </c:catAx>
      <c:valAx>
        <c:axId val="171878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4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'Unfitfit housholds'!$BN$132</c:f>
              <c:strCache>
                <c:ptCount val="1"/>
                <c:pt idx="0">
                  <c:v>Max</c:v>
                </c:pt>
              </c:strCache>
            </c:strRef>
          </c:tx>
          <c:spPr>
            <a:ln w="28575" cap="rnd">
              <a:noFill/>
              <a:round/>
            </a:ln>
            <a:effectLst/>
          </c:spPr>
          <c:marker>
            <c:symbol val="none"/>
          </c:marker>
          <c:cat>
            <c:numRef>
              <c:f>'Unfitfit housholds'!$BT$131:$BZ$131</c:f>
              <c:numCache>
                <c:formatCode>General</c:formatCode>
                <c:ptCount val="7"/>
                <c:pt idx="0">
                  <c:v>2012</c:v>
                </c:pt>
                <c:pt idx="1">
                  <c:v>2013</c:v>
                </c:pt>
                <c:pt idx="2">
                  <c:v>2014</c:v>
                </c:pt>
                <c:pt idx="3">
                  <c:v>2015</c:v>
                </c:pt>
                <c:pt idx="4">
                  <c:v>2016</c:v>
                </c:pt>
                <c:pt idx="5">
                  <c:v>2017</c:v>
                </c:pt>
                <c:pt idx="6">
                  <c:v>2018</c:v>
                </c:pt>
              </c:numCache>
            </c:numRef>
          </c:cat>
          <c:val>
            <c:numRef>
              <c:f>'Unfitfit housholds'!$BT$132:$BZ$132</c:f>
              <c:numCache>
                <c:formatCode>0.0%</c:formatCode>
                <c:ptCount val="7"/>
                <c:pt idx="0">
                  <c:v>2.9657089898053754E-2</c:v>
                </c:pt>
                <c:pt idx="1">
                  <c:v>3.2913843175217811E-2</c:v>
                </c:pt>
                <c:pt idx="2">
                  <c:v>2.5447690857681431E-2</c:v>
                </c:pt>
                <c:pt idx="3">
                  <c:v>1.9943019943019943E-2</c:v>
                </c:pt>
                <c:pt idx="4">
                  <c:v>2.3054755043227664E-2</c:v>
                </c:pt>
                <c:pt idx="5">
                  <c:v>3.2237673830594185E-2</c:v>
                </c:pt>
                <c:pt idx="6">
                  <c:v>3.3057851239669422E-2</c:v>
                </c:pt>
              </c:numCache>
            </c:numRef>
          </c:val>
          <c:smooth val="0"/>
          <c:extLst>
            <c:ext xmlns:c16="http://schemas.microsoft.com/office/drawing/2014/chart" uri="{C3380CC4-5D6E-409C-BE32-E72D297353CC}">
              <c16:uniqueId val="{00000000-3253-4DF9-AD93-98895D88AB06}"/>
            </c:ext>
          </c:extLst>
        </c:ser>
        <c:ser>
          <c:idx val="1"/>
          <c:order val="1"/>
          <c:tx>
            <c:strRef>
              <c:f>'Unfitfit housholds'!$BN$133</c:f>
              <c:strCache>
                <c:ptCount val="1"/>
                <c:pt idx="0">
                  <c:v>Min</c:v>
                </c:pt>
              </c:strCache>
            </c:strRef>
          </c:tx>
          <c:spPr>
            <a:ln w="28575" cap="rnd">
              <a:noFill/>
              <a:round/>
            </a:ln>
            <a:effectLst/>
          </c:spPr>
          <c:marker>
            <c:symbol val="none"/>
          </c:marker>
          <c:cat>
            <c:numRef>
              <c:f>'Unfitfit housholds'!$BT$131:$BZ$131</c:f>
              <c:numCache>
                <c:formatCode>General</c:formatCode>
                <c:ptCount val="7"/>
                <c:pt idx="0">
                  <c:v>2012</c:v>
                </c:pt>
                <c:pt idx="1">
                  <c:v>2013</c:v>
                </c:pt>
                <c:pt idx="2">
                  <c:v>2014</c:v>
                </c:pt>
                <c:pt idx="3">
                  <c:v>2015</c:v>
                </c:pt>
                <c:pt idx="4">
                  <c:v>2016</c:v>
                </c:pt>
                <c:pt idx="5">
                  <c:v>2017</c:v>
                </c:pt>
                <c:pt idx="6">
                  <c:v>2018</c:v>
                </c:pt>
              </c:numCache>
            </c:numRef>
          </c:cat>
          <c:val>
            <c:numRef>
              <c:f>'Unfitfit housholds'!$BT$133:$BZ$133</c:f>
              <c:numCache>
                <c:formatCode>0.0%</c:formatCode>
                <c:ptCount val="7"/>
                <c:pt idx="0">
                  <c:v>2.2284122562674095E-2</c:v>
                </c:pt>
                <c:pt idx="1">
                  <c:v>1.9681349578256794E-2</c:v>
                </c:pt>
                <c:pt idx="2">
                  <c:v>1.743119266055046E-2</c:v>
                </c:pt>
                <c:pt idx="3">
                  <c:v>1.5873015873015872E-2</c:v>
                </c:pt>
                <c:pt idx="4">
                  <c:v>1.3861386138613862E-2</c:v>
                </c:pt>
                <c:pt idx="5">
                  <c:v>1.4872521246458924E-2</c:v>
                </c:pt>
                <c:pt idx="6">
                  <c:v>1.4981273408239701E-2</c:v>
                </c:pt>
              </c:numCache>
            </c:numRef>
          </c:val>
          <c:smooth val="0"/>
          <c:extLst>
            <c:ext xmlns:c16="http://schemas.microsoft.com/office/drawing/2014/chart" uri="{C3380CC4-5D6E-409C-BE32-E72D297353CC}">
              <c16:uniqueId val="{00000001-3253-4DF9-AD93-98895D88AB06}"/>
            </c:ext>
          </c:extLst>
        </c:ser>
        <c:ser>
          <c:idx val="2"/>
          <c:order val="2"/>
          <c:tx>
            <c:strRef>
              <c:f>'Unfitfit housholds'!$BN$134</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'Unfitfit housholds'!$BT$131:$BZ$131</c:f>
              <c:numCache>
                <c:formatCode>General</c:formatCode>
                <c:ptCount val="7"/>
                <c:pt idx="0">
                  <c:v>2012</c:v>
                </c:pt>
                <c:pt idx="1">
                  <c:v>2013</c:v>
                </c:pt>
                <c:pt idx="2">
                  <c:v>2014</c:v>
                </c:pt>
                <c:pt idx="3">
                  <c:v>2015</c:v>
                </c:pt>
                <c:pt idx="4">
                  <c:v>2016</c:v>
                </c:pt>
                <c:pt idx="5">
                  <c:v>2017</c:v>
                </c:pt>
                <c:pt idx="6">
                  <c:v>2018</c:v>
                </c:pt>
              </c:numCache>
            </c:numRef>
          </c:cat>
          <c:val>
            <c:numRef>
              <c:f>'Unfitfit housholds'!$BT$134:$BZ$134</c:f>
              <c:numCache>
                <c:formatCode>0.0%</c:formatCode>
                <c:ptCount val="7"/>
                <c:pt idx="0">
                  <c:v>2.6830305503572596E-2</c:v>
                </c:pt>
                <c:pt idx="1">
                  <c:v>2.6249759726830191E-2</c:v>
                </c:pt>
                <c:pt idx="2">
                  <c:v>2.1906879273698304E-2</c:v>
                </c:pt>
                <c:pt idx="3">
                  <c:v>1.8160212943051927E-2</c:v>
                </c:pt>
                <c:pt idx="4">
                  <c:v>1.6351703010723227E-2</c:v>
                </c:pt>
                <c:pt idx="5">
                  <c:v>2.5213727786855083E-2</c:v>
                </c:pt>
                <c:pt idx="6">
                  <c:v>2.2110571026226294E-2</c:v>
                </c:pt>
              </c:numCache>
            </c:numRef>
          </c:val>
          <c:smooth val="0"/>
          <c:extLst>
            <c:ext xmlns:c16="http://schemas.microsoft.com/office/drawing/2014/chart" uri="{C3380CC4-5D6E-409C-BE32-E72D297353CC}">
              <c16:uniqueId val="{00000002-3253-4DF9-AD93-98895D88AB06}"/>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718789936"/>
        <c:axId val="1718774704"/>
      </c:stockChart>
      <c:catAx>
        <c:axId val="171878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74704"/>
        <c:crosses val="autoZero"/>
        <c:auto val="1"/>
        <c:lblAlgn val="ctr"/>
        <c:lblOffset val="100"/>
        <c:noMultiLvlLbl val="0"/>
      </c:catAx>
      <c:valAx>
        <c:axId val="1718774704"/>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8789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'Overcrowded Househods '!$BM$57</c:f>
              <c:strCache>
                <c:ptCount val="1"/>
                <c:pt idx="0">
                  <c:v>Max</c:v>
                </c:pt>
              </c:strCache>
            </c:strRef>
          </c:tx>
          <c:spPr>
            <a:ln w="28575" cap="rnd">
              <a:noFill/>
              <a:round/>
            </a:ln>
            <a:effectLst/>
          </c:spPr>
          <c:marker>
            <c:symbol val="none"/>
          </c:marker>
          <c:cat>
            <c:numRef>
              <c:f>'Overcrowded Househods '!$BN$56:$BY$56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'!$BN$57:$BY$57</c:f>
              <c:numCache>
                <c:formatCode>0.0%</c:formatCode>
                <c:ptCount val="12"/>
                <c:pt idx="0">
                  <c:v>1.3939393939393939E-2</c:v>
                </c:pt>
                <c:pt idx="1">
                  <c:v>1.5983725661145014E-2</c:v>
                </c:pt>
                <c:pt idx="2">
                  <c:v>1.520572450805009E-2</c:v>
                </c:pt>
                <c:pt idx="3">
                  <c:v>1.4911746804625686E-2</c:v>
                </c:pt>
                <c:pt idx="4">
                  <c:v>1.3173652694610778E-2</c:v>
                </c:pt>
                <c:pt idx="5">
                  <c:v>1.0392609699769052E-2</c:v>
                </c:pt>
                <c:pt idx="6">
                  <c:v>6.9767441860465115E-3</c:v>
                </c:pt>
                <c:pt idx="7">
                  <c:v>5.8479532163742687E-3</c:v>
                </c:pt>
                <c:pt idx="8">
                  <c:v>6.4705882352941177E-3</c:v>
                </c:pt>
                <c:pt idx="9">
                  <c:v>6.0024009603841539E-3</c:v>
                </c:pt>
                <c:pt idx="10">
                  <c:v>5.7061340941512127E-3</c:v>
                </c:pt>
                <c:pt idx="11">
                  <c:v>5.9435364041604752E-3</c:v>
                </c:pt>
              </c:numCache>
            </c:numRef>
          </c:val>
          <c:smooth val="0"/>
          <c:extLst>
            <c:ext xmlns:c16="http://schemas.microsoft.com/office/drawing/2014/chart" uri="{C3380CC4-5D6E-409C-BE32-E72D297353CC}">
              <c16:uniqueId val="{00000000-ED35-472F-900E-697755AB6A14}"/>
            </c:ext>
          </c:extLst>
        </c:ser>
        <c:ser>
          <c:idx val="1"/>
          <c:order val="1"/>
          <c:tx>
            <c:strRef>
              <c:f>'Overcrowded Househods '!$BM$58</c:f>
              <c:strCache>
                <c:ptCount val="1"/>
                <c:pt idx="0">
                  <c:v>Min</c:v>
                </c:pt>
              </c:strCache>
            </c:strRef>
          </c:tx>
          <c:spPr>
            <a:ln w="28575" cap="rnd">
              <a:noFill/>
              <a:round/>
            </a:ln>
            <a:effectLst/>
          </c:spPr>
          <c:marker>
            <c:symbol val="none"/>
          </c:marker>
          <c:cat>
            <c:numRef>
              <c:f>'Overcrowded Househods '!$BN$56:$BY$56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'!$BN$58:$BY$58</c:f>
              <c:numCache>
                <c:formatCode>0.0%</c:formatCode>
                <c:ptCount val="12"/>
                <c:pt idx="0">
                  <c:v>1.1130638547158758E-2</c:v>
                </c:pt>
                <c:pt idx="1">
                  <c:v>1.32291040288635E-2</c:v>
                </c:pt>
                <c:pt idx="2">
                  <c:v>1.0198135198135198E-2</c:v>
                </c:pt>
                <c:pt idx="3">
                  <c:v>1.2209648600357356E-2</c:v>
                </c:pt>
                <c:pt idx="4">
                  <c:v>8.5227272727272721E-3</c:v>
                </c:pt>
                <c:pt idx="5">
                  <c:v>7.6605774896876845E-3</c:v>
                </c:pt>
                <c:pt idx="6">
                  <c:v>5.7770075101097633E-3</c:v>
                </c:pt>
                <c:pt idx="7">
                  <c:v>4.11522633744856E-3</c:v>
                </c:pt>
                <c:pt idx="8">
                  <c:v>4.7253396337861783E-3</c:v>
                </c:pt>
                <c:pt idx="9">
                  <c:v>4.7619047619047623E-3</c:v>
                </c:pt>
                <c:pt idx="10">
                  <c:v>3.5063113604488078E-3</c:v>
                </c:pt>
                <c:pt idx="11">
                  <c:v>4.3731778425655978E-3</c:v>
                </c:pt>
              </c:numCache>
            </c:numRef>
          </c:val>
          <c:smooth val="0"/>
          <c:extLst>
            <c:ext xmlns:c16="http://schemas.microsoft.com/office/drawing/2014/chart" uri="{C3380CC4-5D6E-409C-BE32-E72D297353CC}">
              <c16:uniqueId val="{00000001-ED35-472F-900E-697755AB6A14}"/>
            </c:ext>
          </c:extLst>
        </c:ser>
        <c:ser>
          <c:idx val="2"/>
          <c:order val="2"/>
          <c:tx>
            <c:strRef>
              <c:f>'Overcrowded Househods '!$BM$59</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'Overcrowded Househods '!$BN$56:$BY$56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'!$BN$59:$BY$59</c:f>
              <c:numCache>
                <c:formatCode>0.0%</c:formatCode>
                <c:ptCount val="12"/>
                <c:pt idx="0">
                  <c:v>1.2629024747753339E-2</c:v>
                </c:pt>
                <c:pt idx="1">
                  <c:v>1.4522548495803832E-2</c:v>
                </c:pt>
                <c:pt idx="2">
                  <c:v>1.2310270088167376E-2</c:v>
                </c:pt>
                <c:pt idx="3">
                  <c:v>1.3633703107246951E-2</c:v>
                </c:pt>
                <c:pt idx="4">
                  <c:v>1.0348882136028628E-2</c:v>
                </c:pt>
                <c:pt idx="5">
                  <c:v>8.983352485447094E-3</c:v>
                </c:pt>
                <c:pt idx="6">
                  <c:v>6.3963242047427342E-3</c:v>
                </c:pt>
                <c:pt idx="7">
                  <c:v>4.9546899878574833E-3</c:v>
                </c:pt>
                <c:pt idx="8">
                  <c:v>5.3338351991346067E-3</c:v>
                </c:pt>
                <c:pt idx="9">
                  <c:v>5.5337773279088886E-3</c:v>
                </c:pt>
                <c:pt idx="10">
                  <c:v>4.7931091220954286E-3</c:v>
                </c:pt>
                <c:pt idx="11">
                  <c:v>5.1451775046671968E-3</c:v>
                </c:pt>
              </c:numCache>
            </c:numRef>
          </c:val>
          <c:smooth val="0"/>
          <c:extLst>
            <c:ext xmlns:c16="http://schemas.microsoft.com/office/drawing/2014/chart" uri="{C3380CC4-5D6E-409C-BE32-E72D297353CC}">
              <c16:uniqueId val="{00000003-ED35-472F-900E-697755AB6A14}"/>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18501136"/>
        <c:axId val="1618495696"/>
      </c:stockChart>
      <c:catAx>
        <c:axId val="161850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495696"/>
        <c:crosses val="autoZero"/>
        <c:auto val="1"/>
        <c:lblAlgn val="ctr"/>
        <c:lblOffset val="100"/>
        <c:noMultiLvlLbl val="0"/>
      </c:catAx>
      <c:valAx>
        <c:axId val="1618495696"/>
        <c:scaling>
          <c:orientation val="minMax"/>
          <c:max val="5.000000000000001E-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501136"/>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8811762607344"/>
          <c:y val="0.21266666666666667"/>
          <c:w val="0.8116538830704414"/>
          <c:h val="0.38306991171558108"/>
        </c:manualLayout>
      </c:layout>
      <c:stockChart>
        <c:ser>
          <c:idx val="0"/>
          <c:order val="0"/>
          <c:tx>
            <c:strRef>
              <c:f>'Overcrowded Househods '!$BM$60</c:f>
              <c:strCache>
                <c:ptCount val="1"/>
                <c:pt idx="0">
                  <c:v>Max</c:v>
                </c:pt>
              </c:strCache>
            </c:strRef>
          </c:tx>
          <c:spPr>
            <a:ln w="28575" cap="rnd">
              <a:noFill/>
              <a:round/>
            </a:ln>
            <a:effectLst/>
          </c:spPr>
          <c:marker>
            <c:symbol val="none"/>
          </c:marker>
          <c:cat>
            <c:numRef>
              <c:f>'Overcrowded Househods '!$BN$56:$BY$56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'!$BN$60:$BY$60</c:f>
              <c:numCache>
                <c:formatCode>0.0%</c:formatCode>
                <c:ptCount val="12"/>
                <c:pt idx="0">
                  <c:v>4.7E-2</c:v>
                </c:pt>
                <c:pt idx="1">
                  <c:v>4.1041041041041039E-2</c:v>
                </c:pt>
                <c:pt idx="2">
                  <c:v>3.9315448658649402E-2</c:v>
                </c:pt>
                <c:pt idx="3">
                  <c:v>4.4048734770384255E-2</c:v>
                </c:pt>
                <c:pt idx="4">
                  <c:v>3.5938903863432167E-2</c:v>
                </c:pt>
                <c:pt idx="5">
                  <c:v>3.588290840415486E-2</c:v>
                </c:pt>
                <c:pt idx="6">
                  <c:v>3.5818005808325268E-2</c:v>
                </c:pt>
                <c:pt idx="7">
                  <c:v>2.7522935779816515E-2</c:v>
                </c:pt>
                <c:pt idx="8">
                  <c:v>2.1475256769374416E-2</c:v>
                </c:pt>
                <c:pt idx="9">
                  <c:v>2.835538752362949E-2</c:v>
                </c:pt>
                <c:pt idx="10">
                  <c:v>1.7289073305670817E-2</c:v>
                </c:pt>
                <c:pt idx="11">
                  <c:v>1.859504132231405E-2</c:v>
                </c:pt>
              </c:numCache>
            </c:numRef>
          </c:val>
          <c:smooth val="0"/>
          <c:extLst>
            <c:ext xmlns:c16="http://schemas.microsoft.com/office/drawing/2014/chart" uri="{C3380CC4-5D6E-409C-BE32-E72D297353CC}">
              <c16:uniqueId val="{00000000-20FF-4919-A34C-F43B21D10846}"/>
            </c:ext>
          </c:extLst>
        </c:ser>
        <c:ser>
          <c:idx val="1"/>
          <c:order val="1"/>
          <c:tx>
            <c:strRef>
              <c:f>'Overcrowded Househods '!$BM$61</c:f>
              <c:strCache>
                <c:ptCount val="1"/>
                <c:pt idx="0">
                  <c:v>Min</c:v>
                </c:pt>
              </c:strCache>
            </c:strRef>
          </c:tx>
          <c:spPr>
            <a:ln w="28575" cap="rnd">
              <a:noFill/>
              <a:round/>
            </a:ln>
            <a:effectLst/>
          </c:spPr>
          <c:marker>
            <c:symbol val="none"/>
          </c:marker>
          <c:cat>
            <c:numRef>
              <c:f>'Overcrowded Househods '!$BN$56:$BY$56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'!$BN$61:$BY$61</c:f>
              <c:numCache>
                <c:formatCode>0.0%</c:formatCode>
                <c:ptCount val="12"/>
                <c:pt idx="0">
                  <c:v>3.3434650455927049E-2</c:v>
                </c:pt>
                <c:pt idx="1">
                  <c:v>3.3553875236294897E-2</c:v>
                </c:pt>
                <c:pt idx="2">
                  <c:v>3.0019685039370077E-2</c:v>
                </c:pt>
                <c:pt idx="3">
                  <c:v>3.098188751191611E-2</c:v>
                </c:pt>
                <c:pt idx="4">
                  <c:v>2.5974025974025976E-2</c:v>
                </c:pt>
                <c:pt idx="5">
                  <c:v>3.0583873957367932E-2</c:v>
                </c:pt>
                <c:pt idx="6">
                  <c:v>2.1780303030303032E-2</c:v>
                </c:pt>
                <c:pt idx="7">
                  <c:v>1.6917293233082706E-2</c:v>
                </c:pt>
                <c:pt idx="8">
                  <c:v>1.4245014245014245E-2</c:v>
                </c:pt>
                <c:pt idx="9">
                  <c:v>1.717557251908397E-2</c:v>
                </c:pt>
                <c:pt idx="10">
                  <c:v>1.0623229461756374E-2</c:v>
                </c:pt>
                <c:pt idx="11">
                  <c:v>1.507537688442211E-2</c:v>
                </c:pt>
              </c:numCache>
            </c:numRef>
          </c:val>
          <c:smooth val="0"/>
          <c:extLst>
            <c:ext xmlns:c16="http://schemas.microsoft.com/office/drawing/2014/chart" uri="{C3380CC4-5D6E-409C-BE32-E72D297353CC}">
              <c16:uniqueId val="{00000001-20FF-4919-A34C-F43B21D10846}"/>
            </c:ext>
          </c:extLst>
        </c:ser>
        <c:ser>
          <c:idx val="2"/>
          <c:order val="2"/>
          <c:tx>
            <c:strRef>
              <c:f>'Overcrowded Househods '!$BM$62</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'Overcrowded Househods '!$BN$56:$BY$56</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'!$BN$62:$BY$62</c:f>
              <c:numCache>
                <c:formatCode>0.0%</c:formatCode>
                <c:ptCount val="12"/>
                <c:pt idx="0">
                  <c:v>4.1145734199454033E-2</c:v>
                </c:pt>
                <c:pt idx="1">
                  <c:v>3.6255893006179193E-2</c:v>
                </c:pt>
                <c:pt idx="2">
                  <c:v>3.4365369281196392E-2</c:v>
                </c:pt>
                <c:pt idx="3">
                  <c:v>3.6678478227416975E-2</c:v>
                </c:pt>
                <c:pt idx="4">
                  <c:v>3.0361533602296837E-2</c:v>
                </c:pt>
                <c:pt idx="5">
                  <c:v>3.3546215438537877E-2</c:v>
                </c:pt>
                <c:pt idx="6">
                  <c:v>2.6488873222922159E-2</c:v>
                </c:pt>
                <c:pt idx="7">
                  <c:v>2.1583275793138762E-2</c:v>
                </c:pt>
                <c:pt idx="8">
                  <c:v>1.671982978064733E-2</c:v>
                </c:pt>
                <c:pt idx="9">
                  <c:v>2.4055008678467334E-2</c:v>
                </c:pt>
                <c:pt idx="10">
                  <c:v>1.4442827239133134E-2</c:v>
                </c:pt>
                <c:pt idx="11">
                  <c:v>1.6762642004867562E-2</c:v>
                </c:pt>
              </c:numCache>
            </c:numRef>
          </c:val>
          <c:smooth val="0"/>
          <c:extLst>
            <c:ext xmlns:c16="http://schemas.microsoft.com/office/drawing/2014/chart" uri="{C3380CC4-5D6E-409C-BE32-E72D297353CC}">
              <c16:uniqueId val="{00000003-20FF-4919-A34C-F43B21D10846}"/>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18507664"/>
        <c:axId val="1618518000"/>
      </c:stockChart>
      <c:catAx>
        <c:axId val="16185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518000"/>
        <c:crosses val="autoZero"/>
        <c:auto val="1"/>
        <c:lblAlgn val="ctr"/>
        <c:lblOffset val="100"/>
        <c:noMultiLvlLbl val="0"/>
      </c:catAx>
      <c:valAx>
        <c:axId val="1618518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507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Rural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'Overcrowded Househods '!$BM$79</c:f>
              <c:strCache>
                <c:ptCount val="1"/>
                <c:pt idx="0">
                  <c:v>Max</c:v>
                </c:pt>
              </c:strCache>
            </c:strRef>
          </c:tx>
          <c:spPr>
            <a:ln w="28575" cap="rnd">
              <a:noFill/>
              <a:round/>
            </a:ln>
            <a:effectLst/>
          </c:spPr>
          <c:marker>
            <c:symbol val="none"/>
          </c:marker>
          <c:cat>
            <c:numRef>
              <c:f>'Overcrowded Househods '!$BN$78:$BY$78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'!$BN$79:$BY$79</c:f>
              <c:numCache>
                <c:formatCode>0.00%</c:formatCode>
                <c:ptCount val="12"/>
                <c:pt idx="0">
                  <c:v>1.8248175182481751E-3</c:v>
                </c:pt>
                <c:pt idx="1">
                  <c:v>1.455604075691412E-3</c:v>
                </c:pt>
                <c:pt idx="2">
                  <c:v>2.0648967551622419E-3</c:v>
                </c:pt>
                <c:pt idx="3">
                  <c:v>1.2172854534388314E-3</c:v>
                </c:pt>
                <c:pt idx="4">
                  <c:v>1.1976047904191617E-3</c:v>
                </c:pt>
                <c:pt idx="5">
                  <c:v>0</c:v>
                </c:pt>
                <c:pt idx="6">
                  <c:v>5.8548009367681499E-4</c:v>
                </c:pt>
                <c:pt idx="7">
                  <c:v>0</c:v>
                </c:pt>
                <c:pt idx="8">
                  <c:v>0</c:v>
                </c:pt>
                <c:pt idx="9">
                  <c:v>0</c:v>
                </c:pt>
                <c:pt idx="10">
                  <c:v>0</c:v>
                </c:pt>
                <c:pt idx="11">
                  <c:v>0</c:v>
                </c:pt>
              </c:numCache>
            </c:numRef>
          </c:val>
          <c:smooth val="0"/>
          <c:extLst>
            <c:ext xmlns:c16="http://schemas.microsoft.com/office/drawing/2014/chart" uri="{C3380CC4-5D6E-409C-BE32-E72D297353CC}">
              <c16:uniqueId val="{00000000-BFFD-447D-BC62-56C90C43071A}"/>
            </c:ext>
          </c:extLst>
        </c:ser>
        <c:ser>
          <c:idx val="1"/>
          <c:order val="1"/>
          <c:tx>
            <c:strRef>
              <c:f>'Overcrowded Househods '!$BM$80</c:f>
              <c:strCache>
                <c:ptCount val="1"/>
                <c:pt idx="0">
                  <c:v>Min</c:v>
                </c:pt>
              </c:strCache>
            </c:strRef>
          </c:tx>
          <c:spPr>
            <a:ln w="28575" cap="rnd">
              <a:noFill/>
              <a:round/>
            </a:ln>
            <a:effectLst/>
          </c:spPr>
          <c:marker>
            <c:symbol val="none"/>
          </c:marker>
          <c:cat>
            <c:numRef>
              <c:f>'Overcrowded Househods '!$BN$78:$BY$78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'!$BN$80:$BY$80</c:f>
              <c:numCache>
                <c:formatCode>0.00%</c:formatCode>
                <c:ptCount val="12"/>
                <c:pt idx="0">
                  <c:v>0</c:v>
                </c:pt>
                <c:pt idx="1">
                  <c:v>6.0132291040288638E-4</c:v>
                </c:pt>
                <c:pt idx="2">
                  <c:v>1.1926058437686344E-3</c:v>
                </c:pt>
                <c:pt idx="3">
                  <c:v>8.9338892197736745E-4</c:v>
                </c:pt>
                <c:pt idx="4">
                  <c:v>0</c:v>
                </c:pt>
                <c:pt idx="5">
                  <c:v>0</c:v>
                </c:pt>
                <c:pt idx="6">
                  <c:v>5.7770075101097628E-4</c:v>
                </c:pt>
                <c:pt idx="7">
                  <c:v>0</c:v>
                </c:pt>
                <c:pt idx="8">
                  <c:v>0</c:v>
                </c:pt>
                <c:pt idx="9">
                  <c:v>0</c:v>
                </c:pt>
                <c:pt idx="10">
                  <c:v>0</c:v>
                </c:pt>
                <c:pt idx="11">
                  <c:v>0</c:v>
                </c:pt>
              </c:numCache>
            </c:numRef>
          </c:val>
          <c:smooth val="0"/>
          <c:extLst>
            <c:ext xmlns:c16="http://schemas.microsoft.com/office/drawing/2014/chart" uri="{C3380CC4-5D6E-409C-BE32-E72D297353CC}">
              <c16:uniqueId val="{00000001-BFFD-447D-BC62-56C90C43071A}"/>
            </c:ext>
          </c:extLst>
        </c:ser>
        <c:ser>
          <c:idx val="2"/>
          <c:order val="2"/>
          <c:tx>
            <c:strRef>
              <c:f>'Overcrowded Househods '!$BM$81</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'Overcrowded Househods '!$BN$78:$BY$78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'!$BN$81:$BY$81</c:f>
              <c:numCache>
                <c:formatCode>0.00%</c:formatCode>
                <c:ptCount val="12"/>
                <c:pt idx="0">
                  <c:v>1.2036613748222025E-3</c:v>
                </c:pt>
                <c:pt idx="1">
                  <c:v>1.0970717083345211E-3</c:v>
                </c:pt>
                <c:pt idx="2">
                  <c:v>1.5544215829536372E-3</c:v>
                </c:pt>
                <c:pt idx="3">
                  <c:v>1.1303758272489524E-3</c:v>
                </c:pt>
                <c:pt idx="4">
                  <c:v>7.3461260326545912E-4</c:v>
                </c:pt>
                <c:pt idx="5">
                  <c:v>0</c:v>
                </c:pt>
                <c:pt idx="6">
                  <c:v>5.8149288559055246E-4</c:v>
                </c:pt>
                <c:pt idx="7">
                  <c:v>0</c:v>
                </c:pt>
                <c:pt idx="8">
                  <c:v>0</c:v>
                </c:pt>
                <c:pt idx="9">
                  <c:v>0</c:v>
                </c:pt>
                <c:pt idx="10">
                  <c:v>0</c:v>
                </c:pt>
                <c:pt idx="11">
                  <c:v>0</c:v>
                </c:pt>
              </c:numCache>
            </c:numRef>
          </c:val>
          <c:smooth val="0"/>
          <c:extLst>
            <c:ext xmlns:c16="http://schemas.microsoft.com/office/drawing/2014/chart" uri="{C3380CC4-5D6E-409C-BE32-E72D297353CC}">
              <c16:uniqueId val="{00000003-BFFD-447D-BC62-56C90C43071A}"/>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18511472"/>
        <c:axId val="1618486448"/>
      </c:stockChart>
      <c:catAx>
        <c:axId val="16185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486448"/>
        <c:crosses val="autoZero"/>
        <c:auto val="1"/>
        <c:lblAlgn val="ctr"/>
        <c:lblOffset val="100"/>
        <c:noMultiLvlLbl val="0"/>
      </c:catAx>
      <c:valAx>
        <c:axId val="1618486448"/>
        <c:scaling>
          <c:orientation val="minMax"/>
          <c:max val="1.0000000000000002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511472"/>
        <c:crosses val="autoZero"/>
        <c:crossBetween val="between"/>
        <c:majorUnit val="2.0000000000000005E-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Urban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tockChart>
        <c:ser>
          <c:idx val="0"/>
          <c:order val="0"/>
          <c:tx>
            <c:strRef>
              <c:f>'Overcrowded Househods '!$BM$82</c:f>
              <c:strCache>
                <c:ptCount val="1"/>
                <c:pt idx="0">
                  <c:v>Max</c:v>
                </c:pt>
              </c:strCache>
            </c:strRef>
          </c:tx>
          <c:spPr>
            <a:ln w="28575" cap="rnd">
              <a:noFill/>
              <a:round/>
            </a:ln>
            <a:effectLst/>
          </c:spPr>
          <c:marker>
            <c:symbol val="none"/>
          </c:marker>
          <c:cat>
            <c:numRef>
              <c:f>'Overcrowded Househods '!$BN$78:$BY$78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'!$BN$82:$BY$82</c:f>
              <c:numCache>
                <c:formatCode>0.00%</c:formatCode>
                <c:ptCount val="12"/>
                <c:pt idx="0">
                  <c:v>8.0000000000000002E-3</c:v>
                </c:pt>
                <c:pt idx="1">
                  <c:v>5.9760956175298804E-3</c:v>
                </c:pt>
                <c:pt idx="2">
                  <c:v>5.8252427184466021E-3</c:v>
                </c:pt>
                <c:pt idx="3">
                  <c:v>4.849660523763337E-3</c:v>
                </c:pt>
                <c:pt idx="4">
                  <c:v>2.7881040892193307E-3</c:v>
                </c:pt>
                <c:pt idx="5">
                  <c:v>4.721435316336166E-3</c:v>
                </c:pt>
                <c:pt idx="6">
                  <c:v>2.9041626331074541E-3</c:v>
                </c:pt>
                <c:pt idx="7">
                  <c:v>9.42507068803016E-4</c:v>
                </c:pt>
                <c:pt idx="8">
                  <c:v>9.4966761633428305E-4</c:v>
                </c:pt>
                <c:pt idx="9">
                  <c:v>9.9009900990099011E-4</c:v>
                </c:pt>
                <c:pt idx="10">
                  <c:v>1.3831258644536654E-3</c:v>
                </c:pt>
                <c:pt idx="11">
                  <c:v>1.4357501794687725E-3</c:v>
                </c:pt>
              </c:numCache>
            </c:numRef>
          </c:val>
          <c:smooth val="0"/>
          <c:extLst>
            <c:ext xmlns:c16="http://schemas.microsoft.com/office/drawing/2014/chart" uri="{C3380CC4-5D6E-409C-BE32-E72D297353CC}">
              <c16:uniqueId val="{00000000-4491-439E-923B-27D0DD2CD0B4}"/>
            </c:ext>
          </c:extLst>
        </c:ser>
        <c:ser>
          <c:idx val="1"/>
          <c:order val="1"/>
          <c:tx>
            <c:strRef>
              <c:f>'Overcrowded Househods '!$BM$83</c:f>
              <c:strCache>
                <c:ptCount val="1"/>
                <c:pt idx="0">
                  <c:v>Min</c:v>
                </c:pt>
              </c:strCache>
            </c:strRef>
          </c:tx>
          <c:spPr>
            <a:ln w="28575" cap="rnd">
              <a:noFill/>
              <a:round/>
            </a:ln>
            <a:effectLst/>
          </c:spPr>
          <c:marker>
            <c:symbol val="none"/>
          </c:marker>
          <c:cat>
            <c:numRef>
              <c:f>'Overcrowded Househods '!$BN$78:$BY$78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'!$BN$83:$BY$83</c:f>
              <c:numCache>
                <c:formatCode>0.00%</c:formatCode>
                <c:ptCount val="12"/>
                <c:pt idx="0">
                  <c:v>3.0395136778115501E-3</c:v>
                </c:pt>
                <c:pt idx="1">
                  <c:v>3.9506172839506174E-3</c:v>
                </c:pt>
                <c:pt idx="2">
                  <c:v>1.968503937007874E-3</c:v>
                </c:pt>
                <c:pt idx="3">
                  <c:v>3.482587064676617E-3</c:v>
                </c:pt>
                <c:pt idx="4">
                  <c:v>1.8552875695732839E-3</c:v>
                </c:pt>
                <c:pt idx="5">
                  <c:v>3.6068530207394047E-3</c:v>
                </c:pt>
                <c:pt idx="6">
                  <c:v>0</c:v>
                </c:pt>
                <c:pt idx="7">
                  <c:v>9.1743119266055051E-4</c:v>
                </c:pt>
                <c:pt idx="8">
                  <c:v>9.3370681605975728E-4</c:v>
                </c:pt>
                <c:pt idx="9">
                  <c:v>0</c:v>
                </c:pt>
                <c:pt idx="10">
                  <c:v>0</c:v>
                </c:pt>
                <c:pt idx="11">
                  <c:v>0</c:v>
                </c:pt>
              </c:numCache>
            </c:numRef>
          </c:val>
          <c:smooth val="0"/>
          <c:extLst>
            <c:ext xmlns:c16="http://schemas.microsoft.com/office/drawing/2014/chart" uri="{C3380CC4-5D6E-409C-BE32-E72D297353CC}">
              <c16:uniqueId val="{00000001-4491-439E-923B-27D0DD2CD0B4}"/>
            </c:ext>
          </c:extLst>
        </c:ser>
        <c:ser>
          <c:idx val="2"/>
          <c:order val="2"/>
          <c:tx>
            <c:strRef>
              <c:f>'Overcrowded Househods '!$BM$84</c:f>
              <c:strCache>
                <c:ptCount val="1"/>
                <c:pt idx="0">
                  <c:v>Average</c:v>
                </c:pt>
              </c:strCache>
            </c:strRef>
          </c:tx>
          <c:spPr>
            <a:ln w="28575" cap="rnd">
              <a:noFill/>
              <a:round/>
            </a:ln>
            <a:effectLst/>
          </c:spPr>
          <c:marker>
            <c:symbol val="circle"/>
            <c:size val="5"/>
            <c:spPr>
              <a:solidFill>
                <a:schemeClr val="accent5"/>
              </a:solidFill>
              <a:ln w="9525">
                <a:solidFill>
                  <a:schemeClr val="accent5"/>
                </a:solidFill>
              </a:ln>
              <a:effectLst/>
            </c:spPr>
          </c:marker>
          <c:trendline>
            <c:spPr>
              <a:ln w="19050" cap="rnd">
                <a:solidFill>
                  <a:schemeClr val="accent5"/>
                </a:solidFill>
                <a:prstDash val="sysDot"/>
              </a:ln>
              <a:effectLst/>
            </c:spPr>
            <c:trendlineType val="linear"/>
            <c:dispRSqr val="0"/>
            <c:dispEq val="0"/>
          </c:trendline>
          <c:cat>
            <c:numRef>
              <c:f>'Overcrowded Househods '!$BN$78:$BY$78</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'Overcrowded Househods '!$BN$84:$BY$84</c:f>
              <c:numCache>
                <c:formatCode>0.00%</c:formatCode>
                <c:ptCount val="12"/>
                <c:pt idx="0">
                  <c:v>5.2654200999110671E-3</c:v>
                </c:pt>
                <c:pt idx="1">
                  <c:v>5.0325514047877273E-3</c:v>
                </c:pt>
                <c:pt idx="2">
                  <c:v>4.0953627898114254E-3</c:v>
                </c:pt>
                <c:pt idx="3">
                  <c:v>4.209869862566446E-3</c:v>
                </c:pt>
                <c:pt idx="4">
                  <c:v>2.3002517103684192E-3</c:v>
                </c:pt>
                <c:pt idx="5">
                  <c:v>4.4011835418842262E-3</c:v>
                </c:pt>
                <c:pt idx="6">
                  <c:v>1.4399101221463273E-3</c:v>
                </c:pt>
                <c:pt idx="7">
                  <c:v>9.3057427765399201E-4</c:v>
                </c:pt>
                <c:pt idx="8">
                  <c:v>9.429909287627799E-4</c:v>
                </c:pt>
                <c:pt idx="9">
                  <c:v>7.223692668261039E-4</c:v>
                </c:pt>
                <c:pt idx="10">
                  <c:v>6.7114528971799065E-4</c:v>
                </c:pt>
                <c:pt idx="11">
                  <c:v>5.3111385340713808E-4</c:v>
                </c:pt>
              </c:numCache>
            </c:numRef>
          </c:val>
          <c:smooth val="0"/>
          <c:extLst>
            <c:ext xmlns:c16="http://schemas.microsoft.com/office/drawing/2014/chart" uri="{C3380CC4-5D6E-409C-BE32-E72D297353CC}">
              <c16:uniqueId val="{00000003-4491-439E-923B-27D0DD2CD0B4}"/>
            </c:ext>
          </c:extLst>
        </c:ser>
        <c:dLbls>
          <c:showLegendKey val="0"/>
          <c:showVal val="0"/>
          <c:showCatName val="0"/>
          <c:showSerName val="0"/>
          <c:showPercent val="0"/>
          <c:showBubbleSize val="0"/>
        </c:dLbls>
        <c:hiLowLines>
          <c:spPr>
            <a:ln w="25400" cap="flat" cmpd="dbl" algn="ctr">
              <a:solidFill>
                <a:sysClr val="windowText" lastClr="000000">
                  <a:lumMod val="75000"/>
                  <a:lumOff val="25000"/>
                </a:sysClr>
              </a:solidFill>
              <a:round/>
            </a:ln>
            <a:effectLst/>
          </c:spPr>
        </c:hiLowLines>
        <c:axId val="1618498960"/>
        <c:axId val="1618513648"/>
      </c:stockChart>
      <c:catAx>
        <c:axId val="161849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513648"/>
        <c:crosses val="autoZero"/>
        <c:auto val="1"/>
        <c:lblAlgn val="ctr"/>
        <c:lblOffset val="100"/>
        <c:noMultiLvlLbl val="0"/>
      </c:catAx>
      <c:valAx>
        <c:axId val="161851364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849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'Domestic and Foreign loans10-15'!$A$7</c:f>
              <c:strCache>
                <c:ptCount val="1"/>
                <c:pt idx="0">
                  <c:v>National Currency</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'Domestic and Foreign loans10-15'!$B$1:$BS$1</c:f>
              <c:strCache>
                <c:ptCount val="69"/>
                <c:pt idx="0">
                  <c:v>Jan-10</c:v>
                </c:pt>
                <c:pt idx="1">
                  <c:v>Feb-10</c:v>
                </c:pt>
                <c:pt idx="2">
                  <c:v>Mar-10</c:v>
                </c:pt>
                <c:pt idx="3">
                  <c:v>Apr-10</c:v>
                </c:pt>
                <c:pt idx="4">
                  <c:v>May-10</c:v>
                </c:pt>
                <c:pt idx="5">
                  <c:v>Jun-10</c:v>
                </c:pt>
                <c:pt idx="6">
                  <c:v>0/31/2010</c:v>
                </c:pt>
                <c:pt idx="7">
                  <c:v>Aug-10</c:v>
                </c:pt>
                <c:pt idx="8">
                  <c:v>Sep-10</c:v>
                </c:pt>
                <c:pt idx="9">
                  <c:v>Oct-10</c:v>
                </c:pt>
                <c:pt idx="10">
                  <c:v>Nov-10</c:v>
                </c:pt>
                <c:pt idx="11">
                  <c:v>Dec-10</c:v>
                </c:pt>
                <c:pt idx="12">
                  <c:v>Jan-11</c:v>
                </c:pt>
                <c:pt idx="13">
                  <c:v>Feb-11</c:v>
                </c:pt>
                <c:pt idx="14">
                  <c:v>Mar-11</c:v>
                </c:pt>
                <c:pt idx="15">
                  <c:v>Apr-11</c:v>
                </c:pt>
                <c:pt idx="16">
                  <c:v>May-11</c:v>
                </c:pt>
                <c:pt idx="17">
                  <c:v>Jun-11</c:v>
                </c:pt>
                <c:pt idx="18">
                  <c:v>Jul-11</c:v>
                </c:pt>
                <c:pt idx="19">
                  <c:v>Aug-11</c:v>
                </c:pt>
                <c:pt idx="20">
                  <c:v>Sep-11</c:v>
                </c:pt>
                <c:pt idx="21">
                  <c:v>Oct-11</c:v>
                </c:pt>
                <c:pt idx="22">
                  <c:v>Nov-11</c:v>
                </c:pt>
                <c:pt idx="23">
                  <c:v>Dec-11</c:v>
                </c:pt>
                <c:pt idx="24">
                  <c:v>Jan-12</c:v>
                </c:pt>
                <c:pt idx="25">
                  <c:v>Feb-12</c:v>
                </c:pt>
                <c:pt idx="26">
                  <c:v>Mar-12</c:v>
                </c:pt>
                <c:pt idx="27">
                  <c:v>Apr-12</c:v>
                </c:pt>
                <c:pt idx="28">
                  <c:v>May-12</c:v>
                </c:pt>
                <c:pt idx="29">
                  <c:v>Jun-12</c:v>
                </c:pt>
                <c:pt idx="30">
                  <c:v>Jul-12</c:v>
                </c:pt>
                <c:pt idx="31">
                  <c:v>Aug-12</c:v>
                </c:pt>
                <c:pt idx="32">
                  <c:v>Sep-12</c:v>
                </c:pt>
                <c:pt idx="33">
                  <c:v>Oct-12</c:v>
                </c:pt>
                <c:pt idx="34">
                  <c:v>Nov-12</c:v>
                </c:pt>
                <c:pt idx="35">
                  <c:v>Dec-12</c:v>
                </c:pt>
                <c:pt idx="36">
                  <c:v>Jan-13</c:v>
                </c:pt>
                <c:pt idx="37">
                  <c:v>Feb-13</c:v>
                </c:pt>
                <c:pt idx="38">
                  <c:v>Mar-13</c:v>
                </c:pt>
                <c:pt idx="39">
                  <c:v>Apr-13</c:v>
                </c:pt>
                <c:pt idx="40">
                  <c:v>May-13</c:v>
                </c:pt>
                <c:pt idx="41">
                  <c:v>Jun-13</c:v>
                </c:pt>
                <c:pt idx="42">
                  <c:v>Jul-13</c:v>
                </c:pt>
                <c:pt idx="43">
                  <c:v>Aug-13</c:v>
                </c:pt>
                <c:pt idx="44">
                  <c:v>Sep-13</c:v>
                </c:pt>
                <c:pt idx="45">
                  <c:v>Oct-13</c:v>
                </c:pt>
                <c:pt idx="46">
                  <c:v>Nov-13</c:v>
                </c:pt>
                <c:pt idx="47">
                  <c:v>Dec-13</c:v>
                </c:pt>
                <c:pt idx="48">
                  <c:v>Jan-14</c:v>
                </c:pt>
                <c:pt idx="49">
                  <c:v>Feb-14</c:v>
                </c:pt>
                <c:pt idx="50">
                  <c:v>Mar-14</c:v>
                </c:pt>
                <c:pt idx="51">
                  <c:v>Apr-14</c:v>
                </c:pt>
                <c:pt idx="52">
                  <c:v>May-14</c:v>
                </c:pt>
                <c:pt idx="53">
                  <c:v>Jun-14</c:v>
                </c:pt>
                <c:pt idx="54">
                  <c:v>Jul-14</c:v>
                </c:pt>
                <c:pt idx="55">
                  <c:v>Aug-14</c:v>
                </c:pt>
                <c:pt idx="56">
                  <c:v>Sep-14</c:v>
                </c:pt>
                <c:pt idx="57">
                  <c:v>Oct-14</c:v>
                </c:pt>
                <c:pt idx="58">
                  <c:v>Nov-14</c:v>
                </c:pt>
                <c:pt idx="59">
                  <c:v>Dec-14</c:v>
                </c:pt>
                <c:pt idx="60">
                  <c:v>Jan-15</c:v>
                </c:pt>
                <c:pt idx="61">
                  <c:v>Feb-15</c:v>
                </c:pt>
                <c:pt idx="62">
                  <c:v>Mar-15</c:v>
                </c:pt>
                <c:pt idx="63">
                  <c:v>Apr-15</c:v>
                </c:pt>
                <c:pt idx="64">
                  <c:v>May-15</c:v>
                </c:pt>
                <c:pt idx="65">
                  <c:v>Jun-15</c:v>
                </c:pt>
                <c:pt idx="66">
                  <c:v>Jul-15</c:v>
                </c:pt>
                <c:pt idx="67">
                  <c:v>Aug-15</c:v>
                </c:pt>
                <c:pt idx="68">
                  <c:v>Sep-15</c:v>
                </c:pt>
              </c:strCache>
            </c:strRef>
          </c:cat>
          <c:val>
            <c:numRef>
              <c:f>'Domestic and Foreign loans10-15'!$B$2:$BS$2</c:f>
              <c:numCache>
                <c:formatCode>0.0%</c:formatCode>
                <c:ptCount val="70"/>
                <c:pt idx="0">
                  <c:v>0.17</c:v>
                </c:pt>
                <c:pt idx="1">
                  <c:v>0.15057183417196393</c:v>
                </c:pt>
                <c:pt idx="2">
                  <c:v>0.1496440378151013</c:v>
                </c:pt>
                <c:pt idx="3">
                  <c:v>0.1513765586672704</c:v>
                </c:pt>
                <c:pt idx="4">
                  <c:v>0.15182125367882046</c:v>
                </c:pt>
                <c:pt idx="5">
                  <c:v>0.15184325464674686</c:v>
                </c:pt>
                <c:pt idx="6">
                  <c:v>0.15071431626647561</c:v>
                </c:pt>
                <c:pt idx="7">
                  <c:v>0.15289318838313595</c:v>
                </c:pt>
                <c:pt idx="8">
                  <c:v>0.15090107922414206</c:v>
                </c:pt>
                <c:pt idx="9">
                  <c:v>0.15012986313370405</c:v>
                </c:pt>
                <c:pt idx="10">
                  <c:v>0.15504369594467787</c:v>
                </c:pt>
                <c:pt idx="11">
                  <c:v>0.15738987748186806</c:v>
                </c:pt>
                <c:pt idx="12">
                  <c:v>0.17003264027933782</c:v>
                </c:pt>
                <c:pt idx="13">
                  <c:v>0.14180153830930597</c:v>
                </c:pt>
                <c:pt idx="14">
                  <c:v>0.15292000095634234</c:v>
                </c:pt>
                <c:pt idx="15">
                  <c:v>0.14652289230830554</c:v>
                </c:pt>
                <c:pt idx="16">
                  <c:v>0.14463125603526245</c:v>
                </c:pt>
                <c:pt idx="17">
                  <c:v>0.14680364000597051</c:v>
                </c:pt>
                <c:pt idx="18">
                  <c:v>0.14563711371672663</c:v>
                </c:pt>
                <c:pt idx="19">
                  <c:v>0.14101648471401554</c:v>
                </c:pt>
                <c:pt idx="20">
                  <c:v>0.13634514842073425</c:v>
                </c:pt>
                <c:pt idx="21">
                  <c:v>0.13869129292810328</c:v>
                </c:pt>
                <c:pt idx="22">
                  <c:v>0.13637960302951163</c:v>
                </c:pt>
                <c:pt idx="23">
                  <c:v>0.14418489994891751</c:v>
                </c:pt>
                <c:pt idx="24">
                  <c:v>0.14107380893606516</c:v>
                </c:pt>
                <c:pt idx="25">
                  <c:v>0.15354205219931549</c:v>
                </c:pt>
                <c:pt idx="26">
                  <c:v>0.155999547920434</c:v>
                </c:pt>
                <c:pt idx="27">
                  <c:v>0.15305873717537891</c:v>
                </c:pt>
                <c:pt idx="28">
                  <c:v>0.14764944655212692</c:v>
                </c:pt>
                <c:pt idx="29">
                  <c:v>0.14501872988859874</c:v>
                </c:pt>
                <c:pt idx="30">
                  <c:v>0.15023719518224352</c:v>
                </c:pt>
                <c:pt idx="31">
                  <c:v>0.14382290016610774</c:v>
                </c:pt>
                <c:pt idx="32">
                  <c:v>0.14682217718783824</c:v>
                </c:pt>
                <c:pt idx="33">
                  <c:v>0.13613327693816771</c:v>
                </c:pt>
                <c:pt idx="34">
                  <c:v>0.14002564102564102</c:v>
                </c:pt>
                <c:pt idx="35">
                  <c:v>0.14394201896948361</c:v>
                </c:pt>
                <c:pt idx="36">
                  <c:v>0.15431102427992174</c:v>
                </c:pt>
                <c:pt idx="37">
                  <c:v>0.16146664588528678</c:v>
                </c:pt>
                <c:pt idx="38">
                  <c:v>0.14395862639780402</c:v>
                </c:pt>
                <c:pt idx="39">
                  <c:v>0.12937442713107242</c:v>
                </c:pt>
                <c:pt idx="40">
                  <c:v>0.11432884038165406</c:v>
                </c:pt>
                <c:pt idx="41">
                  <c:v>0.10881095413693469</c:v>
                </c:pt>
                <c:pt idx="42">
                  <c:v>0.10266572071914111</c:v>
                </c:pt>
                <c:pt idx="43">
                  <c:v>0.10976451829731547</c:v>
                </c:pt>
                <c:pt idx="44">
                  <c:v>0.10556788244559275</c:v>
                </c:pt>
                <c:pt idx="45">
                  <c:v>8.957364271439916E-2</c:v>
                </c:pt>
                <c:pt idx="46">
                  <c:v>8.1091197702324647E-2</c:v>
                </c:pt>
                <c:pt idx="47">
                  <c:v>8.437282158328345E-2</c:v>
                </c:pt>
                <c:pt idx="48">
                  <c:v>8.6309145088900419E-2</c:v>
                </c:pt>
                <c:pt idx="49">
                  <c:v>9.8117618234842996E-2</c:v>
                </c:pt>
                <c:pt idx="50">
                  <c:v>0.10985063782897199</c:v>
                </c:pt>
                <c:pt idx="51">
                  <c:v>0.10638229158483634</c:v>
                </c:pt>
                <c:pt idx="52">
                  <c:v>0.1106592022893363</c:v>
                </c:pt>
                <c:pt idx="53">
                  <c:v>0.11522071960871785</c:v>
                </c:pt>
                <c:pt idx="54">
                  <c:v>0.1117080242741857</c:v>
                </c:pt>
                <c:pt idx="55">
                  <c:v>0.11985456270674957</c:v>
                </c:pt>
                <c:pt idx="56">
                  <c:v>9.9435276629028665E-2</c:v>
                </c:pt>
                <c:pt idx="57">
                  <c:v>9.7692060908789499E-2</c:v>
                </c:pt>
                <c:pt idx="58">
                  <c:v>9.4254733792396073E-2</c:v>
                </c:pt>
                <c:pt idx="59">
                  <c:v>0.1008210431768453</c:v>
                </c:pt>
                <c:pt idx="60">
                  <c:v>0.10635670884958738</c:v>
                </c:pt>
                <c:pt idx="61">
                  <c:v>0.10970663546573539</c:v>
                </c:pt>
                <c:pt idx="62">
                  <c:v>0.11942057128649043</c:v>
                </c:pt>
                <c:pt idx="63">
                  <c:v>0.11427191900286841</c:v>
                </c:pt>
                <c:pt idx="64">
                  <c:v>0.12060608047902886</c:v>
                </c:pt>
                <c:pt idx="65">
                  <c:v>0.12004343552845925</c:v>
                </c:pt>
                <c:pt idx="66">
                  <c:v>0.1257914452359051</c:v>
                </c:pt>
                <c:pt idx="67">
                  <c:v>0.12631229636534802</c:v>
                </c:pt>
                <c:pt idx="68">
                  <c:v>0.1311864953433724</c:v>
                </c:pt>
              </c:numCache>
            </c:numRef>
          </c:val>
          <c:smooth val="0"/>
          <c:extLst>
            <c:ext xmlns:c16="http://schemas.microsoft.com/office/drawing/2014/chart" uri="{C3380CC4-5D6E-409C-BE32-E72D297353CC}">
              <c16:uniqueId val="{00000001-A8F5-4CAC-95CB-E0AE56FCB17E}"/>
            </c:ext>
          </c:extLst>
        </c:ser>
        <c:dLbls>
          <c:showLegendKey val="0"/>
          <c:showVal val="0"/>
          <c:showCatName val="0"/>
          <c:showSerName val="0"/>
          <c:showPercent val="0"/>
          <c:showBubbleSize val="0"/>
        </c:dLbls>
        <c:smooth val="0"/>
        <c:axId val="1804782912"/>
        <c:axId val="1804803040"/>
      </c:lineChart>
      <c:catAx>
        <c:axId val="180478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803040"/>
        <c:crosses val="autoZero"/>
        <c:auto val="1"/>
        <c:lblAlgn val="ctr"/>
        <c:lblOffset val="100"/>
        <c:noMultiLvlLbl val="0"/>
      </c:catAx>
      <c:valAx>
        <c:axId val="180480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8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Doubleup!$A$3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Doubleup!$B$3:$M$3</c:f>
              <c:numCache>
                <c:formatCode>0.0%</c:formatCode>
                <c:ptCount val="12"/>
                <c:pt idx="0">
                  <c:v>1.911735848185428E-2</c:v>
                </c:pt>
                <c:pt idx="1">
                  <c:v>1.3517665343759633E-2</c:v>
                </c:pt>
                <c:pt idx="2">
                  <c:v>7.6675845824537899E-3</c:v>
                </c:pt>
                <c:pt idx="3">
                  <c:v>1.1653166427439299E-2</c:v>
                </c:pt>
                <c:pt idx="4">
                  <c:v>1.4108784413476873E-2</c:v>
                </c:pt>
                <c:pt idx="5">
                  <c:v>1.1862749598077362E-2</c:v>
                </c:pt>
                <c:pt idx="6">
                  <c:v>1.1780065545739528E-2</c:v>
                </c:pt>
                <c:pt idx="7">
                  <c:v>2.1193152152969998E-2</c:v>
                </c:pt>
                <c:pt idx="8">
                  <c:v>2.2077832853694922E-2</c:v>
                </c:pt>
                <c:pt idx="9">
                  <c:v>2.3953086841486559E-2</c:v>
                </c:pt>
                <c:pt idx="10">
                  <c:v>1.7064825146261519E-2</c:v>
                </c:pt>
                <c:pt idx="11">
                  <c:v>1.8442203673989691E-2</c:v>
                </c:pt>
              </c:numCache>
            </c:numRef>
          </c:val>
          <c:smooth val="0"/>
          <c:extLst>
            <c:ext xmlns:c16="http://schemas.microsoft.com/office/drawing/2014/chart" uri="{C3380CC4-5D6E-409C-BE32-E72D297353CC}">
              <c16:uniqueId val="{00000000-4AD4-4CD5-A032-6A8AFC6B3821}"/>
            </c:ext>
          </c:extLst>
        </c:ser>
        <c:ser>
          <c:idx val="1"/>
          <c:order val="1"/>
          <c:tx>
            <c:strRef>
              <c:f>Doubleup!$A$4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Doubleup!$B$4:$M$4</c:f>
              <c:numCache>
                <c:formatCode>0.0%</c:formatCode>
                <c:ptCount val="12"/>
                <c:pt idx="0">
                  <c:v>3.2447722705545835E-2</c:v>
                </c:pt>
                <c:pt idx="1">
                  <c:v>2.6086887951876039E-2</c:v>
                </c:pt>
                <c:pt idx="2">
                  <c:v>2.3577920680088491E-2</c:v>
                </c:pt>
                <c:pt idx="3">
                  <c:v>3.0953552686116464E-2</c:v>
                </c:pt>
                <c:pt idx="4">
                  <c:v>3.7948374092904011E-2</c:v>
                </c:pt>
                <c:pt idx="5">
                  <c:v>2.3888853354630327E-2</c:v>
                </c:pt>
                <c:pt idx="6">
                  <c:v>1.497078428184374E-2</c:v>
                </c:pt>
                <c:pt idx="7">
                  <c:v>2.4336458754830877E-2</c:v>
                </c:pt>
                <c:pt idx="8">
                  <c:v>3.6180967520892386E-2</c:v>
                </c:pt>
                <c:pt idx="9">
                  <c:v>3.3309400617186798E-2</c:v>
                </c:pt>
                <c:pt idx="10">
                  <c:v>4.3246891325678598E-2</c:v>
                </c:pt>
                <c:pt idx="11">
                  <c:v>4.5077269760918172E-2</c:v>
                </c:pt>
              </c:numCache>
            </c:numRef>
          </c:val>
          <c:smooth val="0"/>
          <c:extLst>
            <c:ext xmlns:c16="http://schemas.microsoft.com/office/drawing/2014/chart" uri="{C3380CC4-5D6E-409C-BE32-E72D297353CC}">
              <c16:uniqueId val="{00000001-4AD4-4CD5-A032-6A8AFC6B3821}"/>
            </c:ext>
          </c:extLst>
        </c:ser>
        <c:ser>
          <c:idx val="2"/>
          <c:order val="2"/>
          <c:tx>
            <c:strRef>
              <c:f>Doubleup!$A$5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Doubleup!$B$5:$M$5</c:f>
              <c:numCache>
                <c:formatCode>0.0%</c:formatCode>
                <c:ptCount val="12"/>
                <c:pt idx="0">
                  <c:v>2.8263548143465121E-2</c:v>
                </c:pt>
                <c:pt idx="1">
                  <c:v>1.9868560353807012E-2</c:v>
                </c:pt>
                <c:pt idx="2">
                  <c:v>3.5278367646641898E-2</c:v>
                </c:pt>
                <c:pt idx="3">
                  <c:v>3.0309306420096827E-2</c:v>
                </c:pt>
                <c:pt idx="4">
                  <c:v>3.9398288033424288E-2</c:v>
                </c:pt>
                <c:pt idx="5">
                  <c:v>3.8417027417027419E-2</c:v>
                </c:pt>
                <c:pt idx="6">
                  <c:v>4.9304690370981188E-2</c:v>
                </c:pt>
                <c:pt idx="7">
                  <c:v>4.6253922718468746E-2</c:v>
                </c:pt>
                <c:pt idx="8">
                  <c:v>5.8823619617638177E-2</c:v>
                </c:pt>
                <c:pt idx="9">
                  <c:v>5.9074172651355436E-2</c:v>
                </c:pt>
                <c:pt idx="10">
                  <c:v>4.1925401667100584E-2</c:v>
                </c:pt>
                <c:pt idx="11">
                  <c:v>5.1270231417433754E-2</c:v>
                </c:pt>
              </c:numCache>
            </c:numRef>
          </c:val>
          <c:smooth val="0"/>
          <c:extLst>
            <c:ext xmlns:c16="http://schemas.microsoft.com/office/drawing/2014/chart" uri="{C3380CC4-5D6E-409C-BE32-E72D297353CC}">
              <c16:uniqueId val="{00000002-4AD4-4CD5-A032-6A8AFC6B3821}"/>
            </c:ext>
          </c:extLst>
        </c:ser>
        <c:ser>
          <c:idx val="3"/>
          <c:order val="3"/>
          <c:tx>
            <c:strRef>
              <c:f>Doubleup!$A$6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Doubleup!$B$6:$M$6</c:f>
              <c:numCache>
                <c:formatCode>0.0%</c:formatCode>
                <c:ptCount val="12"/>
                <c:pt idx="0">
                  <c:v>4.0363150282164369E-2</c:v>
                </c:pt>
                <c:pt idx="1">
                  <c:v>4.0585274102207122E-2</c:v>
                </c:pt>
                <c:pt idx="2">
                  <c:v>4.3403716110009004E-2</c:v>
                </c:pt>
                <c:pt idx="3">
                  <c:v>5.2050817278036628E-2</c:v>
                </c:pt>
                <c:pt idx="4">
                  <c:v>4.6665651208025863E-2</c:v>
                </c:pt>
                <c:pt idx="5">
                  <c:v>5.997557179065971E-2</c:v>
                </c:pt>
                <c:pt idx="6">
                  <c:v>6.4455235237754038E-2</c:v>
                </c:pt>
                <c:pt idx="7">
                  <c:v>5.1554255059934807E-2</c:v>
                </c:pt>
                <c:pt idx="8">
                  <c:v>6.8198557353623637E-2</c:v>
                </c:pt>
                <c:pt idx="9">
                  <c:v>6.645050150898435E-2</c:v>
                </c:pt>
                <c:pt idx="10">
                  <c:v>6.5291821549292972E-2</c:v>
                </c:pt>
                <c:pt idx="11">
                  <c:v>7.6405648462662332E-2</c:v>
                </c:pt>
              </c:numCache>
            </c:numRef>
          </c:val>
          <c:smooth val="0"/>
          <c:extLst>
            <c:ext xmlns:c16="http://schemas.microsoft.com/office/drawing/2014/chart" uri="{C3380CC4-5D6E-409C-BE32-E72D297353CC}">
              <c16:uniqueId val="{00000003-4AD4-4CD5-A032-6A8AFC6B3821}"/>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Doubleup!$P$3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Doubleup!$Q$3:$AB$3</c:f>
              <c:numCache>
                <c:formatCode>0.00%</c:formatCode>
                <c:ptCount val="12"/>
                <c:pt idx="0">
                  <c:v>1.0104850185670082E-2</c:v>
                </c:pt>
                <c:pt idx="1">
                  <c:v>8.5640641298348561E-3</c:v>
                </c:pt>
                <c:pt idx="2">
                  <c:v>7.7318505909767434E-3</c:v>
                </c:pt>
                <c:pt idx="3">
                  <c:v>6.5217896785946172E-3</c:v>
                </c:pt>
                <c:pt idx="4">
                  <c:v>1.1865996200852481E-2</c:v>
                </c:pt>
                <c:pt idx="5">
                  <c:v>1.222365511466623E-2</c:v>
                </c:pt>
                <c:pt idx="6">
                  <c:v>9.1242033022724042E-3</c:v>
                </c:pt>
                <c:pt idx="7">
                  <c:v>6.6274034630402498E-3</c:v>
                </c:pt>
                <c:pt idx="8">
                  <c:v>9.1246691755168287E-3</c:v>
                </c:pt>
                <c:pt idx="9">
                  <c:v>8.5447976746215789E-3</c:v>
                </c:pt>
                <c:pt idx="10">
                  <c:v>1.8223402810781452E-2</c:v>
                </c:pt>
                <c:pt idx="11">
                  <c:v>1.8064471100677992E-2</c:v>
                </c:pt>
              </c:numCache>
            </c:numRef>
          </c:val>
          <c:smooth val="0"/>
          <c:extLst>
            <c:ext xmlns:c16="http://schemas.microsoft.com/office/drawing/2014/chart" uri="{C3380CC4-5D6E-409C-BE32-E72D297353CC}">
              <c16:uniqueId val="{00000000-52DE-4739-85CD-86334C7E9177}"/>
            </c:ext>
          </c:extLst>
        </c:ser>
        <c:ser>
          <c:idx val="1"/>
          <c:order val="1"/>
          <c:tx>
            <c:strRef>
              <c:f>Doubleup!$P$4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Doubleup!$Q$4:$AB$4</c:f>
              <c:numCache>
                <c:formatCode>0.0%</c:formatCode>
                <c:ptCount val="12"/>
                <c:pt idx="0">
                  <c:v>1.4166898867303393E-2</c:v>
                </c:pt>
                <c:pt idx="1">
                  <c:v>1.2968646525336957E-2</c:v>
                </c:pt>
                <c:pt idx="2">
                  <c:v>8.6605398815400234E-3</c:v>
                </c:pt>
                <c:pt idx="3">
                  <c:v>1.634351567001429E-2</c:v>
                </c:pt>
                <c:pt idx="4">
                  <c:v>1.6038524585611506E-2</c:v>
                </c:pt>
                <c:pt idx="5">
                  <c:v>1.9585902450620977E-2</c:v>
                </c:pt>
                <c:pt idx="6">
                  <c:v>1.96627498030293E-2</c:v>
                </c:pt>
                <c:pt idx="7">
                  <c:v>2.4808619453943252E-2</c:v>
                </c:pt>
                <c:pt idx="8">
                  <c:v>3.0598970198907297E-2</c:v>
                </c:pt>
                <c:pt idx="9">
                  <c:v>3.0281822410505341E-2</c:v>
                </c:pt>
                <c:pt idx="10">
                  <c:v>4.2077230000663622E-2</c:v>
                </c:pt>
                <c:pt idx="11">
                  <c:v>5.1656578231898231E-2</c:v>
                </c:pt>
              </c:numCache>
            </c:numRef>
          </c:val>
          <c:smooth val="0"/>
          <c:extLst>
            <c:ext xmlns:c16="http://schemas.microsoft.com/office/drawing/2014/chart" uri="{C3380CC4-5D6E-409C-BE32-E72D297353CC}">
              <c16:uniqueId val="{00000001-52DE-4739-85CD-86334C7E9177}"/>
            </c:ext>
          </c:extLst>
        </c:ser>
        <c:ser>
          <c:idx val="2"/>
          <c:order val="2"/>
          <c:tx>
            <c:strRef>
              <c:f>Doubleup!$P$5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Doubleup!$Q$5:$AB$5</c:f>
              <c:numCache>
                <c:formatCode>0.0%</c:formatCode>
                <c:ptCount val="12"/>
                <c:pt idx="0">
                  <c:v>1.0913209003807789E-2</c:v>
                </c:pt>
                <c:pt idx="1">
                  <c:v>1.7546419564241033E-2</c:v>
                </c:pt>
                <c:pt idx="2">
                  <c:v>2.0871273849395664E-2</c:v>
                </c:pt>
                <c:pt idx="3">
                  <c:v>1.6821362558938551E-2</c:v>
                </c:pt>
                <c:pt idx="4">
                  <c:v>1.9159962186678571E-2</c:v>
                </c:pt>
                <c:pt idx="5">
                  <c:v>3.6366561543936395E-2</c:v>
                </c:pt>
                <c:pt idx="6">
                  <c:v>4.0156427246120577E-2</c:v>
                </c:pt>
                <c:pt idx="7">
                  <c:v>4.4371390819474547E-2</c:v>
                </c:pt>
                <c:pt idx="8">
                  <c:v>5.4248409797347526E-2</c:v>
                </c:pt>
                <c:pt idx="9">
                  <c:v>3.4369912597695874E-2</c:v>
                </c:pt>
                <c:pt idx="10">
                  <c:v>5.4354039402347065E-2</c:v>
                </c:pt>
                <c:pt idx="11">
                  <c:v>6.9047492885229766E-2</c:v>
                </c:pt>
              </c:numCache>
            </c:numRef>
          </c:val>
          <c:smooth val="0"/>
          <c:extLst>
            <c:ext xmlns:c16="http://schemas.microsoft.com/office/drawing/2014/chart" uri="{C3380CC4-5D6E-409C-BE32-E72D297353CC}">
              <c16:uniqueId val="{00000002-52DE-4739-85CD-86334C7E9177}"/>
            </c:ext>
          </c:extLst>
        </c:ser>
        <c:ser>
          <c:idx val="3"/>
          <c:order val="3"/>
          <c:tx>
            <c:strRef>
              <c:f>Doubleup!$P$6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Doubleup!$Q$6:$AB$6</c:f>
              <c:numCache>
                <c:formatCode>0.0%</c:formatCode>
                <c:ptCount val="12"/>
                <c:pt idx="0">
                  <c:v>1.5989719015942754E-2</c:v>
                </c:pt>
                <c:pt idx="1">
                  <c:v>2.2079567442065944E-2</c:v>
                </c:pt>
                <c:pt idx="2">
                  <c:v>2.3932078247802208E-2</c:v>
                </c:pt>
                <c:pt idx="3">
                  <c:v>2.4868988233041778E-2</c:v>
                </c:pt>
                <c:pt idx="4">
                  <c:v>2.9737876651243542E-2</c:v>
                </c:pt>
                <c:pt idx="5">
                  <c:v>4.6042814385613987E-2</c:v>
                </c:pt>
                <c:pt idx="6">
                  <c:v>5.2116746750877282E-2</c:v>
                </c:pt>
                <c:pt idx="7">
                  <c:v>5.8469531008058399E-2</c:v>
                </c:pt>
                <c:pt idx="8">
                  <c:v>7.2494417420492688E-2</c:v>
                </c:pt>
                <c:pt idx="9">
                  <c:v>6.0259787092631668E-2</c:v>
                </c:pt>
                <c:pt idx="10">
                  <c:v>7.2550140424681331E-2</c:v>
                </c:pt>
                <c:pt idx="11">
                  <c:v>8.7445479774087204E-2</c:v>
                </c:pt>
              </c:numCache>
            </c:numRef>
          </c:val>
          <c:smooth val="0"/>
          <c:extLst>
            <c:ext xmlns:c16="http://schemas.microsoft.com/office/drawing/2014/chart" uri="{C3380CC4-5D6E-409C-BE32-E72D297353CC}">
              <c16:uniqueId val="{00000003-52DE-4739-85CD-86334C7E9177}"/>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Doubleup!$A$3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Doubleup!$B$3:$M$3</c:f>
              <c:numCache>
                <c:formatCode>0.0%</c:formatCode>
                <c:ptCount val="12"/>
                <c:pt idx="0">
                  <c:v>3.0358050109248292E-2</c:v>
                </c:pt>
                <c:pt idx="1">
                  <c:v>2.5903899893235556E-2</c:v>
                </c:pt>
                <c:pt idx="2">
                  <c:v>2.8522285646295206E-2</c:v>
                </c:pt>
                <c:pt idx="3">
                  <c:v>3.2436815176572618E-2</c:v>
                </c:pt>
                <c:pt idx="4">
                  <c:v>3.477949628788933E-2</c:v>
                </c:pt>
                <c:pt idx="5">
                  <c:v>3.4477384562386339E-2</c:v>
                </c:pt>
                <c:pt idx="6">
                  <c:v>3.7434405264706982E-2</c:v>
                </c:pt>
                <c:pt idx="7">
                  <c:v>3.7217307284046271E-2</c:v>
                </c:pt>
                <c:pt idx="8">
                  <c:v>4.9262278312107985E-2</c:v>
                </c:pt>
                <c:pt idx="9">
                  <c:v>4.8147610779733792E-2</c:v>
                </c:pt>
                <c:pt idx="10">
                  <c:v>4.380645144676492E-2</c:v>
                </c:pt>
                <c:pt idx="11">
                  <c:v>4.9368086408144982E-2</c:v>
                </c:pt>
              </c:numCache>
            </c:numRef>
          </c:val>
          <c:smooth val="0"/>
          <c:extLst>
            <c:ext xmlns:c16="http://schemas.microsoft.com/office/drawing/2014/chart" uri="{C3380CC4-5D6E-409C-BE32-E72D297353CC}">
              <c16:uniqueId val="{00000000-9534-4523-B69E-760C2927FE66}"/>
            </c:ext>
          </c:extLst>
        </c:ser>
        <c:ser>
          <c:idx val="1"/>
          <c:order val="1"/>
          <c:tx>
            <c:strRef>
              <c:f>Doubleup!$A$4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Doubleup!$B$4:$M$4</c:f>
              <c:numCache>
                <c:formatCode>0.0%</c:formatCode>
                <c:ptCount val="12"/>
                <c:pt idx="0">
                  <c:v>9.4160828237758176E-2</c:v>
                </c:pt>
                <c:pt idx="1">
                  <c:v>2.1558884781439032E-2</c:v>
                </c:pt>
                <c:pt idx="2">
                  <c:v>3.5728864930481698E-2</c:v>
                </c:pt>
                <c:pt idx="3">
                  <c:v>4.8714240250548393E-2</c:v>
                </c:pt>
                <c:pt idx="4">
                  <c:v>6.4107232254964897E-2</c:v>
                </c:pt>
                <c:pt idx="5">
                  <c:v>3.5370177654050254E-2</c:v>
                </c:pt>
                <c:pt idx="6">
                  <c:v>6.3523673683520229E-2</c:v>
                </c:pt>
                <c:pt idx="7">
                  <c:v>4.8377192982456137E-2</c:v>
                </c:pt>
                <c:pt idx="8">
                  <c:v>7.32028075521928E-2</c:v>
                </c:pt>
                <c:pt idx="9">
                  <c:v>1.6673732805728283E-2</c:v>
                </c:pt>
                <c:pt idx="10">
                  <c:v>7.3550180280185756E-2</c:v>
                </c:pt>
                <c:pt idx="11">
                  <c:v>7.11925353663036E-2</c:v>
                </c:pt>
              </c:numCache>
            </c:numRef>
          </c:val>
          <c:smooth val="0"/>
          <c:extLst>
            <c:ext xmlns:c16="http://schemas.microsoft.com/office/drawing/2014/chart" uri="{C3380CC4-5D6E-409C-BE32-E72D297353CC}">
              <c16:uniqueId val="{00000001-9534-4523-B69E-760C2927FE66}"/>
            </c:ext>
          </c:extLst>
        </c:ser>
        <c:ser>
          <c:idx val="2"/>
          <c:order val="2"/>
          <c:tx>
            <c:strRef>
              <c:f>Doubleup!$A$5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Doubleup!$B$5:$M$5</c:f>
              <c:numCache>
                <c:formatCode>0.0%</c:formatCode>
                <c:ptCount val="12"/>
                <c:pt idx="0">
                  <c:v>4.3788653562406188E-2</c:v>
                </c:pt>
                <c:pt idx="1">
                  <c:v>2.6962084428368411E-2</c:v>
                </c:pt>
                <c:pt idx="2">
                  <c:v>3.3043268115510727E-2</c:v>
                </c:pt>
                <c:pt idx="3">
                  <c:v>4.737564290069788E-2</c:v>
                </c:pt>
                <c:pt idx="4">
                  <c:v>4.3202996086459465E-2</c:v>
                </c:pt>
                <c:pt idx="5">
                  <c:v>4.8869394459581411E-2</c:v>
                </c:pt>
                <c:pt idx="6">
                  <c:v>4.8394044611993273E-2</c:v>
                </c:pt>
                <c:pt idx="7">
                  <c:v>4.1292230007291077E-2</c:v>
                </c:pt>
                <c:pt idx="8">
                  <c:v>6.9806755782989685E-2</c:v>
                </c:pt>
                <c:pt idx="9">
                  <c:v>7.7458561923844302E-2</c:v>
                </c:pt>
                <c:pt idx="10">
                  <c:v>6.9972260279982143E-2</c:v>
                </c:pt>
                <c:pt idx="11">
                  <c:v>6.9067972399931912E-2</c:v>
                </c:pt>
              </c:numCache>
            </c:numRef>
          </c:val>
          <c:smooth val="0"/>
          <c:extLst>
            <c:ext xmlns:c16="http://schemas.microsoft.com/office/drawing/2014/chart" uri="{C3380CC4-5D6E-409C-BE32-E72D297353CC}">
              <c16:uniqueId val="{00000002-9534-4523-B69E-760C2927FE66}"/>
            </c:ext>
          </c:extLst>
        </c:ser>
        <c:ser>
          <c:idx val="3"/>
          <c:order val="3"/>
          <c:tx>
            <c:strRef>
              <c:f>Doubleup!$A$6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Doubleup!$B$6:$M$6</c:f>
              <c:numCache>
                <c:formatCode>0.0%</c:formatCode>
                <c:ptCount val="12"/>
                <c:pt idx="0">
                  <c:v>4.6913282045173706E-2</c:v>
                </c:pt>
                <c:pt idx="1">
                  <c:v>3.9848851822686743E-2</c:v>
                </c:pt>
                <c:pt idx="2">
                  <c:v>2.6484446666178059E-2</c:v>
                </c:pt>
                <c:pt idx="3">
                  <c:v>3.8651714866548628E-2</c:v>
                </c:pt>
                <c:pt idx="4">
                  <c:v>6.0879128587461917E-2</c:v>
                </c:pt>
                <c:pt idx="5">
                  <c:v>5.0529100298373868E-2</c:v>
                </c:pt>
                <c:pt idx="6">
                  <c:v>3.3163008088440582E-2</c:v>
                </c:pt>
                <c:pt idx="7">
                  <c:v>7.5983555228838248E-2</c:v>
                </c:pt>
                <c:pt idx="8">
                  <c:v>7.4008982840432988E-2</c:v>
                </c:pt>
                <c:pt idx="9">
                  <c:v>0.10692818637533856</c:v>
                </c:pt>
                <c:pt idx="10">
                  <c:v>3.2845652008458799E-2</c:v>
                </c:pt>
                <c:pt idx="11">
                  <c:v>4.2106754982694831E-2</c:v>
                </c:pt>
              </c:numCache>
            </c:numRef>
          </c:val>
          <c:smooth val="0"/>
          <c:extLst>
            <c:ext xmlns:c16="http://schemas.microsoft.com/office/drawing/2014/chart" uri="{C3380CC4-5D6E-409C-BE32-E72D297353CC}">
              <c16:uniqueId val="{00000003-9534-4523-B69E-760C2927FE66}"/>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110000000000000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Doubleup!$P$3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Doubleup!$Q$3:$AB$3</c:f>
              <c:numCache>
                <c:formatCode>0.00%</c:formatCode>
                <c:ptCount val="12"/>
                <c:pt idx="0">
                  <c:v>1.2767967398101099E-2</c:v>
                </c:pt>
                <c:pt idx="1">
                  <c:v>1.4982782152901967E-2</c:v>
                </c:pt>
                <c:pt idx="2">
                  <c:v>1.4892869169499149E-2</c:v>
                </c:pt>
                <c:pt idx="3">
                  <c:v>1.5822572209005917E-2</c:v>
                </c:pt>
                <c:pt idx="4">
                  <c:v>1.9030144944384753E-2</c:v>
                </c:pt>
                <c:pt idx="5">
                  <c:v>2.8286073201875764E-2</c:v>
                </c:pt>
                <c:pt idx="6">
                  <c:v>2.92217428788967E-2</c:v>
                </c:pt>
                <c:pt idx="7">
                  <c:v>3.2356711753587029E-2</c:v>
                </c:pt>
                <c:pt idx="8">
                  <c:v>3.9134490667483396E-2</c:v>
                </c:pt>
                <c:pt idx="9">
                  <c:v>3.1699458079438872E-2</c:v>
                </c:pt>
                <c:pt idx="10">
                  <c:v>4.4308780677560236E-2</c:v>
                </c:pt>
                <c:pt idx="11">
                  <c:v>5.4508972098633486E-2</c:v>
                </c:pt>
              </c:numCache>
            </c:numRef>
          </c:val>
          <c:smooth val="0"/>
          <c:extLst>
            <c:ext xmlns:c16="http://schemas.microsoft.com/office/drawing/2014/chart" uri="{C3380CC4-5D6E-409C-BE32-E72D297353CC}">
              <c16:uniqueId val="{00000000-D57C-4F0A-95B5-600F8FAA878C}"/>
            </c:ext>
          </c:extLst>
        </c:ser>
        <c:ser>
          <c:idx val="1"/>
          <c:order val="1"/>
          <c:tx>
            <c:strRef>
              <c:f>Doubleup!$P$4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Doubleup!$Q$4:$AB$4</c:f>
              <c:numCache>
                <c:formatCode>0.0%</c:formatCode>
                <c:ptCount val="12"/>
                <c:pt idx="0">
                  <c:v>1.3157894736842105E-2</c:v>
                </c:pt>
                <c:pt idx="1">
                  <c:v>2.0128824476650563E-2</c:v>
                </c:pt>
                <c:pt idx="2">
                  <c:v>6.0716348700584823E-2</c:v>
                </c:pt>
                <c:pt idx="3">
                  <c:v>5.3271700744539671E-2</c:v>
                </c:pt>
                <c:pt idx="4">
                  <c:v>2.4252322880371657E-2</c:v>
                </c:pt>
                <c:pt idx="5">
                  <c:v>2.8235815602836879E-2</c:v>
                </c:pt>
                <c:pt idx="6">
                  <c:v>2.7415923129718599E-2</c:v>
                </c:pt>
                <c:pt idx="7">
                  <c:v>4.6327906162464988E-2</c:v>
                </c:pt>
                <c:pt idx="8">
                  <c:v>4.9115949661520913E-2</c:v>
                </c:pt>
                <c:pt idx="9">
                  <c:v>7.7316677633826311E-2</c:v>
                </c:pt>
                <c:pt idx="10">
                  <c:v>5.4497526067416598E-2</c:v>
                </c:pt>
                <c:pt idx="11">
                  <c:v>7.1426239904500782E-2</c:v>
                </c:pt>
              </c:numCache>
            </c:numRef>
          </c:val>
          <c:smooth val="0"/>
          <c:extLst>
            <c:ext xmlns:c16="http://schemas.microsoft.com/office/drawing/2014/chart" uri="{C3380CC4-5D6E-409C-BE32-E72D297353CC}">
              <c16:uniqueId val="{00000001-D57C-4F0A-95B5-600F8FAA878C}"/>
            </c:ext>
          </c:extLst>
        </c:ser>
        <c:ser>
          <c:idx val="2"/>
          <c:order val="2"/>
          <c:tx>
            <c:strRef>
              <c:f>Doubleup!$P$5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Doubleup!$Q$5:$AB$5</c:f>
              <c:numCache>
                <c:formatCode>0.0%</c:formatCode>
                <c:ptCount val="12"/>
                <c:pt idx="0">
                  <c:v>1.4273431900826106E-2</c:v>
                </c:pt>
                <c:pt idx="1">
                  <c:v>5.5260356174990317E-2</c:v>
                </c:pt>
                <c:pt idx="2">
                  <c:v>1.7340690922733243E-2</c:v>
                </c:pt>
                <c:pt idx="3">
                  <c:v>1.6166017358806392E-2</c:v>
                </c:pt>
                <c:pt idx="4">
                  <c:v>3.4228659201622429E-2</c:v>
                </c:pt>
                <c:pt idx="5">
                  <c:v>5.414071546147018E-2</c:v>
                </c:pt>
                <c:pt idx="6">
                  <c:v>5.1388864869632796E-2</c:v>
                </c:pt>
                <c:pt idx="7">
                  <c:v>5.5977340915099795E-2</c:v>
                </c:pt>
                <c:pt idx="8">
                  <c:v>6.7691771093134914E-2</c:v>
                </c:pt>
                <c:pt idx="9">
                  <c:v>6.2103344060450219E-2</c:v>
                </c:pt>
                <c:pt idx="10">
                  <c:v>6.4811113045790014E-2</c:v>
                </c:pt>
                <c:pt idx="11">
                  <c:v>8.9966828866566692E-2</c:v>
                </c:pt>
              </c:numCache>
            </c:numRef>
          </c:val>
          <c:smooth val="0"/>
          <c:extLst>
            <c:ext xmlns:c16="http://schemas.microsoft.com/office/drawing/2014/chart" uri="{C3380CC4-5D6E-409C-BE32-E72D297353CC}">
              <c16:uniqueId val="{00000002-D57C-4F0A-95B5-600F8FAA878C}"/>
            </c:ext>
          </c:extLst>
        </c:ser>
        <c:ser>
          <c:idx val="3"/>
          <c:order val="3"/>
          <c:tx>
            <c:strRef>
              <c:f>Doubleup!$P$6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Doubleup!$Q$6:$AB$6</c:f>
              <c:numCache>
                <c:formatCode>0.0%</c:formatCode>
                <c:ptCount val="12"/>
                <c:pt idx="0">
                  <c:v>1.9157072983561972E-2</c:v>
                </c:pt>
                <c:pt idx="1">
                  <c:v>2.2868907399550428E-2</c:v>
                </c:pt>
                <c:pt idx="2">
                  <c:v>2.8227511802197958E-2</c:v>
                </c:pt>
                <c:pt idx="3">
                  <c:v>3.6388925421077079E-2</c:v>
                </c:pt>
                <c:pt idx="4">
                  <c:v>3.0568311015962107E-2</c:v>
                </c:pt>
                <c:pt idx="5">
                  <c:v>5.0491807163841988E-2</c:v>
                </c:pt>
                <c:pt idx="6">
                  <c:v>3.0536028551001328E-2</c:v>
                </c:pt>
                <c:pt idx="7">
                  <c:v>4.3190722379166754E-2</c:v>
                </c:pt>
                <c:pt idx="8">
                  <c:v>6.6603620667335606E-2</c:v>
                </c:pt>
                <c:pt idx="9">
                  <c:v>4.7287164309550295E-2</c:v>
                </c:pt>
                <c:pt idx="10">
                  <c:v>5.0103340707857449E-2</c:v>
                </c:pt>
                <c:pt idx="11">
                  <c:v>7.0903255948978949E-2</c:v>
                </c:pt>
              </c:numCache>
            </c:numRef>
          </c:val>
          <c:smooth val="0"/>
          <c:extLst>
            <c:ext xmlns:c16="http://schemas.microsoft.com/office/drawing/2014/chart" uri="{C3380CC4-5D6E-409C-BE32-E72D297353CC}">
              <c16:uniqueId val="{00000003-D57C-4F0A-95B5-600F8FAA878C}"/>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110000000000000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Doubleup!$A$3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Doubleup!$B$3:$M$3</c:f>
              <c:numCache>
                <c:formatCode>0.0%</c:formatCode>
                <c:ptCount val="12"/>
                <c:pt idx="0">
                  <c:v>2.8540251650942029E-2</c:v>
                </c:pt>
                <c:pt idx="1">
                  <c:v>2.5209080932167848E-2</c:v>
                </c:pt>
                <c:pt idx="2">
                  <c:v>2.9118264309934628E-2</c:v>
                </c:pt>
                <c:pt idx="3">
                  <c:v>3.5087836649543805E-2</c:v>
                </c:pt>
                <c:pt idx="4">
                  <c:v>3.7875141469005946E-2</c:v>
                </c:pt>
                <c:pt idx="5">
                  <c:v>3.3904058259184994E-2</c:v>
                </c:pt>
                <c:pt idx="6">
                  <c:v>3.8530030482784049E-2</c:v>
                </c:pt>
                <c:pt idx="7">
                  <c:v>3.8094947046039745E-2</c:v>
                </c:pt>
                <c:pt idx="8">
                  <c:v>5.062023521620615E-2</c:v>
                </c:pt>
                <c:pt idx="9">
                  <c:v>4.8923927336622583E-2</c:v>
                </c:pt>
                <c:pt idx="10">
                  <c:v>4.3913522742850999E-2</c:v>
                </c:pt>
                <c:pt idx="11">
                  <c:v>4.787359666882636E-2</c:v>
                </c:pt>
              </c:numCache>
            </c:numRef>
          </c:val>
          <c:smooth val="0"/>
          <c:extLst>
            <c:ext xmlns:c16="http://schemas.microsoft.com/office/drawing/2014/chart" uri="{C3380CC4-5D6E-409C-BE32-E72D297353CC}">
              <c16:uniqueId val="{00000000-A2E4-4B07-8B19-AF946F18998C}"/>
            </c:ext>
          </c:extLst>
        </c:ser>
        <c:ser>
          <c:idx val="1"/>
          <c:order val="1"/>
          <c:tx>
            <c:strRef>
              <c:f>Doubleup!$A$4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Doubleup!$B$4:$M$4</c:f>
              <c:numCache>
                <c:formatCode>0.0%</c:formatCode>
                <c:ptCount val="12"/>
                <c:pt idx="0">
                  <c:v>3.5562009544660649E-2</c:v>
                </c:pt>
                <c:pt idx="1">
                  <c:v>2.7751290152471176E-2</c:v>
                </c:pt>
                <c:pt idx="2">
                  <c:v>1.6755320067480647E-2</c:v>
                </c:pt>
                <c:pt idx="3">
                  <c:v>1.2877180589008767E-2</c:v>
                </c:pt>
                <c:pt idx="4">
                  <c:v>9.4732733231598209E-3</c:v>
                </c:pt>
                <c:pt idx="5">
                  <c:v>3.1688456541828974E-2</c:v>
                </c:pt>
                <c:pt idx="6">
                  <c:v>7.4083502074944367E-3</c:v>
                </c:pt>
                <c:pt idx="7">
                  <c:v>8.1075533661740563E-3</c:v>
                </c:pt>
                <c:pt idx="8">
                  <c:v>3.0107081910877628E-2</c:v>
                </c:pt>
                <c:pt idx="9">
                  <c:v>4.1337672736978762E-2</c:v>
                </c:pt>
                <c:pt idx="10">
                  <c:v>2.9834430449184549E-2</c:v>
                </c:pt>
                <c:pt idx="11">
                  <c:v>5.4429453558899762E-2</c:v>
                </c:pt>
              </c:numCache>
            </c:numRef>
          </c:val>
          <c:smooth val="0"/>
          <c:extLst>
            <c:ext xmlns:c16="http://schemas.microsoft.com/office/drawing/2014/chart" uri="{C3380CC4-5D6E-409C-BE32-E72D297353CC}">
              <c16:uniqueId val="{00000001-A2E4-4B07-8B19-AF946F18998C}"/>
            </c:ext>
          </c:extLst>
        </c:ser>
        <c:ser>
          <c:idx val="2"/>
          <c:order val="2"/>
          <c:tx>
            <c:strRef>
              <c:f>Doubleup!$A$5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Doubleup!$B$2:$M$2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Doubleup!$B$5:$M$5</c:f>
              <c:numCache>
                <c:formatCode>0.0%</c:formatCode>
                <c:ptCount val="12"/>
                <c:pt idx="0">
                  <c:v>5.2929487803690535E-2</c:v>
                </c:pt>
                <c:pt idx="1">
                  <c:v>3.4589243498817965E-2</c:v>
                </c:pt>
                <c:pt idx="2">
                  <c:v>4.8627919667818924E-2</c:v>
                </c:pt>
                <c:pt idx="3">
                  <c:v>3.5814246220956081E-2</c:v>
                </c:pt>
                <c:pt idx="4">
                  <c:v>4.8457421131839734E-2</c:v>
                </c:pt>
                <c:pt idx="5">
                  <c:v>4.950603092096495E-2</c:v>
                </c:pt>
                <c:pt idx="6">
                  <c:v>7.1478693352566416E-2</c:v>
                </c:pt>
                <c:pt idx="7">
                  <c:v>0.10329807536582056</c:v>
                </c:pt>
                <c:pt idx="8">
                  <c:v>7.1253349824778406E-2</c:v>
                </c:pt>
                <c:pt idx="9">
                  <c:v>5.0130059998481052E-2</c:v>
                </c:pt>
                <c:pt idx="10">
                  <c:v>7.3235043903624703E-2</c:v>
                </c:pt>
                <c:pt idx="11">
                  <c:v>7.9768306471223821E-2</c:v>
                </c:pt>
              </c:numCache>
            </c:numRef>
          </c:val>
          <c:smooth val="0"/>
          <c:extLst>
            <c:ext xmlns:c16="http://schemas.microsoft.com/office/drawing/2014/chart" uri="{C3380CC4-5D6E-409C-BE32-E72D297353CC}">
              <c16:uniqueId val="{00000002-A2E4-4B07-8B19-AF946F18998C}"/>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13"/>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Doubleup!$P$3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Doubleup!$Q$3:$AB$3</c:f>
              <c:numCache>
                <c:formatCode>0.00%</c:formatCode>
                <c:ptCount val="12"/>
                <c:pt idx="0">
                  <c:v>1.4040691895602277E-2</c:v>
                </c:pt>
                <c:pt idx="1">
                  <c:v>1.5099791655732801E-2</c:v>
                </c:pt>
                <c:pt idx="2">
                  <c:v>1.440741045944941E-2</c:v>
                </c:pt>
                <c:pt idx="3">
                  <c:v>1.6259133787962829E-2</c:v>
                </c:pt>
                <c:pt idx="4">
                  <c:v>2.0215745850537974E-2</c:v>
                </c:pt>
                <c:pt idx="5">
                  <c:v>2.8555532525856443E-2</c:v>
                </c:pt>
                <c:pt idx="6">
                  <c:v>2.7588873973072182E-2</c:v>
                </c:pt>
                <c:pt idx="7">
                  <c:v>3.3127461498161426E-2</c:v>
                </c:pt>
                <c:pt idx="8">
                  <c:v>4.0303193804497622E-2</c:v>
                </c:pt>
                <c:pt idx="9">
                  <c:v>3.3837104238071555E-2</c:v>
                </c:pt>
                <c:pt idx="10">
                  <c:v>4.2201611412781358E-2</c:v>
                </c:pt>
                <c:pt idx="11">
                  <c:v>5.3786340734048706E-2</c:v>
                </c:pt>
              </c:numCache>
            </c:numRef>
          </c:val>
          <c:smooth val="0"/>
          <c:extLst>
            <c:ext xmlns:c16="http://schemas.microsoft.com/office/drawing/2014/chart" uri="{C3380CC4-5D6E-409C-BE32-E72D297353CC}">
              <c16:uniqueId val="{00000000-FE30-40E6-84F7-85D8FDCA552F}"/>
            </c:ext>
          </c:extLst>
        </c:ser>
        <c:ser>
          <c:idx val="1"/>
          <c:order val="1"/>
          <c:tx>
            <c:strRef>
              <c:f>Doubleup!$P$4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Doubleup!$Q$4:$AB$4</c:f>
              <c:numCache>
                <c:formatCode>0.0%</c:formatCode>
                <c:ptCount val="12"/>
                <c:pt idx="0">
                  <c:v>6.7926490372706705E-3</c:v>
                </c:pt>
                <c:pt idx="1">
                  <c:v>1.392230777212192E-2</c:v>
                </c:pt>
                <c:pt idx="2">
                  <c:v>1.579402774631649E-2</c:v>
                </c:pt>
                <c:pt idx="3">
                  <c:v>1.2843108971883836E-2</c:v>
                </c:pt>
                <c:pt idx="4">
                  <c:v>7.871676743935959E-3</c:v>
                </c:pt>
                <c:pt idx="5">
                  <c:v>1.9659209837781265E-2</c:v>
                </c:pt>
                <c:pt idx="6">
                  <c:v>3.7232620320855614E-2</c:v>
                </c:pt>
                <c:pt idx="7">
                  <c:v>2.5783782049971157E-2</c:v>
                </c:pt>
                <c:pt idx="8">
                  <c:v>2.86187663496347E-2</c:v>
                </c:pt>
                <c:pt idx="9">
                  <c:v>2.2295353274719008E-2</c:v>
                </c:pt>
                <c:pt idx="10">
                  <c:v>5.3745521189757062E-2</c:v>
                </c:pt>
                <c:pt idx="11">
                  <c:v>6.1161405598043311E-2</c:v>
                </c:pt>
              </c:numCache>
            </c:numRef>
          </c:val>
          <c:smooth val="0"/>
          <c:extLst>
            <c:ext xmlns:c16="http://schemas.microsoft.com/office/drawing/2014/chart" uri="{C3380CC4-5D6E-409C-BE32-E72D297353CC}">
              <c16:uniqueId val="{00000001-FE30-40E6-84F7-85D8FDCA552F}"/>
            </c:ext>
          </c:extLst>
        </c:ser>
        <c:ser>
          <c:idx val="2"/>
          <c:order val="2"/>
          <c:tx>
            <c:strRef>
              <c:f>Doubleup!$P$5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Doubleup!$Q$2:$AB$2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Doubleup!$Q$5:$AB$5</c:f>
              <c:numCache>
                <c:formatCode>0.0%</c:formatCode>
                <c:ptCount val="12"/>
                <c:pt idx="0">
                  <c:v>1.3721804511278194E-2</c:v>
                </c:pt>
                <c:pt idx="1">
                  <c:v>1.9371225803371816E-2</c:v>
                </c:pt>
                <c:pt idx="2">
                  <c:v>2.7326002263813209E-2</c:v>
                </c:pt>
                <c:pt idx="3">
                  <c:v>1.8907389821045038E-2</c:v>
                </c:pt>
                <c:pt idx="4">
                  <c:v>5.7528832358459334E-2</c:v>
                </c:pt>
                <c:pt idx="5">
                  <c:v>7.2107843137254907E-2</c:v>
                </c:pt>
                <c:pt idx="6">
                  <c:v>3.293098818474758E-2</c:v>
                </c:pt>
                <c:pt idx="7">
                  <c:v>5.4848310291858673E-2</c:v>
                </c:pt>
                <c:pt idx="8">
                  <c:v>7.1759259259259259E-2</c:v>
                </c:pt>
                <c:pt idx="9">
                  <c:v>1.4154704944178628E-2</c:v>
                </c:pt>
                <c:pt idx="10">
                  <c:v>6.180520964285996E-2</c:v>
                </c:pt>
                <c:pt idx="11">
                  <c:v>3.8024475524475521E-2</c:v>
                </c:pt>
              </c:numCache>
            </c:numRef>
          </c:val>
          <c:smooth val="0"/>
          <c:extLst>
            <c:ext xmlns:c16="http://schemas.microsoft.com/office/drawing/2014/chart" uri="{C3380CC4-5D6E-409C-BE32-E72D297353CC}">
              <c16:uniqueId val="{00000002-FE30-40E6-84F7-85D8FDCA552F}"/>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13"/>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Unaffordablerent!$B$3:$M$3</c:f>
              <c:numCache>
                <c:formatCode>0.0%</c:formatCode>
                <c:ptCount val="12"/>
                <c:pt idx="0">
                  <c:v>4.1847796811032109E-2</c:v>
                </c:pt>
                <c:pt idx="1">
                  <c:v>5.1022884677397268E-2</c:v>
                </c:pt>
                <c:pt idx="2">
                  <c:v>7.0160560606351757E-2</c:v>
                </c:pt>
                <c:pt idx="3">
                  <c:v>5.3791208742386291E-2</c:v>
                </c:pt>
                <c:pt idx="4">
                  <c:v>5.383135234084957E-2</c:v>
                </c:pt>
                <c:pt idx="5">
                  <c:v>3.0027092998896037E-2</c:v>
                </c:pt>
                <c:pt idx="6">
                  <c:v>2.2387432316899401E-2</c:v>
                </c:pt>
                <c:pt idx="7">
                  <c:v>2.5312601140407689E-2</c:v>
                </c:pt>
                <c:pt idx="8">
                  <c:v>7.7228327228327232E-3</c:v>
                </c:pt>
                <c:pt idx="9">
                  <c:v>3.2808600471876184E-2</c:v>
                </c:pt>
                <c:pt idx="10">
                  <c:v>3.5235026217727561E-2</c:v>
                </c:pt>
                <c:pt idx="11">
                  <c:v>4.3988442387082147E-2</c:v>
                </c:pt>
              </c:numCache>
            </c:numRef>
          </c:val>
          <c:smooth val="0"/>
          <c:extLst>
            <c:ext xmlns:c16="http://schemas.microsoft.com/office/drawing/2014/chart" uri="{C3380CC4-5D6E-409C-BE32-E72D297353CC}">
              <c16:uniqueId val="{00000000-12E3-4D4E-8683-816B8FCE88AE}"/>
            </c:ext>
          </c:extLst>
        </c:ser>
        <c:ser>
          <c:idx val="1"/>
          <c:order val="1"/>
          <c:tx>
            <c:strRef>
              <c:f>Unaffordablerent!$A$4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Unaffordablerent!$B$4:$M$4</c:f>
              <c:numCache>
                <c:formatCode>0.0%</c:formatCode>
                <c:ptCount val="12"/>
                <c:pt idx="0">
                  <c:v>2.207827575474634E-3</c:v>
                </c:pt>
                <c:pt idx="1">
                  <c:v>1.3892949647993261E-2</c:v>
                </c:pt>
                <c:pt idx="2">
                  <c:v>1.4561350368979317E-2</c:v>
                </c:pt>
                <c:pt idx="3">
                  <c:v>1.2418252328868468E-2</c:v>
                </c:pt>
                <c:pt idx="4">
                  <c:v>3.533503061611163E-2</c:v>
                </c:pt>
                <c:pt idx="5">
                  <c:v>2.6895847321266604E-2</c:v>
                </c:pt>
                <c:pt idx="6">
                  <c:v>2.269026311746148E-2</c:v>
                </c:pt>
                <c:pt idx="7">
                  <c:v>2.6724656708972588E-2</c:v>
                </c:pt>
                <c:pt idx="8">
                  <c:v>1.5216725429407663E-2</c:v>
                </c:pt>
                <c:pt idx="9">
                  <c:v>1.9329650966214303E-2</c:v>
                </c:pt>
                <c:pt idx="10">
                  <c:v>2.5765365727111505E-2</c:v>
                </c:pt>
                <c:pt idx="11">
                  <c:v>2.9433345344029919E-2</c:v>
                </c:pt>
              </c:numCache>
            </c:numRef>
          </c:val>
          <c:smooth val="0"/>
          <c:extLst>
            <c:ext xmlns:c16="http://schemas.microsoft.com/office/drawing/2014/chart" uri="{C3380CC4-5D6E-409C-BE32-E72D297353CC}">
              <c16:uniqueId val="{00000001-12E3-4D4E-8683-816B8FCE88AE}"/>
            </c:ext>
          </c:extLst>
        </c:ser>
        <c:ser>
          <c:idx val="2"/>
          <c:order val="2"/>
          <c:tx>
            <c:strRef>
              <c:f>Unaffordablerent!$A$5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Unaffordablerent!$B$5:$M$5</c:f>
              <c:numCache>
                <c:formatCode>0.0%</c:formatCode>
                <c:ptCount val="12"/>
                <c:pt idx="0">
                  <c:v>2.2064077772899888E-2</c:v>
                </c:pt>
                <c:pt idx="1">
                  <c:v>1.6680507776635024E-2</c:v>
                </c:pt>
                <c:pt idx="2">
                  <c:v>1.9616253959184472E-2</c:v>
                </c:pt>
                <c:pt idx="3">
                  <c:v>2.7735808268992891E-2</c:v>
                </c:pt>
                <c:pt idx="4">
                  <c:v>3.0817108124396128E-2</c:v>
                </c:pt>
                <c:pt idx="5">
                  <c:v>2.5812890812890815E-2</c:v>
                </c:pt>
                <c:pt idx="6">
                  <c:v>2.9776136292339269E-2</c:v>
                </c:pt>
                <c:pt idx="7">
                  <c:v>3.2035633581959169E-2</c:v>
                </c:pt>
                <c:pt idx="8">
                  <c:v>3.0790492639114823E-2</c:v>
                </c:pt>
                <c:pt idx="9">
                  <c:v>4.0045181131073547E-2</c:v>
                </c:pt>
                <c:pt idx="10">
                  <c:v>2.0956836534998413E-2</c:v>
                </c:pt>
                <c:pt idx="11">
                  <c:v>2.328691320224905E-2</c:v>
                </c:pt>
              </c:numCache>
            </c:numRef>
          </c:val>
          <c:smooth val="0"/>
          <c:extLst>
            <c:ext xmlns:c16="http://schemas.microsoft.com/office/drawing/2014/chart" uri="{C3380CC4-5D6E-409C-BE32-E72D297353CC}">
              <c16:uniqueId val="{00000002-12E3-4D4E-8683-816B8FCE88AE}"/>
            </c:ext>
          </c:extLst>
        </c:ser>
        <c:ser>
          <c:idx val="3"/>
          <c:order val="3"/>
          <c:tx>
            <c:strRef>
              <c:f>Unaffordablerent!$A$6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Unaffordablerent!$B$6:$M$6</c:f>
              <c:numCache>
                <c:formatCode>0.0%</c:formatCode>
                <c:ptCount val="12"/>
                <c:pt idx="0">
                  <c:v>4.6835016835016837E-3</c:v>
                </c:pt>
                <c:pt idx="1">
                  <c:v>1.4972438484736251E-2</c:v>
                </c:pt>
                <c:pt idx="2">
                  <c:v>7.4289098230234524E-3</c:v>
                </c:pt>
                <c:pt idx="3">
                  <c:v>1.2392460129459078E-2</c:v>
                </c:pt>
                <c:pt idx="4">
                  <c:v>7.378542508169203E-3</c:v>
                </c:pt>
                <c:pt idx="5">
                  <c:v>1.1410282853844964E-2</c:v>
                </c:pt>
                <c:pt idx="6">
                  <c:v>1.4759127244759857E-2</c:v>
                </c:pt>
                <c:pt idx="7">
                  <c:v>1.0709153393130633E-2</c:v>
                </c:pt>
                <c:pt idx="8">
                  <c:v>9.5075789018702721E-3</c:v>
                </c:pt>
                <c:pt idx="9">
                  <c:v>1.0103866929194195E-2</c:v>
                </c:pt>
                <c:pt idx="10">
                  <c:v>3.5095745000188186E-3</c:v>
                </c:pt>
                <c:pt idx="11">
                  <c:v>9.9212528354675859E-3</c:v>
                </c:pt>
              </c:numCache>
            </c:numRef>
          </c:val>
          <c:smooth val="0"/>
          <c:extLst>
            <c:ext xmlns:c16="http://schemas.microsoft.com/office/drawing/2014/chart" uri="{C3380CC4-5D6E-409C-BE32-E72D297353CC}">
              <c16:uniqueId val="{00000003-12E3-4D4E-8683-816B8FCE88AE}"/>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Unaffordablerent!$Q$3:$AB$3</c:f>
              <c:numCache>
                <c:formatCode>0.00%</c:formatCode>
                <c:ptCount val="12"/>
                <c:pt idx="0">
                  <c:v>2.8484864283836155E-2</c:v>
                </c:pt>
                <c:pt idx="1">
                  <c:v>1.2285025042271884E-2</c:v>
                </c:pt>
                <c:pt idx="2">
                  <c:v>1.764938951719516E-2</c:v>
                </c:pt>
                <c:pt idx="3">
                  <c:v>1.642032612470521E-2</c:v>
                </c:pt>
                <c:pt idx="4">
                  <c:v>4.8221607793804714E-3</c:v>
                </c:pt>
                <c:pt idx="5">
                  <c:v>3.591273241996552E-3</c:v>
                </c:pt>
                <c:pt idx="6">
                  <c:v>2.2612963514584061E-3</c:v>
                </c:pt>
                <c:pt idx="7">
                  <c:v>2.7719358599841027E-3</c:v>
                </c:pt>
                <c:pt idx="8">
                  <c:v>2.7224075830096619E-3</c:v>
                </c:pt>
                <c:pt idx="9">
                  <c:v>2.1435740823502313E-3</c:v>
                </c:pt>
                <c:pt idx="10">
                  <c:v>1.2207210265462693E-2</c:v>
                </c:pt>
                <c:pt idx="11">
                  <c:v>3.3650047030325944E-3</c:v>
                </c:pt>
              </c:numCache>
            </c:numRef>
          </c:val>
          <c:smooth val="0"/>
          <c:extLst>
            <c:ext xmlns:c16="http://schemas.microsoft.com/office/drawing/2014/chart" uri="{C3380CC4-5D6E-409C-BE32-E72D297353CC}">
              <c16:uniqueId val="{00000000-EE25-4DFA-8763-752691125232}"/>
            </c:ext>
          </c:extLst>
        </c:ser>
        <c:ser>
          <c:idx val="1"/>
          <c:order val="1"/>
          <c:tx>
            <c:strRef>
              <c:f>Unaffordablerent!$P$4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Unaffordablerent!$Q$4:$AB$4</c:f>
              <c:numCache>
                <c:formatCode>0.0%</c:formatCode>
                <c:ptCount val="12"/>
                <c:pt idx="0">
                  <c:v>5.9523809523809529E-4</c:v>
                </c:pt>
                <c:pt idx="1">
                  <c:v>0</c:v>
                </c:pt>
                <c:pt idx="2">
                  <c:v>0</c:v>
                </c:pt>
                <c:pt idx="3">
                  <c:v>0</c:v>
                </c:pt>
                <c:pt idx="4">
                  <c:v>5.4704595185995622E-4</c:v>
                </c:pt>
                <c:pt idx="5">
                  <c:v>0</c:v>
                </c:pt>
                <c:pt idx="6">
                  <c:v>0</c:v>
                </c:pt>
                <c:pt idx="7">
                  <c:v>0</c:v>
                </c:pt>
                <c:pt idx="8">
                  <c:v>0</c:v>
                </c:pt>
                <c:pt idx="9">
                  <c:v>5.4945054945054945E-4</c:v>
                </c:pt>
                <c:pt idx="10">
                  <c:v>0</c:v>
                </c:pt>
                <c:pt idx="11">
                  <c:v>0</c:v>
                </c:pt>
              </c:numCache>
            </c:numRef>
          </c:val>
          <c:smooth val="0"/>
          <c:extLst>
            <c:ext xmlns:c16="http://schemas.microsoft.com/office/drawing/2014/chart" uri="{C3380CC4-5D6E-409C-BE32-E72D297353CC}">
              <c16:uniqueId val="{00000001-EE25-4DFA-8763-752691125232}"/>
            </c:ext>
          </c:extLst>
        </c:ser>
        <c:ser>
          <c:idx val="2"/>
          <c:order val="2"/>
          <c:tx>
            <c:strRef>
              <c:f>Unaffordablerent!$P$5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Unaffordablerent!$Q$5:$AB$5</c:f>
              <c:numCache>
                <c:formatCode>0.0%</c:formatCode>
                <c:ptCount val="12"/>
                <c:pt idx="0">
                  <c:v>0</c:v>
                </c:pt>
                <c:pt idx="1">
                  <c:v>0</c:v>
                </c:pt>
                <c:pt idx="2">
                  <c:v>0</c:v>
                </c:pt>
                <c:pt idx="3">
                  <c:v>2.834467120181406E-4</c:v>
                </c:pt>
                <c:pt idx="4">
                  <c:v>0</c:v>
                </c:pt>
                <c:pt idx="5">
                  <c:v>0</c:v>
                </c:pt>
                <c:pt idx="6">
                  <c:v>0</c:v>
                </c:pt>
                <c:pt idx="7">
                  <c:v>0</c:v>
                </c:pt>
                <c:pt idx="8">
                  <c:v>1.8131126167027542E-3</c:v>
                </c:pt>
                <c:pt idx="9">
                  <c:v>6.1274509803921568E-4</c:v>
                </c:pt>
                <c:pt idx="10">
                  <c:v>0</c:v>
                </c:pt>
                <c:pt idx="11">
                  <c:v>0</c:v>
                </c:pt>
              </c:numCache>
            </c:numRef>
          </c:val>
          <c:smooth val="0"/>
          <c:extLst>
            <c:ext xmlns:c16="http://schemas.microsoft.com/office/drawing/2014/chart" uri="{C3380CC4-5D6E-409C-BE32-E72D297353CC}">
              <c16:uniqueId val="{00000002-EE25-4DFA-8763-752691125232}"/>
            </c:ext>
          </c:extLst>
        </c:ser>
        <c:ser>
          <c:idx val="3"/>
          <c:order val="3"/>
          <c:tx>
            <c:strRef>
              <c:f>Unaffordablerent!$P$6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Unaffordablerent!$Q$6:$AB$6</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EE25-4DFA-8763-752691125232}"/>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Unaffordableexp!$B$3:$M$3</c:f>
              <c:numCache>
                <c:formatCode>0.0%</c:formatCode>
                <c:ptCount val="12"/>
                <c:pt idx="0">
                  <c:v>0.35303842690922521</c:v>
                </c:pt>
                <c:pt idx="1">
                  <c:v>0.3447634009961637</c:v>
                </c:pt>
                <c:pt idx="2">
                  <c:v>0.32818234569800581</c:v>
                </c:pt>
                <c:pt idx="3">
                  <c:v>0.28845033086864158</c:v>
                </c:pt>
                <c:pt idx="4">
                  <c:v>0.30351481037425632</c:v>
                </c:pt>
                <c:pt idx="5">
                  <c:v>0.28432495827772325</c:v>
                </c:pt>
                <c:pt idx="6">
                  <c:v>0.15650569962952407</c:v>
                </c:pt>
                <c:pt idx="7">
                  <c:v>0.13846318225268672</c:v>
                </c:pt>
                <c:pt idx="8">
                  <c:v>0.14572546447546447</c:v>
                </c:pt>
                <c:pt idx="9">
                  <c:v>0.14941399375984216</c:v>
                </c:pt>
                <c:pt idx="10">
                  <c:v>0.20585934065787209</c:v>
                </c:pt>
                <c:pt idx="11">
                  <c:v>0.15294261575551019</c:v>
                </c:pt>
              </c:numCache>
            </c:numRef>
          </c:val>
          <c:smooth val="0"/>
          <c:extLst>
            <c:ext xmlns:c16="http://schemas.microsoft.com/office/drawing/2014/chart" uri="{C3380CC4-5D6E-409C-BE32-E72D297353CC}">
              <c16:uniqueId val="{00000000-5061-434D-9EDA-CE5B5DE235B7}"/>
            </c:ext>
          </c:extLst>
        </c:ser>
        <c:ser>
          <c:idx val="1"/>
          <c:order val="1"/>
          <c:tx>
            <c:strRef>
              <c:f>Unaffordableexp!$A$4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Unaffordableexp!$B$4:$M$4</c:f>
              <c:numCache>
                <c:formatCode>0.00%</c:formatCode>
                <c:ptCount val="12"/>
                <c:pt idx="0">
                  <c:v>0.12302802443725805</c:v>
                </c:pt>
                <c:pt idx="1">
                  <c:v>0.14068009626741423</c:v>
                </c:pt>
                <c:pt idx="2">
                  <c:v>0.12172643060649482</c:v>
                </c:pt>
                <c:pt idx="3">
                  <c:v>0.11458936263489847</c:v>
                </c:pt>
                <c:pt idx="4">
                  <c:v>0.14132353317449212</c:v>
                </c:pt>
                <c:pt idx="5">
                  <c:v>0.13819381857032131</c:v>
                </c:pt>
                <c:pt idx="6">
                  <c:v>8.9542849118620052E-2</c:v>
                </c:pt>
                <c:pt idx="7">
                  <c:v>6.2290121601578555E-2</c:v>
                </c:pt>
                <c:pt idx="8">
                  <c:v>5.1933016621625326E-2</c:v>
                </c:pt>
                <c:pt idx="9">
                  <c:v>6.0005567476887955E-2</c:v>
                </c:pt>
                <c:pt idx="10">
                  <c:v>9.9576108900935711E-2</c:v>
                </c:pt>
                <c:pt idx="11">
                  <c:v>6.7019989209718037E-2</c:v>
                </c:pt>
              </c:numCache>
            </c:numRef>
          </c:val>
          <c:smooth val="0"/>
          <c:extLst>
            <c:ext xmlns:c16="http://schemas.microsoft.com/office/drawing/2014/chart" uri="{C3380CC4-5D6E-409C-BE32-E72D297353CC}">
              <c16:uniqueId val="{00000001-5061-434D-9EDA-CE5B5DE235B7}"/>
            </c:ext>
          </c:extLst>
        </c:ser>
        <c:ser>
          <c:idx val="2"/>
          <c:order val="2"/>
          <c:tx>
            <c:strRef>
              <c:f>Unaffordableexp!$A$5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Unaffordableexp!$B$5:$M$5</c:f>
              <c:numCache>
                <c:formatCode>0.0%</c:formatCode>
                <c:ptCount val="12"/>
                <c:pt idx="0">
                  <c:v>8.1308805987785338E-2</c:v>
                </c:pt>
                <c:pt idx="1">
                  <c:v>7.7725877720114689E-2</c:v>
                </c:pt>
                <c:pt idx="2">
                  <c:v>6.2976961137202248E-2</c:v>
                </c:pt>
                <c:pt idx="3">
                  <c:v>7.0559962883112587E-2</c:v>
                </c:pt>
                <c:pt idx="4">
                  <c:v>7.8943828645892819E-2</c:v>
                </c:pt>
                <c:pt idx="5">
                  <c:v>8.2146344396344398E-2</c:v>
                </c:pt>
                <c:pt idx="6">
                  <c:v>6.1961936111285393E-2</c:v>
                </c:pt>
                <c:pt idx="7">
                  <c:v>5.502758559983794E-2</c:v>
                </c:pt>
                <c:pt idx="8">
                  <c:v>6.192113133739998E-2</c:v>
                </c:pt>
                <c:pt idx="9">
                  <c:v>5.9190932981077922E-2</c:v>
                </c:pt>
                <c:pt idx="10">
                  <c:v>4.999611726605406E-2</c:v>
                </c:pt>
                <c:pt idx="11">
                  <c:v>4.5905454759460042E-2</c:v>
                </c:pt>
              </c:numCache>
            </c:numRef>
          </c:val>
          <c:smooth val="0"/>
          <c:extLst>
            <c:ext xmlns:c16="http://schemas.microsoft.com/office/drawing/2014/chart" uri="{C3380CC4-5D6E-409C-BE32-E72D297353CC}">
              <c16:uniqueId val="{00000002-5061-434D-9EDA-CE5B5DE235B7}"/>
            </c:ext>
          </c:extLst>
        </c:ser>
        <c:ser>
          <c:idx val="3"/>
          <c:order val="3"/>
          <c:tx>
            <c:strRef>
              <c:f>Unaffordableexp!$A$6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Unaffordableexp!$B$6:$M$6</c:f>
              <c:numCache>
                <c:formatCode>0.0%</c:formatCode>
                <c:ptCount val="12"/>
                <c:pt idx="0">
                  <c:v>1.2851451723810879E-2</c:v>
                </c:pt>
                <c:pt idx="1">
                  <c:v>2.9974878457630028E-2</c:v>
                </c:pt>
                <c:pt idx="2">
                  <c:v>1.9967338413896026E-2</c:v>
                </c:pt>
                <c:pt idx="3">
                  <c:v>1.9502093592113932E-2</c:v>
                </c:pt>
                <c:pt idx="4">
                  <c:v>2.1182439003663751E-2</c:v>
                </c:pt>
                <c:pt idx="5">
                  <c:v>2.5612218184538092E-2</c:v>
                </c:pt>
                <c:pt idx="6">
                  <c:v>2.4121492473870371E-2</c:v>
                </c:pt>
                <c:pt idx="7">
                  <c:v>1.5918130924575564E-2</c:v>
                </c:pt>
                <c:pt idx="8">
                  <c:v>1.9084124669561258E-2</c:v>
                </c:pt>
                <c:pt idx="9">
                  <c:v>1.6221541894399442E-2</c:v>
                </c:pt>
                <c:pt idx="10">
                  <c:v>1.4115339393576214E-2</c:v>
                </c:pt>
                <c:pt idx="11">
                  <c:v>1.7917349580106934E-2</c:v>
                </c:pt>
              </c:numCache>
            </c:numRef>
          </c:val>
          <c:smooth val="0"/>
          <c:extLst>
            <c:ext xmlns:c16="http://schemas.microsoft.com/office/drawing/2014/chart" uri="{C3380CC4-5D6E-409C-BE32-E72D297353CC}">
              <c16:uniqueId val="{00000003-5061-434D-9EDA-CE5B5DE235B7}"/>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Unaffordableexp!$Q$3:$AB$3</c:f>
              <c:numCache>
                <c:formatCode>0.00%</c:formatCode>
                <c:ptCount val="12"/>
                <c:pt idx="0">
                  <c:v>0.21008880473732905</c:v>
                </c:pt>
                <c:pt idx="1">
                  <c:v>0.20477473090996756</c:v>
                </c:pt>
                <c:pt idx="2">
                  <c:v>0.14259842332488443</c:v>
                </c:pt>
                <c:pt idx="3">
                  <c:v>0.15553589766428358</c:v>
                </c:pt>
                <c:pt idx="4">
                  <c:v>0.15038291388370328</c:v>
                </c:pt>
                <c:pt idx="5">
                  <c:v>0.13052605925601557</c:v>
                </c:pt>
                <c:pt idx="6">
                  <c:v>8.5273138056542741E-2</c:v>
                </c:pt>
                <c:pt idx="7">
                  <c:v>0.1003272280387939</c:v>
                </c:pt>
                <c:pt idx="8">
                  <c:v>0.1009097432457482</c:v>
                </c:pt>
                <c:pt idx="9">
                  <c:v>9.1849171073349362E-2</c:v>
                </c:pt>
                <c:pt idx="10">
                  <c:v>0.15401720717254697</c:v>
                </c:pt>
                <c:pt idx="11">
                  <c:v>9.362995443745141E-2</c:v>
                </c:pt>
              </c:numCache>
            </c:numRef>
          </c:val>
          <c:smooth val="0"/>
          <c:extLst>
            <c:ext xmlns:c16="http://schemas.microsoft.com/office/drawing/2014/chart" uri="{C3380CC4-5D6E-409C-BE32-E72D297353CC}">
              <c16:uniqueId val="{00000000-2F3E-4E16-85CF-78950FD240E7}"/>
            </c:ext>
          </c:extLst>
        </c:ser>
        <c:ser>
          <c:idx val="1"/>
          <c:order val="1"/>
          <c:tx>
            <c:strRef>
              <c:f>Unaffordableexp!$P$4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Unaffordableexp!$Q$4:$AB$4</c:f>
              <c:numCache>
                <c:formatCode>0.0%</c:formatCode>
                <c:ptCount val="12"/>
                <c:pt idx="0">
                  <c:v>5.7710208733398938E-2</c:v>
                </c:pt>
                <c:pt idx="1">
                  <c:v>7.2563007476901809E-2</c:v>
                </c:pt>
                <c:pt idx="2">
                  <c:v>4.514047268273999E-2</c:v>
                </c:pt>
                <c:pt idx="3">
                  <c:v>4.5225478868035018E-2</c:v>
                </c:pt>
                <c:pt idx="4">
                  <c:v>6.3243555150663405E-2</c:v>
                </c:pt>
                <c:pt idx="5">
                  <c:v>5.6406679722505487E-2</c:v>
                </c:pt>
                <c:pt idx="6">
                  <c:v>3.6679143011774065E-2</c:v>
                </c:pt>
                <c:pt idx="7">
                  <c:v>2.9836376514656645E-2</c:v>
                </c:pt>
                <c:pt idx="8">
                  <c:v>4.1143290047725156E-2</c:v>
                </c:pt>
                <c:pt idx="9">
                  <c:v>2.9501209763976199E-2</c:v>
                </c:pt>
                <c:pt idx="10">
                  <c:v>5.3319273921387821E-2</c:v>
                </c:pt>
                <c:pt idx="11">
                  <c:v>3.377914617089834E-2</c:v>
                </c:pt>
              </c:numCache>
            </c:numRef>
          </c:val>
          <c:smooth val="0"/>
          <c:extLst>
            <c:ext xmlns:c16="http://schemas.microsoft.com/office/drawing/2014/chart" uri="{C3380CC4-5D6E-409C-BE32-E72D297353CC}">
              <c16:uniqueId val="{00000001-2F3E-4E16-85CF-78950FD240E7}"/>
            </c:ext>
          </c:extLst>
        </c:ser>
        <c:ser>
          <c:idx val="2"/>
          <c:order val="2"/>
          <c:tx>
            <c:strRef>
              <c:f>Unaffordableexp!$P$5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Unaffordableexp!$Q$5:$AB$5</c:f>
              <c:numCache>
                <c:formatCode>0.0%</c:formatCode>
                <c:ptCount val="12"/>
                <c:pt idx="0">
                  <c:v>3.5114369670513165E-2</c:v>
                </c:pt>
                <c:pt idx="1">
                  <c:v>3.5830949711840906E-2</c:v>
                </c:pt>
                <c:pt idx="2">
                  <c:v>2.4546583274681913E-2</c:v>
                </c:pt>
                <c:pt idx="3">
                  <c:v>2.0955506206112494E-2</c:v>
                </c:pt>
                <c:pt idx="4">
                  <c:v>2.5703281180823684E-2</c:v>
                </c:pt>
                <c:pt idx="5">
                  <c:v>2.1433586796219827E-2</c:v>
                </c:pt>
                <c:pt idx="6">
                  <c:v>1.6716505671531039E-2</c:v>
                </c:pt>
                <c:pt idx="7">
                  <c:v>1.6232973397408798E-2</c:v>
                </c:pt>
                <c:pt idx="8">
                  <c:v>1.6729586878428515E-2</c:v>
                </c:pt>
                <c:pt idx="9">
                  <c:v>1.7503519486485916E-2</c:v>
                </c:pt>
                <c:pt idx="10">
                  <c:v>1.9081993594381088E-2</c:v>
                </c:pt>
                <c:pt idx="11">
                  <c:v>4.4988088693421295E-3</c:v>
                </c:pt>
              </c:numCache>
            </c:numRef>
          </c:val>
          <c:smooth val="0"/>
          <c:extLst>
            <c:ext xmlns:c16="http://schemas.microsoft.com/office/drawing/2014/chart" uri="{C3380CC4-5D6E-409C-BE32-E72D297353CC}">
              <c16:uniqueId val="{00000002-2F3E-4E16-85CF-78950FD240E7}"/>
            </c:ext>
          </c:extLst>
        </c:ser>
        <c:ser>
          <c:idx val="3"/>
          <c:order val="3"/>
          <c:tx>
            <c:strRef>
              <c:f>Unaffordableexp!$P$6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Unaffordableexp!$Q$6:$AB$6</c:f>
              <c:numCache>
                <c:formatCode>0.0%</c:formatCode>
                <c:ptCount val="12"/>
                <c:pt idx="0">
                  <c:v>1.9166810976146274E-2</c:v>
                </c:pt>
                <c:pt idx="1">
                  <c:v>9.5822565967842895E-3</c:v>
                </c:pt>
                <c:pt idx="2">
                  <c:v>4.7415904091377831E-3</c:v>
                </c:pt>
                <c:pt idx="3">
                  <c:v>2.7772461359602488E-3</c:v>
                </c:pt>
                <c:pt idx="4">
                  <c:v>1.874139887491248E-3</c:v>
                </c:pt>
                <c:pt idx="5">
                  <c:v>9.1480256394558569E-3</c:v>
                </c:pt>
                <c:pt idx="6">
                  <c:v>3.4457311534968208E-3</c:v>
                </c:pt>
                <c:pt idx="7">
                  <c:v>6.3131313131313137E-4</c:v>
                </c:pt>
                <c:pt idx="8">
                  <c:v>0</c:v>
                </c:pt>
                <c:pt idx="9">
                  <c:v>2.1001771001771001E-3</c:v>
                </c:pt>
                <c:pt idx="10">
                  <c:v>1.7212978763746683E-3</c:v>
                </c:pt>
                <c:pt idx="11">
                  <c:v>0</c:v>
                </c:pt>
              </c:numCache>
            </c:numRef>
          </c:val>
          <c:smooth val="0"/>
          <c:extLst>
            <c:ext xmlns:c16="http://schemas.microsoft.com/office/drawing/2014/chart" uri="{C3380CC4-5D6E-409C-BE32-E72D297353CC}">
              <c16:uniqueId val="{00000003-2F3E-4E16-85CF-78950FD240E7}"/>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7394502333915"/>
          <c:y val="4.2145593869731802E-2"/>
          <c:w val="0.83471387932795826"/>
          <c:h val="0.66650013575889222"/>
        </c:manualLayout>
      </c:layout>
      <c:lineChart>
        <c:grouping val="standard"/>
        <c:varyColors val="0"/>
        <c:ser>
          <c:idx val="0"/>
          <c:order val="0"/>
          <c:tx>
            <c:v>Foreign Currency</c:v>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strRef>
              <c:f>'Domestic and Foreign loans10-15'!$B$1:$BR$1</c:f>
              <c:strCache>
                <c:ptCount val="69"/>
                <c:pt idx="0">
                  <c:v>Jan-10</c:v>
                </c:pt>
                <c:pt idx="1">
                  <c:v>Feb-10</c:v>
                </c:pt>
                <c:pt idx="2">
                  <c:v>Mar-10</c:v>
                </c:pt>
                <c:pt idx="3">
                  <c:v>Apr-10</c:v>
                </c:pt>
                <c:pt idx="4">
                  <c:v>May-10</c:v>
                </c:pt>
                <c:pt idx="5">
                  <c:v>Jun-10</c:v>
                </c:pt>
                <c:pt idx="6">
                  <c:v>0/31/2010</c:v>
                </c:pt>
                <c:pt idx="7">
                  <c:v>Aug-10</c:v>
                </c:pt>
                <c:pt idx="8">
                  <c:v>Sep-10</c:v>
                </c:pt>
                <c:pt idx="9">
                  <c:v>Oct-10</c:v>
                </c:pt>
                <c:pt idx="10">
                  <c:v>Nov-10</c:v>
                </c:pt>
                <c:pt idx="11">
                  <c:v>Dec-10</c:v>
                </c:pt>
                <c:pt idx="12">
                  <c:v>Jan-11</c:v>
                </c:pt>
                <c:pt idx="13">
                  <c:v>Feb-11</c:v>
                </c:pt>
                <c:pt idx="14">
                  <c:v>Mar-11</c:v>
                </c:pt>
                <c:pt idx="15">
                  <c:v>Apr-11</c:v>
                </c:pt>
                <c:pt idx="16">
                  <c:v>May-11</c:v>
                </c:pt>
                <c:pt idx="17">
                  <c:v>Jun-11</c:v>
                </c:pt>
                <c:pt idx="18">
                  <c:v>Jul-11</c:v>
                </c:pt>
                <c:pt idx="19">
                  <c:v>Aug-11</c:v>
                </c:pt>
                <c:pt idx="20">
                  <c:v>Sep-11</c:v>
                </c:pt>
                <c:pt idx="21">
                  <c:v>Oct-11</c:v>
                </c:pt>
                <c:pt idx="22">
                  <c:v>Nov-11</c:v>
                </c:pt>
                <c:pt idx="23">
                  <c:v>Dec-11</c:v>
                </c:pt>
                <c:pt idx="24">
                  <c:v>Jan-12</c:v>
                </c:pt>
                <c:pt idx="25">
                  <c:v>Feb-12</c:v>
                </c:pt>
                <c:pt idx="26">
                  <c:v>Mar-12</c:v>
                </c:pt>
                <c:pt idx="27">
                  <c:v>Apr-12</c:v>
                </c:pt>
                <c:pt idx="28">
                  <c:v>May-12</c:v>
                </c:pt>
                <c:pt idx="29">
                  <c:v>Jun-12</c:v>
                </c:pt>
                <c:pt idx="30">
                  <c:v>Jul-12</c:v>
                </c:pt>
                <c:pt idx="31">
                  <c:v>Aug-12</c:v>
                </c:pt>
                <c:pt idx="32">
                  <c:v>Sep-12</c:v>
                </c:pt>
                <c:pt idx="33">
                  <c:v>Oct-12</c:v>
                </c:pt>
                <c:pt idx="34">
                  <c:v>Nov-12</c:v>
                </c:pt>
                <c:pt idx="35">
                  <c:v>Dec-12</c:v>
                </c:pt>
                <c:pt idx="36">
                  <c:v>Jan-13</c:v>
                </c:pt>
                <c:pt idx="37">
                  <c:v>Feb-13</c:v>
                </c:pt>
                <c:pt idx="38">
                  <c:v>Mar-13</c:v>
                </c:pt>
                <c:pt idx="39">
                  <c:v>Apr-13</c:v>
                </c:pt>
                <c:pt idx="40">
                  <c:v>May-13</c:v>
                </c:pt>
                <c:pt idx="41">
                  <c:v>Jun-13</c:v>
                </c:pt>
                <c:pt idx="42">
                  <c:v>Jul-13</c:v>
                </c:pt>
                <c:pt idx="43">
                  <c:v>Aug-13</c:v>
                </c:pt>
                <c:pt idx="44">
                  <c:v>Sep-13</c:v>
                </c:pt>
                <c:pt idx="45">
                  <c:v>Oct-13</c:v>
                </c:pt>
                <c:pt idx="46">
                  <c:v>Nov-13</c:v>
                </c:pt>
                <c:pt idx="47">
                  <c:v>Dec-13</c:v>
                </c:pt>
                <c:pt idx="48">
                  <c:v>Jan-14</c:v>
                </c:pt>
                <c:pt idx="49">
                  <c:v>Feb-14</c:v>
                </c:pt>
                <c:pt idx="50">
                  <c:v>Mar-14</c:v>
                </c:pt>
                <c:pt idx="51">
                  <c:v>Apr-14</c:v>
                </c:pt>
                <c:pt idx="52">
                  <c:v>May-14</c:v>
                </c:pt>
                <c:pt idx="53">
                  <c:v>Jun-14</c:v>
                </c:pt>
                <c:pt idx="54">
                  <c:v>Jul-14</c:v>
                </c:pt>
                <c:pt idx="55">
                  <c:v>Aug-14</c:v>
                </c:pt>
                <c:pt idx="56">
                  <c:v>Sep-14</c:v>
                </c:pt>
                <c:pt idx="57">
                  <c:v>Oct-14</c:v>
                </c:pt>
                <c:pt idx="58">
                  <c:v>Nov-14</c:v>
                </c:pt>
                <c:pt idx="59">
                  <c:v>Dec-14</c:v>
                </c:pt>
                <c:pt idx="60">
                  <c:v>Jan-15</c:v>
                </c:pt>
                <c:pt idx="61">
                  <c:v>Feb-15</c:v>
                </c:pt>
                <c:pt idx="62">
                  <c:v>Mar-15</c:v>
                </c:pt>
                <c:pt idx="63">
                  <c:v>Apr-15</c:v>
                </c:pt>
                <c:pt idx="64">
                  <c:v>May-15</c:v>
                </c:pt>
                <c:pt idx="65">
                  <c:v>Jun-15</c:v>
                </c:pt>
                <c:pt idx="66">
                  <c:v>Jul-15</c:v>
                </c:pt>
                <c:pt idx="67">
                  <c:v>Aug-15</c:v>
                </c:pt>
                <c:pt idx="68">
                  <c:v>Sep-15</c:v>
                </c:pt>
              </c:strCache>
            </c:strRef>
          </c:cat>
          <c:val>
            <c:numRef>
              <c:f>'Domestic and Foreign loans10-15'!$B$3:$BR$3</c:f>
              <c:numCache>
                <c:formatCode>0.0%</c:formatCode>
                <c:ptCount val="69"/>
                <c:pt idx="0">
                  <c:v>0.16240825424142724</c:v>
                </c:pt>
                <c:pt idx="1">
                  <c:v>0.16331070542549325</c:v>
                </c:pt>
                <c:pt idx="2">
                  <c:v>0.15549638566410173</c:v>
                </c:pt>
                <c:pt idx="3">
                  <c:v>0.1470704196751908</c:v>
                </c:pt>
                <c:pt idx="4">
                  <c:v>0.15233520855641694</c:v>
                </c:pt>
                <c:pt idx="5">
                  <c:v>0.14390600920832874</c:v>
                </c:pt>
                <c:pt idx="6">
                  <c:v>0.14083050033413166</c:v>
                </c:pt>
                <c:pt idx="7">
                  <c:v>0.14850886898363036</c:v>
                </c:pt>
                <c:pt idx="8">
                  <c:v>0.1420848373217404</c:v>
                </c:pt>
                <c:pt idx="9">
                  <c:v>0.13902484905173931</c:v>
                </c:pt>
                <c:pt idx="10">
                  <c:v>0.14383322588171205</c:v>
                </c:pt>
                <c:pt idx="11">
                  <c:v>0.11783151083940205</c:v>
                </c:pt>
                <c:pt idx="12">
                  <c:v>0.11915490994637992</c:v>
                </c:pt>
                <c:pt idx="13">
                  <c:v>0.12436198531655519</c:v>
                </c:pt>
                <c:pt idx="14">
                  <c:v>0.12881763023661161</c:v>
                </c:pt>
                <c:pt idx="15">
                  <c:v>0.12001335957421697</c:v>
                </c:pt>
                <c:pt idx="16">
                  <c:v>0.12250110146064973</c:v>
                </c:pt>
                <c:pt idx="17">
                  <c:v>0.12279121083657905</c:v>
                </c:pt>
                <c:pt idx="18">
                  <c:v>0.11592074506335011</c:v>
                </c:pt>
                <c:pt idx="19">
                  <c:v>0.12036286576813587</c:v>
                </c:pt>
                <c:pt idx="20">
                  <c:v>0.12208265030807192</c:v>
                </c:pt>
                <c:pt idx="21">
                  <c:v>0.12507974001144842</c:v>
                </c:pt>
                <c:pt idx="22">
                  <c:v>0.13024998073847496</c:v>
                </c:pt>
                <c:pt idx="23">
                  <c:v>0.1360535517864499</c:v>
                </c:pt>
                <c:pt idx="24">
                  <c:v>0.13519083694559803</c:v>
                </c:pt>
                <c:pt idx="25">
                  <c:v>0.1382717791666245</c:v>
                </c:pt>
                <c:pt idx="26">
                  <c:v>0.14197298563534719</c:v>
                </c:pt>
                <c:pt idx="27">
                  <c:v>0.14017396361892712</c:v>
                </c:pt>
                <c:pt idx="28">
                  <c:v>0.13410593234373125</c:v>
                </c:pt>
                <c:pt idx="29">
                  <c:v>0.13694175702390443</c:v>
                </c:pt>
                <c:pt idx="30">
                  <c:v>0.13636294083037628</c:v>
                </c:pt>
                <c:pt idx="31">
                  <c:v>0.13258999931588181</c:v>
                </c:pt>
                <c:pt idx="32">
                  <c:v>0.12313812742922732</c:v>
                </c:pt>
                <c:pt idx="33">
                  <c:v>0.12216657565448394</c:v>
                </c:pt>
                <c:pt idx="34">
                  <c:v>0.1221432927301538</c:v>
                </c:pt>
                <c:pt idx="35">
                  <c:v>0.12255699785819009</c:v>
                </c:pt>
                <c:pt idx="36">
                  <c:v>0.12513845967388657</c:v>
                </c:pt>
                <c:pt idx="37">
                  <c:v>0.121</c:v>
                </c:pt>
                <c:pt idx="38">
                  <c:v>0.12114434954451279</c:v>
                </c:pt>
                <c:pt idx="39">
                  <c:v>0.11876385547076664</c:v>
                </c:pt>
                <c:pt idx="40">
                  <c:v>0.11757315363673954</c:v>
                </c:pt>
                <c:pt idx="41">
                  <c:v>0.11772534213083853</c:v>
                </c:pt>
                <c:pt idx="42">
                  <c:v>0.11972582010909344</c:v>
                </c:pt>
                <c:pt idx="43">
                  <c:v>0.11770422043677618</c:v>
                </c:pt>
                <c:pt idx="44">
                  <c:v>0.11914058238961799</c:v>
                </c:pt>
                <c:pt idx="45">
                  <c:v>0.11562495637590772</c:v>
                </c:pt>
                <c:pt idx="46">
                  <c:v>0.10620336681035078</c:v>
                </c:pt>
                <c:pt idx="47">
                  <c:v>0.10364029340701411</c:v>
                </c:pt>
                <c:pt idx="48">
                  <c:v>0.11054100528944329</c:v>
                </c:pt>
                <c:pt idx="49">
                  <c:v>0.10719268299263636</c:v>
                </c:pt>
                <c:pt idx="50">
                  <c:v>0.109018823265864</c:v>
                </c:pt>
                <c:pt idx="51">
                  <c:v>0.1040099333587234</c:v>
                </c:pt>
                <c:pt idx="52">
                  <c:v>0.10497237430011078</c:v>
                </c:pt>
                <c:pt idx="53">
                  <c:v>0.10265623850501136</c:v>
                </c:pt>
                <c:pt idx="54">
                  <c:v>0.10264333472957571</c:v>
                </c:pt>
                <c:pt idx="55">
                  <c:v>0.10210171797703262</c:v>
                </c:pt>
                <c:pt idx="56">
                  <c:v>9.7083526338228074E-2</c:v>
                </c:pt>
                <c:pt idx="57">
                  <c:v>9.6705533146238545E-2</c:v>
                </c:pt>
                <c:pt idx="58">
                  <c:v>9.6045266739369903E-2</c:v>
                </c:pt>
                <c:pt idx="59">
                  <c:v>9.4452000574924047E-2</c:v>
                </c:pt>
                <c:pt idx="60">
                  <c:v>9.5908381724339423E-2</c:v>
                </c:pt>
                <c:pt idx="61">
                  <c:v>9.5787648007356743E-2</c:v>
                </c:pt>
                <c:pt idx="62">
                  <c:v>9.9109131605831749E-2</c:v>
                </c:pt>
                <c:pt idx="63">
                  <c:v>0.10053127944774222</c:v>
                </c:pt>
                <c:pt idx="64">
                  <c:v>0.10036151690669713</c:v>
                </c:pt>
                <c:pt idx="65">
                  <c:v>9.9326397949511008E-2</c:v>
                </c:pt>
                <c:pt idx="66">
                  <c:v>9.9376614828288926E-2</c:v>
                </c:pt>
                <c:pt idx="67">
                  <c:v>9.7345519758008633E-2</c:v>
                </c:pt>
                <c:pt idx="68">
                  <c:v>9.5298632952758117E-2</c:v>
                </c:pt>
              </c:numCache>
            </c:numRef>
          </c:val>
          <c:smooth val="0"/>
          <c:extLst>
            <c:ext xmlns:c16="http://schemas.microsoft.com/office/drawing/2014/chart" uri="{C3380CC4-5D6E-409C-BE32-E72D297353CC}">
              <c16:uniqueId val="{00000001-CA66-4540-A3E4-73271E13068B}"/>
            </c:ext>
          </c:extLst>
        </c:ser>
        <c:dLbls>
          <c:showLegendKey val="0"/>
          <c:showVal val="0"/>
          <c:showCatName val="0"/>
          <c:showSerName val="0"/>
          <c:showPercent val="0"/>
          <c:showBubbleSize val="0"/>
        </c:dLbls>
        <c:smooth val="0"/>
        <c:axId val="1804778016"/>
        <c:axId val="1804791072"/>
      </c:lineChart>
      <c:catAx>
        <c:axId val="18047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91072"/>
        <c:crosses val="autoZero"/>
        <c:auto val="1"/>
        <c:lblAlgn val="ctr"/>
        <c:lblOffset val="100"/>
        <c:noMultiLvlLbl val="0"/>
      </c:catAx>
      <c:valAx>
        <c:axId val="1804791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7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Unaffordablerent!$A$3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Unaffordablerent!$B$3:$M$3</c:f>
              <c:numCache>
                <c:formatCode>0.0%</c:formatCode>
                <c:ptCount val="12"/>
                <c:pt idx="0">
                  <c:v>1.903961990323513E-2</c:v>
                </c:pt>
                <c:pt idx="1">
                  <c:v>2.2367276562178483E-2</c:v>
                </c:pt>
                <c:pt idx="2">
                  <c:v>2.8039683084593127E-2</c:v>
                </c:pt>
                <c:pt idx="3">
                  <c:v>2.6760623093787517E-2</c:v>
                </c:pt>
                <c:pt idx="4">
                  <c:v>3.4092018127235862E-2</c:v>
                </c:pt>
                <c:pt idx="5">
                  <c:v>2.4277927348692441E-2</c:v>
                </c:pt>
                <c:pt idx="6">
                  <c:v>2.3123983202587396E-2</c:v>
                </c:pt>
                <c:pt idx="7">
                  <c:v>2.4255981042468209E-2</c:v>
                </c:pt>
                <c:pt idx="8">
                  <c:v>1.7262709199561813E-2</c:v>
                </c:pt>
                <c:pt idx="9">
                  <c:v>2.6016442063822715E-2</c:v>
                </c:pt>
                <c:pt idx="10">
                  <c:v>2.0360097595936141E-2</c:v>
                </c:pt>
                <c:pt idx="11">
                  <c:v>2.3273850377926043E-2</c:v>
                </c:pt>
              </c:numCache>
            </c:numRef>
          </c:val>
          <c:smooth val="0"/>
          <c:extLst>
            <c:ext xmlns:c16="http://schemas.microsoft.com/office/drawing/2014/chart" uri="{C3380CC4-5D6E-409C-BE32-E72D297353CC}">
              <c16:uniqueId val="{00000000-E33F-4DB5-93EE-74A6DE650CD1}"/>
            </c:ext>
          </c:extLst>
        </c:ser>
        <c:ser>
          <c:idx val="1"/>
          <c:order val="1"/>
          <c:tx>
            <c:strRef>
              <c:f>Unaffordablerent!$A$4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Unaffordablerent!$B$4:$M$4</c:f>
              <c:numCache>
                <c:formatCode>0.0%</c:formatCode>
                <c:ptCount val="12"/>
                <c:pt idx="0">
                  <c:v>1.1037602601002026E-2</c:v>
                </c:pt>
                <c:pt idx="1">
                  <c:v>3.1243894065755864E-2</c:v>
                </c:pt>
                <c:pt idx="2">
                  <c:v>2.0714089790296718E-2</c:v>
                </c:pt>
                <c:pt idx="3">
                  <c:v>2.0006054450398141E-2</c:v>
                </c:pt>
                <c:pt idx="4">
                  <c:v>1.5261925232637356E-2</c:v>
                </c:pt>
                <c:pt idx="5">
                  <c:v>1.7002252797707344E-2</c:v>
                </c:pt>
                <c:pt idx="6">
                  <c:v>1.7093749759398841E-2</c:v>
                </c:pt>
                <c:pt idx="7">
                  <c:v>1.7791277602137098E-2</c:v>
                </c:pt>
                <c:pt idx="8">
                  <c:v>6.6319948395420093E-3</c:v>
                </c:pt>
                <c:pt idx="9">
                  <c:v>1.907962583259527E-2</c:v>
                </c:pt>
                <c:pt idx="10">
                  <c:v>1.2506065784754309E-2</c:v>
                </c:pt>
                <c:pt idx="11">
                  <c:v>4.4201445268441636E-2</c:v>
                </c:pt>
              </c:numCache>
            </c:numRef>
          </c:val>
          <c:smooth val="0"/>
          <c:extLst>
            <c:ext xmlns:c16="http://schemas.microsoft.com/office/drawing/2014/chart" uri="{C3380CC4-5D6E-409C-BE32-E72D297353CC}">
              <c16:uniqueId val="{00000001-E33F-4DB5-93EE-74A6DE650CD1}"/>
            </c:ext>
          </c:extLst>
        </c:ser>
        <c:ser>
          <c:idx val="2"/>
          <c:order val="2"/>
          <c:tx>
            <c:strRef>
              <c:f>Unaffordablerent!$A$5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Unaffordablerent!$B$5:$M$5</c:f>
              <c:numCache>
                <c:formatCode>0.0%</c:formatCode>
                <c:ptCount val="12"/>
                <c:pt idx="0">
                  <c:v>5.434782608695652E-3</c:v>
                </c:pt>
                <c:pt idx="1">
                  <c:v>2.3714539007092195E-2</c:v>
                </c:pt>
                <c:pt idx="2">
                  <c:v>1.2469314222363005E-2</c:v>
                </c:pt>
                <c:pt idx="3">
                  <c:v>2.9400531084714465E-2</c:v>
                </c:pt>
                <c:pt idx="4">
                  <c:v>2.8968253968253969E-2</c:v>
                </c:pt>
                <c:pt idx="5">
                  <c:v>1.8445121951219515E-2</c:v>
                </c:pt>
                <c:pt idx="6">
                  <c:v>5.3191489361702126E-3</c:v>
                </c:pt>
                <c:pt idx="7">
                  <c:v>5.681818181818182E-3</c:v>
                </c:pt>
                <c:pt idx="8">
                  <c:v>1.1054421768707481E-2</c:v>
                </c:pt>
                <c:pt idx="9">
                  <c:v>1.550751879699248E-2</c:v>
                </c:pt>
                <c:pt idx="10">
                  <c:v>2.5852246832558563E-2</c:v>
                </c:pt>
                <c:pt idx="11">
                  <c:v>4.9712012615038263E-2</c:v>
                </c:pt>
              </c:numCache>
            </c:numRef>
          </c:val>
          <c:smooth val="0"/>
          <c:extLst>
            <c:ext xmlns:c16="http://schemas.microsoft.com/office/drawing/2014/chart" uri="{C3380CC4-5D6E-409C-BE32-E72D297353CC}">
              <c16:uniqueId val="{00000002-E33F-4DB5-93EE-74A6DE650CD1}"/>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6.0000000000000012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Unaffordablerent!$P$3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Unaffordablerent!$Q$3:$AB$3</c:f>
              <c:numCache>
                <c:formatCode>0.00%</c:formatCode>
                <c:ptCount val="12"/>
                <c:pt idx="0">
                  <c:v>8.2430498775048818E-3</c:v>
                </c:pt>
                <c:pt idx="1">
                  <c:v>2.9649414119130172E-3</c:v>
                </c:pt>
                <c:pt idx="2">
                  <c:v>3.8884041611429391E-3</c:v>
                </c:pt>
                <c:pt idx="3">
                  <c:v>2.7275961256041214E-3</c:v>
                </c:pt>
                <c:pt idx="4">
                  <c:v>1.4337258410362179E-3</c:v>
                </c:pt>
                <c:pt idx="5">
                  <c:v>5.3607282693586935E-4</c:v>
                </c:pt>
                <c:pt idx="6">
                  <c:v>5.290482154731125E-4</c:v>
                </c:pt>
                <c:pt idx="7">
                  <c:v>8.8124843597597185E-4</c:v>
                </c:pt>
                <c:pt idx="8">
                  <c:v>1.2366485951482891E-3</c:v>
                </c:pt>
                <c:pt idx="9">
                  <c:v>9.0413661568321084E-4</c:v>
                </c:pt>
                <c:pt idx="10">
                  <c:v>3.1085129885941726E-3</c:v>
                </c:pt>
                <c:pt idx="11">
                  <c:v>8.8056864276542886E-4</c:v>
                </c:pt>
              </c:numCache>
            </c:numRef>
          </c:val>
          <c:smooth val="0"/>
          <c:extLst>
            <c:ext xmlns:c16="http://schemas.microsoft.com/office/drawing/2014/chart" uri="{C3380CC4-5D6E-409C-BE32-E72D297353CC}">
              <c16:uniqueId val="{00000000-D8C5-46A6-8BA5-7F07EEA0B0AB}"/>
            </c:ext>
          </c:extLst>
        </c:ser>
        <c:ser>
          <c:idx val="1"/>
          <c:order val="1"/>
          <c:tx>
            <c:strRef>
              <c:f>Unaffordablerent!$P$4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Unaffordablerent!$Q$4:$AB$4</c:f>
              <c:numCache>
                <c:formatCode>0.0%</c:formatCode>
                <c:ptCount val="12"/>
                <c:pt idx="0">
                  <c:v>2.5951557093425604E-3</c:v>
                </c:pt>
                <c:pt idx="1">
                  <c:v>3.8887693631669538E-3</c:v>
                </c:pt>
                <c:pt idx="2">
                  <c:v>7.623896132360742E-3</c:v>
                </c:pt>
                <c:pt idx="3">
                  <c:v>1.3355009878667759E-2</c:v>
                </c:pt>
                <c:pt idx="4">
                  <c:v>8.6805555555555551E-4</c:v>
                </c:pt>
                <c:pt idx="5">
                  <c:v>2.9336734693877551E-3</c:v>
                </c:pt>
                <c:pt idx="6">
                  <c:v>9.8039215686274508E-4</c:v>
                </c:pt>
                <c:pt idx="7">
                  <c:v>0</c:v>
                </c:pt>
                <c:pt idx="8">
                  <c:v>9.0909090909090909E-4</c:v>
                </c:pt>
                <c:pt idx="9">
                  <c:v>0</c:v>
                </c:pt>
                <c:pt idx="10">
                  <c:v>5.125518714819836E-3</c:v>
                </c:pt>
                <c:pt idx="11">
                  <c:v>1.2820512820512821E-3</c:v>
                </c:pt>
              </c:numCache>
            </c:numRef>
          </c:val>
          <c:smooth val="0"/>
          <c:extLst>
            <c:ext xmlns:c16="http://schemas.microsoft.com/office/drawing/2014/chart" uri="{C3380CC4-5D6E-409C-BE32-E72D297353CC}">
              <c16:uniqueId val="{00000001-D8C5-46A6-8BA5-7F07EEA0B0AB}"/>
            </c:ext>
          </c:extLst>
        </c:ser>
        <c:ser>
          <c:idx val="2"/>
          <c:order val="2"/>
          <c:tx>
            <c:strRef>
              <c:f>Unaffordablerent!$P$5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Unaffordablerent!$Q$5:$AB$5</c:f>
              <c:numCache>
                <c:formatCode>0.0%</c:formatCode>
                <c:ptCount val="12"/>
                <c:pt idx="0">
                  <c:v>6.9444444444444441E-3</c:v>
                </c:pt>
                <c:pt idx="1">
                  <c:v>6.285355122564425E-3</c:v>
                </c:pt>
                <c:pt idx="2">
                  <c:v>7.3027718550106608E-3</c:v>
                </c:pt>
                <c:pt idx="3">
                  <c:v>2.717391304347826E-3</c:v>
                </c:pt>
                <c:pt idx="4">
                  <c:v>0</c:v>
                </c:pt>
                <c:pt idx="5">
                  <c:v>0</c:v>
                </c:pt>
                <c:pt idx="6">
                  <c:v>0</c:v>
                </c:pt>
                <c:pt idx="7">
                  <c:v>0</c:v>
                </c:pt>
                <c:pt idx="8">
                  <c:v>0</c:v>
                </c:pt>
                <c:pt idx="9">
                  <c:v>0.01</c:v>
                </c:pt>
                <c:pt idx="10">
                  <c:v>1.2379227053140096E-2</c:v>
                </c:pt>
                <c:pt idx="11">
                  <c:v>0</c:v>
                </c:pt>
              </c:numCache>
            </c:numRef>
          </c:val>
          <c:smooth val="0"/>
          <c:extLst>
            <c:ext xmlns:c16="http://schemas.microsoft.com/office/drawing/2014/chart" uri="{C3380CC4-5D6E-409C-BE32-E72D297353CC}">
              <c16:uniqueId val="{00000002-D8C5-46A6-8BA5-7F07EEA0B0AB}"/>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6.0000000000000012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Unaffordableexp!$A$3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Unaffordableexp!$B$3:$M$3</c:f>
              <c:numCache>
                <c:formatCode>0.0%</c:formatCode>
                <c:ptCount val="12"/>
                <c:pt idx="0">
                  <c:v>0.13179861969342366</c:v>
                </c:pt>
                <c:pt idx="1">
                  <c:v>0.1313881620110853</c:v>
                </c:pt>
                <c:pt idx="2">
                  <c:v>0.11966546676647062</c:v>
                </c:pt>
                <c:pt idx="3">
                  <c:v>0.11110483117156547</c:v>
                </c:pt>
                <c:pt idx="4">
                  <c:v>0.13130011331439634</c:v>
                </c:pt>
                <c:pt idx="5">
                  <c:v>0.12474039855347993</c:v>
                </c:pt>
                <c:pt idx="6">
                  <c:v>7.4440292321484039E-2</c:v>
                </c:pt>
                <c:pt idx="7">
                  <c:v>6.34170099480382E-2</c:v>
                </c:pt>
                <c:pt idx="8">
                  <c:v>6.2033118804845043E-2</c:v>
                </c:pt>
                <c:pt idx="9">
                  <c:v>6.340084713008512E-2</c:v>
                </c:pt>
                <c:pt idx="10">
                  <c:v>8.1851669953402872E-2</c:v>
                </c:pt>
                <c:pt idx="11">
                  <c:v>6.4722125830145028E-2</c:v>
                </c:pt>
              </c:numCache>
            </c:numRef>
          </c:val>
          <c:smooth val="0"/>
          <c:extLst>
            <c:ext xmlns:c16="http://schemas.microsoft.com/office/drawing/2014/chart" uri="{C3380CC4-5D6E-409C-BE32-E72D297353CC}">
              <c16:uniqueId val="{00000000-0C45-4D3C-8408-E1FBBEB3F512}"/>
            </c:ext>
          </c:extLst>
        </c:ser>
        <c:ser>
          <c:idx val="1"/>
          <c:order val="1"/>
          <c:tx>
            <c:strRef>
              <c:f>Unaffordableexp!$A$4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Unaffordableexp!$B$4:$M$4</c:f>
              <c:numCache>
                <c:formatCode>0.00%</c:formatCode>
                <c:ptCount val="12"/>
                <c:pt idx="0">
                  <c:v>0.21329810459767287</c:v>
                </c:pt>
                <c:pt idx="1">
                  <c:v>0.2165155900409069</c:v>
                </c:pt>
                <c:pt idx="2">
                  <c:v>0.17849799344496398</c:v>
                </c:pt>
                <c:pt idx="3">
                  <c:v>0.15705817523310431</c:v>
                </c:pt>
                <c:pt idx="4">
                  <c:v>0.16690443643484076</c:v>
                </c:pt>
                <c:pt idx="5">
                  <c:v>0.18932077514372236</c:v>
                </c:pt>
                <c:pt idx="6">
                  <c:v>0.12843689381171799</c:v>
                </c:pt>
                <c:pt idx="7">
                  <c:v>7.6083560032350561E-2</c:v>
                </c:pt>
                <c:pt idx="8">
                  <c:v>8.4593261825874011E-2</c:v>
                </c:pt>
                <c:pt idx="9">
                  <c:v>7.3592322531332272E-2</c:v>
                </c:pt>
                <c:pt idx="10">
                  <c:v>0.11051174124944617</c:v>
                </c:pt>
                <c:pt idx="11">
                  <c:v>7.9874328115595472E-2</c:v>
                </c:pt>
              </c:numCache>
            </c:numRef>
          </c:val>
          <c:smooth val="0"/>
          <c:extLst>
            <c:ext xmlns:c16="http://schemas.microsoft.com/office/drawing/2014/chart" uri="{C3380CC4-5D6E-409C-BE32-E72D297353CC}">
              <c16:uniqueId val="{00000001-0C45-4D3C-8408-E1FBBEB3F512}"/>
            </c:ext>
          </c:extLst>
        </c:ser>
        <c:ser>
          <c:idx val="2"/>
          <c:order val="2"/>
          <c:tx>
            <c:strRef>
              <c:f>Unaffordableexp!$A$5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Unaffordableexp!$B$5:$M$5</c:f>
              <c:numCache>
                <c:formatCode>0.0%</c:formatCode>
                <c:ptCount val="12"/>
                <c:pt idx="0">
                  <c:v>0.11250456448707338</c:v>
                </c:pt>
                <c:pt idx="1">
                  <c:v>0.14697473404255318</c:v>
                </c:pt>
                <c:pt idx="2">
                  <c:v>0.12514751839712074</c:v>
                </c:pt>
                <c:pt idx="3">
                  <c:v>0.12166261210861656</c:v>
                </c:pt>
                <c:pt idx="4">
                  <c:v>0.11054107391316692</c:v>
                </c:pt>
                <c:pt idx="5">
                  <c:v>7.674235861211072E-2</c:v>
                </c:pt>
                <c:pt idx="6">
                  <c:v>6.0960977881956965E-2</c:v>
                </c:pt>
                <c:pt idx="7">
                  <c:v>3.9163755859913593E-2</c:v>
                </c:pt>
                <c:pt idx="8">
                  <c:v>5.9889713461142038E-2</c:v>
                </c:pt>
                <c:pt idx="9">
                  <c:v>6.9249829118250172E-2</c:v>
                </c:pt>
                <c:pt idx="10">
                  <c:v>6.8384832740862267E-2</c:v>
                </c:pt>
                <c:pt idx="11">
                  <c:v>0.10993127160688812</c:v>
                </c:pt>
              </c:numCache>
            </c:numRef>
          </c:val>
          <c:smooth val="0"/>
          <c:extLst>
            <c:ext xmlns:c16="http://schemas.microsoft.com/office/drawing/2014/chart" uri="{C3380CC4-5D6E-409C-BE32-E72D297353CC}">
              <c16:uniqueId val="{00000002-0C45-4D3C-8408-E1FBBEB3F512}"/>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Unaffordableexp!$P$3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Unaffordableexp!$Q$3:$AB$3</c:f>
              <c:numCache>
                <c:formatCode>0.00%</c:formatCode>
                <c:ptCount val="12"/>
                <c:pt idx="0">
                  <c:v>6.4328423187838671E-2</c:v>
                </c:pt>
                <c:pt idx="1">
                  <c:v>6.3868047245123127E-2</c:v>
                </c:pt>
                <c:pt idx="2">
                  <c:v>4.1766308722022562E-2</c:v>
                </c:pt>
                <c:pt idx="3">
                  <c:v>4.125793237753219E-2</c:v>
                </c:pt>
                <c:pt idx="4">
                  <c:v>3.9793352826534671E-2</c:v>
                </c:pt>
                <c:pt idx="5">
                  <c:v>3.4531880342455246E-2</c:v>
                </c:pt>
                <c:pt idx="6">
                  <c:v>2.3925804210919596E-2</c:v>
                </c:pt>
                <c:pt idx="7">
                  <c:v>2.7216334529252643E-2</c:v>
                </c:pt>
                <c:pt idx="8">
                  <c:v>3.6531545458349468E-2</c:v>
                </c:pt>
                <c:pt idx="9">
                  <c:v>3.4257559144761418E-2</c:v>
                </c:pt>
                <c:pt idx="10">
                  <c:v>5.0660078495346483E-2</c:v>
                </c:pt>
                <c:pt idx="11">
                  <c:v>2.9453963021052548E-2</c:v>
                </c:pt>
              </c:numCache>
            </c:numRef>
          </c:val>
          <c:smooth val="0"/>
          <c:extLst>
            <c:ext xmlns:c16="http://schemas.microsoft.com/office/drawing/2014/chart" uri="{C3380CC4-5D6E-409C-BE32-E72D297353CC}">
              <c16:uniqueId val="{00000000-8D08-4621-B6DC-8D6530BD0AE4}"/>
            </c:ext>
          </c:extLst>
        </c:ser>
        <c:ser>
          <c:idx val="1"/>
          <c:order val="1"/>
          <c:tx>
            <c:strRef>
              <c:f>Unaffordableexp!$P$4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Unaffordableexp!$Q$4:$AB$4</c:f>
              <c:numCache>
                <c:formatCode>0.0%</c:formatCode>
                <c:ptCount val="12"/>
                <c:pt idx="0">
                  <c:v>0.1547551777354696</c:v>
                </c:pt>
                <c:pt idx="1">
                  <c:v>0.16967496887245029</c:v>
                </c:pt>
                <c:pt idx="2">
                  <c:v>0.13488288820863459</c:v>
                </c:pt>
                <c:pt idx="3">
                  <c:v>0.15519140056299757</c:v>
                </c:pt>
                <c:pt idx="4">
                  <c:v>0.15850431718768843</c:v>
                </c:pt>
                <c:pt idx="5">
                  <c:v>0.15927197802197801</c:v>
                </c:pt>
                <c:pt idx="6">
                  <c:v>0.10713569518716579</c:v>
                </c:pt>
                <c:pt idx="7">
                  <c:v>9.8267891774628621E-2</c:v>
                </c:pt>
                <c:pt idx="8">
                  <c:v>7.5745101580681956E-2</c:v>
                </c:pt>
                <c:pt idx="9">
                  <c:v>5.3706130482615556E-2</c:v>
                </c:pt>
                <c:pt idx="10">
                  <c:v>0.16972227306799262</c:v>
                </c:pt>
                <c:pt idx="11">
                  <c:v>7.1169329779447302E-2</c:v>
                </c:pt>
              </c:numCache>
            </c:numRef>
          </c:val>
          <c:smooth val="0"/>
          <c:extLst>
            <c:ext xmlns:c16="http://schemas.microsoft.com/office/drawing/2014/chart" uri="{C3380CC4-5D6E-409C-BE32-E72D297353CC}">
              <c16:uniqueId val="{00000001-8D08-4621-B6DC-8D6530BD0AE4}"/>
            </c:ext>
          </c:extLst>
        </c:ser>
        <c:ser>
          <c:idx val="2"/>
          <c:order val="2"/>
          <c:tx>
            <c:strRef>
              <c:f>Unaffordableexp!$P$5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Unaffordableexp!$Q$5:$AB$5</c:f>
              <c:numCache>
                <c:formatCode>0.0%</c:formatCode>
                <c:ptCount val="12"/>
                <c:pt idx="0">
                  <c:v>9.5989974937343348E-2</c:v>
                </c:pt>
                <c:pt idx="1">
                  <c:v>0.12349927201266618</c:v>
                </c:pt>
                <c:pt idx="2">
                  <c:v>4.3717260259548814E-2</c:v>
                </c:pt>
                <c:pt idx="3">
                  <c:v>4.5823364489250319E-2</c:v>
                </c:pt>
                <c:pt idx="4">
                  <c:v>9.50837839826362E-2</c:v>
                </c:pt>
                <c:pt idx="5">
                  <c:v>8.0857843137254887E-2</c:v>
                </c:pt>
                <c:pt idx="6">
                  <c:v>3.4407894736842103E-2</c:v>
                </c:pt>
                <c:pt idx="7">
                  <c:v>3.6607142857142859E-2</c:v>
                </c:pt>
                <c:pt idx="8">
                  <c:v>5.7581018518518517E-2</c:v>
                </c:pt>
                <c:pt idx="9">
                  <c:v>7.1036682615629981E-2</c:v>
                </c:pt>
                <c:pt idx="10">
                  <c:v>7.5694098531748855E-2</c:v>
                </c:pt>
                <c:pt idx="11">
                  <c:v>2.5649350649350651E-2</c:v>
                </c:pt>
              </c:numCache>
            </c:numRef>
          </c:val>
          <c:smooth val="0"/>
          <c:extLst>
            <c:ext xmlns:c16="http://schemas.microsoft.com/office/drawing/2014/chart" uri="{C3380CC4-5D6E-409C-BE32-E72D297353CC}">
              <c16:uniqueId val="{00000002-8D08-4621-B6DC-8D6530BD0AE4}"/>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Subunfit45!$A$3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Subunfit45!$B$3:$H$3</c:f>
              <c:numCache>
                <c:formatCode>0.0%</c:formatCode>
                <c:ptCount val="7"/>
                <c:pt idx="0">
                  <c:v>0.58902262771489033</c:v>
                </c:pt>
                <c:pt idx="1">
                  <c:v>0.56142098888572245</c:v>
                </c:pt>
                <c:pt idx="2">
                  <c:v>0.56722096257658972</c:v>
                </c:pt>
                <c:pt idx="3">
                  <c:v>0.58783283093627925</c:v>
                </c:pt>
                <c:pt idx="4">
                  <c:v>0.55638995955723725</c:v>
                </c:pt>
                <c:pt idx="5">
                  <c:v>0.5903726371900071</c:v>
                </c:pt>
                <c:pt idx="6">
                  <c:v>0.56688666324519577</c:v>
                </c:pt>
              </c:numCache>
            </c:numRef>
          </c:val>
          <c:smooth val="0"/>
          <c:extLst>
            <c:ext xmlns:c16="http://schemas.microsoft.com/office/drawing/2014/chart" uri="{C3380CC4-5D6E-409C-BE32-E72D297353CC}">
              <c16:uniqueId val="{00000000-FC8B-4C34-86CF-5BB6C905367B}"/>
            </c:ext>
          </c:extLst>
        </c:ser>
        <c:ser>
          <c:idx val="1"/>
          <c:order val="1"/>
          <c:tx>
            <c:strRef>
              <c:f>Subunfit45!$A$4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Subunfit45!$B$4:$H$4</c:f>
              <c:numCache>
                <c:formatCode>0.0%</c:formatCode>
                <c:ptCount val="7"/>
                <c:pt idx="0">
                  <c:v>0.56254102322173616</c:v>
                </c:pt>
                <c:pt idx="1">
                  <c:v>0.51575821182081061</c:v>
                </c:pt>
                <c:pt idx="2">
                  <c:v>0.50467837883540811</c:v>
                </c:pt>
                <c:pt idx="3">
                  <c:v>0.54616568522019171</c:v>
                </c:pt>
                <c:pt idx="4">
                  <c:v>0.47036518124875459</c:v>
                </c:pt>
                <c:pt idx="5">
                  <c:v>0.5305287366285345</c:v>
                </c:pt>
                <c:pt idx="6">
                  <c:v>0.49240095822313013</c:v>
                </c:pt>
              </c:numCache>
            </c:numRef>
          </c:val>
          <c:smooth val="0"/>
          <c:extLst>
            <c:ext xmlns:c16="http://schemas.microsoft.com/office/drawing/2014/chart" uri="{C3380CC4-5D6E-409C-BE32-E72D297353CC}">
              <c16:uniqueId val="{00000001-FC8B-4C34-86CF-5BB6C905367B}"/>
            </c:ext>
          </c:extLst>
        </c:ser>
        <c:ser>
          <c:idx val="2"/>
          <c:order val="2"/>
          <c:tx>
            <c:strRef>
              <c:f>Subunfit45!$A$5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Subunfit45!$B$5:$H$5</c:f>
              <c:numCache>
                <c:formatCode>0.0%</c:formatCode>
                <c:ptCount val="7"/>
                <c:pt idx="0">
                  <c:v>0.52067929292929294</c:v>
                </c:pt>
                <c:pt idx="1">
                  <c:v>0.44779239752977978</c:v>
                </c:pt>
                <c:pt idx="2">
                  <c:v>0.44492583849845257</c:v>
                </c:pt>
                <c:pt idx="3">
                  <c:v>0.43830441107579449</c:v>
                </c:pt>
                <c:pt idx="4">
                  <c:v>0.42686863110114254</c:v>
                </c:pt>
                <c:pt idx="5">
                  <c:v>0.43473932568665874</c:v>
                </c:pt>
                <c:pt idx="6">
                  <c:v>0.42944267352088927</c:v>
                </c:pt>
              </c:numCache>
            </c:numRef>
          </c:val>
          <c:smooth val="0"/>
          <c:extLst>
            <c:ext xmlns:c16="http://schemas.microsoft.com/office/drawing/2014/chart" uri="{C3380CC4-5D6E-409C-BE32-E72D297353CC}">
              <c16:uniqueId val="{00000002-FC8B-4C34-86CF-5BB6C905367B}"/>
            </c:ext>
          </c:extLst>
        </c:ser>
        <c:ser>
          <c:idx val="3"/>
          <c:order val="3"/>
          <c:tx>
            <c:strRef>
              <c:f>Subunfit45!$A$6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Subunfit45!$B$6:$H$6</c:f>
              <c:numCache>
                <c:formatCode>0.0%</c:formatCode>
                <c:ptCount val="7"/>
                <c:pt idx="0">
                  <c:v>0.37566321936713309</c:v>
                </c:pt>
                <c:pt idx="1">
                  <c:v>0.3535404280681701</c:v>
                </c:pt>
                <c:pt idx="2">
                  <c:v>0.35007437991997786</c:v>
                </c:pt>
                <c:pt idx="3">
                  <c:v>0.34725740663219684</c:v>
                </c:pt>
                <c:pt idx="4">
                  <c:v>0.29570511544490347</c:v>
                </c:pt>
                <c:pt idx="5">
                  <c:v>0.32032709544122606</c:v>
                </c:pt>
                <c:pt idx="6">
                  <c:v>0.31467414584983289</c:v>
                </c:pt>
              </c:numCache>
            </c:numRef>
          </c:val>
          <c:smooth val="0"/>
          <c:extLst>
            <c:ext xmlns:c16="http://schemas.microsoft.com/office/drawing/2014/chart" uri="{C3380CC4-5D6E-409C-BE32-E72D297353CC}">
              <c16:uniqueId val="{00000003-FC8B-4C34-86CF-5BB6C905367B}"/>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Subunfit45!$K$3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Subunfit45!$L$3:$R$3</c:f>
              <c:numCache>
                <c:formatCode>0.0%</c:formatCode>
                <c:ptCount val="7"/>
                <c:pt idx="0">
                  <c:v>0.66665918705466565</c:v>
                </c:pt>
                <c:pt idx="1">
                  <c:v>0.73649398110776343</c:v>
                </c:pt>
                <c:pt idx="2">
                  <c:v>0.6565826569432156</c:v>
                </c:pt>
                <c:pt idx="3">
                  <c:v>0.63159893944738643</c:v>
                </c:pt>
                <c:pt idx="4">
                  <c:v>0.63007765028011509</c:v>
                </c:pt>
                <c:pt idx="5">
                  <c:v>0.68070878689810721</c:v>
                </c:pt>
                <c:pt idx="6">
                  <c:v>0.64299263333817247</c:v>
                </c:pt>
              </c:numCache>
            </c:numRef>
          </c:val>
          <c:smooth val="0"/>
          <c:extLst>
            <c:ext xmlns:c16="http://schemas.microsoft.com/office/drawing/2014/chart" uri="{C3380CC4-5D6E-409C-BE32-E72D297353CC}">
              <c16:uniqueId val="{00000000-CCB0-41C6-A895-4FD1E00F5CD0}"/>
            </c:ext>
          </c:extLst>
        </c:ser>
        <c:ser>
          <c:idx val="1"/>
          <c:order val="1"/>
          <c:tx>
            <c:strRef>
              <c:f>Subunfit45!$K$4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Subunfit45!$L$4:$R$4</c:f>
              <c:numCache>
                <c:formatCode>0.0%</c:formatCode>
                <c:ptCount val="7"/>
                <c:pt idx="0">
                  <c:v>0.62066126436563651</c:v>
                </c:pt>
                <c:pt idx="1">
                  <c:v>0.65348334401024988</c:v>
                </c:pt>
                <c:pt idx="2">
                  <c:v>0.59215391747023971</c:v>
                </c:pt>
                <c:pt idx="3">
                  <c:v>0.52665306015710711</c:v>
                </c:pt>
                <c:pt idx="4">
                  <c:v>0.56379520187494692</c:v>
                </c:pt>
                <c:pt idx="5">
                  <c:v>0.60110190213626669</c:v>
                </c:pt>
                <c:pt idx="6">
                  <c:v>0.56167431545012092</c:v>
                </c:pt>
              </c:numCache>
            </c:numRef>
          </c:val>
          <c:smooth val="0"/>
          <c:extLst>
            <c:ext xmlns:c16="http://schemas.microsoft.com/office/drawing/2014/chart" uri="{C3380CC4-5D6E-409C-BE32-E72D297353CC}">
              <c16:uniqueId val="{00000001-CCB0-41C6-A895-4FD1E00F5CD0}"/>
            </c:ext>
          </c:extLst>
        </c:ser>
        <c:ser>
          <c:idx val="2"/>
          <c:order val="2"/>
          <c:tx>
            <c:strRef>
              <c:f>Subunfit45!$K$5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Subunfit45!$L$5:$R$5</c:f>
              <c:numCache>
                <c:formatCode>0.0%</c:formatCode>
                <c:ptCount val="7"/>
                <c:pt idx="0">
                  <c:v>0.55117550764476264</c:v>
                </c:pt>
                <c:pt idx="1">
                  <c:v>0.5398783005493325</c:v>
                </c:pt>
                <c:pt idx="2">
                  <c:v>0.51695554305062918</c:v>
                </c:pt>
                <c:pt idx="3">
                  <c:v>0.48753388702173139</c:v>
                </c:pt>
                <c:pt idx="4">
                  <c:v>0.48946675543324802</c:v>
                </c:pt>
                <c:pt idx="5">
                  <c:v>0.50980325460976861</c:v>
                </c:pt>
                <c:pt idx="6">
                  <c:v>0.47071187443562046</c:v>
                </c:pt>
              </c:numCache>
            </c:numRef>
          </c:val>
          <c:smooth val="0"/>
          <c:extLst>
            <c:ext xmlns:c16="http://schemas.microsoft.com/office/drawing/2014/chart" uri="{C3380CC4-5D6E-409C-BE32-E72D297353CC}">
              <c16:uniqueId val="{00000002-CCB0-41C6-A895-4FD1E00F5CD0}"/>
            </c:ext>
          </c:extLst>
        </c:ser>
        <c:ser>
          <c:idx val="3"/>
          <c:order val="3"/>
          <c:tx>
            <c:strRef>
              <c:f>Subunfit45!$K$6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Subunfit45!$L$6:$R$6</c:f>
              <c:numCache>
                <c:formatCode>0.0%</c:formatCode>
                <c:ptCount val="7"/>
                <c:pt idx="0">
                  <c:v>0.48713314895193816</c:v>
                </c:pt>
                <c:pt idx="1">
                  <c:v>0.42761627410298431</c:v>
                </c:pt>
                <c:pt idx="2">
                  <c:v>0.42861856085314987</c:v>
                </c:pt>
                <c:pt idx="3">
                  <c:v>0.35231745429998118</c:v>
                </c:pt>
                <c:pt idx="4">
                  <c:v>0.36997776851149289</c:v>
                </c:pt>
                <c:pt idx="5">
                  <c:v>0.39412678376632948</c:v>
                </c:pt>
                <c:pt idx="6">
                  <c:v>0.35496744344496756</c:v>
                </c:pt>
              </c:numCache>
            </c:numRef>
          </c:val>
          <c:smooth val="0"/>
          <c:extLst>
            <c:ext xmlns:c16="http://schemas.microsoft.com/office/drawing/2014/chart" uri="{C3380CC4-5D6E-409C-BE32-E72D297353CC}">
              <c16:uniqueId val="{00000003-CCB0-41C6-A895-4FD1E00F5CD0}"/>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Subunfit5!$A$3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Subunfit5!$B$3:$H$3</c:f>
              <c:numCache>
                <c:formatCode>0.0%</c:formatCode>
                <c:ptCount val="7"/>
                <c:pt idx="0">
                  <c:v>5.2750875049725421E-2</c:v>
                </c:pt>
                <c:pt idx="1">
                  <c:v>3.6875534340267885E-2</c:v>
                </c:pt>
                <c:pt idx="2">
                  <c:v>3.5328890955700604E-2</c:v>
                </c:pt>
                <c:pt idx="3">
                  <c:v>3.9080395761430242E-2</c:v>
                </c:pt>
                <c:pt idx="4">
                  <c:v>4.1791252094708728E-2</c:v>
                </c:pt>
                <c:pt idx="5">
                  <c:v>4.6854303840287034E-2</c:v>
                </c:pt>
                <c:pt idx="6">
                  <c:v>3.3912334678955422E-2</c:v>
                </c:pt>
              </c:numCache>
            </c:numRef>
          </c:val>
          <c:smooth val="0"/>
          <c:extLst>
            <c:ext xmlns:c16="http://schemas.microsoft.com/office/drawing/2014/chart" uri="{C3380CC4-5D6E-409C-BE32-E72D297353CC}">
              <c16:uniqueId val="{00000000-A3A4-469D-A4EA-102D5289682C}"/>
            </c:ext>
          </c:extLst>
        </c:ser>
        <c:ser>
          <c:idx val="1"/>
          <c:order val="1"/>
          <c:tx>
            <c:strRef>
              <c:f>Subunfit5!$A$4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Subunfit5!$B$4:$H$4</c:f>
              <c:numCache>
                <c:formatCode>0.0%</c:formatCode>
                <c:ptCount val="7"/>
                <c:pt idx="0">
                  <c:v>2.4744586817064925E-2</c:v>
                </c:pt>
                <c:pt idx="1">
                  <c:v>3.8940318603386877E-2</c:v>
                </c:pt>
                <c:pt idx="2">
                  <c:v>2.7590618856371735E-2</c:v>
                </c:pt>
                <c:pt idx="3">
                  <c:v>1.7810975892866218E-2</c:v>
                </c:pt>
                <c:pt idx="4">
                  <c:v>2.8059239022138707E-2</c:v>
                </c:pt>
                <c:pt idx="5">
                  <c:v>3.8703151452831611E-2</c:v>
                </c:pt>
                <c:pt idx="6">
                  <c:v>3.0799357066066069E-2</c:v>
                </c:pt>
              </c:numCache>
            </c:numRef>
          </c:val>
          <c:smooth val="0"/>
          <c:extLst>
            <c:ext xmlns:c16="http://schemas.microsoft.com/office/drawing/2014/chart" uri="{C3380CC4-5D6E-409C-BE32-E72D297353CC}">
              <c16:uniqueId val="{00000001-A3A4-469D-A4EA-102D5289682C}"/>
            </c:ext>
          </c:extLst>
        </c:ser>
        <c:ser>
          <c:idx val="2"/>
          <c:order val="2"/>
          <c:tx>
            <c:strRef>
              <c:f>Subunfit5!$A$5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Subunfit5!$B$5:$H$5</c:f>
              <c:numCache>
                <c:formatCode>0.0%</c:formatCode>
                <c:ptCount val="7"/>
                <c:pt idx="0">
                  <c:v>1.7678451178451179E-2</c:v>
                </c:pt>
                <c:pt idx="1">
                  <c:v>2.6700685226182901E-2</c:v>
                </c:pt>
                <c:pt idx="2">
                  <c:v>1.9380247726512929E-2</c:v>
                </c:pt>
                <c:pt idx="3">
                  <c:v>1.7816390087736136E-2</c:v>
                </c:pt>
                <c:pt idx="4">
                  <c:v>4.6657865948801719E-3</c:v>
                </c:pt>
                <c:pt idx="5">
                  <c:v>1.2803328049184616E-2</c:v>
                </c:pt>
                <c:pt idx="6">
                  <c:v>1.8493760357353575E-2</c:v>
                </c:pt>
              </c:numCache>
            </c:numRef>
          </c:val>
          <c:smooth val="0"/>
          <c:extLst>
            <c:ext xmlns:c16="http://schemas.microsoft.com/office/drawing/2014/chart" uri="{C3380CC4-5D6E-409C-BE32-E72D297353CC}">
              <c16:uniqueId val="{00000002-A3A4-469D-A4EA-102D5289682C}"/>
            </c:ext>
          </c:extLst>
        </c:ser>
        <c:ser>
          <c:idx val="3"/>
          <c:order val="3"/>
          <c:tx>
            <c:strRef>
              <c:f>Subunfit5!$A$6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Subunfit5!$B$6:$H$6</c:f>
              <c:numCache>
                <c:formatCode>0.0%</c:formatCode>
                <c:ptCount val="7"/>
                <c:pt idx="0">
                  <c:v>1.2407076757615612E-2</c:v>
                </c:pt>
                <c:pt idx="1">
                  <c:v>8.5067726636869224E-3</c:v>
                </c:pt>
                <c:pt idx="2">
                  <c:v>9.2852575074394948E-3</c:v>
                </c:pt>
                <c:pt idx="3">
                  <c:v>5.197484401605266E-3</c:v>
                </c:pt>
                <c:pt idx="4">
                  <c:v>7.6923076923076923E-4</c:v>
                </c:pt>
                <c:pt idx="5">
                  <c:v>1.0265504786999788E-2</c:v>
                </c:pt>
                <c:pt idx="6">
                  <c:v>8.5673038619811272E-3</c:v>
                </c:pt>
              </c:numCache>
            </c:numRef>
          </c:val>
          <c:smooth val="0"/>
          <c:extLst>
            <c:ext xmlns:c16="http://schemas.microsoft.com/office/drawing/2014/chart" uri="{C3380CC4-5D6E-409C-BE32-E72D297353CC}">
              <c16:uniqueId val="{00000003-A3A4-469D-A4EA-102D5289682C}"/>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Subunfit5!$K$3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Subunfit5!$L$3:$R$3</c:f>
              <c:numCache>
                <c:formatCode>0.0%</c:formatCode>
                <c:ptCount val="7"/>
                <c:pt idx="0" formatCode="0.00%">
                  <c:v>8.9211552850679929E-2</c:v>
                </c:pt>
                <c:pt idx="1">
                  <c:v>8.675347875011534E-2</c:v>
                </c:pt>
                <c:pt idx="2">
                  <c:v>7.6462144441514376E-2</c:v>
                </c:pt>
                <c:pt idx="3">
                  <c:v>6.0500043817234263E-2</c:v>
                </c:pt>
                <c:pt idx="4">
                  <c:v>5.7128239313934015E-2</c:v>
                </c:pt>
                <c:pt idx="5" formatCode="0.00%">
                  <c:v>9.1230829580344147E-2</c:v>
                </c:pt>
                <c:pt idx="6">
                  <c:v>9.1801085365419893E-2</c:v>
                </c:pt>
              </c:numCache>
            </c:numRef>
          </c:val>
          <c:smooth val="0"/>
          <c:extLst>
            <c:ext xmlns:c16="http://schemas.microsoft.com/office/drawing/2014/chart" uri="{C3380CC4-5D6E-409C-BE32-E72D297353CC}">
              <c16:uniqueId val="{00000000-4C8B-4850-A1F1-8C675A369942}"/>
            </c:ext>
          </c:extLst>
        </c:ser>
        <c:ser>
          <c:idx val="1"/>
          <c:order val="1"/>
          <c:tx>
            <c:strRef>
              <c:f>Subunfit5!$K$4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Subunfit5!$L$4:$R$4</c:f>
              <c:numCache>
                <c:formatCode>0.0%</c:formatCode>
                <c:ptCount val="7"/>
                <c:pt idx="0">
                  <c:v>7.0056812914535166E-2</c:v>
                </c:pt>
                <c:pt idx="1">
                  <c:v>6.5575509960826769E-2</c:v>
                </c:pt>
                <c:pt idx="2">
                  <c:v>6.0471477606921023E-2</c:v>
                </c:pt>
                <c:pt idx="3">
                  <c:v>5.1786929555860714E-2</c:v>
                </c:pt>
                <c:pt idx="4">
                  <c:v>4.3252881799301299E-2</c:v>
                </c:pt>
                <c:pt idx="5">
                  <c:v>6.3650433179540153E-2</c:v>
                </c:pt>
                <c:pt idx="6">
                  <c:v>4.7520542670851082E-2</c:v>
                </c:pt>
              </c:numCache>
            </c:numRef>
          </c:val>
          <c:smooth val="0"/>
          <c:extLst>
            <c:ext xmlns:c16="http://schemas.microsoft.com/office/drawing/2014/chart" uri="{C3380CC4-5D6E-409C-BE32-E72D297353CC}">
              <c16:uniqueId val="{00000001-4C8B-4850-A1F1-8C675A369942}"/>
            </c:ext>
          </c:extLst>
        </c:ser>
        <c:ser>
          <c:idx val="2"/>
          <c:order val="2"/>
          <c:tx>
            <c:strRef>
              <c:f>Subunfit5!$K$5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Subunfit5!$L$5:$R$5</c:f>
              <c:numCache>
                <c:formatCode>0.0%</c:formatCode>
                <c:ptCount val="7"/>
                <c:pt idx="0" formatCode="0.00%">
                  <c:v>5.2410367546354933E-2</c:v>
                </c:pt>
                <c:pt idx="1">
                  <c:v>3.4574764035570762E-2</c:v>
                </c:pt>
                <c:pt idx="2">
                  <c:v>4.0489870567961682E-2</c:v>
                </c:pt>
                <c:pt idx="3">
                  <c:v>3.27678465761886E-2</c:v>
                </c:pt>
                <c:pt idx="4">
                  <c:v>2.3218857237286797E-2</c:v>
                </c:pt>
                <c:pt idx="5" formatCode="0.00%">
                  <c:v>3.2946296592786001E-2</c:v>
                </c:pt>
                <c:pt idx="6">
                  <c:v>3.9723186313147037E-2</c:v>
                </c:pt>
              </c:numCache>
            </c:numRef>
          </c:val>
          <c:smooth val="0"/>
          <c:extLst>
            <c:ext xmlns:c16="http://schemas.microsoft.com/office/drawing/2014/chart" uri="{C3380CC4-5D6E-409C-BE32-E72D297353CC}">
              <c16:uniqueId val="{00000002-4C8B-4850-A1F1-8C675A369942}"/>
            </c:ext>
          </c:extLst>
        </c:ser>
        <c:ser>
          <c:idx val="3"/>
          <c:order val="3"/>
          <c:tx>
            <c:strRef>
              <c:f>Subunfit5!$K$6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Subunfit5!$L$6:$R$6</c:f>
              <c:numCache>
                <c:formatCode>0.0%</c:formatCode>
                <c:ptCount val="7"/>
                <c:pt idx="0">
                  <c:v>1.7026668886747927E-2</c:v>
                </c:pt>
                <c:pt idx="1">
                  <c:v>2.2366333799711861E-2</c:v>
                </c:pt>
                <c:pt idx="2">
                  <c:v>1.9771436231196506E-2</c:v>
                </c:pt>
                <c:pt idx="3">
                  <c:v>8.4287103776351097E-3</c:v>
                </c:pt>
                <c:pt idx="4">
                  <c:v>1.4072392738081889E-2</c:v>
                </c:pt>
                <c:pt idx="5">
                  <c:v>3.088478935094973E-2</c:v>
                </c:pt>
                <c:pt idx="6">
                  <c:v>1.4494027609867847E-2</c:v>
                </c:pt>
              </c:numCache>
            </c:numRef>
          </c:val>
          <c:smooth val="0"/>
          <c:extLst>
            <c:ext xmlns:c16="http://schemas.microsoft.com/office/drawing/2014/chart" uri="{C3380CC4-5D6E-409C-BE32-E72D297353CC}">
              <c16:uniqueId val="{00000003-4C8B-4850-A1F1-8C675A369942}"/>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Subunfit45!$A$3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Subunfit45!$B$3:$H$3</c:f>
              <c:numCache>
                <c:formatCode>0.0%</c:formatCode>
                <c:ptCount val="7"/>
                <c:pt idx="0">
                  <c:v>0.50730550515337702</c:v>
                </c:pt>
                <c:pt idx="1">
                  <c:v>0.46106305121868218</c:v>
                </c:pt>
                <c:pt idx="2">
                  <c:v>0.45837722555280008</c:v>
                </c:pt>
                <c:pt idx="3">
                  <c:v>0.46353368866818107</c:v>
                </c:pt>
                <c:pt idx="4">
                  <c:v>0.42338960900524392</c:v>
                </c:pt>
                <c:pt idx="5">
                  <c:v>0.45626491710843536</c:v>
                </c:pt>
                <c:pt idx="6">
                  <c:v>0.44281581162714995</c:v>
                </c:pt>
              </c:numCache>
            </c:numRef>
          </c:val>
          <c:smooth val="0"/>
          <c:extLst>
            <c:ext xmlns:c16="http://schemas.microsoft.com/office/drawing/2014/chart" uri="{C3380CC4-5D6E-409C-BE32-E72D297353CC}">
              <c16:uniqueId val="{00000000-A108-4127-8640-442596FDDE61}"/>
            </c:ext>
          </c:extLst>
        </c:ser>
        <c:ser>
          <c:idx val="1"/>
          <c:order val="1"/>
          <c:tx>
            <c:strRef>
              <c:f>Subunfit45!$A$4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Subunfit45!$B$4:$H$4</c:f>
              <c:numCache>
                <c:formatCode>0.0%</c:formatCode>
                <c:ptCount val="7"/>
                <c:pt idx="0">
                  <c:v>0.5745841339875718</c:v>
                </c:pt>
                <c:pt idx="1">
                  <c:v>0.43174404879008466</c:v>
                </c:pt>
                <c:pt idx="2">
                  <c:v>0.41482456140350876</c:v>
                </c:pt>
                <c:pt idx="3">
                  <c:v>0.49256581021437584</c:v>
                </c:pt>
                <c:pt idx="4">
                  <c:v>0.4189361369789652</c:v>
                </c:pt>
                <c:pt idx="5">
                  <c:v>0.49246849196241127</c:v>
                </c:pt>
                <c:pt idx="6">
                  <c:v>0.46534300601790074</c:v>
                </c:pt>
              </c:numCache>
            </c:numRef>
          </c:val>
          <c:smooth val="0"/>
          <c:extLst>
            <c:ext xmlns:c16="http://schemas.microsoft.com/office/drawing/2014/chart" uri="{C3380CC4-5D6E-409C-BE32-E72D297353CC}">
              <c16:uniqueId val="{00000001-A108-4127-8640-442596FDDE61}"/>
            </c:ext>
          </c:extLst>
        </c:ser>
        <c:ser>
          <c:idx val="2"/>
          <c:order val="2"/>
          <c:tx>
            <c:strRef>
              <c:f>Subunfit45!$A$5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Subunfit45!$B$5:$H$5</c:f>
              <c:numCache>
                <c:formatCode>0.0%</c:formatCode>
                <c:ptCount val="7"/>
                <c:pt idx="0">
                  <c:v>0.54105456333751678</c:v>
                </c:pt>
                <c:pt idx="1">
                  <c:v>0.5018886772288389</c:v>
                </c:pt>
                <c:pt idx="2">
                  <c:v>0.52274843628355461</c:v>
                </c:pt>
                <c:pt idx="3">
                  <c:v>0.51265056352574034</c:v>
                </c:pt>
                <c:pt idx="4">
                  <c:v>0.45298089276714609</c:v>
                </c:pt>
                <c:pt idx="5">
                  <c:v>0.48821997949141782</c:v>
                </c:pt>
                <c:pt idx="6">
                  <c:v>0.4912752253857493</c:v>
                </c:pt>
              </c:numCache>
            </c:numRef>
          </c:val>
          <c:smooth val="0"/>
          <c:extLst>
            <c:ext xmlns:c16="http://schemas.microsoft.com/office/drawing/2014/chart" uri="{C3380CC4-5D6E-409C-BE32-E72D297353CC}">
              <c16:uniqueId val="{00000002-A108-4127-8640-442596FDDE61}"/>
            </c:ext>
          </c:extLst>
        </c:ser>
        <c:ser>
          <c:idx val="3"/>
          <c:order val="3"/>
          <c:tx>
            <c:strRef>
              <c:f>Subunfit45!$A$6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Subunfit45!$B$6:$H$6</c:f>
              <c:numCache>
                <c:formatCode>0.0%</c:formatCode>
                <c:ptCount val="7"/>
                <c:pt idx="0">
                  <c:v>0.61021312370330472</c:v>
                </c:pt>
                <c:pt idx="1">
                  <c:v>0.56280361780461208</c:v>
                </c:pt>
                <c:pt idx="2">
                  <c:v>0.5524762449290751</c:v>
                </c:pt>
                <c:pt idx="3">
                  <c:v>0.56818601650871425</c:v>
                </c:pt>
                <c:pt idx="4">
                  <c:v>0.5709597823382655</c:v>
                </c:pt>
                <c:pt idx="5">
                  <c:v>0.57487564624854759</c:v>
                </c:pt>
                <c:pt idx="6">
                  <c:v>0.57248217269363888</c:v>
                </c:pt>
              </c:numCache>
            </c:numRef>
          </c:val>
          <c:smooth val="0"/>
          <c:extLst>
            <c:ext xmlns:c16="http://schemas.microsoft.com/office/drawing/2014/chart" uri="{C3380CC4-5D6E-409C-BE32-E72D297353CC}">
              <c16:uniqueId val="{00000003-A108-4127-8640-442596FDDE61}"/>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70000000000000007"/>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Subunfit45!$K$3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Subunfit45!$L$3:$R$3</c:f>
              <c:numCache>
                <c:formatCode>0.0%</c:formatCode>
                <c:ptCount val="7"/>
                <c:pt idx="0">
                  <c:v>0.58320449457606771</c:v>
                </c:pt>
                <c:pt idx="1">
                  <c:v>0.59675603416630663</c:v>
                </c:pt>
                <c:pt idx="2">
                  <c:v>0.55437316555410299</c:v>
                </c:pt>
                <c:pt idx="3">
                  <c:v>0.50985747864766018</c:v>
                </c:pt>
                <c:pt idx="4">
                  <c:v>0.5225154209787467</c:v>
                </c:pt>
                <c:pt idx="5">
                  <c:v>0.56049540022469513</c:v>
                </c:pt>
                <c:pt idx="6">
                  <c:v>0.51719848338381447</c:v>
                </c:pt>
              </c:numCache>
            </c:numRef>
          </c:val>
          <c:smooth val="0"/>
          <c:extLst>
            <c:ext xmlns:c16="http://schemas.microsoft.com/office/drawing/2014/chart" uri="{C3380CC4-5D6E-409C-BE32-E72D297353CC}">
              <c16:uniqueId val="{00000000-5518-43C8-B6E9-205EACCCCBE8}"/>
            </c:ext>
          </c:extLst>
        </c:ser>
        <c:ser>
          <c:idx val="1"/>
          <c:order val="1"/>
          <c:tx>
            <c:strRef>
              <c:f>Subunfit45!$K$4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Subunfit45!$L$4:$R$4</c:f>
              <c:numCache>
                <c:formatCode>0.0%</c:formatCode>
                <c:ptCount val="7"/>
                <c:pt idx="0">
                  <c:v>0.42924365434863754</c:v>
                </c:pt>
                <c:pt idx="1">
                  <c:v>0.60881886815997999</c:v>
                </c:pt>
                <c:pt idx="2">
                  <c:v>0.5096069677871149</c:v>
                </c:pt>
                <c:pt idx="3">
                  <c:v>0.4415149819514389</c:v>
                </c:pt>
                <c:pt idx="4">
                  <c:v>0.55912872209217446</c:v>
                </c:pt>
                <c:pt idx="5">
                  <c:v>0.43366787648949745</c:v>
                </c:pt>
                <c:pt idx="6">
                  <c:v>0.43816098707403056</c:v>
                </c:pt>
              </c:numCache>
            </c:numRef>
          </c:val>
          <c:smooth val="0"/>
          <c:extLst>
            <c:ext xmlns:c16="http://schemas.microsoft.com/office/drawing/2014/chart" uri="{C3380CC4-5D6E-409C-BE32-E72D297353CC}">
              <c16:uniqueId val="{00000001-5518-43C8-B6E9-205EACCCCBE8}"/>
            </c:ext>
          </c:extLst>
        </c:ser>
        <c:ser>
          <c:idx val="2"/>
          <c:order val="2"/>
          <c:tx>
            <c:strRef>
              <c:f>Subunfit45!$K$5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Subunfit45!$L$5:$R$5</c:f>
              <c:numCache>
                <c:formatCode>0.0%</c:formatCode>
                <c:ptCount val="7"/>
                <c:pt idx="0">
                  <c:v>0.60011698926793267</c:v>
                </c:pt>
                <c:pt idx="1">
                  <c:v>0.64937696779257714</c:v>
                </c:pt>
                <c:pt idx="2">
                  <c:v>0.59193016051222902</c:v>
                </c:pt>
                <c:pt idx="3">
                  <c:v>0.57330360349908915</c:v>
                </c:pt>
                <c:pt idx="4">
                  <c:v>0.58954904940702391</c:v>
                </c:pt>
                <c:pt idx="5">
                  <c:v>0.59837743493529083</c:v>
                </c:pt>
                <c:pt idx="6">
                  <c:v>0.53997149112450238</c:v>
                </c:pt>
              </c:numCache>
            </c:numRef>
          </c:val>
          <c:smooth val="0"/>
          <c:extLst>
            <c:ext xmlns:c16="http://schemas.microsoft.com/office/drawing/2014/chart" uri="{C3380CC4-5D6E-409C-BE32-E72D297353CC}">
              <c16:uniqueId val="{00000002-5518-43C8-B6E9-205EACCCCBE8}"/>
            </c:ext>
          </c:extLst>
        </c:ser>
        <c:ser>
          <c:idx val="3"/>
          <c:order val="3"/>
          <c:tx>
            <c:strRef>
              <c:f>Subunfit45!$K$6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Subunfit45!$L$6:$R$6</c:f>
              <c:numCache>
                <c:formatCode>0.0%</c:formatCode>
                <c:ptCount val="7"/>
                <c:pt idx="0">
                  <c:v>0.63840321107682818</c:v>
                </c:pt>
                <c:pt idx="1">
                  <c:v>0.64799323357626448</c:v>
                </c:pt>
                <c:pt idx="2">
                  <c:v>0.63063900546725282</c:v>
                </c:pt>
                <c:pt idx="3">
                  <c:v>0.59959786792303627</c:v>
                </c:pt>
                <c:pt idx="4">
                  <c:v>0.61511985042904815</c:v>
                </c:pt>
                <c:pt idx="5">
                  <c:v>0.57937005699450927</c:v>
                </c:pt>
                <c:pt idx="6">
                  <c:v>0.58692109154578198</c:v>
                </c:pt>
              </c:numCache>
            </c:numRef>
          </c:val>
          <c:smooth val="0"/>
          <c:extLst>
            <c:ext xmlns:c16="http://schemas.microsoft.com/office/drawing/2014/chart" uri="{C3380CC4-5D6E-409C-BE32-E72D297353CC}">
              <c16:uniqueId val="{00000003-5518-43C8-B6E9-205EACCCCBE8}"/>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7124908566757"/>
          <c:y val="2.1966579690735139E-2"/>
          <c:w val="0.85087637951252848"/>
          <c:h val="0.5994231105727168"/>
        </c:manualLayout>
      </c:layout>
      <c:lineChart>
        <c:grouping val="standard"/>
        <c:varyColors val="0"/>
        <c:ser>
          <c:idx val="0"/>
          <c:order val="0"/>
          <c:tx>
            <c:strRef>
              <c:f>'Domestic and Foreign Mortga (2'!$B$17</c:f>
              <c:strCache>
                <c:ptCount val="1"/>
                <c:pt idx="0">
                  <c:v>Foreign Currency (5-10 years)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numRef>
              <c:f>'Domestic and Foreign Mortga (2'!$C$1:$AO$1</c:f>
              <c:numCache>
                <c:formatCode>[$-409]mmm\-yy;@</c:formatCode>
                <c:ptCount val="39"/>
                <c:pt idx="0">
                  <c:v>42308</c:v>
                </c:pt>
                <c:pt idx="1">
                  <c:v>42338</c:v>
                </c:pt>
                <c:pt idx="2">
                  <c:v>42353</c:v>
                </c:pt>
                <c:pt idx="3">
                  <c:v>42400</c:v>
                </c:pt>
                <c:pt idx="4">
                  <c:v>42429</c:v>
                </c:pt>
                <c:pt idx="5">
                  <c:v>42460</c:v>
                </c:pt>
                <c:pt idx="6">
                  <c:v>42490</c:v>
                </c:pt>
                <c:pt idx="7">
                  <c:v>42521</c:v>
                </c:pt>
                <c:pt idx="8">
                  <c:v>42551</c:v>
                </c:pt>
                <c:pt idx="9">
                  <c:v>42582</c:v>
                </c:pt>
                <c:pt idx="10">
                  <c:v>42613</c:v>
                </c:pt>
                <c:pt idx="11">
                  <c:v>42643</c:v>
                </c:pt>
                <c:pt idx="12">
                  <c:v>42674</c:v>
                </c:pt>
                <c:pt idx="13">
                  <c:v>42704</c:v>
                </c:pt>
                <c:pt idx="14">
                  <c:v>42735</c:v>
                </c:pt>
                <c:pt idx="15">
                  <c:v>42766</c:v>
                </c:pt>
                <c:pt idx="16">
                  <c:v>42794</c:v>
                </c:pt>
                <c:pt idx="17">
                  <c:v>42825</c:v>
                </c:pt>
                <c:pt idx="18">
                  <c:v>42855</c:v>
                </c:pt>
                <c:pt idx="19">
                  <c:v>42886</c:v>
                </c:pt>
                <c:pt idx="20">
                  <c:v>42916</c:v>
                </c:pt>
                <c:pt idx="21">
                  <c:v>42947</c:v>
                </c:pt>
                <c:pt idx="22">
                  <c:v>42978</c:v>
                </c:pt>
                <c:pt idx="23">
                  <c:v>43008</c:v>
                </c:pt>
                <c:pt idx="24">
                  <c:v>43039</c:v>
                </c:pt>
                <c:pt idx="25">
                  <c:v>43069</c:v>
                </c:pt>
                <c:pt idx="26">
                  <c:v>43100</c:v>
                </c:pt>
                <c:pt idx="27">
                  <c:v>43131</c:v>
                </c:pt>
                <c:pt idx="28">
                  <c:v>43159</c:v>
                </c:pt>
                <c:pt idx="29">
                  <c:v>43190</c:v>
                </c:pt>
                <c:pt idx="30">
                  <c:v>43220</c:v>
                </c:pt>
                <c:pt idx="31">
                  <c:v>43251</c:v>
                </c:pt>
                <c:pt idx="32">
                  <c:v>43281</c:v>
                </c:pt>
                <c:pt idx="33">
                  <c:v>43312</c:v>
                </c:pt>
                <c:pt idx="34">
                  <c:v>43343</c:v>
                </c:pt>
                <c:pt idx="35">
                  <c:v>43373</c:v>
                </c:pt>
                <c:pt idx="36">
                  <c:v>43404</c:v>
                </c:pt>
                <c:pt idx="37">
                  <c:v>43434</c:v>
                </c:pt>
                <c:pt idx="38">
                  <c:v>43465</c:v>
                </c:pt>
              </c:numCache>
            </c:numRef>
          </c:cat>
          <c:val>
            <c:numRef>
              <c:f>'Domestic and Foreign Mortga (2'!$C$17:$AO$17</c:f>
              <c:numCache>
                <c:formatCode>0%</c:formatCode>
                <c:ptCount val="39"/>
                <c:pt idx="0">
                  <c:v>0.10034599999999999</c:v>
                </c:pt>
                <c:pt idx="1">
                  <c:v>9.6999999999999989E-2</c:v>
                </c:pt>
                <c:pt idx="2">
                  <c:v>9.4399999999999998E-2</c:v>
                </c:pt>
                <c:pt idx="3">
                  <c:v>9.0500000000000011E-2</c:v>
                </c:pt>
                <c:pt idx="4">
                  <c:v>8.7599999999999997E-2</c:v>
                </c:pt>
                <c:pt idx="5">
                  <c:v>8.4399999999999989E-2</c:v>
                </c:pt>
                <c:pt idx="6">
                  <c:v>8.43E-2</c:v>
                </c:pt>
                <c:pt idx="7">
                  <c:v>8.2799999999999999E-2</c:v>
                </c:pt>
                <c:pt idx="8">
                  <c:v>8.4199999999999997E-2</c:v>
                </c:pt>
                <c:pt idx="9">
                  <c:v>8.3400000000000002E-2</c:v>
                </c:pt>
                <c:pt idx="10">
                  <c:v>8.1900000000000001E-2</c:v>
                </c:pt>
                <c:pt idx="11">
                  <c:v>8.3699999999999997E-2</c:v>
                </c:pt>
                <c:pt idx="12">
                  <c:v>7.9100000000000004E-2</c:v>
                </c:pt>
                <c:pt idx="13">
                  <c:v>7.46E-2</c:v>
                </c:pt>
                <c:pt idx="14">
                  <c:v>7.400000000000001E-2</c:v>
                </c:pt>
                <c:pt idx="15">
                  <c:v>7.5399999999999995E-2</c:v>
                </c:pt>
                <c:pt idx="16">
                  <c:v>7.3099999999999998E-2</c:v>
                </c:pt>
                <c:pt idx="17">
                  <c:v>7.4400000000000008E-2</c:v>
                </c:pt>
                <c:pt idx="18">
                  <c:v>7.4200000000000002E-2</c:v>
                </c:pt>
                <c:pt idx="19">
                  <c:v>7.3300000000000004E-2</c:v>
                </c:pt>
                <c:pt idx="20">
                  <c:v>7.3200000000000001E-2</c:v>
                </c:pt>
                <c:pt idx="21">
                  <c:v>7.0499999999999993E-2</c:v>
                </c:pt>
                <c:pt idx="22">
                  <c:v>7.3300000000000004E-2</c:v>
                </c:pt>
                <c:pt idx="23">
                  <c:v>7.2900000000000006E-2</c:v>
                </c:pt>
                <c:pt idx="24">
                  <c:v>7.2099999999999997E-2</c:v>
                </c:pt>
                <c:pt idx="25">
                  <c:v>7.2300000000000003E-2</c:v>
                </c:pt>
                <c:pt idx="26">
                  <c:v>7.3200000000000001E-2</c:v>
                </c:pt>
                <c:pt idx="27">
                  <c:v>7.2599999999999998E-2</c:v>
                </c:pt>
                <c:pt idx="28">
                  <c:v>7.400000000000001E-2</c:v>
                </c:pt>
                <c:pt idx="29">
                  <c:v>7.2000000000000008E-2</c:v>
                </c:pt>
                <c:pt idx="30">
                  <c:v>7.1900000000000006E-2</c:v>
                </c:pt>
                <c:pt idx="31">
                  <c:v>7.1300000000000002E-2</c:v>
                </c:pt>
                <c:pt idx="32">
                  <c:v>6.8600000000000008E-2</c:v>
                </c:pt>
                <c:pt idx="33">
                  <c:v>6.6299999999999998E-2</c:v>
                </c:pt>
                <c:pt idx="34">
                  <c:v>5.0499999999999996E-2</c:v>
                </c:pt>
                <c:pt idx="35">
                  <c:v>5.4400000000000004E-2</c:v>
                </c:pt>
                <c:pt idx="36">
                  <c:v>5.91E-2</c:v>
                </c:pt>
                <c:pt idx="37">
                  <c:v>6.4000000000000001E-2</c:v>
                </c:pt>
                <c:pt idx="38">
                  <c:v>6.5199999999999994E-2</c:v>
                </c:pt>
              </c:numCache>
            </c:numRef>
          </c:val>
          <c:smooth val="0"/>
          <c:extLst>
            <c:ext xmlns:c16="http://schemas.microsoft.com/office/drawing/2014/chart" uri="{C3380CC4-5D6E-409C-BE32-E72D297353CC}">
              <c16:uniqueId val="{00000001-3988-4A3F-9711-F69D6D5D8CC7}"/>
            </c:ext>
          </c:extLst>
        </c:ser>
        <c:ser>
          <c:idx val="1"/>
          <c:order val="1"/>
          <c:tx>
            <c:strRef>
              <c:f>'Domestic and Foreign Mortga (2'!$B$18</c:f>
              <c:strCache>
                <c:ptCount val="1"/>
                <c:pt idx="0">
                  <c:v>Foreign Currency (More than 10 years)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'Domestic and Foreign Mortga (2'!$C$1:$AO$1</c:f>
              <c:numCache>
                <c:formatCode>[$-409]mmm\-yy;@</c:formatCode>
                <c:ptCount val="39"/>
                <c:pt idx="0">
                  <c:v>42308</c:v>
                </c:pt>
                <c:pt idx="1">
                  <c:v>42338</c:v>
                </c:pt>
                <c:pt idx="2">
                  <c:v>42353</c:v>
                </c:pt>
                <c:pt idx="3">
                  <c:v>42400</c:v>
                </c:pt>
                <c:pt idx="4">
                  <c:v>42429</c:v>
                </c:pt>
                <c:pt idx="5">
                  <c:v>42460</c:v>
                </c:pt>
                <c:pt idx="6">
                  <c:v>42490</c:v>
                </c:pt>
                <c:pt idx="7">
                  <c:v>42521</c:v>
                </c:pt>
                <c:pt idx="8">
                  <c:v>42551</c:v>
                </c:pt>
                <c:pt idx="9">
                  <c:v>42582</c:v>
                </c:pt>
                <c:pt idx="10">
                  <c:v>42613</c:v>
                </c:pt>
                <c:pt idx="11">
                  <c:v>42643</c:v>
                </c:pt>
                <c:pt idx="12">
                  <c:v>42674</c:v>
                </c:pt>
                <c:pt idx="13">
                  <c:v>42704</c:v>
                </c:pt>
                <c:pt idx="14">
                  <c:v>42735</c:v>
                </c:pt>
                <c:pt idx="15">
                  <c:v>42766</c:v>
                </c:pt>
                <c:pt idx="16">
                  <c:v>42794</c:v>
                </c:pt>
                <c:pt idx="17">
                  <c:v>42825</c:v>
                </c:pt>
                <c:pt idx="18">
                  <c:v>42855</c:v>
                </c:pt>
                <c:pt idx="19">
                  <c:v>42886</c:v>
                </c:pt>
                <c:pt idx="20">
                  <c:v>42916</c:v>
                </c:pt>
                <c:pt idx="21">
                  <c:v>42947</c:v>
                </c:pt>
                <c:pt idx="22">
                  <c:v>42978</c:v>
                </c:pt>
                <c:pt idx="23">
                  <c:v>43008</c:v>
                </c:pt>
                <c:pt idx="24">
                  <c:v>43039</c:v>
                </c:pt>
                <c:pt idx="25">
                  <c:v>43069</c:v>
                </c:pt>
                <c:pt idx="26">
                  <c:v>43100</c:v>
                </c:pt>
                <c:pt idx="27">
                  <c:v>43131</c:v>
                </c:pt>
                <c:pt idx="28">
                  <c:v>43159</c:v>
                </c:pt>
                <c:pt idx="29">
                  <c:v>43190</c:v>
                </c:pt>
                <c:pt idx="30">
                  <c:v>43220</c:v>
                </c:pt>
                <c:pt idx="31">
                  <c:v>43251</c:v>
                </c:pt>
                <c:pt idx="32">
                  <c:v>43281</c:v>
                </c:pt>
                <c:pt idx="33">
                  <c:v>43312</c:v>
                </c:pt>
                <c:pt idx="34">
                  <c:v>43343</c:v>
                </c:pt>
                <c:pt idx="35">
                  <c:v>43373</c:v>
                </c:pt>
                <c:pt idx="36">
                  <c:v>43404</c:v>
                </c:pt>
                <c:pt idx="37">
                  <c:v>43434</c:v>
                </c:pt>
                <c:pt idx="38">
                  <c:v>43465</c:v>
                </c:pt>
              </c:numCache>
            </c:numRef>
          </c:cat>
          <c:val>
            <c:numRef>
              <c:f>'Domestic and Foreign Mortga (2'!$C$18:$AO$18</c:f>
              <c:numCache>
                <c:formatCode>0%</c:formatCode>
                <c:ptCount val="39"/>
                <c:pt idx="0">
                  <c:v>9.4475000000000003E-2</c:v>
                </c:pt>
                <c:pt idx="1">
                  <c:v>9.3800000000000008E-2</c:v>
                </c:pt>
                <c:pt idx="2">
                  <c:v>9.1700000000000004E-2</c:v>
                </c:pt>
                <c:pt idx="3">
                  <c:v>9.06E-2</c:v>
                </c:pt>
                <c:pt idx="4">
                  <c:v>8.6699999999999999E-2</c:v>
                </c:pt>
                <c:pt idx="5">
                  <c:v>8.4000000000000005E-2</c:v>
                </c:pt>
                <c:pt idx="6">
                  <c:v>8.3400000000000002E-2</c:v>
                </c:pt>
                <c:pt idx="7">
                  <c:v>8.09E-2</c:v>
                </c:pt>
                <c:pt idx="8">
                  <c:v>8.1000000000000003E-2</c:v>
                </c:pt>
                <c:pt idx="9">
                  <c:v>0.08</c:v>
                </c:pt>
                <c:pt idx="10">
                  <c:v>8.09E-2</c:v>
                </c:pt>
                <c:pt idx="11">
                  <c:v>8.0600000000000005E-2</c:v>
                </c:pt>
                <c:pt idx="12">
                  <c:v>7.7300000000000008E-2</c:v>
                </c:pt>
                <c:pt idx="13">
                  <c:v>7.2599999999999998E-2</c:v>
                </c:pt>
                <c:pt idx="14">
                  <c:v>7.1500000000000008E-2</c:v>
                </c:pt>
                <c:pt idx="15">
                  <c:v>7.1599999999999997E-2</c:v>
                </c:pt>
                <c:pt idx="16">
                  <c:v>7.1599999999999997E-2</c:v>
                </c:pt>
                <c:pt idx="17">
                  <c:v>7.1900000000000006E-2</c:v>
                </c:pt>
                <c:pt idx="18">
                  <c:v>7.2599999999999998E-2</c:v>
                </c:pt>
                <c:pt idx="19">
                  <c:v>7.2499999999999995E-2</c:v>
                </c:pt>
                <c:pt idx="20">
                  <c:v>7.2000000000000008E-2</c:v>
                </c:pt>
                <c:pt idx="21">
                  <c:v>7.0900000000000005E-2</c:v>
                </c:pt>
                <c:pt idx="22">
                  <c:v>7.1199999999999999E-2</c:v>
                </c:pt>
                <c:pt idx="23">
                  <c:v>7.1399999999999991E-2</c:v>
                </c:pt>
                <c:pt idx="24">
                  <c:v>7.0400000000000004E-2</c:v>
                </c:pt>
                <c:pt idx="25">
                  <c:v>7.0699999999999999E-2</c:v>
                </c:pt>
                <c:pt idx="26">
                  <c:v>7.2400000000000006E-2</c:v>
                </c:pt>
                <c:pt idx="27">
                  <c:v>7.1599999999999997E-2</c:v>
                </c:pt>
                <c:pt idx="28">
                  <c:v>7.1500000000000008E-2</c:v>
                </c:pt>
                <c:pt idx="29">
                  <c:v>7.2599999999999998E-2</c:v>
                </c:pt>
                <c:pt idx="30">
                  <c:v>6.9199999999999998E-2</c:v>
                </c:pt>
                <c:pt idx="31">
                  <c:v>6.8699999999999997E-2</c:v>
                </c:pt>
                <c:pt idx="32">
                  <c:v>6.8099999999999994E-2</c:v>
                </c:pt>
                <c:pt idx="33">
                  <c:v>6.4199999999999993E-2</c:v>
                </c:pt>
                <c:pt idx="34">
                  <c:v>5.0900000000000001E-2</c:v>
                </c:pt>
                <c:pt idx="35">
                  <c:v>5.2499999999999998E-2</c:v>
                </c:pt>
                <c:pt idx="36">
                  <c:v>5.74E-2</c:v>
                </c:pt>
                <c:pt idx="37">
                  <c:v>6.1399999999999996E-2</c:v>
                </c:pt>
                <c:pt idx="38">
                  <c:v>6.2199999999999998E-2</c:v>
                </c:pt>
              </c:numCache>
            </c:numRef>
          </c:val>
          <c:smooth val="0"/>
          <c:extLst>
            <c:ext xmlns:c16="http://schemas.microsoft.com/office/drawing/2014/chart" uri="{C3380CC4-5D6E-409C-BE32-E72D297353CC}">
              <c16:uniqueId val="{00000003-3988-4A3F-9711-F69D6D5D8CC7}"/>
            </c:ext>
          </c:extLst>
        </c:ser>
        <c:dLbls>
          <c:showLegendKey val="0"/>
          <c:showVal val="0"/>
          <c:showCatName val="0"/>
          <c:showSerName val="0"/>
          <c:showPercent val="0"/>
          <c:showBubbleSize val="0"/>
        </c:dLbls>
        <c:marker val="1"/>
        <c:smooth val="0"/>
        <c:axId val="1804772576"/>
        <c:axId val="1804799776"/>
      </c:lineChart>
      <c:dateAx>
        <c:axId val="1804772576"/>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99776"/>
        <c:crosses val="autoZero"/>
        <c:auto val="1"/>
        <c:lblOffset val="100"/>
        <c:baseTimeUnit val="days"/>
      </c:dateAx>
      <c:valAx>
        <c:axId val="1804799776"/>
        <c:scaling>
          <c:orientation val="minMax"/>
          <c:max val="0.18000000000000002"/>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72576"/>
        <c:crosses val="autoZero"/>
        <c:crossBetween val="between"/>
      </c:valAx>
      <c:spPr>
        <a:noFill/>
        <a:ln>
          <a:noFill/>
        </a:ln>
        <a:effectLst/>
      </c:spPr>
    </c:plotArea>
    <c:legend>
      <c:legendPos val="b"/>
      <c:layout>
        <c:manualLayout>
          <c:xMode val="edge"/>
          <c:yMode val="edge"/>
          <c:x val="0"/>
          <c:y val="0.75384453866343626"/>
          <c:w val="1"/>
          <c:h val="0.191454606635708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Subunfit5!$A$3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Subunfit5!$B$3:$H$3</c:f>
              <c:numCache>
                <c:formatCode>0.0%</c:formatCode>
                <c:ptCount val="7"/>
                <c:pt idx="0">
                  <c:v>2.6830305503572596E-2</c:v>
                </c:pt>
                <c:pt idx="1">
                  <c:v>2.6249759726830191E-2</c:v>
                </c:pt>
                <c:pt idx="2">
                  <c:v>2.1906879273698304E-2</c:v>
                </c:pt>
                <c:pt idx="3">
                  <c:v>1.8160212943051927E-2</c:v>
                </c:pt>
                <c:pt idx="4">
                  <c:v>1.6351703010723227E-2</c:v>
                </c:pt>
                <c:pt idx="5">
                  <c:v>2.5213727786855083E-2</c:v>
                </c:pt>
                <c:pt idx="6">
                  <c:v>2.2110571026226294E-2</c:v>
                </c:pt>
              </c:numCache>
            </c:numRef>
          </c:val>
          <c:smooth val="0"/>
          <c:extLst>
            <c:ext xmlns:c16="http://schemas.microsoft.com/office/drawing/2014/chart" uri="{C3380CC4-5D6E-409C-BE32-E72D297353CC}">
              <c16:uniqueId val="{00000000-F612-49D6-81DA-32C91DA028F4}"/>
            </c:ext>
          </c:extLst>
        </c:ser>
        <c:ser>
          <c:idx val="1"/>
          <c:order val="1"/>
          <c:tx>
            <c:strRef>
              <c:f>Subunfit5!$A$4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Subunfit5!$B$4:$H$4</c:f>
              <c:numCache>
                <c:formatCode>0.0%</c:formatCode>
                <c:ptCount val="7"/>
                <c:pt idx="0">
                  <c:v>2.4193208628244017E-2</c:v>
                </c:pt>
                <c:pt idx="1">
                  <c:v>4.3908289068135618E-2</c:v>
                </c:pt>
                <c:pt idx="2">
                  <c:v>4.0438596491228065E-2</c:v>
                </c:pt>
                <c:pt idx="3">
                  <c:v>8.4757834757834757E-3</c:v>
                </c:pt>
                <c:pt idx="4">
                  <c:v>0</c:v>
                </c:pt>
                <c:pt idx="5">
                  <c:v>4.3793194202300184E-2</c:v>
                </c:pt>
                <c:pt idx="6">
                  <c:v>2.7528614204586386E-2</c:v>
                </c:pt>
              </c:numCache>
            </c:numRef>
          </c:val>
          <c:smooth val="0"/>
          <c:extLst>
            <c:ext xmlns:c16="http://schemas.microsoft.com/office/drawing/2014/chart" uri="{C3380CC4-5D6E-409C-BE32-E72D297353CC}">
              <c16:uniqueId val="{00000001-F612-49D6-81DA-32C91DA028F4}"/>
            </c:ext>
          </c:extLst>
        </c:ser>
        <c:ser>
          <c:idx val="2"/>
          <c:order val="2"/>
          <c:tx>
            <c:strRef>
              <c:f>Subunfit5!$A$5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Subunfit5!$B$5:$H$5</c:f>
              <c:numCache>
                <c:formatCode>0.0%</c:formatCode>
                <c:ptCount val="7"/>
                <c:pt idx="0">
                  <c:v>3.4612119476653956E-2</c:v>
                </c:pt>
                <c:pt idx="1">
                  <c:v>3.0442323681817055E-2</c:v>
                </c:pt>
                <c:pt idx="2">
                  <c:v>2.2840384107130001E-2</c:v>
                </c:pt>
                <c:pt idx="3">
                  <c:v>3.0806410393993212E-2</c:v>
                </c:pt>
                <c:pt idx="4">
                  <c:v>1.8416913998620811E-2</c:v>
                </c:pt>
                <c:pt idx="5">
                  <c:v>3.4420554556971517E-2</c:v>
                </c:pt>
                <c:pt idx="6">
                  <c:v>2.4869299889359958E-2</c:v>
                </c:pt>
              </c:numCache>
            </c:numRef>
          </c:val>
          <c:smooth val="0"/>
          <c:extLst>
            <c:ext xmlns:c16="http://schemas.microsoft.com/office/drawing/2014/chart" uri="{C3380CC4-5D6E-409C-BE32-E72D297353CC}">
              <c16:uniqueId val="{00000002-F612-49D6-81DA-32C91DA028F4}"/>
            </c:ext>
          </c:extLst>
        </c:ser>
        <c:ser>
          <c:idx val="3"/>
          <c:order val="3"/>
          <c:tx>
            <c:strRef>
              <c:f>Subunfit5!$A$6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Subunfit5!$B$6:$H$6</c:f>
              <c:numCache>
                <c:formatCode>0.0%</c:formatCode>
                <c:ptCount val="7"/>
                <c:pt idx="0">
                  <c:v>1.5371527672220331E-2</c:v>
                </c:pt>
                <c:pt idx="1">
                  <c:v>1.680334865858827E-2</c:v>
                </c:pt>
                <c:pt idx="2">
                  <c:v>3.1895096517738031E-2</c:v>
                </c:pt>
                <c:pt idx="3">
                  <c:v>3.2937374667952504E-2</c:v>
                </c:pt>
                <c:pt idx="4">
                  <c:v>1.5032170841985071E-2</c:v>
                </c:pt>
                <c:pt idx="5">
                  <c:v>5.67496682608334E-2</c:v>
                </c:pt>
                <c:pt idx="6">
                  <c:v>4.9038145960138439E-2</c:v>
                </c:pt>
              </c:numCache>
            </c:numRef>
          </c:val>
          <c:smooth val="0"/>
          <c:extLst>
            <c:ext xmlns:c16="http://schemas.microsoft.com/office/drawing/2014/chart" uri="{C3380CC4-5D6E-409C-BE32-E72D297353CC}">
              <c16:uniqueId val="{00000003-F612-49D6-81DA-32C91DA028F4}"/>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9.0000000000000024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Subunfit5!$K$3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Subunfit5!$L$3:$R$3</c:f>
              <c:numCache>
                <c:formatCode>0.0%</c:formatCode>
                <c:ptCount val="7"/>
                <c:pt idx="0">
                  <c:v>5.7971510661746897E-2</c:v>
                </c:pt>
                <c:pt idx="1">
                  <c:v>5.3653778105018826E-2</c:v>
                </c:pt>
                <c:pt idx="2">
                  <c:v>5.0701150297466968E-2</c:v>
                </c:pt>
                <c:pt idx="3">
                  <c:v>4.060766040248253E-2</c:v>
                </c:pt>
                <c:pt idx="4">
                  <c:v>3.5893845045543805E-2</c:v>
                </c:pt>
                <c:pt idx="5">
                  <c:v>5.7606023284697327E-2</c:v>
                </c:pt>
                <c:pt idx="6">
                  <c:v>5.0518168240415717E-2</c:v>
                </c:pt>
              </c:numCache>
            </c:numRef>
          </c:val>
          <c:smooth val="0"/>
          <c:extLst>
            <c:ext xmlns:c16="http://schemas.microsoft.com/office/drawing/2014/chart" uri="{C3380CC4-5D6E-409C-BE32-E72D297353CC}">
              <c16:uniqueId val="{00000000-0E25-4A79-B5E0-8919945BFAC7}"/>
            </c:ext>
          </c:extLst>
        </c:ser>
        <c:ser>
          <c:idx val="1"/>
          <c:order val="1"/>
          <c:tx>
            <c:strRef>
              <c:f>Subunfit5!$K$4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Subunfit5!$L$4:$R$4</c:f>
              <c:numCache>
                <c:formatCode>0.0%</c:formatCode>
                <c:ptCount val="7"/>
                <c:pt idx="0">
                  <c:v>5.8009051885031727E-2</c:v>
                </c:pt>
                <c:pt idx="1">
                  <c:v>2.8046421663442941E-2</c:v>
                </c:pt>
                <c:pt idx="2">
                  <c:v>6.5126050420168058E-2</c:v>
                </c:pt>
                <c:pt idx="3">
                  <c:v>1.806337294142172E-2</c:v>
                </c:pt>
                <c:pt idx="4">
                  <c:v>6.0975609756097563E-3</c:v>
                </c:pt>
                <c:pt idx="5">
                  <c:v>3.8326712267681057E-2</c:v>
                </c:pt>
                <c:pt idx="6">
                  <c:v>3.4189468972077669E-2</c:v>
                </c:pt>
              </c:numCache>
            </c:numRef>
          </c:val>
          <c:smooth val="0"/>
          <c:extLst>
            <c:ext xmlns:c16="http://schemas.microsoft.com/office/drawing/2014/chart" uri="{C3380CC4-5D6E-409C-BE32-E72D297353CC}">
              <c16:uniqueId val="{00000001-0E25-4A79-B5E0-8919945BFAC7}"/>
            </c:ext>
          </c:extLst>
        </c:ser>
        <c:ser>
          <c:idx val="2"/>
          <c:order val="2"/>
          <c:tx>
            <c:strRef>
              <c:f>Subunfit5!$K$5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Subunfit5!$L$5:$R$5</c:f>
              <c:numCache>
                <c:formatCode>0.0%</c:formatCode>
                <c:ptCount val="7"/>
                <c:pt idx="0" formatCode="0.00%">
                  <c:v>2.1321037634451763E-2</c:v>
                </c:pt>
                <c:pt idx="1">
                  <c:v>3.1537839127787681E-2</c:v>
                </c:pt>
                <c:pt idx="2">
                  <c:v>3.1571365731080575E-2</c:v>
                </c:pt>
                <c:pt idx="3">
                  <c:v>4.8520500150284855E-2</c:v>
                </c:pt>
                <c:pt idx="4">
                  <c:v>4.5466749569926468E-2</c:v>
                </c:pt>
                <c:pt idx="5" formatCode="0.00%">
                  <c:v>7.4048614361829079E-2</c:v>
                </c:pt>
                <c:pt idx="6">
                  <c:v>6.427597285056498E-2</c:v>
                </c:pt>
              </c:numCache>
            </c:numRef>
          </c:val>
          <c:smooth val="0"/>
          <c:extLst>
            <c:ext xmlns:c16="http://schemas.microsoft.com/office/drawing/2014/chart" uri="{C3380CC4-5D6E-409C-BE32-E72D297353CC}">
              <c16:uniqueId val="{00000002-0E25-4A79-B5E0-8919945BFAC7}"/>
            </c:ext>
          </c:extLst>
        </c:ser>
        <c:ser>
          <c:idx val="3"/>
          <c:order val="3"/>
          <c:tx>
            <c:strRef>
              <c:f>Subunfit5!$K$6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Subunfit5!$L$6:$R$6</c:f>
              <c:numCache>
                <c:formatCode>0.0%</c:formatCode>
                <c:ptCount val="7"/>
                <c:pt idx="0">
                  <c:v>6.0958178102653471E-2</c:v>
                </c:pt>
                <c:pt idx="1">
                  <c:v>5.6236130022427666E-2</c:v>
                </c:pt>
                <c:pt idx="2">
                  <c:v>7.9769378742311048E-2</c:v>
                </c:pt>
                <c:pt idx="3">
                  <c:v>7.6993218171531735E-2</c:v>
                </c:pt>
                <c:pt idx="4">
                  <c:v>5.252694793156417E-2</c:v>
                </c:pt>
                <c:pt idx="5">
                  <c:v>8.4727730412692284E-2</c:v>
                </c:pt>
                <c:pt idx="6">
                  <c:v>7.532473305572944E-2</c:v>
                </c:pt>
              </c:numCache>
            </c:numRef>
          </c:val>
          <c:smooth val="0"/>
          <c:extLst>
            <c:ext xmlns:c16="http://schemas.microsoft.com/office/drawing/2014/chart" uri="{C3380CC4-5D6E-409C-BE32-E72D297353CC}">
              <c16:uniqueId val="{00000003-0E25-4A79-B5E0-8919945BFAC7}"/>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Subunfit45!$A$3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Subunfit45!$B$3:$H$3</c:f>
              <c:numCache>
                <c:formatCode>0.0%</c:formatCode>
                <c:ptCount val="7"/>
                <c:pt idx="0">
                  <c:v>0.49894643357133617</c:v>
                </c:pt>
                <c:pt idx="1">
                  <c:v>0.45626935321970202</c:v>
                </c:pt>
                <c:pt idx="2">
                  <c:v>0.4476584516694026</c:v>
                </c:pt>
                <c:pt idx="3">
                  <c:v>0.44858743070760687</c:v>
                </c:pt>
                <c:pt idx="4">
                  <c:v>0.41021747774876305</c:v>
                </c:pt>
                <c:pt idx="5">
                  <c:v>0.45141754389998501</c:v>
                </c:pt>
                <c:pt idx="6">
                  <c:v>0.43550335250381084</c:v>
                </c:pt>
              </c:numCache>
            </c:numRef>
          </c:val>
          <c:smooth val="0"/>
          <c:extLst>
            <c:ext xmlns:c16="http://schemas.microsoft.com/office/drawing/2014/chart" uri="{C3380CC4-5D6E-409C-BE32-E72D297353CC}">
              <c16:uniqueId val="{00000000-ECF6-4D11-BCEA-753683D094E0}"/>
            </c:ext>
          </c:extLst>
        </c:ser>
        <c:ser>
          <c:idx val="1"/>
          <c:order val="1"/>
          <c:tx>
            <c:strRef>
              <c:f>Subunfit45!$A$4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Subunfit45!$B$4:$H$4</c:f>
              <c:numCache>
                <c:formatCode>0.0%</c:formatCode>
                <c:ptCount val="7"/>
                <c:pt idx="0">
                  <c:v>0.50220140726005824</c:v>
                </c:pt>
                <c:pt idx="1">
                  <c:v>0.44380619936485349</c:v>
                </c:pt>
                <c:pt idx="2">
                  <c:v>0.52479341796763312</c:v>
                </c:pt>
                <c:pt idx="3">
                  <c:v>0.52292565556135517</c:v>
                </c:pt>
                <c:pt idx="4">
                  <c:v>0.48213423437632702</c:v>
                </c:pt>
                <c:pt idx="5">
                  <c:v>0.49231412325674617</c:v>
                </c:pt>
                <c:pt idx="6">
                  <c:v>0.49096018776213712</c:v>
                </c:pt>
              </c:numCache>
            </c:numRef>
          </c:val>
          <c:smooth val="0"/>
          <c:extLst>
            <c:ext xmlns:c16="http://schemas.microsoft.com/office/drawing/2014/chart" uri="{C3380CC4-5D6E-409C-BE32-E72D297353CC}">
              <c16:uniqueId val="{00000001-ECF6-4D11-BCEA-753683D094E0}"/>
            </c:ext>
          </c:extLst>
        </c:ser>
        <c:ser>
          <c:idx val="2"/>
          <c:order val="2"/>
          <c:tx>
            <c:strRef>
              <c:f>Subunfit45!$A$5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Subunfit45!$B$2:$H$2</c:f>
              <c:numCache>
                <c:formatCode>General</c:formatCode>
                <c:ptCount val="7"/>
                <c:pt idx="0">
                  <c:v>2012</c:v>
                </c:pt>
                <c:pt idx="1">
                  <c:v>2013</c:v>
                </c:pt>
                <c:pt idx="2">
                  <c:v>2014</c:v>
                </c:pt>
                <c:pt idx="3">
                  <c:v>2015</c:v>
                </c:pt>
                <c:pt idx="4">
                  <c:v>2016</c:v>
                </c:pt>
                <c:pt idx="5">
                  <c:v>2017</c:v>
                </c:pt>
                <c:pt idx="6">
                  <c:v>2018</c:v>
                </c:pt>
              </c:numCache>
            </c:numRef>
          </c:cat>
          <c:val>
            <c:numRef>
              <c:f>Subunfit45!$B$5:$H$5</c:f>
              <c:numCache>
                <c:formatCode>0.0%</c:formatCode>
                <c:ptCount val="7"/>
                <c:pt idx="0">
                  <c:v>0.68898523923763821</c:v>
                </c:pt>
                <c:pt idx="1">
                  <c:v>0.57217063348960218</c:v>
                </c:pt>
                <c:pt idx="2">
                  <c:v>0.48621716588096775</c:v>
                </c:pt>
                <c:pt idx="3">
                  <c:v>0.60323902288188003</c:v>
                </c:pt>
                <c:pt idx="4">
                  <c:v>0.55654287233234601</c:v>
                </c:pt>
                <c:pt idx="5">
                  <c:v>0.48884559292680707</c:v>
                </c:pt>
                <c:pt idx="6">
                  <c:v>0.53990032314754233</c:v>
                </c:pt>
              </c:numCache>
            </c:numRef>
          </c:val>
          <c:smooth val="0"/>
          <c:extLst>
            <c:ext xmlns:c16="http://schemas.microsoft.com/office/drawing/2014/chart" uri="{C3380CC4-5D6E-409C-BE32-E72D297353CC}">
              <c16:uniqueId val="{00000002-ECF6-4D11-BCEA-753683D094E0}"/>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Subunfit45!$K$3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Subunfit45!$L$3:$R$3</c:f>
              <c:numCache>
                <c:formatCode>0.0%</c:formatCode>
                <c:ptCount val="7"/>
                <c:pt idx="0">
                  <c:v>0.61835369915685323</c:v>
                </c:pt>
                <c:pt idx="1">
                  <c:v>0.62108883218853927</c:v>
                </c:pt>
                <c:pt idx="2">
                  <c:v>0.59059015394590308</c:v>
                </c:pt>
                <c:pt idx="3">
                  <c:v>0.54776575669488436</c:v>
                </c:pt>
                <c:pt idx="4">
                  <c:v>0.55325603920235922</c:v>
                </c:pt>
                <c:pt idx="5">
                  <c:v>0.58391242158365986</c:v>
                </c:pt>
                <c:pt idx="6">
                  <c:v>0.55380427883879668</c:v>
                </c:pt>
              </c:numCache>
            </c:numRef>
          </c:val>
          <c:smooth val="0"/>
          <c:extLst>
            <c:ext xmlns:c16="http://schemas.microsoft.com/office/drawing/2014/chart" uri="{C3380CC4-5D6E-409C-BE32-E72D297353CC}">
              <c16:uniqueId val="{00000000-89F5-4C11-9BEC-8FD45A3F2BBF}"/>
            </c:ext>
          </c:extLst>
        </c:ser>
        <c:ser>
          <c:idx val="1"/>
          <c:order val="1"/>
          <c:tx>
            <c:strRef>
              <c:f>Subunfit45!$K$4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Subunfit45!$L$4:$R$4</c:f>
              <c:numCache>
                <c:formatCode>0.0%</c:formatCode>
                <c:ptCount val="7"/>
                <c:pt idx="0">
                  <c:v>0.39864763212977494</c:v>
                </c:pt>
                <c:pt idx="1">
                  <c:v>0.45200534759358291</c:v>
                </c:pt>
                <c:pt idx="2">
                  <c:v>0.34444946422653566</c:v>
                </c:pt>
                <c:pt idx="3">
                  <c:v>0.27304353371905732</c:v>
                </c:pt>
                <c:pt idx="4">
                  <c:v>0.34953963188241965</c:v>
                </c:pt>
                <c:pt idx="5">
                  <c:v>0.37672182207546989</c:v>
                </c:pt>
                <c:pt idx="6">
                  <c:v>0.29491162824709066</c:v>
                </c:pt>
              </c:numCache>
            </c:numRef>
          </c:val>
          <c:smooth val="0"/>
          <c:extLst>
            <c:ext xmlns:c16="http://schemas.microsoft.com/office/drawing/2014/chart" uri="{C3380CC4-5D6E-409C-BE32-E72D297353CC}">
              <c16:uniqueId val="{00000001-89F5-4C11-9BEC-8FD45A3F2BBF}"/>
            </c:ext>
          </c:extLst>
        </c:ser>
        <c:ser>
          <c:idx val="2"/>
          <c:order val="2"/>
          <c:tx>
            <c:strRef>
              <c:f>Subunfit45!$K$5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Subunfit45!$L$2:$R$2</c:f>
              <c:numCache>
                <c:formatCode>General</c:formatCode>
                <c:ptCount val="7"/>
                <c:pt idx="0">
                  <c:v>2012</c:v>
                </c:pt>
                <c:pt idx="1">
                  <c:v>2013</c:v>
                </c:pt>
                <c:pt idx="2">
                  <c:v>2014</c:v>
                </c:pt>
                <c:pt idx="3">
                  <c:v>2015</c:v>
                </c:pt>
                <c:pt idx="4">
                  <c:v>2016</c:v>
                </c:pt>
                <c:pt idx="5">
                  <c:v>2017</c:v>
                </c:pt>
                <c:pt idx="6">
                  <c:v>2018</c:v>
                </c:pt>
              </c:numCache>
            </c:numRef>
          </c:cat>
          <c:val>
            <c:numRef>
              <c:f>Subunfit45!$L$5:$R$5</c:f>
              <c:numCache>
                <c:formatCode>0.0%</c:formatCode>
                <c:ptCount val="7"/>
                <c:pt idx="0">
                  <c:v>0.58311274509803923</c:v>
                </c:pt>
                <c:pt idx="1">
                  <c:v>0.67544307196562836</c:v>
                </c:pt>
                <c:pt idx="2">
                  <c:v>0.63602150537634405</c:v>
                </c:pt>
                <c:pt idx="3">
                  <c:v>0.68229166666666663</c:v>
                </c:pt>
                <c:pt idx="4">
                  <c:v>0.59525518341307815</c:v>
                </c:pt>
                <c:pt idx="5">
                  <c:v>0.59600460953374923</c:v>
                </c:pt>
                <c:pt idx="6">
                  <c:v>0.62325452325452324</c:v>
                </c:pt>
              </c:numCache>
            </c:numRef>
          </c:val>
          <c:smooth val="0"/>
          <c:extLst>
            <c:ext xmlns:c16="http://schemas.microsoft.com/office/drawing/2014/chart" uri="{C3380CC4-5D6E-409C-BE32-E72D297353CC}">
              <c16:uniqueId val="{00000002-89F5-4C11-9BEC-8FD45A3F2BBF}"/>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Subunfit5!$A$3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Subunfit5!$B$3:$H$3</c:f>
              <c:numCache>
                <c:formatCode>0.0%</c:formatCode>
                <c:ptCount val="7"/>
                <c:pt idx="0">
                  <c:v>2.4841275493932915E-2</c:v>
                </c:pt>
                <c:pt idx="1">
                  <c:v>2.6561286213215018E-2</c:v>
                </c:pt>
                <c:pt idx="2">
                  <c:v>2.0479030986997295E-2</c:v>
                </c:pt>
                <c:pt idx="3">
                  <c:v>1.5312753599440003E-2</c:v>
                </c:pt>
                <c:pt idx="4">
                  <c:v>1.0444124838243076E-2</c:v>
                </c:pt>
                <c:pt idx="5">
                  <c:v>2.7108598655459556E-2</c:v>
                </c:pt>
                <c:pt idx="6">
                  <c:v>2.1843981044496454E-2</c:v>
                </c:pt>
              </c:numCache>
            </c:numRef>
          </c:val>
          <c:smooth val="0"/>
          <c:extLst>
            <c:ext xmlns:c16="http://schemas.microsoft.com/office/drawing/2014/chart" uri="{C3380CC4-5D6E-409C-BE32-E72D297353CC}">
              <c16:uniqueId val="{00000000-2AD4-4368-A7E0-CADD1751142F}"/>
            </c:ext>
          </c:extLst>
        </c:ser>
        <c:ser>
          <c:idx val="1"/>
          <c:order val="1"/>
          <c:tx>
            <c:strRef>
              <c:f>Subunfit5!$A$4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Subunfit5!$B$4:$H$4</c:f>
              <c:numCache>
                <c:formatCode>0.0%</c:formatCode>
                <c:ptCount val="7"/>
                <c:pt idx="0">
                  <c:v>3.6016052007620925E-2</c:v>
                </c:pt>
                <c:pt idx="1">
                  <c:v>2.0457726224857434E-2</c:v>
                </c:pt>
                <c:pt idx="2">
                  <c:v>3.3651018307477389E-2</c:v>
                </c:pt>
                <c:pt idx="3">
                  <c:v>3.6618453645925565E-2</c:v>
                </c:pt>
                <c:pt idx="4">
                  <c:v>5.981279497227715E-2</c:v>
                </c:pt>
                <c:pt idx="5">
                  <c:v>8.4680992467877723E-3</c:v>
                </c:pt>
                <c:pt idx="6">
                  <c:v>2.1934047207249771E-2</c:v>
                </c:pt>
              </c:numCache>
            </c:numRef>
          </c:val>
          <c:smooth val="0"/>
          <c:extLst>
            <c:ext xmlns:c16="http://schemas.microsoft.com/office/drawing/2014/chart" uri="{C3380CC4-5D6E-409C-BE32-E72D297353CC}">
              <c16:uniqueId val="{00000001-2AD4-4368-A7E0-CADD1751142F}"/>
            </c:ext>
          </c:extLst>
        </c:ser>
        <c:ser>
          <c:idx val="2"/>
          <c:order val="2"/>
          <c:tx>
            <c:strRef>
              <c:f>Subunfit5!$A$5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Subunfit5!$B$2:$H$2</c:f>
              <c:numCache>
                <c:formatCode>General</c:formatCode>
                <c:ptCount val="7"/>
                <c:pt idx="0">
                  <c:v>2012</c:v>
                </c:pt>
                <c:pt idx="1">
                  <c:v>2013</c:v>
                </c:pt>
                <c:pt idx="2">
                  <c:v>2014</c:v>
                </c:pt>
                <c:pt idx="3">
                  <c:v>2015</c:v>
                </c:pt>
                <c:pt idx="4">
                  <c:v>2016</c:v>
                </c:pt>
                <c:pt idx="5">
                  <c:v>2017</c:v>
                </c:pt>
                <c:pt idx="6">
                  <c:v>2018</c:v>
                </c:pt>
              </c:numCache>
            </c:numRef>
          </c:cat>
          <c:val>
            <c:numRef>
              <c:f>Subunfit5!$B$5:$H$5</c:f>
              <c:numCache>
                <c:formatCode>0.0%</c:formatCode>
                <c:ptCount val="7"/>
                <c:pt idx="0">
                  <c:v>4.4002954373806039E-2</c:v>
                </c:pt>
                <c:pt idx="1">
                  <c:v>3.1502058540689992E-2</c:v>
                </c:pt>
                <c:pt idx="2">
                  <c:v>1.7580287929125138E-2</c:v>
                </c:pt>
                <c:pt idx="3">
                  <c:v>2.7123273551844983E-2</c:v>
                </c:pt>
                <c:pt idx="4">
                  <c:v>1.3523391812865496E-2</c:v>
                </c:pt>
                <c:pt idx="5">
                  <c:v>1.7969799167502201E-2</c:v>
                </c:pt>
                <c:pt idx="6">
                  <c:v>2.7063418645287288E-2</c:v>
                </c:pt>
              </c:numCache>
            </c:numRef>
          </c:val>
          <c:smooth val="0"/>
          <c:extLst>
            <c:ext xmlns:c16="http://schemas.microsoft.com/office/drawing/2014/chart" uri="{C3380CC4-5D6E-409C-BE32-E72D297353CC}">
              <c16:uniqueId val="{00000002-2AD4-4368-A7E0-CADD1751142F}"/>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Subunfit5!$K$3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Subunfit5!$L$3:$R$3</c:f>
              <c:numCache>
                <c:formatCode>0.0%</c:formatCode>
                <c:ptCount val="7"/>
                <c:pt idx="0" formatCode="0.00%">
                  <c:v>6.4891233197029968E-2</c:v>
                </c:pt>
                <c:pt idx="1">
                  <c:v>5.852245088238299E-2</c:v>
                </c:pt>
                <c:pt idx="2">
                  <c:v>5.6355159213987475E-2</c:v>
                </c:pt>
                <c:pt idx="3">
                  <c:v>4.4921606350749925E-2</c:v>
                </c:pt>
                <c:pt idx="4">
                  <c:v>3.9438013402503441E-2</c:v>
                </c:pt>
                <c:pt idx="5" formatCode="0.00%">
                  <c:v>6.416540257560216E-2</c:v>
                </c:pt>
                <c:pt idx="6">
                  <c:v>5.8769657886682342E-2</c:v>
                </c:pt>
              </c:numCache>
            </c:numRef>
          </c:val>
          <c:smooth val="0"/>
          <c:extLst>
            <c:ext xmlns:c16="http://schemas.microsoft.com/office/drawing/2014/chart" uri="{C3380CC4-5D6E-409C-BE32-E72D297353CC}">
              <c16:uniqueId val="{00000000-7957-4EA6-842C-8D49513DE768}"/>
            </c:ext>
          </c:extLst>
        </c:ser>
        <c:ser>
          <c:idx val="1"/>
          <c:order val="1"/>
          <c:tx>
            <c:strRef>
              <c:f>Subunfit5!$K$4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Subunfit5!$L$4:$R$4</c:f>
              <c:numCache>
                <c:formatCode>0.0%</c:formatCode>
                <c:ptCount val="7"/>
                <c:pt idx="0">
                  <c:v>4.1913469887912704E-2</c:v>
                </c:pt>
                <c:pt idx="1">
                  <c:v>9.399776265421312E-3</c:v>
                </c:pt>
                <c:pt idx="2">
                  <c:v>2.2826764206151044E-2</c:v>
                </c:pt>
                <c:pt idx="3">
                  <c:v>1.4215968890764669E-2</c:v>
                </c:pt>
                <c:pt idx="4">
                  <c:v>1.653508503726149E-2</c:v>
                </c:pt>
                <c:pt idx="5">
                  <c:v>1.8309450114041049E-2</c:v>
                </c:pt>
                <c:pt idx="6">
                  <c:v>1.2313315634725958E-2</c:v>
                </c:pt>
              </c:numCache>
            </c:numRef>
          </c:val>
          <c:smooth val="0"/>
          <c:extLst>
            <c:ext xmlns:c16="http://schemas.microsoft.com/office/drawing/2014/chart" uri="{C3380CC4-5D6E-409C-BE32-E72D297353CC}">
              <c16:uniqueId val="{00000001-7957-4EA6-842C-8D49513DE768}"/>
            </c:ext>
          </c:extLst>
        </c:ser>
        <c:ser>
          <c:idx val="2"/>
          <c:order val="2"/>
          <c:tx>
            <c:strRef>
              <c:f>Subunfit5!$K$5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Subunfit5!$L$2:$R$2</c:f>
              <c:numCache>
                <c:formatCode>General</c:formatCode>
                <c:ptCount val="7"/>
                <c:pt idx="0">
                  <c:v>2012</c:v>
                </c:pt>
                <c:pt idx="1">
                  <c:v>2013</c:v>
                </c:pt>
                <c:pt idx="2">
                  <c:v>2014</c:v>
                </c:pt>
                <c:pt idx="3">
                  <c:v>2015</c:v>
                </c:pt>
                <c:pt idx="4">
                  <c:v>2016</c:v>
                </c:pt>
                <c:pt idx="5">
                  <c:v>2017</c:v>
                </c:pt>
                <c:pt idx="6">
                  <c:v>2018</c:v>
                </c:pt>
              </c:numCache>
            </c:numRef>
          </c:cat>
          <c:val>
            <c:numRef>
              <c:f>Subunfit5!$L$5:$R$5</c:f>
              <c:numCache>
                <c:formatCode>0.0%</c:formatCode>
                <c:ptCount val="7"/>
                <c:pt idx="0" formatCode="0.00%">
                  <c:v>5.2410367546354933E-2</c:v>
                </c:pt>
                <c:pt idx="1">
                  <c:v>3.4574764035570762E-2</c:v>
                </c:pt>
                <c:pt idx="2">
                  <c:v>4.0489870567961682E-2</c:v>
                </c:pt>
                <c:pt idx="3">
                  <c:v>3.27678465761886E-2</c:v>
                </c:pt>
                <c:pt idx="4">
                  <c:v>2.3218857237286797E-2</c:v>
                </c:pt>
                <c:pt idx="5" formatCode="0.00%">
                  <c:v>3.2946296592786001E-2</c:v>
                </c:pt>
                <c:pt idx="6">
                  <c:v>3.9723186313147037E-2</c:v>
                </c:pt>
              </c:numCache>
            </c:numRef>
          </c:val>
          <c:smooth val="0"/>
          <c:extLst>
            <c:ext xmlns:c16="http://schemas.microsoft.com/office/drawing/2014/chart" uri="{C3380CC4-5D6E-409C-BE32-E72D297353CC}">
              <c16:uniqueId val="{00000002-7957-4EA6-842C-8D49513DE768}"/>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OvercrowdingUN!$A$3</c:f>
              <c:strCache>
                <c:ptCount val="1"/>
                <c:pt idx="0">
                  <c:v>Ethnic Georgians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OvercrowdingUN!$B$3:$M$3</c:f>
              <c:numCache>
                <c:formatCode>0.0%</c:formatCode>
                <c:ptCount val="12"/>
                <c:pt idx="0">
                  <c:v>4.0749004174997924E-2</c:v>
                </c:pt>
                <c:pt idx="1">
                  <c:v>3.7828740941580889E-2</c:v>
                </c:pt>
                <c:pt idx="2">
                  <c:v>3.6120476012424234E-2</c:v>
                </c:pt>
                <c:pt idx="3">
                  <c:v>3.7963506691230706E-2</c:v>
                </c:pt>
                <c:pt idx="4">
                  <c:v>3.1241697335044592E-2</c:v>
                </c:pt>
                <c:pt idx="5">
                  <c:v>3.2460430784281742E-2</c:v>
                </c:pt>
                <c:pt idx="6">
                  <c:v>2.7102409780573749E-2</c:v>
                </c:pt>
                <c:pt idx="7">
                  <c:v>2.200093051238889E-2</c:v>
                </c:pt>
                <c:pt idx="8">
                  <c:v>1.6402173785033478E-2</c:v>
                </c:pt>
                <c:pt idx="9">
                  <c:v>2.2614318696379768E-2</c:v>
                </c:pt>
                <c:pt idx="10">
                  <c:v>1.3734351296368144E-2</c:v>
                </c:pt>
                <c:pt idx="11">
                  <c:v>1.4752858362131499E-2</c:v>
                </c:pt>
              </c:numCache>
            </c:numRef>
          </c:val>
          <c:smooth val="0"/>
          <c:extLst>
            <c:ext xmlns:c16="http://schemas.microsoft.com/office/drawing/2014/chart" uri="{C3380CC4-5D6E-409C-BE32-E72D297353CC}">
              <c16:uniqueId val="{00000000-2362-4C34-ABC5-053A572FC479}"/>
            </c:ext>
          </c:extLst>
        </c:ser>
        <c:ser>
          <c:idx val="1"/>
          <c:order val="1"/>
          <c:tx>
            <c:strRef>
              <c:f>OvercrowdingUN!$A$4</c:f>
              <c:strCache>
                <c:ptCount val="1"/>
                <c:pt idx="0">
                  <c:v>Non-ethnic Georgians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OvercrowdingUN!$B$4:$M$4</c:f>
              <c:numCache>
                <c:formatCode>0.0%</c:formatCode>
                <c:ptCount val="12"/>
                <c:pt idx="0">
                  <c:v>4.3976009200265676E-2</c:v>
                </c:pt>
                <c:pt idx="1">
                  <c:v>2.5597971953472208E-2</c:v>
                </c:pt>
                <c:pt idx="2">
                  <c:v>2.2214688599695973E-2</c:v>
                </c:pt>
                <c:pt idx="3">
                  <c:v>2.302375353335883E-2</c:v>
                </c:pt>
                <c:pt idx="4">
                  <c:v>2.0915050583327516E-2</c:v>
                </c:pt>
                <c:pt idx="5">
                  <c:v>3.1838416552492796E-2</c:v>
                </c:pt>
                <c:pt idx="6">
                  <c:v>1.256298938275217E-2</c:v>
                </c:pt>
                <c:pt idx="7">
                  <c:v>1.5978196047676231E-2</c:v>
                </c:pt>
                <c:pt idx="8">
                  <c:v>1.703435177056048E-2</c:v>
                </c:pt>
                <c:pt idx="9">
                  <c:v>2.2712410370891618E-2</c:v>
                </c:pt>
                <c:pt idx="10">
                  <c:v>1.3756936093001666E-2</c:v>
                </c:pt>
                <c:pt idx="11">
                  <c:v>2.4736377688011409E-2</c:v>
                </c:pt>
              </c:numCache>
            </c:numRef>
          </c:val>
          <c:smooth val="0"/>
          <c:extLst>
            <c:ext xmlns:c16="http://schemas.microsoft.com/office/drawing/2014/chart" uri="{C3380CC4-5D6E-409C-BE32-E72D297353CC}">
              <c16:uniqueId val="{00000001-2362-4C34-ABC5-053A572FC479}"/>
            </c:ext>
          </c:extLst>
        </c:ser>
        <c:ser>
          <c:idx val="2"/>
          <c:order val="2"/>
          <c:tx>
            <c:strRef>
              <c:f>OvercrowdingUN!$A$5</c:f>
              <c:strCache>
                <c:ptCount val="1"/>
                <c:pt idx="0">
                  <c:v>Ethnically Mixed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OvercrowdingUN!$B$2:$M$2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OvercrowdingUN!$B$5:$M$5</c:f>
              <c:numCache>
                <c:formatCode>0.0%</c:formatCode>
                <c:ptCount val="12"/>
                <c:pt idx="0">
                  <c:v>4.1846608890403619E-2</c:v>
                </c:pt>
                <c:pt idx="1">
                  <c:v>3.2221483451536644E-2</c:v>
                </c:pt>
                <c:pt idx="2">
                  <c:v>2.9588879439754308E-2</c:v>
                </c:pt>
                <c:pt idx="3">
                  <c:v>5.0499581041860857E-2</c:v>
                </c:pt>
                <c:pt idx="4">
                  <c:v>4.158928926370787E-2</c:v>
                </c:pt>
                <c:pt idx="5">
                  <c:v>5.7755231240837007E-2</c:v>
                </c:pt>
                <c:pt idx="6">
                  <c:v>4.0987874143526871E-2</c:v>
                </c:pt>
                <c:pt idx="7">
                  <c:v>2.8564753413085061E-2</c:v>
                </c:pt>
                <c:pt idx="8">
                  <c:v>2.2291795506081222E-2</c:v>
                </c:pt>
                <c:pt idx="9">
                  <c:v>6.230063795853269E-2</c:v>
                </c:pt>
                <c:pt idx="10">
                  <c:v>3.102694983745025E-2</c:v>
                </c:pt>
                <c:pt idx="11">
                  <c:v>5.4789615657488674E-2</c:v>
                </c:pt>
              </c:numCache>
            </c:numRef>
          </c:val>
          <c:smooth val="0"/>
          <c:extLst>
            <c:ext xmlns:c16="http://schemas.microsoft.com/office/drawing/2014/chart" uri="{C3380CC4-5D6E-409C-BE32-E72D297353CC}">
              <c16:uniqueId val="{00000002-2362-4C34-ABC5-053A572FC479}"/>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7.0000000000000007E-2"/>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Unaffordablerent1!$A$3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Unaffordablerent1!$B$3:$M$3</c:f>
              <c:numCache>
                <c:formatCode>0.0%</c:formatCode>
                <c:ptCount val="12"/>
                <c:pt idx="0">
                  <c:v>0.25349216609720809</c:v>
                </c:pt>
                <c:pt idx="1">
                  <c:v>0.18979768925961976</c:v>
                </c:pt>
                <c:pt idx="2">
                  <c:v>0.1902118635741622</c:v>
                </c:pt>
                <c:pt idx="3">
                  <c:v>0.14533685257311929</c:v>
                </c:pt>
                <c:pt idx="4">
                  <c:v>0.15136287380810404</c:v>
                </c:pt>
                <c:pt idx="5">
                  <c:v>0.1292940402464027</c:v>
                </c:pt>
                <c:pt idx="6">
                  <c:v>0.14187339697919638</c:v>
                </c:pt>
                <c:pt idx="7">
                  <c:v>0.17996109753261119</c:v>
                </c:pt>
                <c:pt idx="8">
                  <c:v>0.16010206398137433</c:v>
                </c:pt>
                <c:pt idx="9">
                  <c:v>0.16958164449925078</c:v>
                </c:pt>
                <c:pt idx="10">
                  <c:v>0.24421634118870816</c:v>
                </c:pt>
                <c:pt idx="11">
                  <c:v>0.23214360356372388</c:v>
                </c:pt>
              </c:numCache>
            </c:numRef>
          </c:val>
          <c:smooth val="0"/>
          <c:extLst>
            <c:ext xmlns:c16="http://schemas.microsoft.com/office/drawing/2014/chart" uri="{C3380CC4-5D6E-409C-BE32-E72D297353CC}">
              <c16:uniqueId val="{00000000-52E5-4C27-8FC6-FC15923C4691}"/>
            </c:ext>
          </c:extLst>
        </c:ser>
        <c:ser>
          <c:idx val="1"/>
          <c:order val="1"/>
          <c:tx>
            <c:strRef>
              <c:f>Unaffordablerent1!$A$4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Unaffordablerent1!$B$4:$M$4</c:f>
              <c:numCache>
                <c:formatCode>0.0%</c:formatCode>
                <c:ptCount val="12"/>
                <c:pt idx="0">
                  <c:v>0.16355179076879051</c:v>
                </c:pt>
                <c:pt idx="1">
                  <c:v>0.13531281043000853</c:v>
                </c:pt>
                <c:pt idx="2">
                  <c:v>0.14476752667642306</c:v>
                </c:pt>
                <c:pt idx="3">
                  <c:v>0.10136263108610491</c:v>
                </c:pt>
                <c:pt idx="4">
                  <c:v>9.6628545346756328E-2</c:v>
                </c:pt>
                <c:pt idx="5">
                  <c:v>0.10692236255309524</c:v>
                </c:pt>
                <c:pt idx="6">
                  <c:v>0.11301514894492741</c:v>
                </c:pt>
                <c:pt idx="7">
                  <c:v>0.14232696247788101</c:v>
                </c:pt>
                <c:pt idx="8">
                  <c:v>0.11729381078490753</c:v>
                </c:pt>
                <c:pt idx="9">
                  <c:v>0.1303265356084492</c:v>
                </c:pt>
                <c:pt idx="10">
                  <c:v>0.19101672411958778</c:v>
                </c:pt>
                <c:pt idx="11">
                  <c:v>0.19628041427146631</c:v>
                </c:pt>
              </c:numCache>
            </c:numRef>
          </c:val>
          <c:smooth val="0"/>
          <c:extLst>
            <c:ext xmlns:c16="http://schemas.microsoft.com/office/drawing/2014/chart" uri="{C3380CC4-5D6E-409C-BE32-E72D297353CC}">
              <c16:uniqueId val="{00000001-52E5-4C27-8FC6-FC15923C4691}"/>
            </c:ext>
          </c:extLst>
        </c:ser>
        <c:ser>
          <c:idx val="2"/>
          <c:order val="2"/>
          <c:tx>
            <c:strRef>
              <c:f>Unaffordablerent1!$A$5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Unaffordablerent1!$B$5:$M$5</c:f>
              <c:numCache>
                <c:formatCode>0.0%</c:formatCode>
                <c:ptCount val="12"/>
                <c:pt idx="0">
                  <c:v>0.18418050827405838</c:v>
                </c:pt>
                <c:pt idx="1">
                  <c:v>0.11368756066773586</c:v>
                </c:pt>
                <c:pt idx="2">
                  <c:v>0.10958637130910513</c:v>
                </c:pt>
                <c:pt idx="3">
                  <c:v>9.6663751570220585E-2</c:v>
                </c:pt>
                <c:pt idx="4">
                  <c:v>9.7903514813308071E-2</c:v>
                </c:pt>
                <c:pt idx="5">
                  <c:v>9.0208994708994711E-2</c:v>
                </c:pt>
                <c:pt idx="6">
                  <c:v>0.13226064139680377</c:v>
                </c:pt>
                <c:pt idx="7">
                  <c:v>0.1306925094428632</c:v>
                </c:pt>
                <c:pt idx="8">
                  <c:v>0.13978730348843954</c:v>
                </c:pt>
                <c:pt idx="9">
                  <c:v>0.13800955712591761</c:v>
                </c:pt>
                <c:pt idx="10">
                  <c:v>0.14461287128946265</c:v>
                </c:pt>
                <c:pt idx="11">
                  <c:v>0.1132308117013969</c:v>
                </c:pt>
              </c:numCache>
            </c:numRef>
          </c:val>
          <c:smooth val="0"/>
          <c:extLst>
            <c:ext xmlns:c16="http://schemas.microsoft.com/office/drawing/2014/chart" uri="{C3380CC4-5D6E-409C-BE32-E72D297353CC}">
              <c16:uniqueId val="{00000002-52E5-4C27-8FC6-FC15923C4691}"/>
            </c:ext>
          </c:extLst>
        </c:ser>
        <c:ser>
          <c:idx val="3"/>
          <c:order val="3"/>
          <c:tx>
            <c:strRef>
              <c:f>Unaffordablerent1!$A$6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Unaffordablerent1!$B$6:$M$6</c:f>
              <c:numCache>
                <c:formatCode>0.0%</c:formatCode>
                <c:ptCount val="12"/>
                <c:pt idx="0">
                  <c:v>9.5723372219851097E-2</c:v>
                </c:pt>
                <c:pt idx="1">
                  <c:v>8.2259366859170707E-2</c:v>
                </c:pt>
                <c:pt idx="2">
                  <c:v>5.8557373862203291E-2</c:v>
                </c:pt>
                <c:pt idx="3">
                  <c:v>6.9397976385696586E-2</c:v>
                </c:pt>
                <c:pt idx="4">
                  <c:v>6.5336791624084359E-2</c:v>
                </c:pt>
                <c:pt idx="5">
                  <c:v>5.2150759053765289E-2</c:v>
                </c:pt>
                <c:pt idx="6">
                  <c:v>6.7434029080942148E-2</c:v>
                </c:pt>
                <c:pt idx="7">
                  <c:v>6.0896797271966639E-2</c:v>
                </c:pt>
                <c:pt idx="8">
                  <c:v>6.4957541371112398E-2</c:v>
                </c:pt>
                <c:pt idx="9">
                  <c:v>5.9900746491942346E-2</c:v>
                </c:pt>
                <c:pt idx="10">
                  <c:v>8.1197958701334477E-2</c:v>
                </c:pt>
                <c:pt idx="11">
                  <c:v>6.3946208656279424E-2</c:v>
                </c:pt>
              </c:numCache>
            </c:numRef>
          </c:val>
          <c:smooth val="0"/>
          <c:extLst>
            <c:ext xmlns:c16="http://schemas.microsoft.com/office/drawing/2014/chart" uri="{C3380CC4-5D6E-409C-BE32-E72D297353CC}">
              <c16:uniqueId val="{00000003-52E5-4C27-8FC6-FC15923C4691}"/>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Unaffordablerent1!$P$3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Unaffordablerent1!$Q$3:$AB$3</c:f>
              <c:numCache>
                <c:formatCode>0.00%</c:formatCode>
                <c:ptCount val="12"/>
                <c:pt idx="0">
                  <c:v>9.1898826220804752E-2</c:v>
                </c:pt>
                <c:pt idx="1">
                  <c:v>5.8017703602549986E-2</c:v>
                </c:pt>
                <c:pt idx="2">
                  <c:v>7.4479492483400411E-2</c:v>
                </c:pt>
                <c:pt idx="3">
                  <c:v>7.6544435246027845E-2</c:v>
                </c:pt>
                <c:pt idx="4">
                  <c:v>4.3805312539819258E-2</c:v>
                </c:pt>
                <c:pt idx="5">
                  <c:v>3.0793011752050563E-2</c:v>
                </c:pt>
                <c:pt idx="6">
                  <c:v>3.3576706231881283E-2</c:v>
                </c:pt>
                <c:pt idx="7">
                  <c:v>2.3324299136819621E-2</c:v>
                </c:pt>
                <c:pt idx="8">
                  <c:v>2.4872875877264531E-2</c:v>
                </c:pt>
                <c:pt idx="9">
                  <c:v>2.5413859872809072E-2</c:v>
                </c:pt>
                <c:pt idx="10">
                  <c:v>0.1374479484916378</c:v>
                </c:pt>
                <c:pt idx="11">
                  <c:v>0.10570142189779534</c:v>
                </c:pt>
              </c:numCache>
            </c:numRef>
          </c:val>
          <c:smooth val="0"/>
          <c:extLst>
            <c:ext xmlns:c16="http://schemas.microsoft.com/office/drawing/2014/chart" uri="{C3380CC4-5D6E-409C-BE32-E72D297353CC}">
              <c16:uniqueId val="{00000000-4B1E-449B-9FC7-743C41FC2EA9}"/>
            </c:ext>
          </c:extLst>
        </c:ser>
        <c:ser>
          <c:idx val="1"/>
          <c:order val="1"/>
          <c:tx>
            <c:strRef>
              <c:f>Unaffordablerent1!$P$4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Unaffordablerent1!$Q$4:$AB$4</c:f>
              <c:numCache>
                <c:formatCode>0.0%</c:formatCode>
                <c:ptCount val="12"/>
                <c:pt idx="0">
                  <c:v>3.8661245105851984E-2</c:v>
                </c:pt>
                <c:pt idx="1">
                  <c:v>3.7227524502416259E-2</c:v>
                </c:pt>
                <c:pt idx="2">
                  <c:v>5.6831150071662687E-2</c:v>
                </c:pt>
                <c:pt idx="3">
                  <c:v>3.2469655657795089E-2</c:v>
                </c:pt>
                <c:pt idx="4">
                  <c:v>2.1384492600225898E-2</c:v>
                </c:pt>
                <c:pt idx="5">
                  <c:v>1.7431252300046916E-2</c:v>
                </c:pt>
                <c:pt idx="6">
                  <c:v>1.3529804704470313E-2</c:v>
                </c:pt>
                <c:pt idx="7">
                  <c:v>1.4968602502234689E-2</c:v>
                </c:pt>
                <c:pt idx="8">
                  <c:v>1.3624666266034372E-2</c:v>
                </c:pt>
                <c:pt idx="9">
                  <c:v>1.5648275052058673E-2</c:v>
                </c:pt>
                <c:pt idx="10">
                  <c:v>6.4812673592934397E-2</c:v>
                </c:pt>
                <c:pt idx="11">
                  <c:v>6.1979030692533653E-2</c:v>
                </c:pt>
              </c:numCache>
            </c:numRef>
          </c:val>
          <c:smooth val="0"/>
          <c:extLst>
            <c:ext xmlns:c16="http://schemas.microsoft.com/office/drawing/2014/chart" uri="{C3380CC4-5D6E-409C-BE32-E72D297353CC}">
              <c16:uniqueId val="{00000001-4B1E-449B-9FC7-743C41FC2EA9}"/>
            </c:ext>
          </c:extLst>
        </c:ser>
        <c:ser>
          <c:idx val="2"/>
          <c:order val="2"/>
          <c:tx>
            <c:strRef>
              <c:f>Unaffordablerent1!$P$5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Unaffordablerent1!$Q$5:$AB$5</c:f>
              <c:numCache>
                <c:formatCode>0.0%</c:formatCode>
                <c:ptCount val="12"/>
                <c:pt idx="0">
                  <c:v>3.3245542957914209E-2</c:v>
                </c:pt>
                <c:pt idx="1">
                  <c:v>4.8036606707814671E-2</c:v>
                </c:pt>
                <c:pt idx="2">
                  <c:v>3.6789253925621782E-2</c:v>
                </c:pt>
                <c:pt idx="3">
                  <c:v>3.3701443456489531E-2</c:v>
                </c:pt>
                <c:pt idx="4">
                  <c:v>1.9259044205166737E-2</c:v>
                </c:pt>
                <c:pt idx="5">
                  <c:v>2.4021770636867206E-2</c:v>
                </c:pt>
                <c:pt idx="6">
                  <c:v>1.2268950673711979E-2</c:v>
                </c:pt>
                <c:pt idx="7">
                  <c:v>6.254802141607195E-3</c:v>
                </c:pt>
                <c:pt idx="8">
                  <c:v>1.0725010420832026E-2</c:v>
                </c:pt>
                <c:pt idx="9">
                  <c:v>6.7025742039073313E-3</c:v>
                </c:pt>
                <c:pt idx="10">
                  <c:v>4.7093889198827288E-2</c:v>
                </c:pt>
                <c:pt idx="11">
                  <c:v>3.5896886059907575E-2</c:v>
                </c:pt>
              </c:numCache>
            </c:numRef>
          </c:val>
          <c:smooth val="0"/>
          <c:extLst>
            <c:ext xmlns:c16="http://schemas.microsoft.com/office/drawing/2014/chart" uri="{C3380CC4-5D6E-409C-BE32-E72D297353CC}">
              <c16:uniqueId val="{00000002-4B1E-449B-9FC7-743C41FC2EA9}"/>
            </c:ext>
          </c:extLst>
        </c:ser>
        <c:ser>
          <c:idx val="3"/>
          <c:order val="3"/>
          <c:tx>
            <c:strRef>
              <c:f>Unaffordablerent1!$P$6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Unaffordablerent1!$Q$6:$AB$6</c:f>
              <c:numCache>
                <c:formatCode>0.0%</c:formatCode>
                <c:ptCount val="12"/>
                <c:pt idx="0">
                  <c:v>2.8954398406756704E-2</c:v>
                </c:pt>
                <c:pt idx="1">
                  <c:v>3.3351906945702475E-2</c:v>
                </c:pt>
                <c:pt idx="2">
                  <c:v>3.220913589678296E-2</c:v>
                </c:pt>
                <c:pt idx="3">
                  <c:v>2.1836687696504743E-2</c:v>
                </c:pt>
                <c:pt idx="4">
                  <c:v>2.0149906089089821E-2</c:v>
                </c:pt>
                <c:pt idx="5">
                  <c:v>1.5553611368409955E-2</c:v>
                </c:pt>
                <c:pt idx="6">
                  <c:v>4.7688881927141265E-3</c:v>
                </c:pt>
                <c:pt idx="7">
                  <c:v>2.7432058682058682E-3</c:v>
                </c:pt>
                <c:pt idx="8">
                  <c:v>7.2902443534163964E-3</c:v>
                </c:pt>
                <c:pt idx="9">
                  <c:v>8.3927333194195371E-3</c:v>
                </c:pt>
                <c:pt idx="10">
                  <c:v>2.128269409048502E-2</c:v>
                </c:pt>
                <c:pt idx="11">
                  <c:v>1.7004150304416769E-2</c:v>
                </c:pt>
              </c:numCache>
            </c:numRef>
          </c:val>
          <c:smooth val="0"/>
          <c:extLst>
            <c:ext xmlns:c16="http://schemas.microsoft.com/office/drawing/2014/chart" uri="{C3380CC4-5D6E-409C-BE32-E72D297353CC}">
              <c16:uniqueId val="{00000003-4B1E-449B-9FC7-743C41FC2EA9}"/>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Unaffordableexp1!$A$3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Unaffordableexp1!$B$3:$M$3</c:f>
              <c:numCache>
                <c:formatCode>0.0%</c:formatCode>
                <c:ptCount val="12"/>
                <c:pt idx="0">
                  <c:v>0.50489599686028253</c:v>
                </c:pt>
                <c:pt idx="1">
                  <c:v>0.45065873099757348</c:v>
                </c:pt>
                <c:pt idx="2">
                  <c:v>0.41464219531809343</c:v>
                </c:pt>
                <c:pt idx="3">
                  <c:v>0.36535570544982715</c:v>
                </c:pt>
                <c:pt idx="4">
                  <c:v>0.37217566104449845</c:v>
                </c:pt>
                <c:pt idx="5">
                  <c:v>0.35404485409560937</c:v>
                </c:pt>
                <c:pt idx="6">
                  <c:v>0.26326118552294103</c:v>
                </c:pt>
                <c:pt idx="7">
                  <c:v>0.28895518774246787</c:v>
                </c:pt>
                <c:pt idx="8">
                  <c:v>0.28938443701374739</c:v>
                </c:pt>
                <c:pt idx="9">
                  <c:v>0.27358627826576271</c:v>
                </c:pt>
                <c:pt idx="10">
                  <c:v>0.40734516063988102</c:v>
                </c:pt>
                <c:pt idx="11">
                  <c:v>0.35048245663087652</c:v>
                </c:pt>
              </c:numCache>
            </c:numRef>
          </c:val>
          <c:smooth val="0"/>
          <c:extLst>
            <c:ext xmlns:c16="http://schemas.microsoft.com/office/drawing/2014/chart" uri="{C3380CC4-5D6E-409C-BE32-E72D297353CC}">
              <c16:uniqueId val="{00000000-0FBE-41B4-B230-B4DBF396E60B}"/>
            </c:ext>
          </c:extLst>
        </c:ser>
        <c:ser>
          <c:idx val="1"/>
          <c:order val="1"/>
          <c:tx>
            <c:strRef>
              <c:f>Unaffordableexp1!$A$4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Unaffordableexp1!$B$4:$M$4</c:f>
              <c:numCache>
                <c:formatCode>0.0%</c:formatCode>
                <c:ptCount val="12"/>
                <c:pt idx="0">
                  <c:v>0.28526867407440315</c:v>
                </c:pt>
                <c:pt idx="1">
                  <c:v>0.2704764580699503</c:v>
                </c:pt>
                <c:pt idx="2">
                  <c:v>0.24164948049978421</c:v>
                </c:pt>
                <c:pt idx="3">
                  <c:v>0.20842877794222561</c:v>
                </c:pt>
                <c:pt idx="4">
                  <c:v>0.20801484201646162</c:v>
                </c:pt>
                <c:pt idx="5">
                  <c:v>0.23184246583410489</c:v>
                </c:pt>
                <c:pt idx="6">
                  <c:v>0.19998558335994249</c:v>
                </c:pt>
                <c:pt idx="7">
                  <c:v>0.1993473641699067</c:v>
                </c:pt>
                <c:pt idx="8">
                  <c:v>0.18730795126610711</c:v>
                </c:pt>
                <c:pt idx="9">
                  <c:v>0.19446777402598736</c:v>
                </c:pt>
                <c:pt idx="10">
                  <c:v>0.31939501809486953</c:v>
                </c:pt>
                <c:pt idx="11">
                  <c:v>0.28887531780404091</c:v>
                </c:pt>
              </c:numCache>
            </c:numRef>
          </c:val>
          <c:smooth val="0"/>
          <c:extLst>
            <c:ext xmlns:c16="http://schemas.microsoft.com/office/drawing/2014/chart" uri="{C3380CC4-5D6E-409C-BE32-E72D297353CC}">
              <c16:uniqueId val="{00000001-0FBE-41B4-B230-B4DBF396E60B}"/>
            </c:ext>
          </c:extLst>
        </c:ser>
        <c:ser>
          <c:idx val="2"/>
          <c:order val="2"/>
          <c:tx>
            <c:strRef>
              <c:f>Unaffordableexp1!$A$5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Unaffordableexp1!$B$5:$M$5</c:f>
              <c:numCache>
                <c:formatCode>0.0%</c:formatCode>
                <c:ptCount val="12"/>
                <c:pt idx="0">
                  <c:v>0.28262099870597002</c:v>
                </c:pt>
                <c:pt idx="1">
                  <c:v>0.21334970951729829</c:v>
                </c:pt>
                <c:pt idx="2">
                  <c:v>0.1660030795211784</c:v>
                </c:pt>
                <c:pt idx="3">
                  <c:v>0.15952083723994137</c:v>
                </c:pt>
                <c:pt idx="4">
                  <c:v>0.16713480062692548</c:v>
                </c:pt>
                <c:pt idx="5">
                  <c:v>0.16325096200096201</c:v>
                </c:pt>
                <c:pt idx="6">
                  <c:v>0.18791958339682169</c:v>
                </c:pt>
                <c:pt idx="7">
                  <c:v>0.19641297436581495</c:v>
                </c:pt>
                <c:pt idx="8">
                  <c:v>0.20846882098366937</c:v>
                </c:pt>
                <c:pt idx="9">
                  <c:v>0.20997557303982861</c:v>
                </c:pt>
                <c:pt idx="10">
                  <c:v>0.22608483143038369</c:v>
                </c:pt>
                <c:pt idx="11">
                  <c:v>0.17790539240330261</c:v>
                </c:pt>
              </c:numCache>
            </c:numRef>
          </c:val>
          <c:smooth val="0"/>
          <c:extLst>
            <c:ext xmlns:c16="http://schemas.microsoft.com/office/drawing/2014/chart" uri="{C3380CC4-5D6E-409C-BE32-E72D297353CC}">
              <c16:uniqueId val="{00000002-0FBE-41B4-B230-B4DBF396E60B}"/>
            </c:ext>
          </c:extLst>
        </c:ser>
        <c:ser>
          <c:idx val="3"/>
          <c:order val="3"/>
          <c:tx>
            <c:strRef>
              <c:f>Unaffordableexp1!$A$6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Unaffordableexp1!$B$6:$M$6</c:f>
              <c:numCache>
                <c:formatCode>0.0%</c:formatCode>
                <c:ptCount val="12"/>
                <c:pt idx="0">
                  <c:v>0.16179230687153223</c:v>
                </c:pt>
                <c:pt idx="1">
                  <c:v>0.12144445803031646</c:v>
                </c:pt>
                <c:pt idx="2">
                  <c:v>9.5127696534545531E-2</c:v>
                </c:pt>
                <c:pt idx="3">
                  <c:v>9.5048742963482952E-2</c:v>
                </c:pt>
                <c:pt idx="4">
                  <c:v>0.10460823032500491</c:v>
                </c:pt>
                <c:pt idx="5">
                  <c:v>9.5962647675636892E-2</c:v>
                </c:pt>
                <c:pt idx="6">
                  <c:v>0.11038157896607412</c:v>
                </c:pt>
                <c:pt idx="7">
                  <c:v>8.6121376523492874E-2</c:v>
                </c:pt>
                <c:pt idx="8">
                  <c:v>9.7599098611498875E-2</c:v>
                </c:pt>
                <c:pt idx="9">
                  <c:v>0.10035005004573148</c:v>
                </c:pt>
                <c:pt idx="10">
                  <c:v>0.12990644312113853</c:v>
                </c:pt>
                <c:pt idx="11">
                  <c:v>0.11839436899927289</c:v>
                </c:pt>
              </c:numCache>
            </c:numRef>
          </c:val>
          <c:smooth val="0"/>
          <c:extLst>
            <c:ext xmlns:c16="http://schemas.microsoft.com/office/drawing/2014/chart" uri="{C3380CC4-5D6E-409C-BE32-E72D297353CC}">
              <c16:uniqueId val="{00000003-0FBE-41B4-B230-B4DBF396E60B}"/>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Housing Stock</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'[All graphs.xlsx]Estimated Number of houses'!$B$2:$F$2</c:f>
              <c:strCache>
                <c:ptCount val="5"/>
                <c:pt idx="0">
                  <c:v>2014</c:v>
                </c:pt>
                <c:pt idx="1">
                  <c:v>2015</c:v>
                </c:pt>
                <c:pt idx="2">
                  <c:v>2016</c:v>
                </c:pt>
                <c:pt idx="3">
                  <c:v>2017</c:v>
                </c:pt>
                <c:pt idx="4">
                  <c:v>2018 (forecasted)</c:v>
                </c:pt>
              </c:strCache>
            </c:strRef>
          </c:cat>
          <c:val>
            <c:numRef>
              <c:f>'[All graphs.xlsx]Estimated Number of houses'!$B$3:$F$3</c:f>
              <c:numCache>
                <c:formatCode>#,##0</c:formatCode>
                <c:ptCount val="5"/>
                <c:pt idx="0">
                  <c:v>1057172</c:v>
                </c:pt>
                <c:pt idx="1">
                  <c:v>1062679</c:v>
                </c:pt>
                <c:pt idx="2">
                  <c:v>1075270</c:v>
                </c:pt>
                <c:pt idx="3">
                  <c:v>1093218</c:v>
                </c:pt>
                <c:pt idx="4">
                  <c:v>1127636</c:v>
                </c:pt>
              </c:numCache>
            </c:numRef>
          </c:val>
          <c:smooth val="0"/>
          <c:extLst>
            <c:ext xmlns:c16="http://schemas.microsoft.com/office/drawing/2014/chart" uri="{C3380CC4-5D6E-409C-BE32-E72D297353CC}">
              <c16:uniqueId val="{00000000-0932-4396-9F15-4F42E8E699CB}"/>
            </c:ext>
          </c:extLst>
        </c:ser>
        <c:ser>
          <c:idx val="1"/>
          <c:order val="1"/>
          <c:tx>
            <c:v>Estimated Number of Households</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'[All graphs.xlsx]Estimated Number of houses'!$B$7:$F$7</c:f>
              <c:numCache>
                <c:formatCode>#,##0</c:formatCode>
                <c:ptCount val="5"/>
                <c:pt idx="0">
                  <c:v>1032598</c:v>
                </c:pt>
                <c:pt idx="1">
                  <c:v>1038922</c:v>
                </c:pt>
                <c:pt idx="2">
                  <c:v>1045141</c:v>
                </c:pt>
                <c:pt idx="3">
                  <c:v>1057582</c:v>
                </c:pt>
                <c:pt idx="4">
                  <c:v>1068959</c:v>
                </c:pt>
              </c:numCache>
            </c:numRef>
          </c:val>
          <c:smooth val="0"/>
          <c:extLst>
            <c:ext xmlns:c16="http://schemas.microsoft.com/office/drawing/2014/chart" uri="{C3380CC4-5D6E-409C-BE32-E72D297353CC}">
              <c16:uniqueId val="{00000000-BA50-4B3C-8371-FB9F04EEE190}"/>
            </c:ext>
          </c:extLst>
        </c:ser>
        <c:dLbls>
          <c:showLegendKey val="0"/>
          <c:showVal val="0"/>
          <c:showCatName val="0"/>
          <c:showSerName val="0"/>
          <c:showPercent val="0"/>
          <c:showBubbleSize val="0"/>
        </c:dLbls>
        <c:marker val="1"/>
        <c:smooth val="0"/>
        <c:axId val="1804801408"/>
        <c:axId val="1804784000"/>
      </c:lineChart>
      <c:catAx>
        <c:axId val="180480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784000"/>
        <c:crosses val="autoZero"/>
        <c:auto val="1"/>
        <c:lblAlgn val="ctr"/>
        <c:lblOffset val="100"/>
        <c:noMultiLvlLbl val="0"/>
      </c:catAx>
      <c:valAx>
        <c:axId val="1804784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48014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Unaffordableexp1!$P$3</c:f>
              <c:strCache>
                <c:ptCount val="1"/>
                <c:pt idx="0">
                  <c:v>Quartile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Unaffordableexp1!$Q$3:$AB$3</c:f>
              <c:numCache>
                <c:formatCode>0.00%</c:formatCode>
                <c:ptCount val="12"/>
                <c:pt idx="0">
                  <c:v>0.27639054603564994</c:v>
                </c:pt>
                <c:pt idx="1">
                  <c:v>0.24684220388147476</c:v>
                </c:pt>
                <c:pt idx="2">
                  <c:v>0.20155873007898795</c:v>
                </c:pt>
                <c:pt idx="3">
                  <c:v>0.21602936733832026</c:v>
                </c:pt>
                <c:pt idx="4">
                  <c:v>0.18517250317477016</c:v>
                </c:pt>
                <c:pt idx="5">
                  <c:v>0.1607055692017835</c:v>
                </c:pt>
                <c:pt idx="6">
                  <c:v>0.12675985946892537</c:v>
                </c:pt>
                <c:pt idx="7">
                  <c:v>0.1203352725007199</c:v>
                </c:pt>
                <c:pt idx="8">
                  <c:v>0.12952552315710467</c:v>
                </c:pt>
                <c:pt idx="9">
                  <c:v>0.11997036280298448</c:v>
                </c:pt>
                <c:pt idx="10">
                  <c:v>0.29393034150315706</c:v>
                </c:pt>
                <c:pt idx="11">
                  <c:v>0.22035732439410552</c:v>
                </c:pt>
              </c:numCache>
            </c:numRef>
          </c:val>
          <c:smooth val="0"/>
          <c:extLst>
            <c:ext xmlns:c16="http://schemas.microsoft.com/office/drawing/2014/chart" uri="{C3380CC4-5D6E-409C-BE32-E72D297353CC}">
              <c16:uniqueId val="{00000000-A04C-472F-B6CB-FFED6409E7F7}"/>
            </c:ext>
          </c:extLst>
        </c:ser>
        <c:ser>
          <c:idx val="1"/>
          <c:order val="1"/>
          <c:tx>
            <c:strRef>
              <c:f>Unaffordableexp1!$P$4</c:f>
              <c:strCache>
                <c:ptCount val="1"/>
                <c:pt idx="0">
                  <c:v>Quartile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Unaffordableexp1!$Q$4:$AB$4</c:f>
              <c:numCache>
                <c:formatCode>0.0%</c:formatCode>
                <c:ptCount val="12"/>
                <c:pt idx="0">
                  <c:v>0.10833163556771261</c:v>
                </c:pt>
                <c:pt idx="1">
                  <c:v>0.11762186651121942</c:v>
                </c:pt>
                <c:pt idx="2">
                  <c:v>0.11289224455669233</c:v>
                </c:pt>
                <c:pt idx="3">
                  <c:v>8.5744558147128142E-2</c:v>
                </c:pt>
                <c:pt idx="4">
                  <c:v>9.1100331084905672E-2</c:v>
                </c:pt>
                <c:pt idx="5">
                  <c:v>8.7356453369796985E-2</c:v>
                </c:pt>
                <c:pt idx="6">
                  <c:v>5.6243177358309956E-2</c:v>
                </c:pt>
                <c:pt idx="7">
                  <c:v>5.4821900765541276E-2</c:v>
                </c:pt>
                <c:pt idx="8">
                  <c:v>6.4565830857964496E-2</c:v>
                </c:pt>
                <c:pt idx="9">
                  <c:v>4.9658763317570007E-2</c:v>
                </c:pt>
                <c:pt idx="10">
                  <c:v>0.14146303707902957</c:v>
                </c:pt>
                <c:pt idx="11">
                  <c:v>0.12150235534435204</c:v>
                </c:pt>
              </c:numCache>
            </c:numRef>
          </c:val>
          <c:smooth val="0"/>
          <c:extLst>
            <c:ext xmlns:c16="http://schemas.microsoft.com/office/drawing/2014/chart" uri="{C3380CC4-5D6E-409C-BE32-E72D297353CC}">
              <c16:uniqueId val="{00000001-A04C-472F-B6CB-FFED6409E7F7}"/>
            </c:ext>
          </c:extLst>
        </c:ser>
        <c:ser>
          <c:idx val="2"/>
          <c:order val="2"/>
          <c:tx>
            <c:strRef>
              <c:f>Unaffordableexp1!$P$5</c:f>
              <c:strCache>
                <c:ptCount val="1"/>
                <c:pt idx="0">
                  <c:v>Quartile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Unaffordableexp1!$Q$5:$AB$5</c:f>
              <c:numCache>
                <c:formatCode>0.0%</c:formatCode>
                <c:ptCount val="12"/>
                <c:pt idx="0">
                  <c:v>7.9374714369237043E-2</c:v>
                </c:pt>
                <c:pt idx="1">
                  <c:v>9.8999292458543248E-2</c:v>
                </c:pt>
                <c:pt idx="2">
                  <c:v>6.9917463180186823E-2</c:v>
                </c:pt>
                <c:pt idx="3">
                  <c:v>6.0610679606031045E-2</c:v>
                </c:pt>
                <c:pt idx="4">
                  <c:v>5.6033312537092511E-2</c:v>
                </c:pt>
                <c:pt idx="5">
                  <c:v>5.7560156998469961E-2</c:v>
                </c:pt>
                <c:pt idx="6">
                  <c:v>3.8458738173747849E-2</c:v>
                </c:pt>
                <c:pt idx="7">
                  <c:v>2.5371251225096161E-2</c:v>
                </c:pt>
                <c:pt idx="8">
                  <c:v>3.3381950112844255E-2</c:v>
                </c:pt>
                <c:pt idx="9">
                  <c:v>2.7916748699651092E-2</c:v>
                </c:pt>
                <c:pt idx="10">
                  <c:v>9.8023345125226952E-2</c:v>
                </c:pt>
                <c:pt idx="11">
                  <c:v>5.8236105499513163E-2</c:v>
                </c:pt>
              </c:numCache>
            </c:numRef>
          </c:val>
          <c:smooth val="0"/>
          <c:extLst>
            <c:ext xmlns:c16="http://schemas.microsoft.com/office/drawing/2014/chart" uri="{C3380CC4-5D6E-409C-BE32-E72D297353CC}">
              <c16:uniqueId val="{00000002-A04C-472F-B6CB-FFED6409E7F7}"/>
            </c:ext>
          </c:extLst>
        </c:ser>
        <c:ser>
          <c:idx val="3"/>
          <c:order val="3"/>
          <c:tx>
            <c:strRef>
              <c:f>Unaffordableexp1!$P$6</c:f>
              <c:strCache>
                <c:ptCount val="1"/>
                <c:pt idx="0">
                  <c:v>Quartile 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Unaffordableexp1!$Q$6:$AB$6</c:f>
              <c:numCache>
                <c:formatCode>0.0%</c:formatCode>
                <c:ptCount val="12"/>
                <c:pt idx="0">
                  <c:v>6.2134449430768048E-2</c:v>
                </c:pt>
                <c:pt idx="1">
                  <c:v>5.1967377707541014E-2</c:v>
                </c:pt>
                <c:pt idx="2">
                  <c:v>4.4150882107323368E-2</c:v>
                </c:pt>
                <c:pt idx="3">
                  <c:v>2.9090498919619994E-2</c:v>
                </c:pt>
                <c:pt idx="4">
                  <c:v>2.9234641606059292E-2</c:v>
                </c:pt>
                <c:pt idx="5">
                  <c:v>2.9582775134719051E-2</c:v>
                </c:pt>
                <c:pt idx="6">
                  <c:v>1.2299248870145562E-2</c:v>
                </c:pt>
                <c:pt idx="7">
                  <c:v>7.8473292942471025E-3</c:v>
                </c:pt>
                <c:pt idx="8">
                  <c:v>9.3867887886705109E-3</c:v>
                </c:pt>
                <c:pt idx="9">
                  <c:v>1.3381029143492488E-2</c:v>
                </c:pt>
                <c:pt idx="10">
                  <c:v>3.5940365600611299E-2</c:v>
                </c:pt>
                <c:pt idx="11">
                  <c:v>2.9165968870466932E-2</c:v>
                </c:pt>
              </c:numCache>
            </c:numRef>
          </c:val>
          <c:smooth val="0"/>
          <c:extLst>
            <c:ext xmlns:c16="http://schemas.microsoft.com/office/drawing/2014/chart" uri="{C3380CC4-5D6E-409C-BE32-E72D297353CC}">
              <c16:uniqueId val="{00000003-A04C-472F-B6CB-FFED6409E7F7}"/>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Unaffordablerent!$B$3:$M$3</c:f>
              <c:numCache>
                <c:formatCode>0.0%</c:formatCode>
                <c:ptCount val="12"/>
                <c:pt idx="0">
                  <c:v>1.7562007569836884E-2</c:v>
                </c:pt>
                <c:pt idx="1">
                  <c:v>2.3376788953150804E-2</c:v>
                </c:pt>
                <c:pt idx="2">
                  <c:v>2.6759940515379211E-2</c:v>
                </c:pt>
                <c:pt idx="3">
                  <c:v>2.60627120795968E-2</c:v>
                </c:pt>
                <c:pt idx="4">
                  <c:v>3.1606057196222476E-2</c:v>
                </c:pt>
                <c:pt idx="5">
                  <c:v>2.3126953166404014E-2</c:v>
                </c:pt>
                <c:pt idx="6">
                  <c:v>2.1654295161015403E-2</c:v>
                </c:pt>
                <c:pt idx="7">
                  <c:v>2.2765882514652024E-2</c:v>
                </c:pt>
                <c:pt idx="8">
                  <c:v>1.5806073964930726E-2</c:v>
                </c:pt>
                <c:pt idx="9">
                  <c:v>2.4811459116320982E-2</c:v>
                </c:pt>
                <c:pt idx="10">
                  <c:v>1.9960667401827444E-2</c:v>
                </c:pt>
                <c:pt idx="11">
                  <c:v>2.5698100305239679E-2</c:v>
                </c:pt>
              </c:numCache>
            </c:numRef>
          </c:val>
          <c:smooth val="0"/>
          <c:extLst>
            <c:ext xmlns:c16="http://schemas.microsoft.com/office/drawing/2014/chart" uri="{C3380CC4-5D6E-409C-BE32-E72D297353CC}">
              <c16:uniqueId val="{00000000-176A-4094-9721-EA1B159AF3ED}"/>
            </c:ext>
          </c:extLst>
        </c:ser>
        <c:ser>
          <c:idx val="1"/>
          <c:order val="1"/>
          <c:tx>
            <c:strRef>
              <c:f>Unaffordablerent!$A$4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Unaffordablerent!$B$4:$M$4</c:f>
              <c:numCache>
                <c:formatCode>0.0%</c:formatCode>
                <c:ptCount val="12"/>
                <c:pt idx="0">
                  <c:v>1.3442440479345454E-2</c:v>
                </c:pt>
                <c:pt idx="1">
                  <c:v>1.0702805376972531E-2</c:v>
                </c:pt>
                <c:pt idx="2">
                  <c:v>1.4096566281695005E-2</c:v>
                </c:pt>
                <c:pt idx="3">
                  <c:v>2.3393754331655289E-2</c:v>
                </c:pt>
                <c:pt idx="4">
                  <c:v>2.2259390808635024E-2</c:v>
                </c:pt>
                <c:pt idx="5">
                  <c:v>4.4010358532603225E-2</c:v>
                </c:pt>
                <c:pt idx="6">
                  <c:v>0.01</c:v>
                </c:pt>
                <c:pt idx="7">
                  <c:v>1.7719298245614034E-2</c:v>
                </c:pt>
                <c:pt idx="8">
                  <c:v>3.8461538461538464E-3</c:v>
                </c:pt>
                <c:pt idx="9">
                  <c:v>2.1059697718008984E-2</c:v>
                </c:pt>
                <c:pt idx="10">
                  <c:v>8.0359185541066126E-3</c:v>
                </c:pt>
                <c:pt idx="11">
                  <c:v>2.5380107697180868E-2</c:v>
                </c:pt>
              </c:numCache>
            </c:numRef>
          </c:val>
          <c:smooth val="0"/>
          <c:extLst>
            <c:ext xmlns:c16="http://schemas.microsoft.com/office/drawing/2014/chart" uri="{C3380CC4-5D6E-409C-BE32-E72D297353CC}">
              <c16:uniqueId val="{00000001-176A-4094-9721-EA1B159AF3ED}"/>
            </c:ext>
          </c:extLst>
        </c:ser>
        <c:ser>
          <c:idx val="2"/>
          <c:order val="2"/>
          <c:tx>
            <c:strRef>
              <c:f>Unaffordablerent!$A$5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Unaffordablerent!$B$5:$M$5</c:f>
              <c:numCache>
                <c:formatCode>0.0%</c:formatCode>
                <c:ptCount val="12"/>
                <c:pt idx="0">
                  <c:v>1.8175785124728706E-2</c:v>
                </c:pt>
                <c:pt idx="1">
                  <c:v>1.5937025139665693E-2</c:v>
                </c:pt>
                <c:pt idx="2">
                  <c:v>2.6734409270544331E-2</c:v>
                </c:pt>
                <c:pt idx="3">
                  <c:v>2.154247925656615E-2</c:v>
                </c:pt>
                <c:pt idx="4">
                  <c:v>2.5734207951172462E-2</c:v>
                </c:pt>
                <c:pt idx="5">
                  <c:v>2.3567478513749907E-2</c:v>
                </c:pt>
                <c:pt idx="6">
                  <c:v>2.1890528101651964E-2</c:v>
                </c:pt>
                <c:pt idx="7">
                  <c:v>2.4768303798120728E-2</c:v>
                </c:pt>
                <c:pt idx="8">
                  <c:v>1.6929804554032202E-2</c:v>
                </c:pt>
                <c:pt idx="9">
                  <c:v>2.5845014289155106E-2</c:v>
                </c:pt>
                <c:pt idx="10">
                  <c:v>2.2721339395253316E-2</c:v>
                </c:pt>
                <c:pt idx="11">
                  <c:v>3.1932139649007305E-2</c:v>
                </c:pt>
              </c:numCache>
            </c:numRef>
          </c:val>
          <c:smooth val="0"/>
          <c:extLst>
            <c:ext xmlns:c16="http://schemas.microsoft.com/office/drawing/2014/chart" uri="{C3380CC4-5D6E-409C-BE32-E72D297353CC}">
              <c16:uniqueId val="{00000002-176A-4094-9721-EA1B159AF3ED}"/>
            </c:ext>
          </c:extLst>
        </c:ser>
        <c:ser>
          <c:idx val="3"/>
          <c:order val="3"/>
          <c:tx>
            <c:strRef>
              <c:f>Unaffordablerent!$A$6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Unaffordablerent!$B$6:$M$6</c:f>
              <c:numCache>
                <c:formatCode>0.0%</c:formatCode>
                <c:ptCount val="12"/>
                <c:pt idx="0">
                  <c:v>5.9727570959920125E-3</c:v>
                </c:pt>
                <c:pt idx="1">
                  <c:v>4.2996993342401032E-3</c:v>
                </c:pt>
                <c:pt idx="2">
                  <c:v>7.7177565737833603E-3</c:v>
                </c:pt>
                <c:pt idx="3">
                  <c:v>7.5359077197312491E-3</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176A-4094-9721-EA1B159AF3ED}"/>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Unaffordablerent!$Q$3:$AB$3</c:f>
              <c:numCache>
                <c:formatCode>0.00%</c:formatCode>
                <c:ptCount val="12"/>
                <c:pt idx="0">
                  <c:v>7.2269067106761767E-3</c:v>
                </c:pt>
                <c:pt idx="1">
                  <c:v>3.2060140234656132E-3</c:v>
                </c:pt>
                <c:pt idx="2">
                  <c:v>4.5425683892079361E-3</c:v>
                </c:pt>
                <c:pt idx="3">
                  <c:v>4.289424771482489E-3</c:v>
                </c:pt>
                <c:pt idx="4">
                  <c:v>1.3154192558575833E-3</c:v>
                </c:pt>
                <c:pt idx="5">
                  <c:v>8.7750378616885936E-4</c:v>
                </c:pt>
                <c:pt idx="6">
                  <c:v>5.8149288559055246E-4</c:v>
                </c:pt>
                <c:pt idx="7">
                  <c:v>7.2908206363735736E-4</c:v>
                </c:pt>
                <c:pt idx="8">
                  <c:v>1.1866393319294904E-3</c:v>
                </c:pt>
                <c:pt idx="9">
                  <c:v>9.0001307566976219E-4</c:v>
                </c:pt>
                <c:pt idx="10">
                  <c:v>3.533011544753507E-3</c:v>
                </c:pt>
                <c:pt idx="11">
                  <c:v>9.1566407553387305E-4</c:v>
                </c:pt>
              </c:numCache>
            </c:numRef>
          </c:val>
          <c:smooth val="0"/>
          <c:extLst>
            <c:ext xmlns:c16="http://schemas.microsoft.com/office/drawing/2014/chart" uri="{C3380CC4-5D6E-409C-BE32-E72D297353CC}">
              <c16:uniqueId val="{00000000-4128-4DD8-B546-770E0351EEB4}"/>
            </c:ext>
          </c:extLst>
        </c:ser>
        <c:ser>
          <c:idx val="1"/>
          <c:order val="1"/>
          <c:tx>
            <c:strRef>
              <c:f>Unaffordablerent!$P$4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Unaffordablerent!$Q$4:$AB$4</c:f>
              <c:numCache>
                <c:formatCode>0.0%</c:formatCode>
                <c:ptCount val="12"/>
                <c:pt idx="0">
                  <c:v>0</c:v>
                </c:pt>
                <c:pt idx="1">
                  <c:v>0</c:v>
                </c:pt>
                <c:pt idx="2">
                  <c:v>0</c:v>
                </c:pt>
                <c:pt idx="3">
                  <c:v>0</c:v>
                </c:pt>
                <c:pt idx="4">
                  <c:v>0</c:v>
                </c:pt>
                <c:pt idx="5">
                  <c:v>4.1666666666666666E-3</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1-4128-4DD8-B546-770E0351EEB4}"/>
            </c:ext>
          </c:extLst>
        </c:ser>
        <c:ser>
          <c:idx val="2"/>
          <c:order val="2"/>
          <c:tx>
            <c:strRef>
              <c:f>Unaffordablerent!$P$5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Unaffordablerent!$Q$5:$AB$5</c:f>
              <c:numCache>
                <c:formatCode>0.0%</c:formatCode>
                <c:ptCount val="12"/>
                <c:pt idx="0">
                  <c:v>3.024059223117782E-3</c:v>
                </c:pt>
                <c:pt idx="1">
                  <c:v>2.5237127371273713E-3</c:v>
                </c:pt>
                <c:pt idx="2">
                  <c:v>2.9599503108451736E-3</c:v>
                </c:pt>
                <c:pt idx="3">
                  <c:v>3.0464820917831645E-3</c:v>
                </c:pt>
                <c:pt idx="4">
                  <c:v>9.5305868299997462E-4</c:v>
                </c:pt>
                <c:pt idx="5">
                  <c:v>5.1975051975051978E-4</c:v>
                </c:pt>
                <c:pt idx="6">
                  <c:v>1.0243237576011742E-3</c:v>
                </c:pt>
                <c:pt idx="7">
                  <c:v>4.7801147227533459E-4</c:v>
                </c:pt>
                <c:pt idx="8">
                  <c:v>2.0040089042007055E-3</c:v>
                </c:pt>
                <c:pt idx="9">
                  <c:v>5.0607287449392713E-4</c:v>
                </c:pt>
                <c:pt idx="10">
                  <c:v>2.4740447520621976E-3</c:v>
                </c:pt>
                <c:pt idx="11">
                  <c:v>0</c:v>
                </c:pt>
              </c:numCache>
            </c:numRef>
          </c:val>
          <c:smooth val="0"/>
          <c:extLst>
            <c:ext xmlns:c16="http://schemas.microsoft.com/office/drawing/2014/chart" uri="{C3380CC4-5D6E-409C-BE32-E72D297353CC}">
              <c16:uniqueId val="{00000002-4128-4DD8-B546-770E0351EEB4}"/>
            </c:ext>
          </c:extLst>
        </c:ser>
        <c:ser>
          <c:idx val="3"/>
          <c:order val="3"/>
          <c:tx>
            <c:strRef>
              <c:f>Unaffordablerent!$P$6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Unaffordablerent!$Q$6:$AB$6</c:f>
              <c:numCache>
                <c:formatCode>0.0%</c:formatCode>
                <c:ptCount val="12"/>
                <c:pt idx="0">
                  <c:v>0</c:v>
                </c:pt>
                <c:pt idx="1">
                  <c:v>2.2477262239687995E-3</c:v>
                </c:pt>
                <c:pt idx="2">
                  <c:v>6.0094060754361436E-3</c:v>
                </c:pt>
                <c:pt idx="3">
                  <c:v>0</c:v>
                </c:pt>
                <c:pt idx="4">
                  <c:v>0</c:v>
                </c:pt>
                <c:pt idx="5">
                  <c:v>0</c:v>
                </c:pt>
                <c:pt idx="6">
                  <c:v>4.2403591065115565E-3</c:v>
                </c:pt>
                <c:pt idx="7">
                  <c:v>0</c:v>
                </c:pt>
                <c:pt idx="8">
                  <c:v>0</c:v>
                </c:pt>
                <c:pt idx="9">
                  <c:v>0</c:v>
                </c:pt>
                <c:pt idx="10">
                  <c:v>0</c:v>
                </c:pt>
                <c:pt idx="11">
                  <c:v>0</c:v>
                </c:pt>
              </c:numCache>
            </c:numRef>
          </c:val>
          <c:smooth val="0"/>
          <c:extLst>
            <c:ext xmlns:c16="http://schemas.microsoft.com/office/drawing/2014/chart" uri="{C3380CC4-5D6E-409C-BE32-E72D297353CC}">
              <c16:uniqueId val="{00000003-4128-4DD8-B546-770E0351EEB4}"/>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5.000000000000001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Unaddordableexp!$A$3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Unaddordableexp!$B$2:$M$2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Unaddordableexp!$B$3:$M$3</c:f>
              <c:numCache>
                <c:formatCode>0.0%</c:formatCode>
                <c:ptCount val="12"/>
                <c:pt idx="0">
                  <c:v>0.14018111730594804</c:v>
                </c:pt>
                <c:pt idx="1">
                  <c:v>0.14113351012527778</c:v>
                </c:pt>
                <c:pt idx="2">
                  <c:v>0.12608477329397477</c:v>
                </c:pt>
                <c:pt idx="3">
                  <c:v>0.1169879364290454</c:v>
                </c:pt>
                <c:pt idx="4">
                  <c:v>0.13480603641981292</c:v>
                </c:pt>
                <c:pt idx="5">
                  <c:v>0.1298883315920849</c:v>
                </c:pt>
                <c:pt idx="6">
                  <c:v>7.8796383619158583E-2</c:v>
                </c:pt>
                <c:pt idx="7">
                  <c:v>6.3713989993287742E-2</c:v>
                </c:pt>
                <c:pt idx="8">
                  <c:v>6.4488363977916158E-2</c:v>
                </c:pt>
                <c:pt idx="9">
                  <c:v>6.4819453678547384E-2</c:v>
                </c:pt>
                <c:pt idx="10">
                  <c:v>8.3670371315889128E-2</c:v>
                </c:pt>
                <c:pt idx="11">
                  <c:v>6.7323880150301579E-2</c:v>
                </c:pt>
              </c:numCache>
            </c:numRef>
          </c:val>
          <c:smooth val="0"/>
          <c:extLst>
            <c:ext xmlns:c16="http://schemas.microsoft.com/office/drawing/2014/chart" uri="{C3380CC4-5D6E-409C-BE32-E72D297353CC}">
              <c16:uniqueId val="{00000000-6A01-47A4-A7AD-00E20872F6B0}"/>
            </c:ext>
          </c:extLst>
        </c:ser>
        <c:ser>
          <c:idx val="1"/>
          <c:order val="1"/>
          <c:tx>
            <c:strRef>
              <c:f>Unaddordableexp!$A$4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Unaddordableexp!$B$2:$M$2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Unaddordableexp!$B$4:$M$4</c:f>
              <c:numCache>
                <c:formatCode>0.0%</c:formatCode>
                <c:ptCount val="12"/>
                <c:pt idx="0">
                  <c:v>9.5681208932234071E-2</c:v>
                </c:pt>
                <c:pt idx="1">
                  <c:v>0.10205095332638178</c:v>
                </c:pt>
                <c:pt idx="2">
                  <c:v>9.8427919005973627E-2</c:v>
                </c:pt>
                <c:pt idx="3">
                  <c:v>6.1986925781168836E-2</c:v>
                </c:pt>
                <c:pt idx="4">
                  <c:v>6.7122101708190524E-2</c:v>
                </c:pt>
                <c:pt idx="5">
                  <c:v>0.10724220939716389</c:v>
                </c:pt>
                <c:pt idx="6">
                  <c:v>5.4970161977834615E-2</c:v>
                </c:pt>
                <c:pt idx="7">
                  <c:v>3.1271929824561402E-2</c:v>
                </c:pt>
                <c:pt idx="8">
                  <c:v>3.474670584045584E-2</c:v>
                </c:pt>
                <c:pt idx="9">
                  <c:v>5.8929740263604174E-2</c:v>
                </c:pt>
                <c:pt idx="10">
                  <c:v>4.8964468358829553E-2</c:v>
                </c:pt>
                <c:pt idx="11">
                  <c:v>5.6030060009391973E-2</c:v>
                </c:pt>
              </c:numCache>
            </c:numRef>
          </c:val>
          <c:smooth val="0"/>
          <c:extLst>
            <c:ext xmlns:c16="http://schemas.microsoft.com/office/drawing/2014/chart" uri="{C3380CC4-5D6E-409C-BE32-E72D297353CC}">
              <c16:uniqueId val="{00000001-6A01-47A4-A7AD-00E20872F6B0}"/>
            </c:ext>
          </c:extLst>
        </c:ser>
        <c:ser>
          <c:idx val="2"/>
          <c:order val="2"/>
          <c:tx>
            <c:strRef>
              <c:f>Unaddordableexp!$A$5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Unaddordableexp!$B$2:$M$2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Unaddordableexp!$B$5:$M$5</c:f>
              <c:numCache>
                <c:formatCode>0.0%</c:formatCode>
                <c:ptCount val="12"/>
                <c:pt idx="0">
                  <c:v>0.16444230034295698</c:v>
                </c:pt>
                <c:pt idx="1">
                  <c:v>0.1488141989005603</c:v>
                </c:pt>
                <c:pt idx="2">
                  <c:v>0.14724050892397733</c:v>
                </c:pt>
                <c:pt idx="3">
                  <c:v>0.13486445738133657</c:v>
                </c:pt>
                <c:pt idx="4">
                  <c:v>0.15344173651850471</c:v>
                </c:pt>
                <c:pt idx="5">
                  <c:v>0.15071730808149619</c:v>
                </c:pt>
                <c:pt idx="6">
                  <c:v>8.7294418670845086E-2</c:v>
                </c:pt>
                <c:pt idx="7">
                  <c:v>7.5757720440941811E-2</c:v>
                </c:pt>
                <c:pt idx="8">
                  <c:v>6.8282304868510488E-2</c:v>
                </c:pt>
                <c:pt idx="9">
                  <c:v>7.2389709037794847E-2</c:v>
                </c:pt>
                <c:pt idx="10">
                  <c:v>9.3025478665799022E-2</c:v>
                </c:pt>
                <c:pt idx="11">
                  <c:v>7.8172310625919367E-2</c:v>
                </c:pt>
              </c:numCache>
            </c:numRef>
          </c:val>
          <c:smooth val="0"/>
          <c:extLst>
            <c:ext xmlns:c16="http://schemas.microsoft.com/office/drawing/2014/chart" uri="{C3380CC4-5D6E-409C-BE32-E72D297353CC}">
              <c16:uniqueId val="{00000002-6A01-47A4-A7AD-00E20872F6B0}"/>
            </c:ext>
          </c:extLst>
        </c:ser>
        <c:ser>
          <c:idx val="3"/>
          <c:order val="3"/>
          <c:tx>
            <c:strRef>
              <c:f>Unaddordableexp!$A$6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Unaddordableexp!$B$2:$M$2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Unaddordableexp!$B$6:$M$6</c:f>
              <c:numCache>
                <c:formatCode>0.0%</c:formatCode>
                <c:ptCount val="12"/>
                <c:pt idx="0">
                  <c:v>5.9727570959920125E-3</c:v>
                </c:pt>
                <c:pt idx="1">
                  <c:v>4.2996993342401032E-3</c:v>
                </c:pt>
                <c:pt idx="2">
                  <c:v>7.7177565737833603E-3</c:v>
                </c:pt>
                <c:pt idx="3">
                  <c:v>7.5359077197312491E-3</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6A01-47A4-A7AD-00E20872F6B0}"/>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Unaddordableexp!$P$3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Unaddordableexp!$Q$2:$AB$2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Unaddordableexp!$Q$3:$AB$3</c:f>
              <c:numCache>
                <c:formatCode>0.00%</c:formatCode>
                <c:ptCount val="12"/>
                <c:pt idx="0">
                  <c:v>8.0800141328522604E-2</c:v>
                </c:pt>
                <c:pt idx="1">
                  <c:v>8.3188301226607753E-2</c:v>
                </c:pt>
                <c:pt idx="2">
                  <c:v>5.6204821599781019E-2</c:v>
                </c:pt>
                <c:pt idx="3">
                  <c:v>5.8126280901151142E-2</c:v>
                </c:pt>
                <c:pt idx="4">
                  <c:v>6.0805206905838412E-2</c:v>
                </c:pt>
                <c:pt idx="5">
                  <c:v>5.4932857815646309E-2</c:v>
                </c:pt>
                <c:pt idx="6">
                  <c:v>3.6978424571257537E-2</c:v>
                </c:pt>
                <c:pt idx="7">
                  <c:v>3.8443253283525602E-2</c:v>
                </c:pt>
                <c:pt idx="8">
                  <c:v>4.2599516137933724E-2</c:v>
                </c:pt>
                <c:pt idx="9">
                  <c:v>3.8088340393351801E-2</c:v>
                </c:pt>
                <c:pt idx="10">
                  <c:v>6.4123160708818377E-2</c:v>
                </c:pt>
                <c:pt idx="11">
                  <c:v>3.5688479562906036E-2</c:v>
                </c:pt>
              </c:numCache>
            </c:numRef>
          </c:val>
          <c:smooth val="0"/>
          <c:extLst>
            <c:ext xmlns:c16="http://schemas.microsoft.com/office/drawing/2014/chart" uri="{C3380CC4-5D6E-409C-BE32-E72D297353CC}">
              <c16:uniqueId val="{00000000-9FA8-431F-9640-FF971B6555F9}"/>
            </c:ext>
          </c:extLst>
        </c:ser>
        <c:ser>
          <c:idx val="1"/>
          <c:order val="1"/>
          <c:tx>
            <c:strRef>
              <c:f>Unaddordableexp!$P$4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Unaddordableexp!$Q$2:$AB$2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Unaddordableexp!$Q$4:$AB$4</c:f>
              <c:numCache>
                <c:formatCode>0.0%</c:formatCode>
                <c:ptCount val="12"/>
                <c:pt idx="0">
                  <c:v>5.4649491375497565E-2</c:v>
                </c:pt>
                <c:pt idx="1">
                  <c:v>4.7756211180124228E-2</c:v>
                </c:pt>
                <c:pt idx="2">
                  <c:v>2.8690843313306836E-2</c:v>
                </c:pt>
                <c:pt idx="3">
                  <c:v>1.6627640191645858E-2</c:v>
                </c:pt>
                <c:pt idx="4">
                  <c:v>5.9523809523809521E-3</c:v>
                </c:pt>
                <c:pt idx="5">
                  <c:v>3.5143710339678988E-2</c:v>
                </c:pt>
                <c:pt idx="6">
                  <c:v>1.1363636363636364E-2</c:v>
                </c:pt>
                <c:pt idx="7">
                  <c:v>0</c:v>
                </c:pt>
                <c:pt idx="8">
                  <c:v>6.5789473684210523E-3</c:v>
                </c:pt>
                <c:pt idx="9">
                  <c:v>1.2195121951219513E-2</c:v>
                </c:pt>
                <c:pt idx="10">
                  <c:v>6.1607755662319831E-2</c:v>
                </c:pt>
                <c:pt idx="11">
                  <c:v>1.6821946169772256E-2</c:v>
                </c:pt>
              </c:numCache>
            </c:numRef>
          </c:val>
          <c:smooth val="0"/>
          <c:extLst>
            <c:ext xmlns:c16="http://schemas.microsoft.com/office/drawing/2014/chart" uri="{C3380CC4-5D6E-409C-BE32-E72D297353CC}">
              <c16:uniqueId val="{00000001-9FA8-431F-9640-FF971B6555F9}"/>
            </c:ext>
          </c:extLst>
        </c:ser>
        <c:ser>
          <c:idx val="2"/>
          <c:order val="2"/>
          <c:tx>
            <c:strRef>
              <c:f>Unaddordableexp!$P$5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Unaddordableexp!$Q$2:$AB$2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Unaddordableexp!$Q$5:$AB$5</c:f>
              <c:numCache>
                <c:formatCode>0.0%</c:formatCode>
                <c:ptCount val="12"/>
                <c:pt idx="0">
                  <c:v>8.8140418513092331E-2</c:v>
                </c:pt>
                <c:pt idx="1">
                  <c:v>8.0299070847851345E-2</c:v>
                </c:pt>
                <c:pt idx="2">
                  <c:v>5.7742566269821896E-2</c:v>
                </c:pt>
                <c:pt idx="3">
                  <c:v>5.9307022620483194E-2</c:v>
                </c:pt>
                <c:pt idx="4">
                  <c:v>7.3549950009935597E-2</c:v>
                </c:pt>
                <c:pt idx="5">
                  <c:v>6.1237843431239655E-2</c:v>
                </c:pt>
                <c:pt idx="6">
                  <c:v>3.7282438575277035E-2</c:v>
                </c:pt>
                <c:pt idx="7">
                  <c:v>4.0350143882411094E-2</c:v>
                </c:pt>
                <c:pt idx="8">
                  <c:v>4.8093365426880384E-2</c:v>
                </c:pt>
                <c:pt idx="9">
                  <c:v>4.9063974799708976E-2</c:v>
                </c:pt>
                <c:pt idx="10">
                  <c:v>6.5364723279533715E-2</c:v>
                </c:pt>
                <c:pt idx="11">
                  <c:v>3.626475715354157E-2</c:v>
                </c:pt>
              </c:numCache>
            </c:numRef>
          </c:val>
          <c:smooth val="0"/>
          <c:extLst>
            <c:ext xmlns:c16="http://schemas.microsoft.com/office/drawing/2014/chart" uri="{C3380CC4-5D6E-409C-BE32-E72D297353CC}">
              <c16:uniqueId val="{00000002-9FA8-431F-9640-FF971B6555F9}"/>
            </c:ext>
          </c:extLst>
        </c:ser>
        <c:ser>
          <c:idx val="3"/>
          <c:order val="3"/>
          <c:tx>
            <c:strRef>
              <c:f>Unaddordableexp!$P$6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Unaddordableexp!$Q$2:$AB$2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Unaddordableexp!$Q$6:$AB$6</c:f>
              <c:numCache>
                <c:formatCode>0.0%</c:formatCode>
                <c:ptCount val="12"/>
                <c:pt idx="0">
                  <c:v>0</c:v>
                </c:pt>
                <c:pt idx="1">
                  <c:v>2.2477262239687995E-3</c:v>
                </c:pt>
                <c:pt idx="2">
                  <c:v>6.0094060754361436E-3</c:v>
                </c:pt>
                <c:pt idx="3">
                  <c:v>0</c:v>
                </c:pt>
                <c:pt idx="4">
                  <c:v>0</c:v>
                </c:pt>
                <c:pt idx="5">
                  <c:v>0</c:v>
                </c:pt>
                <c:pt idx="6">
                  <c:v>4.2403591065115565E-3</c:v>
                </c:pt>
                <c:pt idx="7">
                  <c:v>0</c:v>
                </c:pt>
                <c:pt idx="8">
                  <c:v>0</c:v>
                </c:pt>
                <c:pt idx="9">
                  <c:v>0</c:v>
                </c:pt>
                <c:pt idx="10">
                  <c:v>0</c:v>
                </c:pt>
                <c:pt idx="11">
                  <c:v>0</c:v>
                </c:pt>
              </c:numCache>
            </c:numRef>
          </c:val>
          <c:smooth val="0"/>
          <c:extLst>
            <c:ext xmlns:c16="http://schemas.microsoft.com/office/drawing/2014/chart" uri="{C3380CC4-5D6E-409C-BE32-E72D297353CC}">
              <c16:uniqueId val="{00000003-9FA8-431F-9640-FF971B6555F9}"/>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Unaffordablerent1!$A$3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Unaffordablerent1!$B$3:$M$3</c:f>
              <c:numCache>
                <c:formatCode>0.0%</c:formatCode>
                <c:ptCount val="12"/>
                <c:pt idx="0">
                  <c:v>0.1724312679188674</c:v>
                </c:pt>
                <c:pt idx="1">
                  <c:v>0.12707158664864387</c:v>
                </c:pt>
                <c:pt idx="2">
                  <c:v>0.12108916146369358</c:v>
                </c:pt>
                <c:pt idx="3">
                  <c:v>0.10110929293503639</c:v>
                </c:pt>
                <c:pt idx="4">
                  <c:v>0.10280296069105528</c:v>
                </c:pt>
                <c:pt idx="5">
                  <c:v>9.3021194028043652E-2</c:v>
                </c:pt>
                <c:pt idx="6">
                  <c:v>0.11002848297358207</c:v>
                </c:pt>
                <c:pt idx="7">
                  <c:v>0.1235483487740426</c:v>
                </c:pt>
                <c:pt idx="8">
                  <c:v>0.1155323383820185</c:v>
                </c:pt>
                <c:pt idx="9">
                  <c:v>0.11889812065017442</c:v>
                </c:pt>
                <c:pt idx="10">
                  <c:v>0.15785727196962879</c:v>
                </c:pt>
                <c:pt idx="11">
                  <c:v>0.14572571150949509</c:v>
                </c:pt>
              </c:numCache>
            </c:numRef>
          </c:val>
          <c:smooth val="0"/>
          <c:extLst>
            <c:ext xmlns:c16="http://schemas.microsoft.com/office/drawing/2014/chart" uri="{C3380CC4-5D6E-409C-BE32-E72D297353CC}">
              <c16:uniqueId val="{00000000-B519-427F-A11E-87ADB33C9C36}"/>
            </c:ext>
          </c:extLst>
        </c:ser>
        <c:ser>
          <c:idx val="1"/>
          <c:order val="1"/>
          <c:tx>
            <c:strRef>
              <c:f>Unaffordablerent1!$A$4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Unaffordablerent1!$B$4:$M$4</c:f>
              <c:numCache>
                <c:formatCode>0.0%</c:formatCode>
                <c:ptCount val="12"/>
                <c:pt idx="0">
                  <c:v>7.6048327253978878E-2</c:v>
                </c:pt>
                <c:pt idx="1">
                  <c:v>4.9466586443288434E-2</c:v>
                </c:pt>
                <c:pt idx="2">
                  <c:v>6.3776041061791355E-2</c:v>
                </c:pt>
                <c:pt idx="3">
                  <c:v>7.6067826958844204E-2</c:v>
                </c:pt>
                <c:pt idx="4">
                  <c:v>8.4483212819301629E-2</c:v>
                </c:pt>
                <c:pt idx="5">
                  <c:v>0.10549691082426169</c:v>
                </c:pt>
                <c:pt idx="6">
                  <c:v>0.10506672568693029</c:v>
                </c:pt>
                <c:pt idx="7">
                  <c:v>0.11153508771929824</c:v>
                </c:pt>
                <c:pt idx="8">
                  <c:v>5.4010715870347017E-2</c:v>
                </c:pt>
                <c:pt idx="9">
                  <c:v>7.2019576924221229E-2</c:v>
                </c:pt>
                <c:pt idx="10">
                  <c:v>0.14082564514420029</c:v>
                </c:pt>
                <c:pt idx="11">
                  <c:v>0.13386575196008049</c:v>
                </c:pt>
              </c:numCache>
            </c:numRef>
          </c:val>
          <c:smooth val="0"/>
          <c:extLst>
            <c:ext xmlns:c16="http://schemas.microsoft.com/office/drawing/2014/chart" uri="{C3380CC4-5D6E-409C-BE32-E72D297353CC}">
              <c16:uniqueId val="{00000001-B519-427F-A11E-87ADB33C9C36}"/>
            </c:ext>
          </c:extLst>
        </c:ser>
        <c:ser>
          <c:idx val="2"/>
          <c:order val="2"/>
          <c:tx>
            <c:strRef>
              <c:f>Unaffordablerent1!$A$5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Unaffordablerent1!$B$5:$M$5</c:f>
              <c:numCache>
                <c:formatCode>0.0%</c:formatCode>
                <c:ptCount val="12"/>
                <c:pt idx="0">
                  <c:v>0.18394099254031357</c:v>
                </c:pt>
                <c:pt idx="1">
                  <c:v>0.12679061210114223</c:v>
                </c:pt>
                <c:pt idx="2">
                  <c:v>0.12954969712583098</c:v>
                </c:pt>
                <c:pt idx="3">
                  <c:v>0.10070731019071043</c:v>
                </c:pt>
                <c:pt idx="4">
                  <c:v>9.196123838837153E-2</c:v>
                </c:pt>
                <c:pt idx="5">
                  <c:v>0.10774133548617307</c:v>
                </c:pt>
                <c:pt idx="6">
                  <c:v>0.13787850206967339</c:v>
                </c:pt>
                <c:pt idx="7">
                  <c:v>0.18094706625242102</c:v>
                </c:pt>
                <c:pt idx="8">
                  <c:v>0.14190541973101711</c:v>
                </c:pt>
                <c:pt idx="9">
                  <c:v>0.13969082248729045</c:v>
                </c:pt>
                <c:pt idx="10">
                  <c:v>0.17765267095115003</c:v>
                </c:pt>
                <c:pt idx="11">
                  <c:v>0.1728534538917452</c:v>
                </c:pt>
              </c:numCache>
            </c:numRef>
          </c:val>
          <c:smooth val="0"/>
          <c:extLst>
            <c:ext xmlns:c16="http://schemas.microsoft.com/office/drawing/2014/chart" uri="{C3380CC4-5D6E-409C-BE32-E72D297353CC}">
              <c16:uniqueId val="{00000002-B519-427F-A11E-87ADB33C9C36}"/>
            </c:ext>
          </c:extLst>
        </c:ser>
        <c:ser>
          <c:idx val="3"/>
          <c:order val="3"/>
          <c:tx>
            <c:strRef>
              <c:f>Unaffordablerent1!$A$6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Unaffordablerent1!$B$6:$M$6</c:f>
              <c:numCache>
                <c:formatCode>0.0%</c:formatCode>
                <c:ptCount val="12"/>
                <c:pt idx="0">
                  <c:v>5.9727570959920125E-3</c:v>
                </c:pt>
                <c:pt idx="1">
                  <c:v>4.2996993342401032E-3</c:v>
                </c:pt>
                <c:pt idx="2">
                  <c:v>7.7177565737833603E-3</c:v>
                </c:pt>
                <c:pt idx="3">
                  <c:v>7.5359077197312491E-3</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B519-427F-A11E-87ADB33C9C36}"/>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Unaffordablerent1!$P$3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Unaffordablerent1!$Q$3:$AB$3</c:f>
              <c:numCache>
                <c:formatCode>0.00%</c:formatCode>
                <c:ptCount val="12"/>
                <c:pt idx="0">
                  <c:v>4.8222091473760352E-2</c:v>
                </c:pt>
                <c:pt idx="1">
                  <c:v>4.455091656894538E-2</c:v>
                </c:pt>
                <c:pt idx="2">
                  <c:v>5.0833081703956833E-2</c:v>
                </c:pt>
                <c:pt idx="3">
                  <c:v>4.1765523084699642E-2</c:v>
                </c:pt>
                <c:pt idx="4">
                  <c:v>2.6109543080365376E-2</c:v>
                </c:pt>
                <c:pt idx="5">
                  <c:v>2.200947806533126E-2</c:v>
                </c:pt>
                <c:pt idx="6">
                  <c:v>1.6431429452091063E-2</c:v>
                </c:pt>
                <c:pt idx="7">
                  <c:v>1.2232126005365072E-2</c:v>
                </c:pt>
                <c:pt idx="8">
                  <c:v>1.4671575714564442E-2</c:v>
                </c:pt>
                <c:pt idx="9">
                  <c:v>1.4655900740789995E-2</c:v>
                </c:pt>
                <c:pt idx="10">
                  <c:v>7.2745794117907187E-2</c:v>
                </c:pt>
                <c:pt idx="11">
                  <c:v>5.7777262622962053E-2</c:v>
                </c:pt>
              </c:numCache>
            </c:numRef>
          </c:val>
          <c:smooth val="0"/>
          <c:extLst>
            <c:ext xmlns:c16="http://schemas.microsoft.com/office/drawing/2014/chart" uri="{C3380CC4-5D6E-409C-BE32-E72D297353CC}">
              <c16:uniqueId val="{00000000-C02C-43A5-AC96-9A20822E2FF2}"/>
            </c:ext>
          </c:extLst>
        </c:ser>
        <c:ser>
          <c:idx val="1"/>
          <c:order val="1"/>
          <c:tx>
            <c:strRef>
              <c:f>Unaffordablerent1!$P$4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Unaffordablerent1!$Q$4:$AB$4</c:f>
              <c:numCache>
                <c:formatCode>0.0%</c:formatCode>
                <c:ptCount val="12"/>
                <c:pt idx="0">
                  <c:v>2.7863777089783281E-2</c:v>
                </c:pt>
                <c:pt idx="1">
                  <c:v>2.4758454106280192E-2</c:v>
                </c:pt>
                <c:pt idx="2">
                  <c:v>2.9192448449743436E-2</c:v>
                </c:pt>
                <c:pt idx="3">
                  <c:v>2.5708099961760805E-2</c:v>
                </c:pt>
                <c:pt idx="4">
                  <c:v>3.0502322880371663E-2</c:v>
                </c:pt>
                <c:pt idx="5">
                  <c:v>8.3333333333333332E-3</c:v>
                </c:pt>
                <c:pt idx="6">
                  <c:v>4.2716977600299494E-2</c:v>
                </c:pt>
                <c:pt idx="7">
                  <c:v>3.8515406162464988E-2</c:v>
                </c:pt>
                <c:pt idx="8">
                  <c:v>5.5555555555555558E-3</c:v>
                </c:pt>
                <c:pt idx="9">
                  <c:v>1.2531328320802004E-2</c:v>
                </c:pt>
                <c:pt idx="10">
                  <c:v>2.9922757465421168E-2</c:v>
                </c:pt>
                <c:pt idx="11">
                  <c:v>3.9766474549083247E-2</c:v>
                </c:pt>
              </c:numCache>
            </c:numRef>
          </c:val>
          <c:smooth val="0"/>
          <c:extLst>
            <c:ext xmlns:c16="http://schemas.microsoft.com/office/drawing/2014/chart" uri="{C3380CC4-5D6E-409C-BE32-E72D297353CC}">
              <c16:uniqueId val="{00000001-C02C-43A5-AC96-9A20822E2FF2}"/>
            </c:ext>
          </c:extLst>
        </c:ser>
        <c:ser>
          <c:idx val="2"/>
          <c:order val="2"/>
          <c:tx>
            <c:strRef>
              <c:f>Unaffordablerent1!$P$5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Unaffordablerent1!$Q$5:$AB$5</c:f>
              <c:numCache>
                <c:formatCode>0.0%</c:formatCode>
                <c:ptCount val="12"/>
                <c:pt idx="0">
                  <c:v>5.755970064843198E-2</c:v>
                </c:pt>
                <c:pt idx="1">
                  <c:v>4.3171430722243727E-2</c:v>
                </c:pt>
                <c:pt idx="2">
                  <c:v>5.5786172566921075E-2</c:v>
                </c:pt>
                <c:pt idx="3">
                  <c:v>4.7834620042171372E-2</c:v>
                </c:pt>
                <c:pt idx="4">
                  <c:v>2.751380777052834E-2</c:v>
                </c:pt>
                <c:pt idx="5">
                  <c:v>2.6483077780247589E-2</c:v>
                </c:pt>
                <c:pt idx="6">
                  <c:v>1.6049696770899759E-2</c:v>
                </c:pt>
                <c:pt idx="7">
                  <c:v>1.4745155703376162E-2</c:v>
                </c:pt>
                <c:pt idx="8">
                  <c:v>2.0410748757088894E-2</c:v>
                </c:pt>
                <c:pt idx="9">
                  <c:v>1.5028824225298588E-2</c:v>
                </c:pt>
                <c:pt idx="10">
                  <c:v>7.6530211099406303E-2</c:v>
                </c:pt>
                <c:pt idx="11">
                  <c:v>5.4746837293314435E-2</c:v>
                </c:pt>
              </c:numCache>
            </c:numRef>
          </c:val>
          <c:smooth val="0"/>
          <c:extLst>
            <c:ext xmlns:c16="http://schemas.microsoft.com/office/drawing/2014/chart" uri="{C3380CC4-5D6E-409C-BE32-E72D297353CC}">
              <c16:uniqueId val="{00000002-C02C-43A5-AC96-9A20822E2FF2}"/>
            </c:ext>
          </c:extLst>
        </c:ser>
        <c:ser>
          <c:idx val="3"/>
          <c:order val="3"/>
          <c:tx>
            <c:strRef>
              <c:f>Unaffordablerent1!$P$6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Unaffordablerent1!$Q$2:$AB$2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Unaffordablerent1!$Q$6:$AB$6</c:f>
              <c:numCache>
                <c:formatCode>0.0%</c:formatCode>
                <c:ptCount val="12"/>
                <c:pt idx="0">
                  <c:v>0</c:v>
                </c:pt>
                <c:pt idx="1">
                  <c:v>2.2477262239687995E-3</c:v>
                </c:pt>
                <c:pt idx="2">
                  <c:v>6.0094060754361436E-3</c:v>
                </c:pt>
                <c:pt idx="3">
                  <c:v>0</c:v>
                </c:pt>
                <c:pt idx="4">
                  <c:v>0</c:v>
                </c:pt>
                <c:pt idx="5">
                  <c:v>0</c:v>
                </c:pt>
                <c:pt idx="6">
                  <c:v>4.2403591065115565E-3</c:v>
                </c:pt>
                <c:pt idx="7">
                  <c:v>0</c:v>
                </c:pt>
                <c:pt idx="8">
                  <c:v>0</c:v>
                </c:pt>
                <c:pt idx="9">
                  <c:v>0</c:v>
                </c:pt>
                <c:pt idx="10">
                  <c:v>0</c:v>
                </c:pt>
                <c:pt idx="11">
                  <c:v>0</c:v>
                </c:pt>
              </c:numCache>
            </c:numRef>
          </c:val>
          <c:smooth val="0"/>
          <c:extLst>
            <c:ext xmlns:c16="http://schemas.microsoft.com/office/drawing/2014/chart" uri="{C3380CC4-5D6E-409C-BE32-E72D297353CC}">
              <c16:uniqueId val="{00000003-C02C-43A5-AC96-9A20822E2FF2}"/>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Unaffordableexp1!$A$3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Unaffordableexp1!$B$3:$M$3</c:f>
              <c:numCache>
                <c:formatCode>0.0%</c:formatCode>
                <c:ptCount val="12"/>
                <c:pt idx="0">
                  <c:v>0.30562298040658614</c:v>
                </c:pt>
                <c:pt idx="1">
                  <c:v>0.25524762299234038</c:v>
                </c:pt>
                <c:pt idx="2">
                  <c:v>0.2204622776648551</c:v>
                </c:pt>
                <c:pt idx="3">
                  <c:v>0.2000455133874271</c:v>
                </c:pt>
                <c:pt idx="4">
                  <c:v>0.21222427846798347</c:v>
                </c:pt>
                <c:pt idx="5">
                  <c:v>0.20770517816957798</c:v>
                </c:pt>
                <c:pt idx="6">
                  <c:v>0.18434504658457013</c:v>
                </c:pt>
                <c:pt idx="7">
                  <c:v>0.18474539638501442</c:v>
                </c:pt>
                <c:pt idx="8">
                  <c:v>0.18615146925268641</c:v>
                </c:pt>
                <c:pt idx="9">
                  <c:v>0.18578014233218917</c:v>
                </c:pt>
                <c:pt idx="10">
                  <c:v>0.25771732600087693</c:v>
                </c:pt>
                <c:pt idx="11">
                  <c:v>0.2262177357149312</c:v>
                </c:pt>
              </c:numCache>
            </c:numRef>
          </c:val>
          <c:smooth val="0"/>
          <c:extLst>
            <c:ext xmlns:c16="http://schemas.microsoft.com/office/drawing/2014/chart" uri="{C3380CC4-5D6E-409C-BE32-E72D297353CC}">
              <c16:uniqueId val="{00000000-10AE-4324-B1AA-4124864D1AE1}"/>
            </c:ext>
          </c:extLst>
        </c:ser>
        <c:ser>
          <c:idx val="1"/>
          <c:order val="1"/>
          <c:tx>
            <c:strRef>
              <c:f>Unaffordableexp1!$A$4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Unaffordableexp1!$B$4:$M$4</c:f>
              <c:numCache>
                <c:formatCode>0.0%</c:formatCode>
                <c:ptCount val="12"/>
                <c:pt idx="0">
                  <c:v>0.16454513659675007</c:v>
                </c:pt>
                <c:pt idx="1">
                  <c:v>0.15834136110962058</c:v>
                </c:pt>
                <c:pt idx="2">
                  <c:v>0.13990549942381819</c:v>
                </c:pt>
                <c:pt idx="3">
                  <c:v>9.7096862652403804E-2</c:v>
                </c:pt>
                <c:pt idx="4">
                  <c:v>0.13569170915947015</c:v>
                </c:pt>
                <c:pt idx="5">
                  <c:v>0.16891757200781468</c:v>
                </c:pt>
                <c:pt idx="6">
                  <c:v>0.14407305397075221</c:v>
                </c:pt>
                <c:pt idx="7">
                  <c:v>0.14135964912280702</c:v>
                </c:pt>
                <c:pt idx="8">
                  <c:v>0.10836059005884825</c:v>
                </c:pt>
                <c:pt idx="9">
                  <c:v>0.18226436285739789</c:v>
                </c:pt>
                <c:pt idx="10">
                  <c:v>0.23391793005166645</c:v>
                </c:pt>
                <c:pt idx="11">
                  <c:v>0.24406541097695961</c:v>
                </c:pt>
              </c:numCache>
            </c:numRef>
          </c:val>
          <c:smooth val="0"/>
          <c:extLst>
            <c:ext xmlns:c16="http://schemas.microsoft.com/office/drawing/2014/chart" uri="{C3380CC4-5D6E-409C-BE32-E72D297353CC}">
              <c16:uniqueId val="{00000001-10AE-4324-B1AA-4124864D1AE1}"/>
            </c:ext>
          </c:extLst>
        </c:ser>
        <c:ser>
          <c:idx val="2"/>
          <c:order val="2"/>
          <c:tx>
            <c:strRef>
              <c:f>Unaffordableexp1!$A$5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Unaffordableexp1!$B$5:$M$5</c:f>
              <c:numCache>
                <c:formatCode>0.0%</c:formatCode>
                <c:ptCount val="12"/>
                <c:pt idx="0">
                  <c:v>0.33682946475692266</c:v>
                </c:pt>
                <c:pt idx="1">
                  <c:v>0.26834911001560408</c:v>
                </c:pt>
                <c:pt idx="2">
                  <c:v>0.24506490796638991</c:v>
                </c:pt>
                <c:pt idx="3">
                  <c:v>0.22077897934760921</c:v>
                </c:pt>
                <c:pt idx="4">
                  <c:v>0.22035342033630478</c:v>
                </c:pt>
                <c:pt idx="5">
                  <c:v>0.23982316584668301</c:v>
                </c:pt>
                <c:pt idx="6">
                  <c:v>0.21399278191075943</c:v>
                </c:pt>
                <c:pt idx="7">
                  <c:v>0.25162835024867214</c:v>
                </c:pt>
                <c:pt idx="8">
                  <c:v>0.21403019061304626</c:v>
                </c:pt>
                <c:pt idx="9">
                  <c:v>0.19842129914456719</c:v>
                </c:pt>
                <c:pt idx="10">
                  <c:v>0.28179678888561666</c:v>
                </c:pt>
                <c:pt idx="11">
                  <c:v>0.2536036065462009</c:v>
                </c:pt>
              </c:numCache>
            </c:numRef>
          </c:val>
          <c:smooth val="0"/>
          <c:extLst>
            <c:ext xmlns:c16="http://schemas.microsoft.com/office/drawing/2014/chart" uri="{C3380CC4-5D6E-409C-BE32-E72D297353CC}">
              <c16:uniqueId val="{00000002-10AE-4324-B1AA-4124864D1AE1}"/>
            </c:ext>
          </c:extLst>
        </c:ser>
        <c:ser>
          <c:idx val="3"/>
          <c:order val="3"/>
          <c:tx>
            <c:strRef>
              <c:f>Unaffordableexp1!$A$6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Unaffordableexp1!$B$2:$M$2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Unaffordableexp1!$B$6:$M$6</c:f>
              <c:numCache>
                <c:formatCode>0.0%</c:formatCode>
                <c:ptCount val="12"/>
                <c:pt idx="0">
                  <c:v>5.9727570959920125E-3</c:v>
                </c:pt>
                <c:pt idx="1">
                  <c:v>4.2996993342401032E-3</c:v>
                </c:pt>
                <c:pt idx="2">
                  <c:v>7.7177565737833603E-3</c:v>
                </c:pt>
                <c:pt idx="3">
                  <c:v>7.5359077197312491E-3</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10AE-4324-B1AA-4124864D1AE1}"/>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Unaffordableexp1!$P$3</c:f>
              <c:strCache>
                <c:ptCount val="1"/>
                <c:pt idx="0">
                  <c:v>Total Sample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Unaffordableexp1!$Q$3:$AB$3</c:f>
              <c:numCache>
                <c:formatCode>0.00%</c:formatCode>
                <c:ptCount val="12"/>
                <c:pt idx="0">
                  <c:v>0.13188045657211173</c:v>
                </c:pt>
                <c:pt idx="1">
                  <c:v>0.13151606134957844</c:v>
                </c:pt>
                <c:pt idx="2">
                  <c:v>0.10967078269622928</c:v>
                </c:pt>
                <c:pt idx="3">
                  <c:v>0.10041925875097761</c:v>
                </c:pt>
                <c:pt idx="4">
                  <c:v>9.0932505468117042E-2</c:v>
                </c:pt>
                <c:pt idx="5">
                  <c:v>8.4621181433930812E-2</c:v>
                </c:pt>
                <c:pt idx="6">
                  <c:v>6.0396471642557625E-2</c:v>
                </c:pt>
                <c:pt idx="7">
                  <c:v>5.41896095073192E-2</c:v>
                </c:pt>
                <c:pt idx="8">
                  <c:v>6.2901666201340828E-2</c:v>
                </c:pt>
                <c:pt idx="9">
                  <c:v>5.6177420546785845E-2</c:v>
                </c:pt>
                <c:pt idx="10">
                  <c:v>0.15396915321995494</c:v>
                </c:pt>
                <c:pt idx="11">
                  <c:v>0.1130994456618956</c:v>
                </c:pt>
              </c:numCache>
            </c:numRef>
          </c:val>
          <c:smooth val="0"/>
          <c:extLst>
            <c:ext xmlns:c16="http://schemas.microsoft.com/office/drawing/2014/chart" uri="{C3380CC4-5D6E-409C-BE32-E72D297353CC}">
              <c16:uniqueId val="{00000000-85E5-459C-97E5-A032BE0BCDA0}"/>
            </c:ext>
          </c:extLst>
        </c:ser>
        <c:ser>
          <c:idx val="1"/>
          <c:order val="1"/>
          <c:tx>
            <c:strRef>
              <c:f>Unaffordableexp1!$P$4</c:f>
              <c:strCache>
                <c:ptCount val="1"/>
                <c:pt idx="0">
                  <c:v>IDPs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Unaffordableexp1!$Q$4:$AB$4</c:f>
              <c:numCache>
                <c:formatCode>0.0%</c:formatCode>
                <c:ptCount val="12"/>
                <c:pt idx="0">
                  <c:v>9.4418030370042746E-2</c:v>
                </c:pt>
                <c:pt idx="1">
                  <c:v>7.251466528640442E-2</c:v>
                </c:pt>
                <c:pt idx="2">
                  <c:v>6.9053253440306939E-2</c:v>
                </c:pt>
                <c:pt idx="3">
                  <c:v>5.251838855523315E-2</c:v>
                </c:pt>
                <c:pt idx="4">
                  <c:v>4.2552264808362369E-2</c:v>
                </c:pt>
                <c:pt idx="5">
                  <c:v>3.9310377006345654E-2</c:v>
                </c:pt>
                <c:pt idx="6">
                  <c:v>5.9399762900106068E-2</c:v>
                </c:pt>
                <c:pt idx="7">
                  <c:v>3.8515406162464988E-2</c:v>
                </c:pt>
                <c:pt idx="8">
                  <c:v>1.2134502923976609E-2</c:v>
                </c:pt>
                <c:pt idx="9">
                  <c:v>3.8031772400873055E-2</c:v>
                </c:pt>
                <c:pt idx="10">
                  <c:v>0.11358695019950445</c:v>
                </c:pt>
                <c:pt idx="11">
                  <c:v>8.4939753418014297E-2</c:v>
                </c:pt>
              </c:numCache>
            </c:numRef>
          </c:val>
          <c:smooth val="0"/>
          <c:extLst>
            <c:ext xmlns:c16="http://schemas.microsoft.com/office/drawing/2014/chart" uri="{C3380CC4-5D6E-409C-BE32-E72D297353CC}">
              <c16:uniqueId val="{00000001-85E5-459C-97E5-A032BE0BCDA0}"/>
            </c:ext>
          </c:extLst>
        </c:ser>
        <c:ser>
          <c:idx val="2"/>
          <c:order val="2"/>
          <c:tx>
            <c:strRef>
              <c:f>Unaffordableexp1!$P$5</c:f>
              <c:strCache>
                <c:ptCount val="1"/>
                <c:pt idx="0">
                  <c:v>Womanheaded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Unaffordableexp1!$Q$5:$AB$5</c:f>
              <c:numCache>
                <c:formatCode>0.0%</c:formatCode>
                <c:ptCount val="12"/>
                <c:pt idx="0">
                  <c:v>0.15843789376167283</c:v>
                </c:pt>
                <c:pt idx="1">
                  <c:v>0.12550866778509057</c:v>
                </c:pt>
                <c:pt idx="2">
                  <c:v>0.11625855513107236</c:v>
                </c:pt>
                <c:pt idx="3">
                  <c:v>0.10786784256402009</c:v>
                </c:pt>
                <c:pt idx="4">
                  <c:v>0.10288151502617462</c:v>
                </c:pt>
                <c:pt idx="5">
                  <c:v>9.9716670589312106E-2</c:v>
                </c:pt>
                <c:pt idx="6">
                  <c:v>6.077749873826982E-2</c:v>
                </c:pt>
                <c:pt idx="7">
                  <c:v>5.5595299585787253E-2</c:v>
                </c:pt>
                <c:pt idx="8">
                  <c:v>7.2982398565283046E-2</c:v>
                </c:pt>
                <c:pt idx="9">
                  <c:v>6.8286359630321508E-2</c:v>
                </c:pt>
                <c:pt idx="10">
                  <c:v>0.16643857451072536</c:v>
                </c:pt>
                <c:pt idx="11">
                  <c:v>0.11606523245069833</c:v>
                </c:pt>
              </c:numCache>
            </c:numRef>
          </c:val>
          <c:smooth val="0"/>
          <c:extLst>
            <c:ext xmlns:c16="http://schemas.microsoft.com/office/drawing/2014/chart" uri="{C3380CC4-5D6E-409C-BE32-E72D297353CC}">
              <c16:uniqueId val="{00000002-85E5-459C-97E5-A032BE0BCDA0}"/>
            </c:ext>
          </c:extLst>
        </c:ser>
        <c:ser>
          <c:idx val="3"/>
          <c:order val="3"/>
          <c:tx>
            <c:strRef>
              <c:f>Unaffordableexp1!$P$6</c:f>
              <c:strCache>
                <c:ptCount val="1"/>
                <c:pt idx="0">
                  <c:v>Disabled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Unaffordableexp1!$Q$2:$AB$2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Unaffordableexp1!$Q$6:$AB$6</c:f>
              <c:numCache>
                <c:formatCode>0.0%</c:formatCode>
                <c:ptCount val="12"/>
                <c:pt idx="0">
                  <c:v>0</c:v>
                </c:pt>
                <c:pt idx="1">
                  <c:v>2.2477262239687995E-3</c:v>
                </c:pt>
                <c:pt idx="2">
                  <c:v>6.0094060754361436E-3</c:v>
                </c:pt>
                <c:pt idx="3">
                  <c:v>0</c:v>
                </c:pt>
                <c:pt idx="4">
                  <c:v>0</c:v>
                </c:pt>
                <c:pt idx="5">
                  <c:v>0</c:v>
                </c:pt>
                <c:pt idx="6">
                  <c:v>4.2403591065115565E-3</c:v>
                </c:pt>
                <c:pt idx="7">
                  <c:v>0</c:v>
                </c:pt>
                <c:pt idx="8">
                  <c:v>0</c:v>
                </c:pt>
                <c:pt idx="9">
                  <c:v>0</c:v>
                </c:pt>
                <c:pt idx="10">
                  <c:v>0</c:v>
                </c:pt>
                <c:pt idx="11">
                  <c:v>0</c:v>
                </c:pt>
              </c:numCache>
            </c:numRef>
          </c:val>
          <c:smooth val="0"/>
          <c:extLst>
            <c:ext xmlns:c16="http://schemas.microsoft.com/office/drawing/2014/chart" uri="{C3380CC4-5D6E-409C-BE32-E72D297353CC}">
              <c16:uniqueId val="{00000003-85E5-459C-97E5-A032BE0BCDA0}"/>
            </c:ext>
          </c:extLst>
        </c:ser>
        <c:dLbls>
          <c:showLegendKey val="0"/>
          <c:showVal val="0"/>
          <c:showCatName val="0"/>
          <c:showSerName val="0"/>
          <c:showPercent val="0"/>
          <c:showBubbleSize val="0"/>
        </c:dLbls>
        <c:marker val="1"/>
        <c:smooth val="0"/>
        <c:axId val="583776608"/>
        <c:axId val="583777264"/>
      </c:lineChart>
      <c:catAx>
        <c:axId val="58377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7264"/>
        <c:crosses val="autoZero"/>
        <c:auto val="1"/>
        <c:lblAlgn val="ctr"/>
        <c:lblOffset val="100"/>
        <c:noMultiLvlLbl val="0"/>
      </c:catAx>
      <c:valAx>
        <c:axId val="583777264"/>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377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Unaffordablerent1!$A$3</c:f>
              <c:strCache>
                <c:ptCount val="1"/>
                <c:pt idx="0">
                  <c:v>Georgian families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Unaffordablerent1!$B$3:$M$3</c:f>
              <c:numCache>
                <c:formatCode>0.0%</c:formatCode>
                <c:ptCount val="12"/>
                <c:pt idx="0">
                  <c:v>0.17667138959373174</c:v>
                </c:pt>
                <c:pt idx="1">
                  <c:v>0.13017237922071923</c:v>
                </c:pt>
                <c:pt idx="2">
                  <c:v>0.1234806207718218</c:v>
                </c:pt>
                <c:pt idx="3">
                  <c:v>0.1028722077703494</c:v>
                </c:pt>
                <c:pt idx="4">
                  <c:v>0.11206075636781779</c:v>
                </c:pt>
                <c:pt idx="5">
                  <c:v>9.6710380166356774E-2</c:v>
                </c:pt>
                <c:pt idx="6">
                  <c:v>0.11433263342833534</c:v>
                </c:pt>
                <c:pt idx="7">
                  <c:v>0.12424706225716434</c:v>
                </c:pt>
                <c:pt idx="8">
                  <c:v>0.11937620152549644</c:v>
                </c:pt>
                <c:pt idx="9">
                  <c:v>0.12094411643693012</c:v>
                </c:pt>
                <c:pt idx="10">
                  <c:v>0.16195442809060132</c:v>
                </c:pt>
                <c:pt idx="11">
                  <c:v>0.14465282006693844</c:v>
                </c:pt>
              </c:numCache>
            </c:numRef>
          </c:val>
          <c:smooth val="0"/>
          <c:extLst>
            <c:ext xmlns:c16="http://schemas.microsoft.com/office/drawing/2014/chart" uri="{C3380CC4-5D6E-409C-BE32-E72D297353CC}">
              <c16:uniqueId val="{00000000-1F75-42E7-A42C-5FDAA5C5E0AB}"/>
            </c:ext>
          </c:extLst>
        </c:ser>
        <c:ser>
          <c:idx val="1"/>
          <c:order val="1"/>
          <c:tx>
            <c:strRef>
              <c:f>Unaffordablerent1!$A$4</c:f>
              <c:strCache>
                <c:ptCount val="1"/>
                <c:pt idx="0">
                  <c:v>Non-Georgian families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Unaffordablerent1!$B$4:$M$4</c:f>
              <c:numCache>
                <c:formatCode>0.0%</c:formatCode>
                <c:ptCount val="12"/>
                <c:pt idx="0">
                  <c:v>0.16429280132510066</c:v>
                </c:pt>
                <c:pt idx="1">
                  <c:v>9.8319648801141246E-2</c:v>
                </c:pt>
                <c:pt idx="2">
                  <c:v>0.10839396753882019</c:v>
                </c:pt>
                <c:pt idx="3">
                  <c:v>9.0606726602296378E-2</c:v>
                </c:pt>
                <c:pt idx="4">
                  <c:v>3.814547975297275E-2</c:v>
                </c:pt>
                <c:pt idx="5">
                  <c:v>6.4179019091042552E-2</c:v>
                </c:pt>
                <c:pt idx="6">
                  <c:v>9.7633333056430946E-2</c:v>
                </c:pt>
                <c:pt idx="7">
                  <c:v>0.11628638417109854</c:v>
                </c:pt>
                <c:pt idx="8">
                  <c:v>8.9706017114997372E-2</c:v>
                </c:pt>
                <c:pt idx="9">
                  <c:v>0.10871540710723948</c:v>
                </c:pt>
                <c:pt idx="10">
                  <c:v>0.1015488849505243</c:v>
                </c:pt>
                <c:pt idx="11">
                  <c:v>0.14018054387837278</c:v>
                </c:pt>
              </c:numCache>
            </c:numRef>
          </c:val>
          <c:smooth val="0"/>
          <c:extLst>
            <c:ext xmlns:c16="http://schemas.microsoft.com/office/drawing/2014/chart" uri="{C3380CC4-5D6E-409C-BE32-E72D297353CC}">
              <c16:uniqueId val="{00000001-1F75-42E7-A42C-5FDAA5C5E0AB}"/>
            </c:ext>
          </c:extLst>
        </c:ser>
        <c:ser>
          <c:idx val="2"/>
          <c:order val="2"/>
          <c:tx>
            <c:strRef>
              <c:f>Unaffordablerent1!$A$5</c:f>
              <c:strCache>
                <c:ptCount val="1"/>
                <c:pt idx="0">
                  <c:v>Mixed families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Unaffordablerent1!$B$2:$M$2</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Unaffordablerent1!$B$5:$M$5</c:f>
              <c:numCache>
                <c:formatCode>0.0%</c:formatCode>
                <c:ptCount val="12"/>
                <c:pt idx="0">
                  <c:v>0.11280855932615999</c:v>
                </c:pt>
                <c:pt idx="1">
                  <c:v>0.13587839834515367</c:v>
                </c:pt>
                <c:pt idx="2">
                  <c:v>9.9379800122111894E-2</c:v>
                </c:pt>
                <c:pt idx="3">
                  <c:v>9.5925630101388021E-2</c:v>
                </c:pt>
                <c:pt idx="4">
                  <c:v>0.10685180452622312</c:v>
                </c:pt>
                <c:pt idx="5">
                  <c:v>0.10289467546314808</c:v>
                </c:pt>
                <c:pt idx="6">
                  <c:v>5.9989932684216853E-2</c:v>
                </c:pt>
                <c:pt idx="7">
                  <c:v>0.12542266883773456</c:v>
                </c:pt>
                <c:pt idx="8">
                  <c:v>0.10447330447330447</c:v>
                </c:pt>
                <c:pt idx="9">
                  <c:v>0.10198792435634541</c:v>
                </c:pt>
                <c:pt idx="10">
                  <c:v>0.18023501352049343</c:v>
                </c:pt>
                <c:pt idx="11">
                  <c:v>0.18181392567857221</c:v>
                </c:pt>
              </c:numCache>
            </c:numRef>
          </c:val>
          <c:smooth val="0"/>
          <c:extLst>
            <c:ext xmlns:c16="http://schemas.microsoft.com/office/drawing/2014/chart" uri="{C3380CC4-5D6E-409C-BE32-E72D297353CC}">
              <c16:uniqueId val="{00000002-1F75-42E7-A42C-5FDAA5C5E0AB}"/>
            </c:ext>
          </c:extLst>
        </c:ser>
        <c:dLbls>
          <c:showLegendKey val="0"/>
          <c:showVal val="0"/>
          <c:showCatName val="0"/>
          <c:showSerName val="0"/>
          <c:showPercent val="0"/>
          <c:showBubbleSize val="0"/>
        </c:dLbls>
        <c:marker val="1"/>
        <c:smooth val="0"/>
        <c:axId val="511447608"/>
        <c:axId val="511442688"/>
      </c:lineChart>
      <c:catAx>
        <c:axId val="51144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2688"/>
        <c:crosses val="autoZero"/>
        <c:auto val="1"/>
        <c:lblAlgn val="ctr"/>
        <c:lblOffset val="100"/>
        <c:noMultiLvlLbl val="0"/>
      </c:catAx>
      <c:valAx>
        <c:axId val="511442688"/>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44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lank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Bla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lank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Blank">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Eco07</b:Tag>
    <b:SourceType>Report</b:SourceType>
    <b:Guid>{D6FCA0FC-B67A-420B-BA99-2F75F4473356}</b:Guid>
    <b:Author>
      <b:Author>
        <b:Corporate>Economic Commission for Europe</b:Corporate>
      </b:Author>
    </b:Author>
    <b:Title>Country Profiles on the Housing Sector – Georgia</b:Title>
    <b:Year>2007</b:Year>
    <b:Publisher>United Nations</b:Publisher>
    <b:City>Geneva</b:City>
    <b:RefOrder>10</b:RefOrder>
  </b:Source>
  <b:Source>
    <b:Tag>JAn</b:Tag>
    <b:SourceType>JournalArticle</b:SourceType>
    <b:Guid>{E492A839-1049-492C-80BD-84F246F1AEFE}</b:Guid>
    <b:Title>Economic Prosperity and Housing Affordability in the United States: Lessons from Booming 1990s</b:Title>
    <b:Author>
      <b:Author>
        <b:NameList>
          <b:Person>
            <b:Last>Anthony</b:Last>
            <b:First>J.</b:First>
          </b:Person>
        </b:NameList>
      </b:Author>
    </b:Author>
    <b:JournalName>Housing Policy Debate</b:JournalName>
    <b:Year>2018</b:Year>
    <b:RefOrder>9</b:RefOrder>
  </b:Source>
  <b:Source>
    <b:Tag>Car04</b:Tag>
    <b:SourceType>JournalArticle</b:SourceType>
    <b:Guid>{C7F13B70-6841-47DE-918D-033E85F1779A}</b:Guid>
    <b:Author>
      <b:Author>
        <b:NameList>
          <b:Person>
            <b:Last>Carol S. Cohen</b:Last>
            <b:First>Elizabhet</b:First>
            <b:Middle>Mulroy, Tanya Tull, Catherine White, Sheila Crowley</b:Middle>
          </b:Person>
        </b:NameList>
      </b:Author>
    </b:Author>
    <b:Title>Husing Plus Services: Supporting Vulnerable Families in Permanent Housing</b:Title>
    <b:JournalName>Child Welfare</b:JournalName>
    <b:Year>2004</b:Year>
    <b:RefOrder>11</b:RefOrder>
  </b:Source>
  <b:Source>
    <b:Tag>BOF19</b:Tag>
    <b:SourceType>JournalArticle</b:SourceType>
    <b:Guid>{E4DB4969-81EA-4874-AF31-B0D4209859C5}</b:Guid>
    <b:Title>Homelessness research: A guide for economists (and friends)</b:Title>
    <b:JournalName>Journal of Housing Economics</b:JournalName>
    <b:Year>2019</b:Year>
    <b:Pages>1-25</b:Pages>
    <b:Author>
      <b:Author>
        <b:NameList>
          <b:Person>
            <b:Last>O'Flaherty</b:Last>
            <b:First>B.</b:First>
          </b:Person>
        </b:NameList>
      </b:Author>
    </b:Author>
    <b:RefOrder>3</b:RefOrder>
  </b:Source>
  <b:Source>
    <b:Tag>JMu07</b:Tag>
    <b:SourceType>JournalArticle</b:SourceType>
    <b:Guid>{8F03C2D0-3384-4898-9AB1-0801236C531D}</b:Guid>
    <b:Author>
      <b:Author>
        <b:NameList>
          <b:Person>
            <b:Last>Munnery</b:Last>
            <b:First>J.</b:First>
          </b:Person>
        </b:NameList>
      </b:Author>
    </b:Author>
    <b:Title>Approaches to Homelessness Policy in Europe, the United States, and Australia</b:Title>
    <b:JournalName>Journal of Social Issues</b:JournalName>
    <b:Year>2007</b:Year>
    <b:Pages>641-655</b:Pages>
    <b:RefOrder>4</b:RefOrder>
  </b:Source>
  <b:Source>
    <b:Tag>NSw18</b:Tag>
    <b:SourceType>Report</b:SourceType>
    <b:Guid>{E48BC769-7230-4518-8CD4-19A27A47089C}</b:Guid>
    <b:Title>The Efefct of Homelessness on Employment Entry and Exists: Evidence from the Journays Home Survey</b:Title>
    <b:Year>2018</b:Year>
    <b:Author>
      <b:Author>
        <b:NameList>
          <b:Person>
            <b:Last>Swami</b:Last>
            <b:First>N.</b:First>
          </b:Person>
        </b:NameList>
      </b:Author>
    </b:Author>
    <b:Publisher>University of Melbourne</b:Publisher>
    <b:City>Melbourne</b:City>
    <b:RefOrder>5</b:RefOrder>
  </b:Source>
  <b:Source>
    <b:Tag>She03</b:Tag>
    <b:SourceType>JournalArticle</b:SourceType>
    <b:Guid>{0D720EEF-3802-4625-8CAD-E9A99F27081D}</b:Guid>
    <b:Author>
      <b:Author>
        <b:NameList>
          <b:Person>
            <b:Last>Crowley</b:Last>
            <b:First>Sheila</b:First>
          </b:Person>
        </b:NameList>
      </b:Author>
    </b:Author>
    <b:Title>The Affordable Housing Crisis: Residential Mobility of Poor Families and School Mobility of Poor Children </b:Title>
    <b:JournalName>The Journal of Negro Education</b:JournalName>
    <b:Year>2003</b:Year>
    <b:Pages>22-38</b:Pages>
    <b:RefOrder>6</b:RefOrder>
  </b:Source>
  <b:Source>
    <b:Tag>Eli07</b:Tag>
    <b:SourceType>JournalArticle</b:SourceType>
    <b:Guid>{63D74108-BEBB-437A-B405-6CE3A034CF2A}</b:Guid>
    <b:Author>
      <b:Author>
        <b:NameList>
          <b:Person>
            <b:Last>Elizabeth J. Muller</b:Last>
            <b:First>J,</b:First>
            <b:Middle>Rosie Tighie</b:Middle>
          </b:Person>
        </b:NameList>
      </b:Author>
    </b:Author>
    <b:Title>Making the Case for Affordable Housing: Connecting Housing with Health and Education Autcomes</b:Title>
    <b:JournalName>Journal of Planning Literature</b:JournalName>
    <b:Year>2007</b:Year>
    <b:RefOrder>8</b:RefOrder>
  </b:Source>
  <b:Source>
    <b:Tag>Wor15</b:Tag>
    <b:SourceType>Report</b:SourceType>
    <b:Guid>{B369A0A8-6C30-44EB-8F23-165E1DAA9762}</b:Guid>
    <b:Author>
      <b:Author>
        <b:Corporate>World Bank</b:Corporate>
      </b:Author>
    </b:Author>
    <b:Title>Georga Urban Strategy. Priority Area IV: Housing</b:Title>
    <b:Year>2015</b:Year>
    <b:City>Tbilisi</b:City>
    <b:Publisher>World Bank Group</b:Publisher>
    <b:RefOrder>7</b:RefOrder>
  </b:Source>
  <b:Source>
    <b:Tag>Swi15</b:Tag>
    <b:SourceType>Report</b:SourceType>
    <b:Guid>{C4ADD6B6-98D5-4FFD-9FA8-5600ADF7A6D0}</b:Guid>
    <b:Author>
      <b:Author>
        <b:Corporate>Swiss Agency for Developmen Cooperation (SDC)</b:Corporate>
      </b:Author>
    </b:Author>
    <b:Title>Social Housing -– Georgian Reality in International Context</b:Title>
    <b:Year>2015</b:Year>
    <b:Publisher>SDC</b:Publisher>
    <b:City>Tbilisi</b:City>
    <b:RefOrder>2</b:RefOrder>
  </b:Source>
  <b:Source>
    <b:Tag>She031</b:Tag>
    <b:SourceType>JournalArticle</b:SourceType>
    <b:Guid>{A8F29345-9A02-44C4-89C0-0FD4BC3656C7}</b:Guid>
    <b:Title>The Affordable Housing Crisis: Residential Mobility of Poor Families and School Mobility of Poor Children </b:Title>
    <b:Year>2003</b:Year>
    <b:Author>
      <b:Author>
        <b:NameList>
          <b:Person>
            <b:Last>Crowley</b:Last>
            <b:First>Sheila</b:First>
          </b:Person>
        </b:NameList>
      </b:Author>
    </b:Author>
    <b:JournalName>Jounral of Negro Education</b:JournalName>
    <b:Pages>22-38</b:Pages>
    <b:RefOrder>14</b:RefOrder>
  </b:Source>
  <b:Source>
    <b:Tag>Sheila03</b:Tag>
    <b:SourceType>JournalArticle</b:SourceType>
    <b:Guid>{679AA77F-5E14-467B-973A-AFEA49B4D750}</b:Guid>
    <b:Author>
      <b:Author>
        <b:NameList>
          <b:Person>
            <b:Last>Crowley</b:Last>
            <b:First>Sheila</b:First>
          </b:Person>
        </b:NameList>
      </b:Author>
    </b:Author>
    <b:Title>The affordable housing crisis: residential mobility of poor families and school mobility of poor children</b:Title>
    <b:JournalName>Journal of Negro Education</b:JournalName>
    <b:Year>2003</b:Year>
    <b:Pages>22-38</b:Pages>
    <b:RefOrder>15</b:RefOrder>
  </b:Source>
  <b:Source>
    <b:Tag>Geo14</b:Tag>
    <b:SourceType>Report</b:SourceType>
    <b:Guid>{4D062BBC-D347-4C9C-A365-F0BB8F1C0284}</b:Guid>
    <b:Title>State Policy in Providing Housing for IDPs</b:Title>
    <b:Year>2014</b:Year>
    <b:Author>
      <b:Author>
        <b:Corporate>Georgian Young Lawyers Association</b:Corporate>
      </b:Author>
    </b:Author>
    <b:Publisher>Georgian Young Lawyers Association</b:Publisher>
    <b:City>Tbilisi</b:City>
    <b:RefOrder>12</b:RefOrder>
  </b:Source>
  <b:Source>
    <b:Tag>Hum16</b:Tag>
    <b:SourceType>Report</b:SourceType>
    <b:Guid>{3F38897A-4533-4285-8D60-B42FF5417D4A}</b:Guid>
    <b:Author>
      <b:Author>
        <b:Corporate>Human Rights Education and Monitoring Center</b:Corporate>
      </b:Author>
    </b:Author>
    <b:Title>Homelessness. Analyses of State Policies</b:Title>
    <b:Year>2016</b:Year>
    <b:Publisher>Open Society Georgia Foundation</b:Publisher>
    <b:City>Tbilisi</b:City>
    <b:RefOrder>1</b:RefOrder>
  </b:Source>
  <b:Source>
    <b:Tag>Segnaposto1</b:Tag>
    <b:SourceType>Report</b:SourceType>
    <b:Guid>{A25E6EF6-1DB0-40A2-82FE-C0157645C19C}</b:Guid>
    <b:Author>
      <b:Author>
        <b:Corporate>Human Rights Education and Monitoring Center</b:Corporate>
      </b:Author>
    </b:Author>
    <b:Title>Homelessness. Analyses of State Policies</b:Title>
    <b:Year>2016</b:Year>
    <b:Publisher>Open Society Georgia Foundation</b:Publisher>
    <b:City>Tbilisi</b:City>
    <b:RefOrder>13</b:RefOrder>
  </b:Source>
</b:Sources>
</file>

<file path=customXml/itemProps1.xml><?xml version="1.0" encoding="utf-8"?>
<ds:datastoreItem xmlns:ds="http://schemas.openxmlformats.org/officeDocument/2006/customXml" ds:itemID="{09D0C26A-94B8-48E2-B59B-E81F8C301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93</Pages>
  <Words>22070</Words>
  <Characters>125802</Characters>
  <Application>Microsoft Office Word</Application>
  <DocSecurity>0</DocSecurity>
  <Lines>1048</Lines>
  <Paragraphs>295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147577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Chachava</dc:creator>
  <cp:keywords/>
  <dc:description/>
  <cp:lastModifiedBy>Mariam Chachava</cp:lastModifiedBy>
  <cp:revision>20</cp:revision>
  <cp:lastPrinted>2019-07-22T09:48:00Z</cp:lastPrinted>
  <dcterms:created xsi:type="dcterms:W3CDTF">2019-12-22T20:57:00Z</dcterms:created>
  <dcterms:modified xsi:type="dcterms:W3CDTF">2019-12-23T12:23:00Z</dcterms:modified>
</cp:coreProperties>
</file>