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099" w:rsidRDefault="00F50099" w:rsidP="005E79AA">
      <w:pPr>
        <w:pStyle w:val="Title"/>
        <w:tabs>
          <w:tab w:val="left" w:pos="4320"/>
        </w:tabs>
        <w:outlineLvl w:val="9"/>
        <w:rPr>
          <w:sz w:val="28"/>
          <w:szCs w:val="28"/>
          <w:lang w:val="en-GB"/>
        </w:rPr>
      </w:pPr>
    </w:p>
    <w:p w:rsidR="00F50099" w:rsidRDefault="00F50099" w:rsidP="005E79AA">
      <w:pPr>
        <w:pStyle w:val="Title"/>
        <w:tabs>
          <w:tab w:val="left" w:pos="4320"/>
        </w:tabs>
        <w:outlineLvl w:val="9"/>
        <w:rPr>
          <w:sz w:val="28"/>
          <w:szCs w:val="28"/>
          <w:lang w:val="en-GB"/>
        </w:rPr>
      </w:pPr>
    </w:p>
    <w:p w:rsidR="00F50099" w:rsidRDefault="00F50099" w:rsidP="005E79AA">
      <w:pPr>
        <w:pStyle w:val="Title"/>
        <w:tabs>
          <w:tab w:val="left" w:pos="4320"/>
        </w:tabs>
        <w:outlineLvl w:val="9"/>
        <w:rPr>
          <w:sz w:val="28"/>
          <w:szCs w:val="28"/>
          <w:lang w:val="en-GB"/>
        </w:rPr>
      </w:pPr>
    </w:p>
    <w:p w:rsidR="00DB72C0" w:rsidRPr="005E5660" w:rsidRDefault="00782955" w:rsidP="005E79AA">
      <w:pPr>
        <w:pStyle w:val="Title"/>
        <w:tabs>
          <w:tab w:val="left" w:pos="4320"/>
        </w:tabs>
        <w:outlineLvl w:val="9"/>
        <w:rPr>
          <w:sz w:val="28"/>
          <w:szCs w:val="28"/>
          <w:lang w:val="en-GB"/>
        </w:rPr>
      </w:pPr>
      <w:r w:rsidRPr="005E5660">
        <w:rPr>
          <w:sz w:val="28"/>
          <w:szCs w:val="28"/>
          <w:lang w:val="en-GB"/>
        </w:rPr>
        <w:t xml:space="preserve">Macro-financial assistance </w:t>
      </w:r>
      <w:r w:rsidR="00DB72C0" w:rsidRPr="005E5660">
        <w:rPr>
          <w:sz w:val="28"/>
          <w:szCs w:val="28"/>
          <w:lang w:val="en-GB"/>
        </w:rPr>
        <w:t xml:space="preserve">to </w:t>
      </w:r>
      <w:r w:rsidR="005E5660" w:rsidRPr="005E5660">
        <w:rPr>
          <w:sz w:val="28"/>
          <w:szCs w:val="28"/>
          <w:lang w:val="en-GB"/>
        </w:rPr>
        <w:t>Georgia</w:t>
      </w:r>
      <w:r w:rsidR="00DB72C0" w:rsidRPr="005E5660">
        <w:rPr>
          <w:sz w:val="28"/>
          <w:szCs w:val="28"/>
          <w:lang w:val="en-GB"/>
        </w:rPr>
        <w:t xml:space="preserve"> </w:t>
      </w:r>
    </w:p>
    <w:p w:rsidR="00782955" w:rsidRPr="00E802C5" w:rsidRDefault="0041438E" w:rsidP="005E79AA">
      <w:pPr>
        <w:pStyle w:val="Title"/>
        <w:tabs>
          <w:tab w:val="left" w:pos="4320"/>
        </w:tabs>
        <w:outlineLvl w:val="9"/>
        <w:rPr>
          <w:sz w:val="28"/>
          <w:szCs w:val="28"/>
          <w:lang w:val="en-GB"/>
        </w:rPr>
      </w:pPr>
      <w:r w:rsidRPr="005E5660">
        <w:rPr>
          <w:sz w:val="28"/>
          <w:szCs w:val="28"/>
          <w:lang w:val="en-GB"/>
        </w:rPr>
        <w:t xml:space="preserve">of up to </w:t>
      </w:r>
      <w:r w:rsidR="00CC0C18" w:rsidRPr="005E5660">
        <w:rPr>
          <w:sz w:val="28"/>
          <w:szCs w:val="28"/>
          <w:lang w:val="en-GB"/>
        </w:rPr>
        <w:t xml:space="preserve">EUR </w:t>
      </w:r>
      <w:r w:rsidR="005E5660" w:rsidRPr="005E5660">
        <w:rPr>
          <w:sz w:val="28"/>
          <w:szCs w:val="28"/>
          <w:lang w:val="en-GB"/>
        </w:rPr>
        <w:t>150 million</w:t>
      </w:r>
    </w:p>
    <w:p w:rsidR="00782955" w:rsidRPr="00E802C5" w:rsidRDefault="00782955" w:rsidP="005E79AA">
      <w:pPr>
        <w:pStyle w:val="Title"/>
        <w:tabs>
          <w:tab w:val="left" w:pos="4320"/>
        </w:tabs>
        <w:outlineLvl w:val="9"/>
        <w:rPr>
          <w:lang w:val="en-GB"/>
        </w:rPr>
      </w:pPr>
    </w:p>
    <w:p w:rsidR="00782955" w:rsidRPr="00E802C5" w:rsidRDefault="00782955" w:rsidP="005E79AA">
      <w:pPr>
        <w:pStyle w:val="Title"/>
        <w:tabs>
          <w:tab w:val="left" w:pos="4320"/>
        </w:tabs>
        <w:outlineLvl w:val="9"/>
        <w:rPr>
          <w:lang w:val="en-GB"/>
        </w:rPr>
      </w:pPr>
    </w:p>
    <w:p w:rsidR="00782955" w:rsidRPr="00E802C5" w:rsidRDefault="00782955" w:rsidP="005E79AA">
      <w:pPr>
        <w:pStyle w:val="Title"/>
        <w:tabs>
          <w:tab w:val="left" w:pos="4320"/>
        </w:tabs>
        <w:outlineLvl w:val="9"/>
        <w:rPr>
          <w:lang w:val="en-GB"/>
        </w:rPr>
      </w:pPr>
      <w:r w:rsidRPr="00E802C5">
        <w:rPr>
          <w:lang w:val="en-GB"/>
        </w:rPr>
        <w:t>MEMORANDUM OF UNDERSTANDING</w:t>
      </w:r>
    </w:p>
    <w:p w:rsidR="00782955" w:rsidRPr="00E802C5" w:rsidRDefault="00782955" w:rsidP="005E79AA">
      <w:pPr>
        <w:pStyle w:val="Title"/>
        <w:tabs>
          <w:tab w:val="left" w:pos="4320"/>
        </w:tabs>
        <w:outlineLvl w:val="9"/>
        <w:rPr>
          <w:lang w:val="en-GB"/>
        </w:rPr>
      </w:pPr>
    </w:p>
    <w:p w:rsidR="00782955" w:rsidRPr="00E802C5" w:rsidRDefault="00782955" w:rsidP="005E79AA">
      <w:pPr>
        <w:pStyle w:val="Title"/>
        <w:tabs>
          <w:tab w:val="left" w:pos="4320"/>
        </w:tabs>
        <w:outlineLvl w:val="9"/>
        <w:rPr>
          <w:lang w:val="en-GB"/>
        </w:rPr>
      </w:pPr>
      <w:r w:rsidRPr="00E802C5">
        <w:rPr>
          <w:lang w:val="en-GB"/>
        </w:rPr>
        <w:t>between</w:t>
      </w:r>
    </w:p>
    <w:p w:rsidR="00782955" w:rsidRPr="00E802C5" w:rsidRDefault="00782955" w:rsidP="005E79AA">
      <w:pPr>
        <w:pStyle w:val="Title"/>
        <w:tabs>
          <w:tab w:val="left" w:pos="4320"/>
        </w:tabs>
        <w:outlineLvl w:val="9"/>
        <w:rPr>
          <w:lang w:val="en-GB"/>
        </w:rPr>
      </w:pPr>
    </w:p>
    <w:p w:rsidR="00782955" w:rsidRPr="00E802C5" w:rsidRDefault="00E41BBC" w:rsidP="005E79AA">
      <w:pPr>
        <w:pStyle w:val="Title"/>
        <w:tabs>
          <w:tab w:val="left" w:pos="4320"/>
        </w:tabs>
        <w:outlineLvl w:val="9"/>
        <w:rPr>
          <w:lang w:val="en-GB"/>
        </w:rPr>
      </w:pPr>
      <w:r w:rsidRPr="00E802C5">
        <w:rPr>
          <w:lang w:val="en-GB"/>
        </w:rPr>
        <w:t>The European Union</w:t>
      </w:r>
      <w:r w:rsidR="00FE1C9D" w:rsidRPr="00E802C5">
        <w:rPr>
          <w:lang w:val="en-GB"/>
        </w:rPr>
        <w:br/>
      </w:r>
      <w:r w:rsidR="00782955" w:rsidRPr="00E802C5">
        <w:rPr>
          <w:lang w:val="en-GB"/>
        </w:rPr>
        <w:t xml:space="preserve">as </w:t>
      </w:r>
      <w:r w:rsidRPr="00E802C5">
        <w:rPr>
          <w:lang w:val="en-GB"/>
        </w:rPr>
        <w:t>Lender</w:t>
      </w:r>
    </w:p>
    <w:p w:rsidR="00FE1C9D" w:rsidRPr="00E802C5" w:rsidRDefault="00FE1C9D" w:rsidP="005E79AA">
      <w:pPr>
        <w:pStyle w:val="Title"/>
        <w:tabs>
          <w:tab w:val="left" w:pos="4320"/>
        </w:tabs>
        <w:outlineLvl w:val="9"/>
        <w:rPr>
          <w:b w:val="0"/>
          <w:lang w:val="en-GB"/>
        </w:rPr>
      </w:pPr>
    </w:p>
    <w:p w:rsidR="00782955" w:rsidRPr="00E802C5" w:rsidRDefault="00EA0596" w:rsidP="005E79AA">
      <w:pPr>
        <w:pStyle w:val="Title"/>
        <w:tabs>
          <w:tab w:val="left" w:pos="4320"/>
        </w:tabs>
        <w:outlineLvl w:val="9"/>
        <w:rPr>
          <w:lang w:val="en-GB"/>
        </w:rPr>
      </w:pPr>
      <w:r w:rsidRPr="00E802C5">
        <w:rPr>
          <w:lang w:val="en-GB"/>
        </w:rPr>
        <w:t>and</w:t>
      </w:r>
    </w:p>
    <w:p w:rsidR="00FE1C9D" w:rsidRPr="00E802C5" w:rsidRDefault="00FE1C9D" w:rsidP="005E79AA">
      <w:pPr>
        <w:pStyle w:val="Title"/>
        <w:tabs>
          <w:tab w:val="left" w:pos="4320"/>
        </w:tabs>
        <w:outlineLvl w:val="9"/>
        <w:rPr>
          <w:lang w:val="en-GB"/>
        </w:rPr>
      </w:pPr>
    </w:p>
    <w:p w:rsidR="00782955" w:rsidRPr="00E802C5" w:rsidRDefault="005E5660" w:rsidP="005E79AA">
      <w:pPr>
        <w:pStyle w:val="Title"/>
        <w:tabs>
          <w:tab w:val="left" w:pos="4320"/>
        </w:tabs>
        <w:outlineLvl w:val="9"/>
        <w:rPr>
          <w:b w:val="0"/>
          <w:lang w:val="en-GB"/>
        </w:rPr>
      </w:pPr>
      <w:r>
        <w:rPr>
          <w:lang w:val="en-GB"/>
        </w:rPr>
        <w:t>Georgia</w:t>
      </w:r>
      <w:r w:rsidR="00FE1C9D" w:rsidRPr="00E802C5">
        <w:rPr>
          <w:b w:val="0"/>
          <w:caps/>
          <w:lang w:val="en-GB"/>
        </w:rPr>
        <w:br/>
      </w:r>
      <w:r w:rsidR="00782955" w:rsidRPr="00E802C5">
        <w:rPr>
          <w:lang w:val="en-GB"/>
        </w:rPr>
        <w:t xml:space="preserve">as </w:t>
      </w:r>
      <w:r w:rsidR="0041438E" w:rsidRPr="00E802C5">
        <w:rPr>
          <w:lang w:val="en-GB"/>
        </w:rPr>
        <w:t>Borrower</w:t>
      </w:r>
    </w:p>
    <w:p w:rsidR="00782955" w:rsidRPr="00E802C5" w:rsidRDefault="00782955" w:rsidP="005E79AA">
      <w:pPr>
        <w:pStyle w:val="Title"/>
        <w:tabs>
          <w:tab w:val="left" w:pos="4320"/>
        </w:tabs>
        <w:outlineLvl w:val="9"/>
        <w:rPr>
          <w:b w:val="0"/>
          <w:lang w:val="en-GB"/>
        </w:rPr>
      </w:pPr>
    </w:p>
    <w:p w:rsidR="00BB2285" w:rsidRPr="00E802C5" w:rsidRDefault="00BB2285" w:rsidP="005E79AA">
      <w:pPr>
        <w:pStyle w:val="Title"/>
        <w:tabs>
          <w:tab w:val="left" w:pos="4320"/>
        </w:tabs>
        <w:outlineLvl w:val="9"/>
        <w:rPr>
          <w:rFonts w:ascii="Arial Bold" w:eastAsia="Arial Bold" w:hAnsi="Arial Bold" w:cs="Arial Bold"/>
          <w:lang w:val="en-GB"/>
        </w:rPr>
      </w:pPr>
    </w:p>
    <w:p w:rsidR="00782955" w:rsidRPr="00E802C5" w:rsidRDefault="00782955" w:rsidP="000017BA">
      <w:pPr>
        <w:pStyle w:val="Title"/>
        <w:tabs>
          <w:tab w:val="left" w:pos="4320"/>
        </w:tabs>
        <w:rPr>
          <w:rFonts w:ascii="Times New Roman Bold" w:hAnsi="Times New Roman Bold"/>
          <w:caps/>
          <w:lang w:val="en-GB"/>
        </w:rPr>
      </w:pPr>
      <w:r w:rsidRPr="00E802C5">
        <w:rPr>
          <w:lang w:val="en-GB"/>
        </w:rPr>
        <w:br w:type="page"/>
      </w:r>
      <w:r w:rsidRPr="00E802C5">
        <w:rPr>
          <w:rFonts w:ascii="Times New Roman Bold" w:hAnsi="Times New Roman Bold"/>
          <w:caps/>
          <w:lang w:val="en-GB"/>
        </w:rPr>
        <w:t>MEMORANDUM OF UNDERSTANDING</w:t>
      </w:r>
      <w:r w:rsidRPr="00E802C5">
        <w:rPr>
          <w:rFonts w:ascii="Times New Roman Bold" w:hAnsi="Times New Roman Bold"/>
          <w:caps/>
          <w:lang w:val="en-GB"/>
        </w:rPr>
        <w:br/>
        <w:t>between THE EUROPEAN UNION</w:t>
      </w:r>
      <w:r w:rsidRPr="00E802C5">
        <w:rPr>
          <w:rFonts w:ascii="Times New Roman Bold" w:hAnsi="Times New Roman Bold"/>
          <w:caps/>
          <w:lang w:val="en-GB"/>
        </w:rPr>
        <w:br/>
        <w:t xml:space="preserve">and </w:t>
      </w:r>
      <w:r w:rsidR="005E5660">
        <w:rPr>
          <w:rFonts w:ascii="Times New Roman Bold" w:hAnsi="Times New Roman Bold"/>
          <w:caps/>
          <w:lang w:val="en-GB"/>
        </w:rPr>
        <w:t>GEORGIA</w:t>
      </w:r>
    </w:p>
    <w:p w:rsidR="00782955" w:rsidRPr="00E802C5" w:rsidRDefault="00782955" w:rsidP="00782955">
      <w:pPr>
        <w:pStyle w:val="Text"/>
        <w:tabs>
          <w:tab w:val="left" w:pos="4320"/>
        </w:tabs>
      </w:pPr>
    </w:p>
    <w:p w:rsidR="00782955" w:rsidRPr="00E802C5" w:rsidRDefault="00782955" w:rsidP="00782955">
      <w:pPr>
        <w:pStyle w:val="Text"/>
        <w:tabs>
          <w:tab w:val="left" w:pos="567"/>
          <w:tab w:val="left" w:pos="4320"/>
        </w:tabs>
        <w:ind w:left="567" w:hanging="567"/>
      </w:pPr>
      <w:r w:rsidRPr="00E802C5">
        <w:t>1.</w:t>
      </w:r>
      <w:r w:rsidRPr="00E802C5">
        <w:tab/>
      </w:r>
      <w:r w:rsidR="00E36948" w:rsidRPr="00E802C5">
        <w:t xml:space="preserve">On </w:t>
      </w:r>
      <w:r w:rsidR="003D5815" w:rsidRPr="003054FE">
        <w:rPr>
          <w:highlight w:val="yellow"/>
        </w:rPr>
        <w:t>[date]</w:t>
      </w:r>
      <w:r w:rsidRPr="003054FE">
        <w:rPr>
          <w:highlight w:val="yellow"/>
        </w:rPr>
        <w:t>,</w:t>
      </w:r>
      <w:r w:rsidRPr="00E802C5">
        <w:t xml:space="preserve"> the European Parliament and the Council of the European Union adopted a decision </w:t>
      </w:r>
      <w:r w:rsidR="0036206E" w:rsidRPr="00E802C5">
        <w:t xml:space="preserve">(Decision (EU) </w:t>
      </w:r>
      <w:r w:rsidR="003D5815">
        <w:t>2020/</w:t>
      </w:r>
      <w:r w:rsidR="003D5815" w:rsidRPr="003054FE">
        <w:rPr>
          <w:highlight w:val="yellow"/>
        </w:rPr>
        <w:t>xxx</w:t>
      </w:r>
      <w:r w:rsidR="003D5815">
        <w:t>)</w:t>
      </w:r>
      <w:r w:rsidR="0036206E" w:rsidRPr="00E802C5">
        <w:t xml:space="preserve"> </w:t>
      </w:r>
      <w:r w:rsidRPr="00BF59F4">
        <w:t xml:space="preserve">to make available </w:t>
      </w:r>
      <w:r w:rsidR="003D5815" w:rsidRPr="00BF59F4">
        <w:t xml:space="preserve">macro-financial assistance </w:t>
      </w:r>
      <w:r w:rsidR="003054FE" w:rsidRPr="00BF59F4">
        <w:t xml:space="preserve">to enlargement and neighbourhood countries in the context of the COVID-19 pandemic crisis. The Decision makes available to </w:t>
      </w:r>
      <w:r w:rsidR="005E5660">
        <w:t>Georgia</w:t>
      </w:r>
      <w:r w:rsidRPr="00BF59F4">
        <w:t xml:space="preserve"> (hereafter referred to as “the </w:t>
      </w:r>
      <w:r w:rsidR="0082585F" w:rsidRPr="00BF59F4">
        <w:t>Country</w:t>
      </w:r>
      <w:r w:rsidRPr="00BF59F4">
        <w:t xml:space="preserve">”) macro-financial assistance (hereafter referred to as “assistance”) of up to </w:t>
      </w:r>
      <w:r w:rsidR="00CC0C18" w:rsidRPr="00BF59F4">
        <w:t xml:space="preserve">EUR </w:t>
      </w:r>
      <w:r w:rsidR="005E5660">
        <w:t>150</w:t>
      </w:r>
      <w:r w:rsidR="00CC0C18" w:rsidRPr="00BF59F4">
        <w:t xml:space="preserve"> </w:t>
      </w:r>
      <w:r w:rsidR="005E5660">
        <w:t>m</w:t>
      </w:r>
      <w:r w:rsidR="00CC0C18" w:rsidRPr="00BF59F4">
        <w:t>illion</w:t>
      </w:r>
      <w:r w:rsidR="0065797E" w:rsidRPr="00BF59F4">
        <w:t xml:space="preserve"> in the form of a loan</w:t>
      </w:r>
      <w:r w:rsidRPr="00BF59F4">
        <w:t xml:space="preserve">. The assistance shall be made available for </w:t>
      </w:r>
      <w:r w:rsidR="003D5815" w:rsidRPr="00BF59F4">
        <w:t>one</w:t>
      </w:r>
      <w:r w:rsidRPr="00BF59F4">
        <w:t xml:space="preserve"> year starting from the first day after the entry into force</w:t>
      </w:r>
      <w:r w:rsidRPr="00E802C5">
        <w:t xml:space="preserve"> of th</w:t>
      </w:r>
      <w:r w:rsidR="001B08E5" w:rsidRPr="00E802C5">
        <w:t>is</w:t>
      </w:r>
      <w:r w:rsidRPr="00E802C5">
        <w:t xml:space="preserve"> Memorandum of Understanding (hereafter</w:t>
      </w:r>
      <w:r w:rsidR="002E3F5F" w:rsidRPr="00E802C5">
        <w:t xml:space="preserve"> referred to as </w:t>
      </w:r>
      <w:r w:rsidR="00E41BBC" w:rsidRPr="00E802C5">
        <w:t>“</w:t>
      </w:r>
      <w:r w:rsidR="002E3F5F" w:rsidRPr="00E802C5">
        <w:t xml:space="preserve">the </w:t>
      </w:r>
      <w:r w:rsidRPr="00E802C5">
        <w:t>MoU</w:t>
      </w:r>
      <w:r w:rsidR="00E41BBC" w:rsidRPr="00E802C5">
        <w:t>”</w:t>
      </w:r>
      <w:r w:rsidRPr="00E802C5">
        <w:t xml:space="preserve">). </w:t>
      </w:r>
    </w:p>
    <w:p w:rsidR="00E92D6B" w:rsidRPr="00E62D86" w:rsidRDefault="006979A2" w:rsidP="008A17BD">
      <w:pPr>
        <w:pStyle w:val="Text"/>
        <w:tabs>
          <w:tab w:val="left" w:pos="567"/>
          <w:tab w:val="left" w:pos="4320"/>
        </w:tabs>
        <w:ind w:left="567" w:hanging="567"/>
      </w:pPr>
      <w:r w:rsidRPr="00E802C5">
        <w:t>2.</w:t>
      </w:r>
      <w:r w:rsidR="00782955" w:rsidRPr="00E802C5">
        <w:tab/>
      </w:r>
      <w:r w:rsidR="00782955" w:rsidRPr="00E62D86">
        <w:t xml:space="preserve">The objective of this assistance is to ease the </w:t>
      </w:r>
      <w:r w:rsidR="0082585F" w:rsidRPr="00E62D86">
        <w:t>Country</w:t>
      </w:r>
      <w:r w:rsidR="00782955" w:rsidRPr="00E62D86">
        <w:t>’s external financing constraints, alleviate its balance of payments and budgetary needs, strengthen its foreign exchange reserve position</w:t>
      </w:r>
      <w:r w:rsidR="00E36948" w:rsidRPr="00E62D86">
        <w:t xml:space="preserve"> </w:t>
      </w:r>
      <w:r w:rsidR="00782955" w:rsidRPr="00E62D86">
        <w:t xml:space="preserve">and help the </w:t>
      </w:r>
      <w:r w:rsidR="0082585F" w:rsidRPr="00E62D86">
        <w:t>Country</w:t>
      </w:r>
      <w:r w:rsidR="00782955" w:rsidRPr="00E62D86">
        <w:t xml:space="preserve"> </w:t>
      </w:r>
      <w:r w:rsidR="003A20A0" w:rsidRPr="00E62D86">
        <w:t>address</w:t>
      </w:r>
      <w:r w:rsidR="00782955" w:rsidRPr="00E62D86">
        <w:t xml:space="preserve"> the current external and financia</w:t>
      </w:r>
      <w:r w:rsidR="00736CE5" w:rsidRPr="00E62D86">
        <w:t xml:space="preserve">l vulnerabilities. </w:t>
      </w:r>
      <w:r w:rsidR="00782955" w:rsidRPr="00E62D86">
        <w:t xml:space="preserve">This assistance from the European Union is complementary to the resources provided to the </w:t>
      </w:r>
      <w:r w:rsidR="0082585F" w:rsidRPr="00E62D86">
        <w:t>Country</w:t>
      </w:r>
      <w:r w:rsidR="00782955" w:rsidRPr="00E62D86">
        <w:t xml:space="preserve"> by </w:t>
      </w:r>
      <w:r w:rsidR="00A342F4" w:rsidRPr="00E62D86">
        <w:t>i</w:t>
      </w:r>
      <w:r w:rsidR="00782955" w:rsidRPr="00E62D86">
        <w:t xml:space="preserve">nternational </w:t>
      </w:r>
      <w:r w:rsidR="00A342F4" w:rsidRPr="00E62D86">
        <w:t>f</w:t>
      </w:r>
      <w:r w:rsidR="00782955" w:rsidRPr="00E62D86">
        <w:t xml:space="preserve">inancial </w:t>
      </w:r>
      <w:r w:rsidR="00A342F4" w:rsidRPr="00E62D86">
        <w:t>i</w:t>
      </w:r>
      <w:r w:rsidR="00782955" w:rsidRPr="00E62D86">
        <w:t>nstitutions and bilateral donors in support of the authorities’ economic stabilisation and reform programme.</w:t>
      </w:r>
    </w:p>
    <w:p w:rsidR="00DA0F98" w:rsidRPr="00E62D86" w:rsidRDefault="00342C57" w:rsidP="005C23BC">
      <w:pPr>
        <w:pStyle w:val="Text"/>
        <w:tabs>
          <w:tab w:val="left" w:pos="567"/>
          <w:tab w:val="left" w:pos="4320"/>
        </w:tabs>
        <w:ind w:left="567" w:hanging="567"/>
      </w:pPr>
      <w:r w:rsidRPr="00E62D86">
        <w:t>3</w:t>
      </w:r>
      <w:r w:rsidR="00782955" w:rsidRPr="00E62D86">
        <w:t>.</w:t>
      </w:r>
      <w:r w:rsidR="00782955" w:rsidRPr="00E62D86">
        <w:tab/>
      </w:r>
      <w:r w:rsidR="0036206E" w:rsidRPr="00E62D86">
        <w:t>The assistance shall be disbursed in two instalments</w:t>
      </w:r>
      <w:r w:rsidR="0065797E" w:rsidRPr="00E62D86">
        <w:t xml:space="preserve"> of </w:t>
      </w:r>
      <w:r w:rsidR="00E41BBC" w:rsidRPr="00E62D86">
        <w:t xml:space="preserve">up to </w:t>
      </w:r>
      <w:r w:rsidR="0065797E" w:rsidRPr="00E62D86">
        <w:t xml:space="preserve">EUR </w:t>
      </w:r>
      <w:r w:rsidR="005E5660" w:rsidRPr="00E62D86">
        <w:t>75</w:t>
      </w:r>
      <w:r w:rsidR="00CC0C18" w:rsidRPr="00E62D86">
        <w:t xml:space="preserve"> million</w:t>
      </w:r>
      <w:r w:rsidR="0065797E" w:rsidRPr="00E62D86">
        <w:t xml:space="preserve"> each.</w:t>
      </w:r>
      <w:r w:rsidR="0036206E" w:rsidRPr="00E62D86">
        <w:t xml:space="preserve"> </w:t>
      </w:r>
    </w:p>
    <w:p w:rsidR="00E341D5" w:rsidRPr="00E62D86" w:rsidRDefault="005C23BC" w:rsidP="0036206E">
      <w:pPr>
        <w:pStyle w:val="Text"/>
        <w:tabs>
          <w:tab w:val="left" w:pos="567"/>
          <w:tab w:val="left" w:pos="4320"/>
        </w:tabs>
        <w:ind w:left="567" w:hanging="567"/>
      </w:pPr>
      <w:r w:rsidRPr="00E62D86">
        <w:t>4</w:t>
      </w:r>
      <w:r w:rsidR="0036206E" w:rsidRPr="00E62D86">
        <w:t>.</w:t>
      </w:r>
      <w:r w:rsidR="0036206E" w:rsidRPr="00E62D86">
        <w:tab/>
      </w:r>
      <w:r w:rsidR="00E341D5" w:rsidRPr="00E62D86">
        <w:t>The first instalment of the assistance shall be released upon the signature and entry into force of this MoU and the accompanying Loan Facility Agreement</w:t>
      </w:r>
      <w:r w:rsidR="003054FE" w:rsidRPr="00E62D86">
        <w:t xml:space="preserve"> and</w:t>
      </w:r>
      <w:r w:rsidR="00E341D5" w:rsidRPr="00E62D86">
        <w:t xml:space="preserve"> shall be conditional upon a satisfactory track record of implementation of the </w:t>
      </w:r>
      <w:r w:rsidR="00916D26" w:rsidRPr="00E62D86">
        <w:t xml:space="preserve">commitments </w:t>
      </w:r>
      <w:r w:rsidR="00E341D5" w:rsidRPr="00E62D86">
        <w:t xml:space="preserve">agreed between the </w:t>
      </w:r>
      <w:r w:rsidR="0082585F" w:rsidRPr="00E62D86">
        <w:t>Country</w:t>
      </w:r>
      <w:r w:rsidR="00E341D5" w:rsidRPr="00E62D86">
        <w:t xml:space="preserve"> and the International Monetary Fund (hereafter referred to as “the IMF”).</w:t>
      </w:r>
    </w:p>
    <w:p w:rsidR="00E341D5" w:rsidRPr="00E62D86" w:rsidRDefault="00E341D5" w:rsidP="00E341D5">
      <w:pPr>
        <w:pStyle w:val="Text"/>
        <w:tabs>
          <w:tab w:val="left" w:pos="567"/>
          <w:tab w:val="left" w:pos="4320"/>
        </w:tabs>
        <w:ind w:left="567" w:hanging="567"/>
      </w:pPr>
      <w:r w:rsidRPr="00E62D86">
        <w:tab/>
        <w:t xml:space="preserve">The release of the second instalment shall not, in principle, take place earlier than three months after the release of the first instalment. </w:t>
      </w:r>
    </w:p>
    <w:p w:rsidR="00E341D5" w:rsidRPr="00E62D86" w:rsidRDefault="00E341D5" w:rsidP="00E341D5">
      <w:pPr>
        <w:pStyle w:val="Text"/>
        <w:tabs>
          <w:tab w:val="left" w:pos="567"/>
          <w:tab w:val="left" w:pos="4320"/>
        </w:tabs>
        <w:ind w:left="567" w:hanging="567"/>
      </w:pPr>
      <w:r w:rsidRPr="00E62D86">
        <w:tab/>
        <w:t xml:space="preserve">The disbursement of the second instalment of the assistance will be conditional on both a satisfactory track record in the implementation of the </w:t>
      </w:r>
      <w:r w:rsidR="00916D26" w:rsidRPr="00E62D86">
        <w:t xml:space="preserve">commitments </w:t>
      </w:r>
      <w:r w:rsidRPr="00E62D86">
        <w:t>agreed with the IMF and on a positive assessment by the European Commission (hereafter referred to as “the Commission”) on behalf of the European Union, of progress made with respect to a number of macroeconomic and structural adjustment measures.</w:t>
      </w:r>
      <w:r w:rsidR="003B5D4C" w:rsidRPr="00E62D86">
        <w:t xml:space="preserve"> </w:t>
      </w:r>
      <w:r w:rsidRPr="00E62D86">
        <w:t xml:space="preserve">The policy conditions attached to this assistance are based on the economic stabilisation and reform programme endorsed by the authorities of the </w:t>
      </w:r>
      <w:r w:rsidR="0082585F" w:rsidRPr="00E62D86">
        <w:t>Country</w:t>
      </w:r>
      <w:r w:rsidRPr="00E62D86">
        <w:t xml:space="preserve"> and are consistent with agreements reached by the </w:t>
      </w:r>
      <w:r w:rsidR="0082585F" w:rsidRPr="00E62D86">
        <w:t>Country</w:t>
      </w:r>
      <w:r w:rsidRPr="00E62D86">
        <w:t xml:space="preserve"> with the IMF. Accordingly, before the release of each instalment of this assistance, the Commission, in co-operation with the national authorities and IMF staff, will verify that the conditions attached to this assistance have been adequately respected or new understandings reached. </w:t>
      </w:r>
    </w:p>
    <w:p w:rsidR="003B178A" w:rsidRPr="00E62D86" w:rsidRDefault="00811C58" w:rsidP="003B178A">
      <w:pPr>
        <w:pStyle w:val="Text"/>
        <w:tabs>
          <w:tab w:val="left" w:pos="567"/>
          <w:tab w:val="left" w:pos="4320"/>
        </w:tabs>
        <w:ind w:left="567" w:hanging="567"/>
      </w:pPr>
      <w:r w:rsidRPr="00E62D86">
        <w:t>5</w:t>
      </w:r>
      <w:r w:rsidR="00EF280A" w:rsidRPr="00E62D86">
        <w:t>.</w:t>
      </w:r>
      <w:r w:rsidR="003B178A" w:rsidRPr="00E62D86">
        <w:tab/>
        <w:t xml:space="preserve">Prior to the release of the </w:t>
      </w:r>
      <w:r w:rsidR="00E341D5" w:rsidRPr="00E62D86">
        <w:t>second</w:t>
      </w:r>
      <w:r w:rsidR="003B178A" w:rsidRPr="00E62D86">
        <w:t xml:space="preserve"> instalment by the Commission, the </w:t>
      </w:r>
      <w:r w:rsidR="0082585F" w:rsidRPr="00E62D86">
        <w:t>Country</w:t>
      </w:r>
      <w:r w:rsidR="00EC33E7" w:rsidRPr="00E62D86">
        <w:t>’</w:t>
      </w:r>
      <w:r w:rsidR="003B178A" w:rsidRPr="00E62D86">
        <w:t xml:space="preserve">s authorities shall provide the Commission with a Compliance Statement on the fulfilment of the conditionality attached to </w:t>
      </w:r>
      <w:r w:rsidR="00B22CF0" w:rsidRPr="00E62D86">
        <w:t>it</w:t>
      </w:r>
      <w:r w:rsidR="003B178A" w:rsidRPr="00E62D86">
        <w:t xml:space="preserve">. Upon receipt of the compliance statement by the authorities of the </w:t>
      </w:r>
      <w:r w:rsidR="0082585F" w:rsidRPr="00E62D86">
        <w:t>Country</w:t>
      </w:r>
      <w:r w:rsidR="003B178A" w:rsidRPr="00E62D86">
        <w:t xml:space="preserve">, the Commission will evaluate, </w:t>
      </w:r>
      <w:r w:rsidR="001A7D85" w:rsidRPr="00E62D86">
        <w:t xml:space="preserve">based on consultations </w:t>
      </w:r>
      <w:r w:rsidR="003B178A" w:rsidRPr="00E62D86">
        <w:t xml:space="preserve">with the authorities of the </w:t>
      </w:r>
      <w:r w:rsidR="0082585F" w:rsidRPr="00E62D86">
        <w:t>Country</w:t>
      </w:r>
      <w:r w:rsidR="003B178A" w:rsidRPr="00E62D86">
        <w:t xml:space="preserve"> and IMF staff, progress made with respect to the fulfilment of the conditionality. </w:t>
      </w:r>
      <w:r w:rsidR="0082585F" w:rsidRPr="00E62D86">
        <w:t xml:space="preserve">In this evaluation, particular attention will be paid to reforms </w:t>
      </w:r>
      <w:r w:rsidR="00BF59F4" w:rsidRPr="00E62D86">
        <w:t xml:space="preserve">in </w:t>
      </w:r>
      <w:r w:rsidR="00CC0C18" w:rsidRPr="00E62D86">
        <w:t>public finance management, the rule of law</w:t>
      </w:r>
      <w:r w:rsidR="00BF59F4" w:rsidRPr="00E62D86">
        <w:t xml:space="preserve"> and the fight against corruption,</w:t>
      </w:r>
      <w:r w:rsidR="00CC0C18" w:rsidRPr="00E62D86">
        <w:t xml:space="preserve"> the business climate</w:t>
      </w:r>
      <w:r w:rsidR="00BF59F4" w:rsidRPr="00E62D86">
        <w:t>, as well as sector reforms, including to state-owned enterprises</w:t>
      </w:r>
      <w:r w:rsidR="00CC0C18" w:rsidRPr="00E62D86">
        <w:t>.</w:t>
      </w:r>
      <w:r w:rsidR="0082585F" w:rsidRPr="00E62D86">
        <w:t xml:space="preserve"> </w:t>
      </w:r>
      <w:r w:rsidR="003B178A" w:rsidRPr="00E62D86">
        <w:t xml:space="preserve">The concrete policy measures and frame of reference for this evaluation are made explicit in Annex I. In case of a negative evaluation, the Commission may withhold the disbursement of the instalments until the </w:t>
      </w:r>
      <w:r w:rsidR="0082585F" w:rsidRPr="00E62D86">
        <w:t>Country</w:t>
      </w:r>
      <w:r w:rsidR="003B178A" w:rsidRPr="00E62D86">
        <w:t xml:space="preserve"> proves the compliance with the conditionality. If necessary, Annex I may be amended upon mutual agreement, following the completion of the respective approval processes of the </w:t>
      </w:r>
      <w:r w:rsidR="001B08E5" w:rsidRPr="00E62D86">
        <w:t xml:space="preserve">European Union </w:t>
      </w:r>
      <w:r w:rsidR="003B178A" w:rsidRPr="00E62D86">
        <w:t xml:space="preserve">and </w:t>
      </w:r>
      <w:r w:rsidR="001B08E5" w:rsidRPr="00E62D86">
        <w:t xml:space="preserve">the </w:t>
      </w:r>
      <w:r w:rsidR="0082585F" w:rsidRPr="00E62D86">
        <w:t>Country</w:t>
      </w:r>
      <w:r w:rsidR="003B178A" w:rsidRPr="00E62D86">
        <w:t xml:space="preserve">. </w:t>
      </w:r>
    </w:p>
    <w:p w:rsidR="00782955" w:rsidRPr="00E802C5" w:rsidRDefault="000E31A7" w:rsidP="00782955">
      <w:pPr>
        <w:pStyle w:val="Text"/>
        <w:tabs>
          <w:tab w:val="left" w:pos="567"/>
          <w:tab w:val="left" w:pos="4320"/>
        </w:tabs>
        <w:ind w:left="567" w:hanging="567"/>
      </w:pPr>
      <w:r w:rsidRPr="00E62D86">
        <w:t>6</w:t>
      </w:r>
      <w:r w:rsidR="00DA0F98" w:rsidRPr="00E62D86">
        <w:t>.</w:t>
      </w:r>
      <w:r w:rsidR="00DA0F98" w:rsidRPr="00E62D86">
        <w:tab/>
      </w:r>
      <w:r w:rsidR="00782955" w:rsidRPr="00E62D86">
        <w:t xml:space="preserve">The Commission will also continuously verify the financing needs of the </w:t>
      </w:r>
      <w:r w:rsidR="0082585F" w:rsidRPr="00E62D86">
        <w:t>Country</w:t>
      </w:r>
      <w:r w:rsidR="00782955" w:rsidRPr="00E62D86">
        <w:t xml:space="preserve"> and may reduce, suspend or cancel the assistance in case the financing needs of the </w:t>
      </w:r>
      <w:r w:rsidR="0082585F" w:rsidRPr="00E62D86">
        <w:t>Country</w:t>
      </w:r>
      <w:r w:rsidR="00782955" w:rsidRPr="00E62D86">
        <w:t xml:space="preserve"> have decreased fundamentally during the period of disbursement compared to the initial projections.</w:t>
      </w:r>
    </w:p>
    <w:p w:rsidR="00822438" w:rsidRPr="00E802C5" w:rsidRDefault="000E31A7" w:rsidP="00E00B30">
      <w:pPr>
        <w:pStyle w:val="Text"/>
        <w:tabs>
          <w:tab w:val="left" w:pos="567"/>
          <w:tab w:val="left" w:pos="4320"/>
        </w:tabs>
        <w:ind w:left="567" w:hanging="567"/>
      </w:pPr>
      <w:r>
        <w:t>7</w:t>
      </w:r>
      <w:r w:rsidR="00782955" w:rsidRPr="00E802C5">
        <w:t>.</w:t>
      </w:r>
      <w:r w:rsidR="00782955" w:rsidRPr="00E802C5">
        <w:tab/>
        <w:t xml:space="preserve">The Commission shall transfer the instalments to a euro account of the Ministry of Finance of the </w:t>
      </w:r>
      <w:r w:rsidR="0082585F">
        <w:t>Country</w:t>
      </w:r>
      <w:r w:rsidR="00782955" w:rsidRPr="00E802C5">
        <w:t xml:space="preserve"> (hereafter referred to as “the Recipient”) </w:t>
      </w:r>
      <w:r w:rsidR="00222A82" w:rsidRPr="00E802C5">
        <w:t xml:space="preserve">at </w:t>
      </w:r>
      <w:r w:rsidR="00782955" w:rsidRPr="00E802C5">
        <w:t xml:space="preserve">the </w:t>
      </w:r>
      <w:r w:rsidR="000B33AD" w:rsidRPr="00E802C5">
        <w:t>National</w:t>
      </w:r>
      <w:r w:rsidR="00782955" w:rsidRPr="00E802C5">
        <w:t xml:space="preserve"> Bank of </w:t>
      </w:r>
      <w:r w:rsidR="005E5660">
        <w:t>Georgia</w:t>
      </w:r>
      <w:r w:rsidR="00782955" w:rsidRPr="00E802C5">
        <w:t xml:space="preserve"> (hereafter referred to as “the Agent”). Given the substantial budgetary financing needs faced by the </w:t>
      </w:r>
      <w:r w:rsidR="0082585F">
        <w:t>Country</w:t>
      </w:r>
      <w:r w:rsidR="003A20A0" w:rsidRPr="00E802C5">
        <w:t>, the proceeds of the loan will</w:t>
      </w:r>
      <w:r w:rsidR="00782955" w:rsidRPr="00E802C5">
        <w:t xml:space="preserve"> be used to finance the </w:t>
      </w:r>
      <w:r w:rsidR="0082585F">
        <w:t>Country</w:t>
      </w:r>
      <w:r w:rsidR="00E41BBC" w:rsidRPr="00E802C5">
        <w:t>’</w:t>
      </w:r>
      <w:r w:rsidR="00782955" w:rsidRPr="00E802C5">
        <w:t>s budget.</w:t>
      </w:r>
    </w:p>
    <w:p w:rsidR="00FF726A" w:rsidRDefault="000E31A7" w:rsidP="00FF726A">
      <w:pPr>
        <w:pStyle w:val="Text"/>
        <w:tabs>
          <w:tab w:val="left" w:pos="567"/>
          <w:tab w:val="left" w:pos="4320"/>
        </w:tabs>
        <w:ind w:left="567" w:hanging="567"/>
      </w:pPr>
      <w:r>
        <w:t>8</w:t>
      </w:r>
      <w:r w:rsidR="00782955" w:rsidRPr="00E802C5">
        <w:t>.</w:t>
      </w:r>
      <w:r w:rsidR="00782955" w:rsidRPr="00E802C5">
        <w:tab/>
        <w:t xml:space="preserve">During the implementation of the assistance, the </w:t>
      </w:r>
      <w:r w:rsidR="0082585F">
        <w:t>Country</w:t>
      </w:r>
      <w:r w:rsidR="00E41BBC" w:rsidRPr="00E802C5">
        <w:t>’</w:t>
      </w:r>
      <w:r w:rsidR="00782955" w:rsidRPr="00E802C5">
        <w:t xml:space="preserve">s authorities shall supply the Commission with all information that is relevant for the monitoring of its economic and financial situation and for the assessment of progress in structural reforms. In particular, the authorities will supply to the Commission on a timely basis the relevant information as set out in Annex II. </w:t>
      </w:r>
    </w:p>
    <w:p w:rsidR="00FF726A" w:rsidRPr="00E802C5" w:rsidRDefault="000E31A7" w:rsidP="00FF726A">
      <w:pPr>
        <w:pStyle w:val="Text"/>
        <w:tabs>
          <w:tab w:val="left" w:pos="567"/>
          <w:tab w:val="left" w:pos="4320"/>
        </w:tabs>
        <w:ind w:left="567" w:hanging="567"/>
      </w:pPr>
      <w:r>
        <w:t>9</w:t>
      </w:r>
      <w:r w:rsidR="00FF726A" w:rsidRPr="00E802C5">
        <w:t>.</w:t>
      </w:r>
      <w:r w:rsidR="007A0113" w:rsidRPr="00E802C5">
        <w:tab/>
      </w:r>
      <w:r w:rsidR="00FF726A" w:rsidRPr="00E802C5">
        <w:t>With a view to preventing irregularities and fraud related to the use of the assistance and ensuring the protection of the EU</w:t>
      </w:r>
      <w:r w:rsidR="00EC33E7" w:rsidRPr="00E802C5">
        <w:t>’</w:t>
      </w:r>
      <w:r w:rsidR="00FF726A" w:rsidRPr="00E802C5">
        <w:t xml:space="preserve">s financial interests, the relevant provisions of the Loan Facility Agreement will apply, notably those regarding regular checks by </w:t>
      </w:r>
      <w:r w:rsidR="001B08E5" w:rsidRPr="00E802C5">
        <w:t xml:space="preserve">the </w:t>
      </w:r>
      <w:r w:rsidR="0082585F">
        <w:t>Country</w:t>
      </w:r>
      <w:r w:rsidR="001B08E5" w:rsidRPr="00E802C5">
        <w:t xml:space="preserve"> </w:t>
      </w:r>
      <w:r w:rsidR="00FF726A" w:rsidRPr="00E802C5">
        <w:t xml:space="preserve">on the use of </w:t>
      </w:r>
      <w:r w:rsidR="00146E56" w:rsidRPr="00E802C5">
        <w:t xml:space="preserve">European Union </w:t>
      </w:r>
      <w:r w:rsidR="00FF726A" w:rsidRPr="00E802C5">
        <w:t>assistance, and checks and audits performed by the Commission</w:t>
      </w:r>
      <w:r w:rsidR="00090C86" w:rsidRPr="00E802C5">
        <w:t xml:space="preserve">, </w:t>
      </w:r>
      <w:r w:rsidR="005959D7" w:rsidRPr="00E802C5">
        <w:t xml:space="preserve">including </w:t>
      </w:r>
      <w:r w:rsidR="00090C86" w:rsidRPr="00E802C5">
        <w:t xml:space="preserve">the European Anti-Fraud </w:t>
      </w:r>
      <w:r w:rsidR="00090C86" w:rsidRPr="00BB5BCF">
        <w:t>Office</w:t>
      </w:r>
      <w:r w:rsidR="00FF726A" w:rsidRPr="00BB5BCF">
        <w:t xml:space="preserve"> and</w:t>
      </w:r>
      <w:r w:rsidR="00FF726A" w:rsidRPr="00E802C5">
        <w:t xml:space="preserve"> the</w:t>
      </w:r>
      <w:r w:rsidR="001B08E5" w:rsidRPr="00E802C5">
        <w:t xml:space="preserve"> European</w:t>
      </w:r>
      <w:r w:rsidR="00FF726A" w:rsidRPr="00E802C5">
        <w:t xml:space="preserve"> Court of Auditors. Also, the provisions of the Loan Facility Agreement on early repayment will apply in case it has been established that </w:t>
      </w:r>
      <w:r w:rsidR="001B08E5" w:rsidRPr="00E802C5">
        <w:t xml:space="preserve">the </w:t>
      </w:r>
      <w:r w:rsidR="0082585F">
        <w:t>Country</w:t>
      </w:r>
      <w:r w:rsidR="001B08E5" w:rsidRPr="00E802C5">
        <w:t xml:space="preserve"> </w:t>
      </w:r>
      <w:r w:rsidR="00FF726A" w:rsidRPr="00E802C5">
        <w:t>has engaged, in relation to the management of this assistance, in any act of fraud, corruption or any other illegal activity.</w:t>
      </w:r>
    </w:p>
    <w:p w:rsidR="0038672E" w:rsidRPr="00E802C5" w:rsidRDefault="00342C57" w:rsidP="008625B9">
      <w:pPr>
        <w:pStyle w:val="Text"/>
        <w:ind w:left="567" w:hanging="567"/>
      </w:pPr>
      <w:r w:rsidRPr="00E802C5">
        <w:t>1</w:t>
      </w:r>
      <w:r w:rsidR="000E31A7">
        <w:t>0</w:t>
      </w:r>
      <w:r w:rsidR="0038672E" w:rsidRPr="00E802C5">
        <w:t>.</w:t>
      </w:r>
      <w:r w:rsidR="0038672E" w:rsidRPr="00E802C5">
        <w:tab/>
        <w:t xml:space="preserve">The Commission, represented by its own agents or its duly mandated experts, shall have the right to carry out operational assessments of the administrative procedures and financial circuits of the </w:t>
      </w:r>
      <w:r w:rsidR="0082585F">
        <w:t>Country</w:t>
      </w:r>
      <w:r w:rsidR="0038672E" w:rsidRPr="00E802C5">
        <w:t xml:space="preserve"> and of the Agent that relate to the management of </w:t>
      </w:r>
      <w:r w:rsidR="00146E56" w:rsidRPr="00E802C5">
        <w:t xml:space="preserve">European Union </w:t>
      </w:r>
      <w:r w:rsidR="0038672E" w:rsidRPr="00E802C5">
        <w:t>macro-financial assistance throughout the duration of this MoU and for five years after the disbursement of the last instalment (</w:t>
      </w:r>
      <w:r w:rsidR="0038672E" w:rsidRPr="00E802C5">
        <w:rPr>
          <w:i/>
          <w:iCs/>
        </w:rPr>
        <w:t>ex-post</w:t>
      </w:r>
      <w:r w:rsidR="0038672E" w:rsidRPr="00E802C5">
        <w:t xml:space="preserve"> period). </w:t>
      </w:r>
    </w:p>
    <w:p w:rsidR="00782955" w:rsidRPr="00E802C5" w:rsidRDefault="0038672E" w:rsidP="00782955">
      <w:pPr>
        <w:pStyle w:val="Text"/>
        <w:tabs>
          <w:tab w:val="left" w:pos="567"/>
          <w:tab w:val="left" w:pos="4320"/>
        </w:tabs>
        <w:ind w:left="567" w:hanging="567"/>
      </w:pPr>
      <w:r w:rsidRPr="00E802C5">
        <w:t>1</w:t>
      </w:r>
      <w:r w:rsidR="000E31A7">
        <w:t>1</w:t>
      </w:r>
      <w:r w:rsidR="00782955" w:rsidRPr="00E802C5">
        <w:t>.</w:t>
      </w:r>
      <w:r w:rsidR="00782955" w:rsidRPr="00E802C5">
        <w:tab/>
        <w:t xml:space="preserve">An independent ex-post evaluation of the assistance may be carried out by the Commission or its duly authorised representatives. The authorities of the </w:t>
      </w:r>
      <w:r w:rsidR="0082585F">
        <w:t>Country</w:t>
      </w:r>
      <w:r w:rsidR="00782955" w:rsidRPr="00E802C5">
        <w:t xml:space="preserve"> are committed to supply</w:t>
      </w:r>
      <w:r w:rsidR="00A86022" w:rsidRPr="00E802C5">
        <w:t>ing</w:t>
      </w:r>
      <w:r w:rsidR="00782955" w:rsidRPr="00E802C5">
        <w:t xml:space="preserve"> all necessary information to the Commission, represented by its own agents or its duly mandated experts, for the duration of this</w:t>
      </w:r>
      <w:r w:rsidR="00EB4D4D" w:rsidRPr="00E802C5">
        <w:t xml:space="preserve"> </w:t>
      </w:r>
      <w:r w:rsidR="00782955" w:rsidRPr="00E802C5">
        <w:t xml:space="preserve">process. The evaluation report will be made available to the authorities of the </w:t>
      </w:r>
      <w:r w:rsidR="0082585F">
        <w:t>Country</w:t>
      </w:r>
      <w:r w:rsidR="00782955" w:rsidRPr="00E802C5">
        <w:t xml:space="preserve"> for comments.</w:t>
      </w:r>
    </w:p>
    <w:p w:rsidR="00782955" w:rsidRPr="00E802C5" w:rsidRDefault="00FF726A" w:rsidP="00782955">
      <w:pPr>
        <w:pStyle w:val="Text"/>
        <w:tabs>
          <w:tab w:val="left" w:pos="567"/>
          <w:tab w:val="left" w:pos="4320"/>
        </w:tabs>
        <w:ind w:left="567" w:hanging="567"/>
      </w:pPr>
      <w:r w:rsidRPr="00E802C5">
        <w:t>1</w:t>
      </w:r>
      <w:r w:rsidR="000E31A7">
        <w:t>2</w:t>
      </w:r>
      <w:r w:rsidR="00782955" w:rsidRPr="00E802C5">
        <w:t>.</w:t>
      </w:r>
      <w:r w:rsidR="00782955" w:rsidRPr="00E802C5">
        <w:tab/>
      </w:r>
      <w:r w:rsidR="00782955" w:rsidRPr="0082585F">
        <w:t>The authorities will ensure, as appropriate, close co-operation with the European Commission.</w:t>
      </w:r>
      <w:r w:rsidR="000E31A7" w:rsidRPr="0082585F">
        <w:t xml:space="preserve"> </w:t>
      </w:r>
    </w:p>
    <w:p w:rsidR="00782955" w:rsidRPr="00E802C5" w:rsidRDefault="00FF726A" w:rsidP="006576CD">
      <w:pPr>
        <w:pStyle w:val="Text"/>
        <w:tabs>
          <w:tab w:val="left" w:pos="567"/>
          <w:tab w:val="left" w:pos="4320"/>
        </w:tabs>
        <w:ind w:left="567" w:hanging="567"/>
      </w:pPr>
      <w:r w:rsidRPr="00E802C5">
        <w:t>1</w:t>
      </w:r>
      <w:r w:rsidR="000E31A7">
        <w:t>3</w:t>
      </w:r>
      <w:r w:rsidR="00782955" w:rsidRPr="00E802C5">
        <w:t>.</w:t>
      </w:r>
      <w:r w:rsidR="00782955" w:rsidRPr="00E802C5">
        <w:tab/>
        <w:t xml:space="preserve">This assistance is implemented on the understanding that the authorities of the </w:t>
      </w:r>
      <w:r w:rsidR="0082585F">
        <w:t>Country</w:t>
      </w:r>
      <w:r w:rsidR="00782955" w:rsidRPr="00E802C5">
        <w:t xml:space="preserve"> will continue to respect effective democratic mechanisms, including a multi-party parliamentary system and the rule of law, to guarantee the respect for human rights</w:t>
      </w:r>
      <w:r w:rsidR="005E5660">
        <w:t xml:space="preserve"> and to </w:t>
      </w:r>
      <w:r w:rsidR="009A3D8E" w:rsidRPr="005E79AA">
        <w:t>make satisfactory progress towards implementation of the Association Agreement, including the Deep and Comprehensive Free Trade Area (DCFTA)</w:t>
      </w:r>
      <w:r w:rsidR="0020184E" w:rsidRPr="005E79AA">
        <w:t>.</w:t>
      </w:r>
      <w:r w:rsidR="0020184E" w:rsidRPr="00E802C5">
        <w:t xml:space="preserve"> </w:t>
      </w:r>
      <w:r w:rsidR="006576CD" w:rsidRPr="00E802C5">
        <w:t xml:space="preserve"> </w:t>
      </w:r>
    </w:p>
    <w:p w:rsidR="00782955" w:rsidRPr="00E802C5" w:rsidRDefault="00FF726A" w:rsidP="00782955">
      <w:pPr>
        <w:pStyle w:val="Text"/>
        <w:tabs>
          <w:tab w:val="left" w:pos="567"/>
          <w:tab w:val="left" w:pos="4320"/>
        </w:tabs>
        <w:ind w:left="567" w:hanging="567"/>
      </w:pPr>
      <w:r w:rsidRPr="00E802C5">
        <w:t>1</w:t>
      </w:r>
      <w:r w:rsidR="000E31A7">
        <w:t>4</w:t>
      </w:r>
      <w:r w:rsidR="00782955" w:rsidRPr="00E802C5">
        <w:t>.</w:t>
      </w:r>
      <w:r w:rsidR="00782955" w:rsidRPr="00E802C5">
        <w:tab/>
        <w:t>Annexes I and II are an integral part of this MoU.</w:t>
      </w:r>
    </w:p>
    <w:p w:rsidR="00782955" w:rsidRPr="00E802C5" w:rsidRDefault="00FF726A" w:rsidP="00782955">
      <w:pPr>
        <w:pStyle w:val="Text"/>
        <w:tabs>
          <w:tab w:val="left" w:pos="567"/>
          <w:tab w:val="left" w:pos="4320"/>
        </w:tabs>
        <w:ind w:left="567" w:hanging="567"/>
      </w:pPr>
      <w:r w:rsidRPr="00E802C5">
        <w:t>1</w:t>
      </w:r>
      <w:r w:rsidR="000E31A7">
        <w:t>5</w:t>
      </w:r>
      <w:r w:rsidR="00782955" w:rsidRPr="00E802C5">
        <w:t>.</w:t>
      </w:r>
      <w:r w:rsidR="00782955" w:rsidRPr="00E802C5">
        <w:tab/>
        <w:t>All notices in relation with the present MoU shall validly be given if in writing and sent to:</w:t>
      </w:r>
    </w:p>
    <w:p w:rsidR="00782955" w:rsidRPr="00E802C5" w:rsidRDefault="00782955">
      <w:pPr>
        <w:pStyle w:val="Text"/>
        <w:tabs>
          <w:tab w:val="left" w:pos="3969"/>
          <w:tab w:val="left" w:pos="4320"/>
        </w:tabs>
        <w:ind w:left="4888" w:hanging="4321"/>
        <w:jc w:val="left"/>
      </w:pPr>
      <w:r w:rsidRPr="00E802C5">
        <w:t>For the European Union</w:t>
      </w:r>
      <w:r w:rsidRPr="00E802C5">
        <w:tab/>
      </w:r>
      <w:r w:rsidRPr="00E802C5">
        <w:tab/>
      </w:r>
      <w:r w:rsidRPr="00E802C5">
        <w:tab/>
        <w:t>European Commission</w:t>
      </w:r>
      <w:r w:rsidRPr="00E802C5">
        <w:br/>
        <w:t xml:space="preserve">Directorate General for </w:t>
      </w:r>
      <w:r w:rsidRPr="00E802C5">
        <w:br/>
        <w:t>Economic and</w:t>
      </w:r>
      <w:r w:rsidR="00B86CD3" w:rsidRPr="00E802C5">
        <w:t xml:space="preserve"> </w:t>
      </w:r>
      <w:r w:rsidRPr="00E802C5">
        <w:t>Financial Affairs</w:t>
      </w:r>
      <w:r w:rsidRPr="00E802C5">
        <w:br/>
        <w:t>CHAR</w:t>
      </w:r>
      <w:r w:rsidR="00A12B04" w:rsidRPr="00E802C5">
        <w:t xml:space="preserve"> 11/248</w:t>
      </w:r>
      <w:r w:rsidR="00A12B04" w:rsidRPr="00E802C5">
        <w:br/>
      </w:r>
      <w:r w:rsidRPr="00E802C5">
        <w:t>B-1049 Brussels</w:t>
      </w:r>
      <w:r w:rsidR="00A12B04" w:rsidRPr="00E802C5">
        <w:t>, Belgium</w:t>
      </w:r>
    </w:p>
    <w:p w:rsidR="005E5660" w:rsidRDefault="005E5660" w:rsidP="005E5660">
      <w:pPr>
        <w:pStyle w:val="Text"/>
        <w:tabs>
          <w:tab w:val="left" w:pos="3969"/>
          <w:tab w:val="left" w:pos="4320"/>
        </w:tabs>
        <w:ind w:left="4888" w:hanging="4321"/>
        <w:jc w:val="left"/>
        <w:rPr>
          <w:szCs w:val="24"/>
        </w:rPr>
      </w:pPr>
      <w:r>
        <w:t>For Georgia</w:t>
      </w:r>
      <w:r>
        <w:tab/>
      </w:r>
      <w:r>
        <w:tab/>
      </w:r>
      <w:r>
        <w:tab/>
      </w:r>
      <w:r w:rsidRPr="00CB6924">
        <w:rPr>
          <w:szCs w:val="24"/>
        </w:rPr>
        <w:t>Ministry of Finance</w:t>
      </w:r>
      <w:r>
        <w:rPr>
          <w:szCs w:val="24"/>
        </w:rPr>
        <w:br/>
      </w:r>
      <w:r w:rsidRPr="00A12B04">
        <w:rPr>
          <w:szCs w:val="24"/>
        </w:rPr>
        <w:t>16 V.</w:t>
      </w:r>
      <w:r>
        <w:rPr>
          <w:szCs w:val="24"/>
        </w:rPr>
        <w:t xml:space="preserve"> </w:t>
      </w:r>
      <w:r w:rsidRPr="00A12B04">
        <w:rPr>
          <w:szCs w:val="24"/>
        </w:rPr>
        <w:t xml:space="preserve">Gorgasali </w:t>
      </w:r>
      <w:r>
        <w:rPr>
          <w:szCs w:val="24"/>
        </w:rPr>
        <w:t>Street</w:t>
      </w:r>
      <w:r w:rsidRPr="00A12B04">
        <w:rPr>
          <w:szCs w:val="24"/>
        </w:rPr>
        <w:t xml:space="preserve"> </w:t>
      </w:r>
      <w:r>
        <w:rPr>
          <w:szCs w:val="24"/>
        </w:rPr>
        <w:br/>
      </w:r>
      <w:r w:rsidRPr="00A12B04">
        <w:rPr>
          <w:szCs w:val="24"/>
        </w:rPr>
        <w:t>01</w:t>
      </w:r>
      <w:r>
        <w:rPr>
          <w:szCs w:val="24"/>
        </w:rPr>
        <w:t>14</w:t>
      </w:r>
      <w:r w:rsidRPr="00A12B04">
        <w:rPr>
          <w:szCs w:val="24"/>
        </w:rPr>
        <w:t xml:space="preserve"> Tbilisi</w:t>
      </w:r>
      <w:r>
        <w:rPr>
          <w:szCs w:val="24"/>
        </w:rPr>
        <w:t>, Georgia</w:t>
      </w:r>
    </w:p>
    <w:p w:rsidR="005E5660" w:rsidRDefault="005E5660" w:rsidP="005E5660">
      <w:pPr>
        <w:pStyle w:val="Text"/>
        <w:tabs>
          <w:tab w:val="left" w:pos="3969"/>
          <w:tab w:val="left" w:pos="4320"/>
        </w:tabs>
        <w:ind w:left="4888" w:hanging="4321"/>
        <w:jc w:val="left"/>
      </w:pPr>
      <w:r w:rsidRPr="007A68BD">
        <w:tab/>
      </w:r>
      <w:r w:rsidRPr="007A68BD">
        <w:tab/>
      </w:r>
      <w:r w:rsidRPr="007A68BD">
        <w:tab/>
      </w:r>
      <w:r w:rsidR="005B29A8">
        <w:t>With copy to:</w:t>
      </w:r>
      <w:r w:rsidR="005B29A8">
        <w:br/>
      </w:r>
      <w:r w:rsidRPr="007A68BD">
        <w:t>National</w:t>
      </w:r>
      <w:r>
        <w:t xml:space="preserve"> Bank of Georgia</w:t>
      </w:r>
      <w:r>
        <w:br/>
        <w:t xml:space="preserve">2 Sanapiro Street </w:t>
      </w:r>
      <w:r>
        <w:br/>
        <w:t>0114 Tbilisi, Georgia</w:t>
      </w:r>
    </w:p>
    <w:p w:rsidR="00782955" w:rsidRPr="00E802C5" w:rsidRDefault="00782955">
      <w:pPr>
        <w:pStyle w:val="Text"/>
        <w:tabs>
          <w:tab w:val="left" w:pos="3969"/>
          <w:tab w:val="left" w:pos="4320"/>
        </w:tabs>
        <w:spacing w:before="0"/>
        <w:ind w:left="4888" w:hanging="4321"/>
        <w:jc w:val="left"/>
      </w:pPr>
    </w:p>
    <w:p w:rsidR="00782955" w:rsidRPr="00E802C5" w:rsidRDefault="00BA63A5" w:rsidP="00782955">
      <w:pPr>
        <w:pStyle w:val="Text"/>
        <w:tabs>
          <w:tab w:val="left" w:pos="567"/>
          <w:tab w:val="left" w:pos="4320"/>
        </w:tabs>
        <w:ind w:left="567" w:hanging="567"/>
      </w:pPr>
      <w:r w:rsidRPr="00E802C5">
        <w:t>1</w:t>
      </w:r>
      <w:r w:rsidR="00737A6C">
        <w:t>6</w:t>
      </w:r>
      <w:r w:rsidR="00782955" w:rsidRPr="00E802C5">
        <w:t>.</w:t>
      </w:r>
      <w:r w:rsidR="00782955" w:rsidRPr="00E802C5">
        <w:tab/>
        <w:t xml:space="preserve">The present MoU shall enter into force following the signature by the European Union and </w:t>
      </w:r>
      <w:r w:rsidR="00146E56" w:rsidRPr="00E802C5">
        <w:t xml:space="preserve">the </w:t>
      </w:r>
      <w:r w:rsidR="0082585F">
        <w:t>Country</w:t>
      </w:r>
      <w:r w:rsidR="00146E56" w:rsidRPr="00E802C5">
        <w:t xml:space="preserve"> </w:t>
      </w:r>
      <w:r w:rsidR="005B29A8">
        <w:t>[</w:t>
      </w:r>
      <w:r w:rsidR="00EB4D4D" w:rsidRPr="005E5660">
        <w:t xml:space="preserve">and </w:t>
      </w:r>
      <w:r w:rsidR="00782955" w:rsidRPr="005E5660">
        <w:t xml:space="preserve">upon its ratification by the </w:t>
      </w:r>
      <w:r w:rsidR="0082585F" w:rsidRPr="005E5660">
        <w:t>Country</w:t>
      </w:r>
      <w:r w:rsidR="00146E56" w:rsidRPr="005E5660">
        <w:t xml:space="preserve">’s </w:t>
      </w:r>
      <w:r w:rsidR="00782955" w:rsidRPr="005E5660">
        <w:t>Parliament</w:t>
      </w:r>
      <w:r w:rsidR="005B29A8">
        <w:t>]</w:t>
      </w:r>
      <w:r w:rsidR="00782955" w:rsidRPr="005E5660">
        <w:t>.</w:t>
      </w:r>
      <w:r w:rsidR="00782955" w:rsidRPr="00E802C5">
        <w:t xml:space="preserve"> </w:t>
      </w:r>
    </w:p>
    <w:p w:rsidR="00782955" w:rsidRPr="00EC30DA" w:rsidRDefault="00BA63A5" w:rsidP="00782955">
      <w:pPr>
        <w:pStyle w:val="Text"/>
        <w:tabs>
          <w:tab w:val="left" w:pos="567"/>
          <w:tab w:val="left" w:pos="4320"/>
        </w:tabs>
        <w:ind w:left="567" w:hanging="567"/>
      </w:pPr>
      <w:r w:rsidRPr="00E802C5">
        <w:t>1</w:t>
      </w:r>
      <w:r w:rsidR="00737A6C">
        <w:t>7</w:t>
      </w:r>
      <w:r w:rsidR="00782955" w:rsidRPr="00E802C5">
        <w:t>.</w:t>
      </w:r>
      <w:r w:rsidR="00782955" w:rsidRPr="00E802C5">
        <w:tab/>
        <w:t>The MoU may be amended upon mutual agreement of the parties in form of a written Addendum. The A</w:t>
      </w:r>
      <w:r w:rsidR="00782955" w:rsidRPr="00EC30DA">
        <w:t>ddendum will be an integral part of this MoU and will enter into force according to the same procedures as the MoU.</w:t>
      </w:r>
    </w:p>
    <w:p w:rsidR="005E5660" w:rsidRDefault="00782955" w:rsidP="005E5660">
      <w:pPr>
        <w:pStyle w:val="Text"/>
        <w:keepNext/>
        <w:keepLines/>
        <w:tabs>
          <w:tab w:val="left" w:pos="4320"/>
        </w:tabs>
      </w:pPr>
      <w:r w:rsidRPr="00EC30DA">
        <w:br w:type="page"/>
      </w:r>
    </w:p>
    <w:p w:rsidR="005E5660" w:rsidRDefault="005E5660" w:rsidP="005E5660">
      <w:pPr>
        <w:pStyle w:val="Text"/>
        <w:keepNext/>
        <w:keepLines/>
        <w:tabs>
          <w:tab w:val="left" w:pos="4320"/>
        </w:tabs>
      </w:pPr>
    </w:p>
    <w:p w:rsidR="005E5660" w:rsidRPr="00E20039" w:rsidRDefault="005E5660" w:rsidP="005E5660">
      <w:pPr>
        <w:pStyle w:val="Text"/>
        <w:keepNext/>
        <w:keepLines/>
        <w:tabs>
          <w:tab w:val="left" w:pos="4320"/>
        </w:tabs>
      </w:pPr>
      <w:r w:rsidRPr="00E20039">
        <w:t xml:space="preserve">Done </w:t>
      </w:r>
      <w:r>
        <w:t>in</w:t>
      </w:r>
      <w:r w:rsidRPr="00E20039">
        <w:t xml:space="preserve"> </w:t>
      </w:r>
      <w:r w:rsidRPr="00D60D25">
        <w:t>Tbilisi on _________________ and i</w:t>
      </w:r>
      <w:r>
        <w:t xml:space="preserve">n Brussels on _________________ </w:t>
      </w:r>
      <w:r w:rsidRPr="00FF23D8">
        <w:t xml:space="preserve">in </w:t>
      </w:r>
      <w:r w:rsidRPr="00E75769">
        <w:t>four</w:t>
      </w:r>
      <w:r w:rsidRPr="00E20039">
        <w:t xml:space="preserve"> originals in the English language.</w:t>
      </w:r>
    </w:p>
    <w:p w:rsidR="005E5660" w:rsidRDefault="005E5660" w:rsidP="005E5660">
      <w:pPr>
        <w:pStyle w:val="Text"/>
        <w:keepNext/>
        <w:keepLines/>
        <w:tabs>
          <w:tab w:val="left" w:pos="4320"/>
        </w:tabs>
      </w:pPr>
    </w:p>
    <w:tbl>
      <w:tblPr>
        <w:tblW w:w="0" w:type="auto"/>
        <w:tblLook w:val="01E0" w:firstRow="1" w:lastRow="1" w:firstColumn="1" w:lastColumn="1" w:noHBand="0" w:noVBand="0"/>
      </w:tblPr>
      <w:tblGrid>
        <w:gridCol w:w="4416"/>
        <w:gridCol w:w="4692"/>
      </w:tblGrid>
      <w:tr w:rsidR="005E5660" w:rsidRPr="0075125E" w:rsidTr="00F87730">
        <w:trPr>
          <w:cantSplit/>
        </w:trPr>
        <w:tc>
          <w:tcPr>
            <w:tcW w:w="4416" w:type="dxa"/>
          </w:tcPr>
          <w:p w:rsidR="005E5660" w:rsidRPr="00041450" w:rsidRDefault="005E5660" w:rsidP="00F87730">
            <w:pPr>
              <w:pStyle w:val="Text"/>
              <w:tabs>
                <w:tab w:val="left" w:pos="4320"/>
              </w:tabs>
              <w:spacing w:before="0"/>
              <w:jc w:val="center"/>
            </w:pPr>
            <w:r w:rsidRPr="00041450">
              <w:t>FOR THE EUROPEAN UNION</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spacing w:before="0"/>
              <w:jc w:val="center"/>
            </w:pPr>
            <w:r w:rsidRPr="00041450">
              <w:t xml:space="preserve">H.E. Mr </w:t>
            </w:r>
            <w:r>
              <w:t>Paolo Gentiloni</w:t>
            </w:r>
            <w:r w:rsidRPr="00041450">
              <w:br/>
              <w:t>Member of the European Commission</w:t>
            </w:r>
          </w:p>
          <w:p w:rsidR="005E5660" w:rsidRPr="00041450" w:rsidRDefault="005E5660" w:rsidP="00F87730">
            <w:pPr>
              <w:pStyle w:val="Text"/>
            </w:pPr>
          </w:p>
        </w:tc>
        <w:tc>
          <w:tcPr>
            <w:tcW w:w="4692" w:type="dxa"/>
          </w:tcPr>
          <w:p w:rsidR="005E5660" w:rsidRPr="00041450" w:rsidRDefault="005E5660" w:rsidP="00F87730">
            <w:pPr>
              <w:pStyle w:val="Text"/>
              <w:tabs>
                <w:tab w:val="left" w:pos="4320"/>
              </w:tabs>
              <w:spacing w:before="0"/>
              <w:jc w:val="center"/>
            </w:pPr>
            <w:r w:rsidRPr="00041450">
              <w:t xml:space="preserve">FOR </w:t>
            </w:r>
            <w:r>
              <w:t>GEORGIA</w:t>
            </w:r>
          </w:p>
          <w:p w:rsidR="005E5660" w:rsidRPr="00041450" w:rsidRDefault="005E5660" w:rsidP="00F87730">
            <w:pPr>
              <w:pStyle w:val="Text"/>
              <w:tabs>
                <w:tab w:val="left" w:pos="4320"/>
              </w:tabs>
              <w:spacing w:before="0"/>
              <w:jc w:val="center"/>
            </w:pPr>
            <w:r>
              <w:t xml:space="preserve">as </w:t>
            </w:r>
            <w:r w:rsidRPr="00561273">
              <w:t>Beneficiary</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Default="005E5660" w:rsidP="00F87730">
            <w:pPr>
              <w:pStyle w:val="Text"/>
              <w:tabs>
                <w:tab w:val="left" w:pos="4476"/>
              </w:tabs>
              <w:spacing w:before="0"/>
              <w:jc w:val="center"/>
            </w:pPr>
          </w:p>
          <w:p w:rsidR="005E5660" w:rsidRPr="00041450" w:rsidRDefault="005E5660" w:rsidP="00F87730">
            <w:pPr>
              <w:pStyle w:val="Text"/>
              <w:tabs>
                <w:tab w:val="left" w:pos="4476"/>
              </w:tabs>
              <w:spacing w:before="0"/>
              <w:jc w:val="center"/>
            </w:pPr>
            <w:r>
              <w:t xml:space="preserve">H.E. Mr </w:t>
            </w:r>
            <w:r w:rsidRPr="00D60D25">
              <w:t>Ivane Matchavariani</w:t>
            </w:r>
          </w:p>
          <w:p w:rsidR="005E5660" w:rsidRPr="00041450" w:rsidRDefault="005E5660" w:rsidP="00F87730">
            <w:pPr>
              <w:pStyle w:val="Text"/>
              <w:tabs>
                <w:tab w:val="left" w:pos="4320"/>
              </w:tabs>
              <w:spacing w:before="0"/>
              <w:jc w:val="center"/>
              <w:rPr>
                <w:szCs w:val="24"/>
              </w:rPr>
            </w:pPr>
            <w:r w:rsidRPr="00041450">
              <w:rPr>
                <w:szCs w:val="24"/>
              </w:rPr>
              <w:t>Minister of Finance</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r w:rsidRPr="00041450">
              <w:t xml:space="preserve">FOR THE </w:t>
            </w:r>
            <w:r>
              <w:t>NATIONAL</w:t>
            </w:r>
            <w:r w:rsidRPr="00041450">
              <w:t xml:space="preserve"> BANK </w:t>
            </w:r>
            <w:r w:rsidRPr="00041450">
              <w:br/>
              <w:t xml:space="preserve">OF </w:t>
            </w:r>
            <w:r>
              <w:t>GEORGIA</w:t>
            </w:r>
          </w:p>
          <w:p w:rsidR="005E5660" w:rsidRDefault="005E5660" w:rsidP="00F87730">
            <w:pPr>
              <w:pStyle w:val="Text"/>
              <w:tabs>
                <w:tab w:val="left" w:pos="4320"/>
              </w:tabs>
              <w:spacing w:before="0"/>
              <w:jc w:val="center"/>
            </w:pPr>
            <w:r w:rsidRPr="00680AB4">
              <w:t xml:space="preserve">as </w:t>
            </w:r>
            <w:r>
              <w:t xml:space="preserve">the </w:t>
            </w:r>
            <w:r w:rsidRPr="00680AB4">
              <w:t>Beneficiary’s</w:t>
            </w:r>
            <w:r w:rsidRPr="00021262">
              <w:t xml:space="preserve"> Financial Agent</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r>
              <w:t xml:space="preserve">H.E. Mr </w:t>
            </w:r>
            <w:r w:rsidRPr="00E7569E">
              <w:t>Koba Gvenetadze</w:t>
            </w:r>
          </w:p>
          <w:p w:rsidR="005E5660" w:rsidRPr="00041450" w:rsidRDefault="005E5660" w:rsidP="00F87730">
            <w:pPr>
              <w:pStyle w:val="Text"/>
              <w:tabs>
                <w:tab w:val="left" w:pos="4320"/>
              </w:tabs>
              <w:spacing w:before="0"/>
              <w:jc w:val="center"/>
            </w:pPr>
            <w:r>
              <w:t>Governor</w:t>
            </w:r>
          </w:p>
        </w:tc>
      </w:tr>
    </w:tbl>
    <w:p w:rsidR="00782955" w:rsidRPr="00E802C5" w:rsidRDefault="00782955" w:rsidP="005E5660">
      <w:pPr>
        <w:pStyle w:val="Text"/>
        <w:keepNext/>
        <w:keepLines/>
        <w:tabs>
          <w:tab w:val="left" w:pos="4320"/>
        </w:tabs>
        <w:rPr>
          <w:b/>
        </w:rPr>
      </w:pPr>
    </w:p>
    <w:p w:rsidR="001D5334" w:rsidRPr="00E802C5" w:rsidRDefault="001D5334">
      <w:pPr>
        <w:rPr>
          <w:b/>
          <w:szCs w:val="20"/>
          <w:lang w:eastAsia="en-US"/>
        </w:rPr>
      </w:pPr>
      <w:r w:rsidRPr="00E802C5">
        <w:rPr>
          <w:b/>
          <w:szCs w:val="20"/>
          <w:lang w:eastAsia="en-US"/>
        </w:rPr>
        <w:br w:type="page"/>
      </w:r>
    </w:p>
    <w:p w:rsidR="00901AFD" w:rsidRPr="00E802C5" w:rsidRDefault="00901AFD" w:rsidP="005E79AA">
      <w:pPr>
        <w:pStyle w:val="Text1"/>
        <w:spacing w:before="240" w:after="0"/>
        <w:ind w:left="0"/>
        <w:jc w:val="center"/>
        <w:outlineLvl w:val="0"/>
        <w:rPr>
          <w:b/>
        </w:rPr>
      </w:pPr>
      <w:r w:rsidRPr="00E802C5">
        <w:rPr>
          <w:b/>
        </w:rPr>
        <w:t>ANNEX I</w:t>
      </w:r>
    </w:p>
    <w:p w:rsidR="00953FF0" w:rsidRPr="00953FF0" w:rsidRDefault="00953FF0" w:rsidP="00953FF0">
      <w:pPr>
        <w:spacing w:before="240"/>
        <w:jc w:val="center"/>
        <w:rPr>
          <w:b/>
          <w:szCs w:val="20"/>
          <w:lang w:eastAsia="en-US"/>
        </w:rPr>
      </w:pPr>
      <w:r w:rsidRPr="00953FF0">
        <w:rPr>
          <w:b/>
          <w:szCs w:val="20"/>
          <w:lang w:eastAsia="en-US"/>
        </w:rPr>
        <w:t>STRUCTURAL REFORM CRITERIA</w:t>
      </w:r>
    </w:p>
    <w:p w:rsidR="00953FF0" w:rsidRPr="00953FF0" w:rsidRDefault="00953FF0" w:rsidP="00953FF0">
      <w:pPr>
        <w:tabs>
          <w:tab w:val="left" w:pos="4320"/>
        </w:tabs>
        <w:spacing w:before="240"/>
        <w:jc w:val="both"/>
        <w:rPr>
          <w:b/>
          <w:lang w:eastAsia="en-US"/>
        </w:rPr>
      </w:pPr>
      <w:r w:rsidRPr="00953FF0">
        <w:rPr>
          <w:b/>
          <w:lang w:eastAsia="en-US"/>
        </w:rPr>
        <w:t xml:space="preserve">At the time of the Commission staff review that will precede the decision on the disbursement of the </w:t>
      </w:r>
      <w:r w:rsidRPr="00953FF0">
        <w:rPr>
          <w:b/>
          <w:u w:val="single"/>
          <w:lang w:eastAsia="en-US"/>
        </w:rPr>
        <w:t>second instalment</w:t>
      </w:r>
      <w:r w:rsidRPr="00953FF0">
        <w:rPr>
          <w:b/>
          <w:lang w:eastAsia="en-US"/>
        </w:rPr>
        <w:t>, the authorities of the Country are committed to have accomplished the following actions</w:t>
      </w:r>
      <w:r w:rsidRPr="00953FF0" w:rsidDel="00850D36">
        <w:rPr>
          <w:b/>
          <w:lang w:eastAsia="en-US"/>
        </w:rPr>
        <w:t>:</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Public finance management</w:t>
      </w:r>
    </w:p>
    <w:p w:rsidR="00953FF0" w:rsidRPr="00953FF0" w:rsidRDefault="00953FF0" w:rsidP="00953FF0">
      <w:pPr>
        <w:keepLines/>
        <w:numPr>
          <w:ilvl w:val="0"/>
          <w:numId w:val="18"/>
        </w:numPr>
        <w:spacing w:before="240"/>
        <w:ind w:left="357" w:hanging="357"/>
        <w:jc w:val="both"/>
      </w:pPr>
      <w:r w:rsidRPr="00953FF0">
        <w:t xml:space="preserve">To ensure impartiality and independence of the </w:t>
      </w:r>
      <w:r w:rsidRPr="00953FF0">
        <w:rPr>
          <w:b/>
        </w:rPr>
        <w:t xml:space="preserve">public procurement dispute resolution body </w:t>
      </w:r>
      <w:r w:rsidRPr="00953FF0">
        <w:t xml:space="preserve">as set out in the Association Agreement, adopt the revised legal framework for this body and prepare for its functioning from 2021 (staff, budget). </w:t>
      </w:r>
    </w:p>
    <w:p w:rsidR="00953FF0" w:rsidRPr="00953FF0" w:rsidRDefault="00953FF0" w:rsidP="00953FF0">
      <w:pPr>
        <w:keepLines/>
        <w:numPr>
          <w:ilvl w:val="0"/>
          <w:numId w:val="18"/>
        </w:numPr>
        <w:spacing w:before="240"/>
        <w:jc w:val="both"/>
      </w:pPr>
      <w:r w:rsidRPr="00953FF0">
        <w:t xml:space="preserve">To ensure an adequate and sustainable pension system and to improve the institutional capacity of the Pension Fund managing the recently launched funded pension pillar, a) adopt the amendments to the </w:t>
      </w:r>
      <w:r w:rsidRPr="00953FF0">
        <w:rPr>
          <w:b/>
        </w:rPr>
        <w:t xml:space="preserve">Law on State Pensions </w:t>
      </w:r>
      <w:r w:rsidRPr="00953FF0">
        <w:t xml:space="preserve">related to rules-based mechanism for indexing basic public pensions, and b) develop and adopt the </w:t>
      </w:r>
      <w:r w:rsidRPr="00953FF0">
        <w:rPr>
          <w:b/>
        </w:rPr>
        <w:t xml:space="preserve">investment strategy of the Pension Fund.  </w:t>
      </w:r>
      <w:r w:rsidRPr="00953FF0">
        <w:t xml:space="preserve"> </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Governance</w:t>
      </w:r>
    </w:p>
    <w:p w:rsidR="00953FF0" w:rsidRPr="005B29A8" w:rsidRDefault="00953FF0" w:rsidP="00953FF0">
      <w:pPr>
        <w:keepLines/>
        <w:numPr>
          <w:ilvl w:val="0"/>
          <w:numId w:val="18"/>
        </w:numPr>
        <w:spacing w:before="240"/>
        <w:jc w:val="both"/>
      </w:pPr>
      <w:r w:rsidRPr="00953FF0">
        <w:t xml:space="preserve">To reduce uncertainty regarding the governance of companies and improve transparency of business, adopt the </w:t>
      </w:r>
      <w:r w:rsidRPr="00953FF0">
        <w:rPr>
          <w:b/>
        </w:rPr>
        <w:t>Law on Entrepreneurs</w:t>
      </w:r>
      <w:r w:rsidRPr="00953FF0">
        <w:t xml:space="preserve">, in line with the EU company law directives. </w:t>
      </w:r>
    </w:p>
    <w:p w:rsidR="00953FF0" w:rsidRPr="00953FF0" w:rsidRDefault="00953FF0" w:rsidP="00953FF0">
      <w:pPr>
        <w:keepLines/>
        <w:numPr>
          <w:ilvl w:val="0"/>
          <w:numId w:val="18"/>
        </w:numPr>
        <w:spacing w:before="240"/>
        <w:jc w:val="both"/>
      </w:pPr>
      <w:r w:rsidRPr="00953FF0">
        <w:t xml:space="preserve">To improve the governance of publicly owned companies, develop and adopt </w:t>
      </w:r>
      <w:r w:rsidRPr="00953FF0">
        <w:rPr>
          <w:b/>
        </w:rPr>
        <w:t>corporate governance standards for state-owned enterprises</w:t>
      </w:r>
      <w:r w:rsidRPr="00953FF0">
        <w:t xml:space="preserve"> along the OECD guidelines, including principles for transparent and merit-based appointments to supervisory boards, and publish the first edition of a regular report on progress towards implementation of the OECD guidelines. </w:t>
      </w:r>
    </w:p>
    <w:p w:rsidR="00953FF0" w:rsidRPr="00953FF0" w:rsidRDefault="00953FF0" w:rsidP="00953FF0">
      <w:pPr>
        <w:keepLines/>
        <w:numPr>
          <w:ilvl w:val="0"/>
          <w:numId w:val="18"/>
        </w:numPr>
        <w:spacing w:before="240"/>
        <w:jc w:val="both"/>
      </w:pPr>
      <w:r w:rsidRPr="00953FF0">
        <w:t xml:space="preserve">To increase the independence, accountability and quality of the </w:t>
      </w:r>
      <w:r w:rsidRPr="00953FF0">
        <w:rPr>
          <w:b/>
          <w:bCs/>
        </w:rPr>
        <w:t>judicial system</w:t>
      </w:r>
      <w:r w:rsidRPr="00953FF0">
        <w:t xml:space="preserve">, the Georgian authorities will, in line with two packages of judicial reforms adopted in 2017 and 2019: a) further enhance transparency and merit-based selections in the appointment of judges to first instance and appeal courts, notably by publishing written justifications for appointments of judges with reference to integrity and competence criteria; b) submit to the Parliament draft legislation on the appointments to the Supreme Court in line with the related Venice Commission opinion No. 949/2019 of 24 June 2019, notably as concerns the staggered approach to appointments, open voting in the High Council of Justice, and the need for the latter to justify the nominations; c) refrain from making appointments to the Supreme Court under existing rules; d) adopt the legislation implementing the ruling of the Constitutional Court of Georgia from June 2019 by setting rules for the publication of judicial decisions. </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 xml:space="preserve">Sector reforms </w:t>
      </w:r>
    </w:p>
    <w:p w:rsidR="00953FF0" w:rsidRPr="00953FF0" w:rsidRDefault="00953FF0" w:rsidP="00953FF0">
      <w:pPr>
        <w:keepLines/>
        <w:numPr>
          <w:ilvl w:val="0"/>
          <w:numId w:val="18"/>
        </w:numPr>
        <w:spacing w:before="240"/>
        <w:jc w:val="both"/>
      </w:pPr>
      <w:r w:rsidRPr="00953FF0">
        <w:t xml:space="preserve">To achieve economic benefits from increased energy efficiency, following the adoption of the laws on Energy Performance of Buildings and on Energy Efficiency (both planned in May 2020), a) adopt regulations establishing minimum requirements and defining a national methodology for calculating </w:t>
      </w:r>
      <w:r w:rsidRPr="00953FF0">
        <w:rPr>
          <w:b/>
        </w:rPr>
        <w:t>energy performance of buildings</w:t>
      </w:r>
      <w:r w:rsidRPr="00953FF0">
        <w:t xml:space="preserve"> in compliance with the Energy Community Treaty; and b) make the dedicated </w:t>
      </w:r>
      <w:r w:rsidRPr="00953FF0">
        <w:rPr>
          <w:b/>
        </w:rPr>
        <w:t>Energy Efficiency Unit</w:t>
      </w:r>
      <w:r w:rsidRPr="00953FF0">
        <w:t xml:space="preserve"> in the Ministry of Economy and Sustainable Development fully operational, including adequate staffing. </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Labour market</w:t>
      </w:r>
    </w:p>
    <w:p w:rsidR="00953FF0" w:rsidRPr="00953FF0" w:rsidRDefault="00953FF0" w:rsidP="005B29A8">
      <w:pPr>
        <w:keepLines/>
        <w:numPr>
          <w:ilvl w:val="0"/>
          <w:numId w:val="18"/>
        </w:numPr>
        <w:spacing w:before="240"/>
        <w:jc w:val="both"/>
      </w:pPr>
      <w:r w:rsidRPr="00953FF0">
        <w:t xml:space="preserve">In line with the Labour Market Strategy and its Action </w:t>
      </w:r>
      <w:r w:rsidR="005B29A8">
        <w:t xml:space="preserve">Plan adopted in December 2019,  </w:t>
      </w:r>
      <w:r w:rsidRPr="00953FF0">
        <w:t xml:space="preserve">a) to better enable public employment service providers to help deal with the labour market fall-out from the COVID-19 crisis and to provide legal certainty to the role of the state in the labour market, adopt the </w:t>
      </w:r>
      <w:r w:rsidRPr="00953FF0">
        <w:rPr>
          <w:b/>
        </w:rPr>
        <w:t>Law on Employment Services</w:t>
      </w:r>
      <w:r w:rsidRPr="00953FF0">
        <w:t xml:space="preserve">; b) to ensure safe working conditions in the post COVID-19 context, hire at least [40] additional labour </w:t>
      </w:r>
      <w:r w:rsidRPr="00953FF0">
        <w:rPr>
          <w:b/>
        </w:rPr>
        <w:t>labour inspectors.</w:t>
      </w:r>
      <w:r w:rsidRPr="00953FF0">
        <w:t xml:space="preserve"> </w:t>
      </w:r>
    </w:p>
    <w:p w:rsidR="00901AFD" w:rsidRPr="00853CC2" w:rsidRDefault="00901AFD" w:rsidP="00A637E2">
      <w:pPr>
        <w:rPr>
          <w:bCs/>
        </w:rPr>
      </w:pPr>
      <w:r w:rsidRPr="00E802C5">
        <w:rPr>
          <w:b/>
          <w:bCs/>
        </w:rPr>
        <w:br w:type="page"/>
      </w:r>
    </w:p>
    <w:p w:rsidR="00901AFD" w:rsidRPr="00E802C5" w:rsidRDefault="00901AFD" w:rsidP="005E79AA">
      <w:pPr>
        <w:spacing w:before="240"/>
        <w:jc w:val="center"/>
        <w:outlineLvl w:val="0"/>
      </w:pPr>
      <w:r w:rsidRPr="00E802C5">
        <w:rPr>
          <w:b/>
          <w:bCs/>
        </w:rPr>
        <w:t>ANNEX II</w:t>
      </w:r>
    </w:p>
    <w:p w:rsidR="00901AFD" w:rsidRPr="00E802C5" w:rsidRDefault="00901AFD" w:rsidP="005E79AA">
      <w:pPr>
        <w:spacing w:before="240"/>
        <w:jc w:val="center"/>
        <w:outlineLvl w:val="0"/>
      </w:pPr>
      <w:r w:rsidRPr="00E802C5">
        <w:rPr>
          <w:b/>
          <w:bCs/>
        </w:rPr>
        <w:t>MONITORING SYSTEM</w:t>
      </w:r>
    </w:p>
    <w:p w:rsidR="00901AFD" w:rsidRPr="00E802C5" w:rsidRDefault="00901AFD" w:rsidP="001D6235">
      <w:pPr>
        <w:spacing w:before="240"/>
      </w:pPr>
      <w:r w:rsidRPr="00E802C5">
        <w:rPr>
          <w:b/>
          <w:bCs/>
        </w:rPr>
        <w:t>1. Monitoring of macro-economic and financial developments and policies</w:t>
      </w:r>
    </w:p>
    <w:p w:rsidR="001D6235" w:rsidRPr="00E802C5" w:rsidRDefault="001D6235" w:rsidP="001D6235">
      <w:pPr>
        <w:spacing w:before="240"/>
        <w:jc w:val="both"/>
      </w:pPr>
      <w:r w:rsidRPr="00E802C5">
        <w:t xml:space="preserve">During the implementation of the European Union macro-financial assistance, the following indicators and reports shall be </w:t>
      </w:r>
      <w:r w:rsidR="003B5D4C">
        <w:t xml:space="preserve">published or </w:t>
      </w:r>
      <w:r w:rsidRPr="00E802C5">
        <w:t xml:space="preserve">provided to the Commission by the relevant authorities of the </w:t>
      </w:r>
      <w:r w:rsidR="0082585F">
        <w:t>Country</w:t>
      </w:r>
      <w:r w:rsidRPr="00E802C5">
        <w:t>, on a quarterly basis.</w:t>
      </w:r>
    </w:p>
    <w:p w:rsidR="009F6504" w:rsidRPr="00E802C5" w:rsidRDefault="009F6504" w:rsidP="009F6504">
      <w:pPr>
        <w:spacing w:before="240"/>
      </w:pPr>
      <w:r w:rsidRPr="00E802C5">
        <w:rPr>
          <w:i/>
          <w:iCs/>
        </w:rPr>
        <w:t>a) Information submitted by the Ministry of Finance</w:t>
      </w:r>
      <w:r w:rsidRPr="00E802C5">
        <w:t>:</w:t>
      </w:r>
    </w:p>
    <w:p w:rsidR="009F6504" w:rsidRPr="00E802C5" w:rsidRDefault="009F6504" w:rsidP="009F6504">
      <w:pPr>
        <w:pStyle w:val="ListParagraph"/>
        <w:numPr>
          <w:ilvl w:val="0"/>
          <w:numId w:val="13"/>
        </w:numPr>
        <w:spacing w:before="240"/>
        <w:ind w:left="426"/>
        <w:jc w:val="both"/>
      </w:pPr>
      <w:r w:rsidRPr="00E802C5">
        <w:t xml:space="preserve">GDP or national income (quarterly) </w:t>
      </w:r>
    </w:p>
    <w:p w:rsidR="009F6504" w:rsidRPr="00E802C5" w:rsidRDefault="009F6504" w:rsidP="009F6504">
      <w:pPr>
        <w:pStyle w:val="ListParagraph"/>
        <w:numPr>
          <w:ilvl w:val="0"/>
          <w:numId w:val="13"/>
        </w:numPr>
        <w:spacing w:before="240"/>
        <w:ind w:left="426"/>
        <w:jc w:val="both"/>
      </w:pPr>
      <w:r w:rsidRPr="00E802C5">
        <w:t xml:space="preserve">Main components of GDP (quarterly) </w:t>
      </w:r>
    </w:p>
    <w:p w:rsidR="009F6504" w:rsidRPr="00E802C5" w:rsidRDefault="009F6504" w:rsidP="009F6504">
      <w:pPr>
        <w:pStyle w:val="ListParagraph"/>
        <w:numPr>
          <w:ilvl w:val="0"/>
          <w:numId w:val="13"/>
        </w:numPr>
        <w:spacing w:before="240"/>
        <w:ind w:left="426"/>
        <w:jc w:val="both"/>
      </w:pPr>
      <w:r w:rsidRPr="00E802C5">
        <w:t>Employment and unemployment rates (quarterly)</w:t>
      </w:r>
    </w:p>
    <w:p w:rsidR="009F6504" w:rsidRPr="00E802C5" w:rsidRDefault="009F6504" w:rsidP="009F6504">
      <w:pPr>
        <w:pStyle w:val="ListParagraph"/>
        <w:numPr>
          <w:ilvl w:val="0"/>
          <w:numId w:val="13"/>
        </w:numPr>
        <w:spacing w:before="240"/>
        <w:ind w:left="426"/>
        <w:jc w:val="both"/>
      </w:pPr>
      <w:r w:rsidRPr="00E802C5">
        <w:t xml:space="preserve">Level and composition of general and central government revenue and expenditure as well as government payment arrears (quarterly) </w:t>
      </w:r>
    </w:p>
    <w:p w:rsidR="009F6504" w:rsidRPr="00E802C5" w:rsidRDefault="009F6504" w:rsidP="009F6504">
      <w:pPr>
        <w:pStyle w:val="ListParagraph"/>
        <w:numPr>
          <w:ilvl w:val="0"/>
          <w:numId w:val="13"/>
        </w:numPr>
        <w:spacing w:before="240"/>
        <w:ind w:left="426"/>
        <w:jc w:val="both"/>
      </w:pPr>
      <w:r w:rsidRPr="00E802C5">
        <w:t xml:space="preserve">Fiscal balance of the central government (quarterly) </w:t>
      </w:r>
    </w:p>
    <w:p w:rsidR="009F6504" w:rsidRPr="00E802C5" w:rsidRDefault="009F6504" w:rsidP="009F6504">
      <w:pPr>
        <w:pStyle w:val="ListParagraph"/>
        <w:numPr>
          <w:ilvl w:val="0"/>
          <w:numId w:val="13"/>
        </w:numPr>
        <w:spacing w:before="240"/>
        <w:ind w:left="426"/>
        <w:jc w:val="both"/>
      </w:pPr>
      <w:r w:rsidRPr="00E802C5">
        <w:t>Fiscal balance of the general government (annual)</w:t>
      </w:r>
    </w:p>
    <w:p w:rsidR="009F6504" w:rsidRPr="00E802C5" w:rsidRDefault="009F6504" w:rsidP="009F6504">
      <w:pPr>
        <w:pStyle w:val="ListParagraph"/>
        <w:numPr>
          <w:ilvl w:val="0"/>
          <w:numId w:val="13"/>
        </w:numPr>
        <w:spacing w:before="240"/>
        <w:ind w:left="426"/>
        <w:jc w:val="both"/>
      </w:pPr>
      <w:r w:rsidRPr="00E802C5">
        <w:t>External public debt stock and (interest and principal) payments (quarterly)</w:t>
      </w:r>
    </w:p>
    <w:p w:rsidR="009F6504" w:rsidRPr="00E802C5" w:rsidRDefault="009F6504" w:rsidP="009F6504">
      <w:pPr>
        <w:pStyle w:val="ListParagraph"/>
        <w:numPr>
          <w:ilvl w:val="0"/>
          <w:numId w:val="13"/>
        </w:numPr>
        <w:spacing w:before="240"/>
        <w:ind w:left="426"/>
        <w:jc w:val="both"/>
      </w:pPr>
      <w:r w:rsidRPr="00E802C5">
        <w:t>Domestic public debt stock and (interest and principal) payments (quarterly)</w:t>
      </w:r>
    </w:p>
    <w:p w:rsidR="009F6504" w:rsidRPr="00E802C5" w:rsidRDefault="009F6504" w:rsidP="009F6504">
      <w:pPr>
        <w:pStyle w:val="ListParagraph"/>
        <w:numPr>
          <w:ilvl w:val="0"/>
          <w:numId w:val="13"/>
        </w:numPr>
        <w:spacing w:before="240"/>
        <w:ind w:left="426"/>
        <w:jc w:val="both"/>
      </w:pPr>
      <w:r w:rsidRPr="00E802C5">
        <w:t xml:space="preserve">Scheduled quarterly payments (interest and principal) of domestic and external public debt for the years </w:t>
      </w:r>
      <w:r>
        <w:t>2020-2022</w:t>
      </w:r>
      <w:r w:rsidRPr="00E802C5">
        <w:t xml:space="preserve"> (quarterly)</w:t>
      </w:r>
    </w:p>
    <w:p w:rsidR="009F6504" w:rsidRPr="00E802C5" w:rsidRDefault="009F6504" w:rsidP="009F6504">
      <w:pPr>
        <w:pStyle w:val="ListParagraph"/>
        <w:numPr>
          <w:ilvl w:val="0"/>
          <w:numId w:val="13"/>
        </w:numPr>
        <w:spacing w:before="240"/>
        <w:ind w:left="426"/>
        <w:jc w:val="both"/>
      </w:pPr>
      <w:r w:rsidRPr="00E802C5">
        <w:t>Consumer and producer prices (monthly)</w:t>
      </w:r>
    </w:p>
    <w:p w:rsidR="009F6504" w:rsidRPr="00E802C5" w:rsidRDefault="009F6504" w:rsidP="009F6504">
      <w:pPr>
        <w:pStyle w:val="ListParagraph"/>
        <w:numPr>
          <w:ilvl w:val="0"/>
          <w:numId w:val="13"/>
        </w:numPr>
        <w:spacing w:before="240"/>
        <w:ind w:left="426"/>
        <w:jc w:val="both"/>
      </w:pPr>
      <w:r w:rsidRPr="00E802C5">
        <w:t>Interest rates on benchmark government bonds at liquid maturities (monthly)</w:t>
      </w:r>
    </w:p>
    <w:p w:rsidR="009F6504" w:rsidRPr="00E802C5" w:rsidRDefault="009F6504" w:rsidP="009F6504">
      <w:pPr>
        <w:spacing w:before="240"/>
        <w:jc w:val="both"/>
        <w:rPr>
          <w:i/>
          <w:iCs/>
        </w:rPr>
      </w:pPr>
      <w:r w:rsidRPr="00E802C5">
        <w:rPr>
          <w:i/>
          <w:iCs/>
        </w:rPr>
        <w:t xml:space="preserve">b) Information submitted by the National Bank of </w:t>
      </w:r>
      <w:r>
        <w:rPr>
          <w:i/>
          <w:iCs/>
        </w:rPr>
        <w:t>Georgia</w:t>
      </w:r>
    </w:p>
    <w:p w:rsidR="009F6504" w:rsidRPr="00E802C5" w:rsidRDefault="009F6504" w:rsidP="009F6504">
      <w:pPr>
        <w:pStyle w:val="ListParagraph"/>
        <w:numPr>
          <w:ilvl w:val="0"/>
          <w:numId w:val="13"/>
        </w:numPr>
        <w:spacing w:before="240"/>
        <w:ind w:left="426"/>
        <w:jc w:val="both"/>
      </w:pPr>
      <w:r w:rsidRPr="00E802C5">
        <w:t>Interbank interest rates at benchmark maturities (monthly)</w:t>
      </w:r>
    </w:p>
    <w:p w:rsidR="009F6504" w:rsidRPr="00E802C5" w:rsidRDefault="009F6504" w:rsidP="009F6504">
      <w:pPr>
        <w:pStyle w:val="ListParagraph"/>
        <w:numPr>
          <w:ilvl w:val="0"/>
          <w:numId w:val="13"/>
        </w:numPr>
        <w:spacing w:before="240"/>
        <w:ind w:left="426"/>
        <w:jc w:val="both"/>
      </w:pPr>
      <w:r w:rsidRPr="00E802C5">
        <w:t xml:space="preserve">Banks’ overall lending rate (monthly) </w:t>
      </w:r>
    </w:p>
    <w:p w:rsidR="009F6504" w:rsidRPr="00E802C5" w:rsidRDefault="009F6504" w:rsidP="009F6504">
      <w:pPr>
        <w:pStyle w:val="ListParagraph"/>
        <w:numPr>
          <w:ilvl w:val="0"/>
          <w:numId w:val="13"/>
        </w:numPr>
        <w:spacing w:before="240"/>
        <w:ind w:left="426"/>
        <w:jc w:val="both"/>
      </w:pPr>
      <w:r w:rsidRPr="00E802C5">
        <w:t>Balance-of-payments and main components (quarterly)</w:t>
      </w:r>
    </w:p>
    <w:p w:rsidR="009F6504" w:rsidRPr="00E802C5" w:rsidRDefault="009F6504" w:rsidP="009F6504">
      <w:pPr>
        <w:pStyle w:val="ListParagraph"/>
        <w:numPr>
          <w:ilvl w:val="0"/>
          <w:numId w:val="13"/>
        </w:numPr>
        <w:spacing w:before="240"/>
        <w:ind w:left="426"/>
        <w:jc w:val="both"/>
      </w:pPr>
      <w:r w:rsidRPr="00E802C5">
        <w:t>International reserve position (monthly)</w:t>
      </w:r>
    </w:p>
    <w:p w:rsidR="009F6504" w:rsidRPr="00E802C5" w:rsidRDefault="009F6504" w:rsidP="009F6504">
      <w:pPr>
        <w:pStyle w:val="ListParagraph"/>
        <w:numPr>
          <w:ilvl w:val="0"/>
          <w:numId w:val="13"/>
        </w:numPr>
        <w:spacing w:before="240"/>
        <w:ind w:left="426"/>
        <w:jc w:val="both"/>
      </w:pPr>
      <w:r w:rsidRPr="00E802C5">
        <w:t xml:space="preserve">Nominal bilateral exchange rates against the euro and the USD (monthly) </w:t>
      </w:r>
    </w:p>
    <w:p w:rsidR="00953FF0" w:rsidRDefault="00953FF0" w:rsidP="00953FF0">
      <w:pPr>
        <w:spacing w:before="240"/>
      </w:pPr>
      <w:r>
        <w:rPr>
          <w:b/>
          <w:bCs/>
        </w:rPr>
        <w:t>2. Monitoring of structural policies</w:t>
      </w:r>
    </w:p>
    <w:p w:rsidR="00953FF0" w:rsidRDefault="00953FF0" w:rsidP="00953FF0">
      <w:pPr>
        <w:spacing w:before="240"/>
        <w:jc w:val="both"/>
        <w:rPr>
          <w:lang w:eastAsia="en-US"/>
        </w:rPr>
      </w:pPr>
      <w:r>
        <w:t>During the implementation of the European Union macro-financial assistance, data and/or information relating to the implementation of policy measures specified in Annex I shall be provided to the Commission by the relevant authorities of the Country, on request from the Commission, notably:</w:t>
      </w:r>
    </w:p>
    <w:p w:rsidR="00953FF0" w:rsidRDefault="00953FF0" w:rsidP="00953FF0">
      <w:pPr>
        <w:pStyle w:val="ListParagraph"/>
        <w:numPr>
          <w:ilvl w:val="0"/>
          <w:numId w:val="22"/>
        </w:numPr>
        <w:spacing w:before="240"/>
        <w:ind w:left="426"/>
        <w:jc w:val="both"/>
      </w:pPr>
      <w:r>
        <w:t xml:space="preserve">Number of first instance and appeal courts judges appointed;  number of judges appointed with published written justifications; </w:t>
      </w:r>
    </w:p>
    <w:p w:rsidR="00953FF0" w:rsidRDefault="00953FF0" w:rsidP="00953FF0">
      <w:pPr>
        <w:pStyle w:val="ListParagraph"/>
        <w:numPr>
          <w:ilvl w:val="0"/>
          <w:numId w:val="22"/>
        </w:numPr>
        <w:spacing w:before="240"/>
        <w:ind w:left="426"/>
        <w:jc w:val="both"/>
      </w:pPr>
      <w:r>
        <w:t xml:space="preserve">Number of labour inspectors employed by the Labour Inspectorate.  </w:t>
      </w:r>
    </w:p>
    <w:p w:rsidR="004C0C87" w:rsidRPr="00FF56F1" w:rsidRDefault="004C0C87" w:rsidP="00953FF0">
      <w:pPr>
        <w:spacing w:before="240"/>
        <w:jc w:val="both"/>
        <w:rPr>
          <w:b/>
          <w:szCs w:val="20"/>
          <w:highlight w:val="yellow"/>
          <w:lang w:eastAsia="en-US"/>
        </w:rPr>
      </w:pPr>
    </w:p>
    <w:sectPr w:rsidR="004C0C87" w:rsidRPr="00FF56F1" w:rsidSect="009C4C2E">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7BF" w:rsidRDefault="001247BF">
      <w:r>
        <w:separator/>
      </w:r>
    </w:p>
  </w:endnote>
  <w:endnote w:type="continuationSeparator" w:id="0">
    <w:p w:rsidR="001247BF" w:rsidRDefault="001247BF">
      <w:r>
        <w:continuationSeparator/>
      </w:r>
    </w:p>
  </w:endnote>
  <w:endnote w:type="continuationNotice" w:id="1">
    <w:p w:rsidR="001247BF" w:rsidRDefault="00124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B3" w:rsidRDefault="00A76F87">
    <w:pPr>
      <w:pStyle w:val="Footer"/>
      <w:jc w:val="center"/>
    </w:pPr>
    <w:r>
      <w:fldChar w:fldCharType="begin"/>
    </w:r>
    <w:r w:rsidR="009B6360">
      <w:instrText xml:space="preserve"> PAGE   \* MERGEFORMAT </w:instrText>
    </w:r>
    <w:r>
      <w:fldChar w:fldCharType="separate"/>
    </w:r>
    <w:r w:rsidR="00FE38C0">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7BF" w:rsidRDefault="001247BF">
      <w:r>
        <w:separator/>
      </w:r>
    </w:p>
  </w:footnote>
  <w:footnote w:type="continuationSeparator" w:id="0">
    <w:p w:rsidR="001247BF" w:rsidRDefault="001247BF">
      <w:r>
        <w:continuationSeparator/>
      </w:r>
    </w:p>
  </w:footnote>
  <w:footnote w:type="continuationNotice" w:id="1">
    <w:p w:rsidR="001247BF" w:rsidRDefault="001247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273" w:rsidRDefault="005612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F33"/>
    <w:multiLevelType w:val="hybridMultilevel"/>
    <w:tmpl w:val="DBF6FB30"/>
    <w:lvl w:ilvl="0" w:tplc="C72EB4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E606F"/>
    <w:multiLevelType w:val="hybridMultilevel"/>
    <w:tmpl w:val="A31250B6"/>
    <w:lvl w:ilvl="0" w:tplc="CD6E6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F3196"/>
    <w:multiLevelType w:val="hybridMultilevel"/>
    <w:tmpl w:val="F04C5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62CE9"/>
    <w:multiLevelType w:val="hybridMultilevel"/>
    <w:tmpl w:val="531CB85E"/>
    <w:lvl w:ilvl="0" w:tplc="54DABB5C">
      <w:numFmt w:val="bullet"/>
      <w:lvlText w:val=""/>
      <w:lvlJc w:val="left"/>
      <w:pPr>
        <w:ind w:left="780" w:hanging="4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F22DE"/>
    <w:multiLevelType w:val="hybridMultilevel"/>
    <w:tmpl w:val="6F0E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B2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024BA5"/>
    <w:multiLevelType w:val="hybridMultilevel"/>
    <w:tmpl w:val="9ED03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814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650C91"/>
    <w:multiLevelType w:val="hybridMultilevel"/>
    <w:tmpl w:val="CC9AEC48"/>
    <w:lvl w:ilvl="0" w:tplc="494A0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2330D"/>
    <w:multiLevelType w:val="hybridMultilevel"/>
    <w:tmpl w:val="E3EC7572"/>
    <w:lvl w:ilvl="0" w:tplc="C72EB4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E34BA"/>
    <w:multiLevelType w:val="hybridMultilevel"/>
    <w:tmpl w:val="2214CBD0"/>
    <w:lvl w:ilvl="0" w:tplc="54DABB5C">
      <w:numFmt w:val="bullet"/>
      <w:lvlText w:val=""/>
      <w:lvlJc w:val="left"/>
      <w:pPr>
        <w:ind w:left="1140" w:hanging="42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85793C"/>
    <w:multiLevelType w:val="hybridMultilevel"/>
    <w:tmpl w:val="9946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2414C"/>
    <w:multiLevelType w:val="hybridMultilevel"/>
    <w:tmpl w:val="6AA8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235C4"/>
    <w:multiLevelType w:val="hybridMultilevel"/>
    <w:tmpl w:val="DF9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16404"/>
    <w:multiLevelType w:val="hybridMultilevel"/>
    <w:tmpl w:val="40FC4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175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846A8B"/>
    <w:multiLevelType w:val="hybridMultilevel"/>
    <w:tmpl w:val="6A06E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A843C5"/>
    <w:multiLevelType w:val="hybridMultilevel"/>
    <w:tmpl w:val="51582DB0"/>
    <w:lvl w:ilvl="0" w:tplc="54DABB5C">
      <w:numFmt w:val="bullet"/>
      <w:lvlText w:val=""/>
      <w:lvlJc w:val="left"/>
      <w:pPr>
        <w:ind w:left="780" w:hanging="4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2283D"/>
    <w:multiLevelType w:val="hybridMultilevel"/>
    <w:tmpl w:val="5BAC5938"/>
    <w:lvl w:ilvl="0" w:tplc="3D24FF98">
      <w:start w:val="1"/>
      <w:numFmt w:val="lowerLetter"/>
      <w:lvlText w:val="%1)"/>
      <w:lvlJc w:val="left"/>
      <w:pPr>
        <w:ind w:left="720" w:hanging="360"/>
      </w:pPr>
      <w:rPr>
        <w:rFonts w:ascii="Times New Roman" w:eastAsia="Times New Roman" w:hAnsi="Times New Roman" w:cs="Times New Roman"/>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F585E"/>
    <w:multiLevelType w:val="hybridMultilevel"/>
    <w:tmpl w:val="49222248"/>
    <w:lvl w:ilvl="0" w:tplc="27A8AF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15"/>
  </w:num>
  <w:num w:numId="4">
    <w:abstractNumId w:val="0"/>
  </w:num>
  <w:num w:numId="5">
    <w:abstractNumId w:val="9"/>
  </w:num>
  <w:num w:numId="6">
    <w:abstractNumId w:val="6"/>
  </w:num>
  <w:num w:numId="7">
    <w:abstractNumId w:val="6"/>
  </w:num>
  <w:num w:numId="8">
    <w:abstractNumId w:val="11"/>
  </w:num>
  <w:num w:numId="9">
    <w:abstractNumId w:val="12"/>
  </w:num>
  <w:num w:numId="10">
    <w:abstractNumId w:val="16"/>
  </w:num>
  <w:num w:numId="11">
    <w:abstractNumId w:val="13"/>
  </w:num>
  <w:num w:numId="12">
    <w:abstractNumId w:val="3"/>
  </w:num>
  <w:num w:numId="13">
    <w:abstractNumId w:val="10"/>
  </w:num>
  <w:num w:numId="14">
    <w:abstractNumId w:val="17"/>
  </w:num>
  <w:num w:numId="15">
    <w:abstractNumId w:val="2"/>
  </w:num>
  <w:num w:numId="16">
    <w:abstractNumId w:val="8"/>
  </w:num>
  <w:num w:numId="17">
    <w:abstractNumId w:val="4"/>
  </w:num>
  <w:num w:numId="18">
    <w:abstractNumId w:val="19"/>
  </w:num>
  <w:num w:numId="19">
    <w:abstractNumId w:val="1"/>
  </w:num>
  <w:num w:numId="20">
    <w:abstractNumId w:val="1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26D28"/>
    <w:rsid w:val="00000373"/>
    <w:rsid w:val="000017BA"/>
    <w:rsid w:val="00004799"/>
    <w:rsid w:val="00004970"/>
    <w:rsid w:val="000052BA"/>
    <w:rsid w:val="00005F07"/>
    <w:rsid w:val="000108C2"/>
    <w:rsid w:val="00017286"/>
    <w:rsid w:val="0002104E"/>
    <w:rsid w:val="0002218F"/>
    <w:rsid w:val="00023DFD"/>
    <w:rsid w:val="00026E9E"/>
    <w:rsid w:val="00027EA9"/>
    <w:rsid w:val="00030325"/>
    <w:rsid w:val="00030A21"/>
    <w:rsid w:val="00031D99"/>
    <w:rsid w:val="000340FA"/>
    <w:rsid w:val="00034B92"/>
    <w:rsid w:val="00041450"/>
    <w:rsid w:val="000416CE"/>
    <w:rsid w:val="00042090"/>
    <w:rsid w:val="00045623"/>
    <w:rsid w:val="000459B4"/>
    <w:rsid w:val="0004603C"/>
    <w:rsid w:val="000501C9"/>
    <w:rsid w:val="00051684"/>
    <w:rsid w:val="000517FB"/>
    <w:rsid w:val="00051B3B"/>
    <w:rsid w:val="0005245F"/>
    <w:rsid w:val="00055217"/>
    <w:rsid w:val="00056225"/>
    <w:rsid w:val="00061F8B"/>
    <w:rsid w:val="000629A1"/>
    <w:rsid w:val="00063CD2"/>
    <w:rsid w:val="00066157"/>
    <w:rsid w:val="000663D8"/>
    <w:rsid w:val="00067EC6"/>
    <w:rsid w:val="00070D22"/>
    <w:rsid w:val="00071F09"/>
    <w:rsid w:val="000722F5"/>
    <w:rsid w:val="000734B6"/>
    <w:rsid w:val="00074432"/>
    <w:rsid w:val="0007499D"/>
    <w:rsid w:val="00077825"/>
    <w:rsid w:val="00084B5A"/>
    <w:rsid w:val="00085104"/>
    <w:rsid w:val="000853C7"/>
    <w:rsid w:val="00090C86"/>
    <w:rsid w:val="00091E90"/>
    <w:rsid w:val="00093631"/>
    <w:rsid w:val="000955C3"/>
    <w:rsid w:val="0009561B"/>
    <w:rsid w:val="00095B52"/>
    <w:rsid w:val="00096780"/>
    <w:rsid w:val="00097A7E"/>
    <w:rsid w:val="000A013F"/>
    <w:rsid w:val="000A027A"/>
    <w:rsid w:val="000A08AF"/>
    <w:rsid w:val="000A1724"/>
    <w:rsid w:val="000A3BE0"/>
    <w:rsid w:val="000A4B54"/>
    <w:rsid w:val="000A53ED"/>
    <w:rsid w:val="000A5850"/>
    <w:rsid w:val="000A5E66"/>
    <w:rsid w:val="000A7402"/>
    <w:rsid w:val="000B0805"/>
    <w:rsid w:val="000B1A3C"/>
    <w:rsid w:val="000B1F65"/>
    <w:rsid w:val="000B33AD"/>
    <w:rsid w:val="000C3E4E"/>
    <w:rsid w:val="000C3FA9"/>
    <w:rsid w:val="000C59C3"/>
    <w:rsid w:val="000D3C44"/>
    <w:rsid w:val="000D3F8E"/>
    <w:rsid w:val="000D4F1D"/>
    <w:rsid w:val="000D5FD4"/>
    <w:rsid w:val="000D7215"/>
    <w:rsid w:val="000D771F"/>
    <w:rsid w:val="000E0E2D"/>
    <w:rsid w:val="000E31A7"/>
    <w:rsid w:val="000E3902"/>
    <w:rsid w:val="000E4AFF"/>
    <w:rsid w:val="000E7CFB"/>
    <w:rsid w:val="000F184D"/>
    <w:rsid w:val="000F6883"/>
    <w:rsid w:val="001042AE"/>
    <w:rsid w:val="00105809"/>
    <w:rsid w:val="00107584"/>
    <w:rsid w:val="0011084A"/>
    <w:rsid w:val="0011207F"/>
    <w:rsid w:val="00113633"/>
    <w:rsid w:val="00117D19"/>
    <w:rsid w:val="00117F78"/>
    <w:rsid w:val="00117F9E"/>
    <w:rsid w:val="0012020C"/>
    <w:rsid w:val="00121991"/>
    <w:rsid w:val="00122710"/>
    <w:rsid w:val="00122E03"/>
    <w:rsid w:val="001247BF"/>
    <w:rsid w:val="00126701"/>
    <w:rsid w:val="00127433"/>
    <w:rsid w:val="0013109C"/>
    <w:rsid w:val="00131DBF"/>
    <w:rsid w:val="00132042"/>
    <w:rsid w:val="0013381C"/>
    <w:rsid w:val="001359A7"/>
    <w:rsid w:val="001361D9"/>
    <w:rsid w:val="00141F78"/>
    <w:rsid w:val="00142310"/>
    <w:rsid w:val="00146A1F"/>
    <w:rsid w:val="00146E56"/>
    <w:rsid w:val="00150323"/>
    <w:rsid w:val="001507D5"/>
    <w:rsid w:val="00152B4E"/>
    <w:rsid w:val="00153553"/>
    <w:rsid w:val="001542B8"/>
    <w:rsid w:val="00163513"/>
    <w:rsid w:val="0016632C"/>
    <w:rsid w:val="00172099"/>
    <w:rsid w:val="00173E46"/>
    <w:rsid w:val="001746AF"/>
    <w:rsid w:val="0017639B"/>
    <w:rsid w:val="001767AE"/>
    <w:rsid w:val="00176E45"/>
    <w:rsid w:val="00180160"/>
    <w:rsid w:val="0018128E"/>
    <w:rsid w:val="00186516"/>
    <w:rsid w:val="00192D17"/>
    <w:rsid w:val="00193E37"/>
    <w:rsid w:val="001A13F5"/>
    <w:rsid w:val="001A213F"/>
    <w:rsid w:val="001A27B9"/>
    <w:rsid w:val="001A4895"/>
    <w:rsid w:val="001A5383"/>
    <w:rsid w:val="001A6433"/>
    <w:rsid w:val="001A7467"/>
    <w:rsid w:val="001A7D85"/>
    <w:rsid w:val="001B08E5"/>
    <w:rsid w:val="001B4C02"/>
    <w:rsid w:val="001B53C9"/>
    <w:rsid w:val="001B7511"/>
    <w:rsid w:val="001C10F1"/>
    <w:rsid w:val="001C18D9"/>
    <w:rsid w:val="001C22D1"/>
    <w:rsid w:val="001C6A37"/>
    <w:rsid w:val="001C6D0E"/>
    <w:rsid w:val="001D407A"/>
    <w:rsid w:val="001D46B9"/>
    <w:rsid w:val="001D5334"/>
    <w:rsid w:val="001D6235"/>
    <w:rsid w:val="001D7026"/>
    <w:rsid w:val="001E64F2"/>
    <w:rsid w:val="001E69BC"/>
    <w:rsid w:val="001E6C5D"/>
    <w:rsid w:val="001E7901"/>
    <w:rsid w:val="001F0150"/>
    <w:rsid w:val="001F2ADB"/>
    <w:rsid w:val="001F2AED"/>
    <w:rsid w:val="00200280"/>
    <w:rsid w:val="002005DA"/>
    <w:rsid w:val="00200D9A"/>
    <w:rsid w:val="0020184E"/>
    <w:rsid w:val="00201C46"/>
    <w:rsid w:val="002020B2"/>
    <w:rsid w:val="002034C3"/>
    <w:rsid w:val="002048F7"/>
    <w:rsid w:val="00215A47"/>
    <w:rsid w:val="00216BC9"/>
    <w:rsid w:val="00217D78"/>
    <w:rsid w:val="00221D8F"/>
    <w:rsid w:val="00222263"/>
    <w:rsid w:val="002226D5"/>
    <w:rsid w:val="00222A82"/>
    <w:rsid w:val="00222C64"/>
    <w:rsid w:val="00223EA8"/>
    <w:rsid w:val="0022576B"/>
    <w:rsid w:val="00236664"/>
    <w:rsid w:val="00241E60"/>
    <w:rsid w:val="0024348E"/>
    <w:rsid w:val="002455B0"/>
    <w:rsid w:val="00246BCD"/>
    <w:rsid w:val="0025012D"/>
    <w:rsid w:val="00250788"/>
    <w:rsid w:val="00253E17"/>
    <w:rsid w:val="002541A6"/>
    <w:rsid w:val="00254F61"/>
    <w:rsid w:val="00255140"/>
    <w:rsid w:val="00257A84"/>
    <w:rsid w:val="002618DA"/>
    <w:rsid w:val="002619B4"/>
    <w:rsid w:val="00263063"/>
    <w:rsid w:val="00263381"/>
    <w:rsid w:val="00264ED7"/>
    <w:rsid w:val="00266344"/>
    <w:rsid w:val="00266BD3"/>
    <w:rsid w:val="00266BDF"/>
    <w:rsid w:val="0027085F"/>
    <w:rsid w:val="00270C48"/>
    <w:rsid w:val="0027489F"/>
    <w:rsid w:val="00276D23"/>
    <w:rsid w:val="0028084F"/>
    <w:rsid w:val="00281EBD"/>
    <w:rsid w:val="002863F4"/>
    <w:rsid w:val="00290508"/>
    <w:rsid w:val="002930FB"/>
    <w:rsid w:val="002A048B"/>
    <w:rsid w:val="002A203D"/>
    <w:rsid w:val="002A2F77"/>
    <w:rsid w:val="002A53BC"/>
    <w:rsid w:val="002A589E"/>
    <w:rsid w:val="002B1791"/>
    <w:rsid w:val="002B4266"/>
    <w:rsid w:val="002B4943"/>
    <w:rsid w:val="002B6AFC"/>
    <w:rsid w:val="002B6EAA"/>
    <w:rsid w:val="002B740F"/>
    <w:rsid w:val="002C22AF"/>
    <w:rsid w:val="002C29B7"/>
    <w:rsid w:val="002C71B7"/>
    <w:rsid w:val="002D0502"/>
    <w:rsid w:val="002D301F"/>
    <w:rsid w:val="002D4432"/>
    <w:rsid w:val="002D514B"/>
    <w:rsid w:val="002D60B7"/>
    <w:rsid w:val="002D6761"/>
    <w:rsid w:val="002D6AD7"/>
    <w:rsid w:val="002D705C"/>
    <w:rsid w:val="002D7195"/>
    <w:rsid w:val="002E0004"/>
    <w:rsid w:val="002E1168"/>
    <w:rsid w:val="002E1226"/>
    <w:rsid w:val="002E3F5F"/>
    <w:rsid w:val="002E5DE5"/>
    <w:rsid w:val="002E7B14"/>
    <w:rsid w:val="002F2693"/>
    <w:rsid w:val="002F2B65"/>
    <w:rsid w:val="002F3E1E"/>
    <w:rsid w:val="002F46E6"/>
    <w:rsid w:val="002F5331"/>
    <w:rsid w:val="002F5C78"/>
    <w:rsid w:val="002F5F49"/>
    <w:rsid w:val="002F74C9"/>
    <w:rsid w:val="00300790"/>
    <w:rsid w:val="003024CD"/>
    <w:rsid w:val="003054FE"/>
    <w:rsid w:val="003055B8"/>
    <w:rsid w:val="0030566B"/>
    <w:rsid w:val="00306E9C"/>
    <w:rsid w:val="0031356F"/>
    <w:rsid w:val="00320345"/>
    <w:rsid w:val="00321555"/>
    <w:rsid w:val="00324978"/>
    <w:rsid w:val="003262E2"/>
    <w:rsid w:val="0032725E"/>
    <w:rsid w:val="00330784"/>
    <w:rsid w:val="003315FB"/>
    <w:rsid w:val="00332092"/>
    <w:rsid w:val="003328C0"/>
    <w:rsid w:val="00333451"/>
    <w:rsid w:val="0033468C"/>
    <w:rsid w:val="00335E14"/>
    <w:rsid w:val="00336108"/>
    <w:rsid w:val="003417EB"/>
    <w:rsid w:val="00342C57"/>
    <w:rsid w:val="00342FD6"/>
    <w:rsid w:val="00344C01"/>
    <w:rsid w:val="00345912"/>
    <w:rsid w:val="00347F69"/>
    <w:rsid w:val="00350CE8"/>
    <w:rsid w:val="00352E82"/>
    <w:rsid w:val="003604E7"/>
    <w:rsid w:val="0036206E"/>
    <w:rsid w:val="00363660"/>
    <w:rsid w:val="003662D4"/>
    <w:rsid w:val="00371C92"/>
    <w:rsid w:val="0037285C"/>
    <w:rsid w:val="00374E11"/>
    <w:rsid w:val="003764BC"/>
    <w:rsid w:val="00376AB9"/>
    <w:rsid w:val="00377E79"/>
    <w:rsid w:val="00381C8A"/>
    <w:rsid w:val="00382006"/>
    <w:rsid w:val="00383054"/>
    <w:rsid w:val="00383C25"/>
    <w:rsid w:val="00385180"/>
    <w:rsid w:val="0038672E"/>
    <w:rsid w:val="00391260"/>
    <w:rsid w:val="003938C9"/>
    <w:rsid w:val="00395ADC"/>
    <w:rsid w:val="0039637C"/>
    <w:rsid w:val="00397AF5"/>
    <w:rsid w:val="003A20A0"/>
    <w:rsid w:val="003A3616"/>
    <w:rsid w:val="003A3868"/>
    <w:rsid w:val="003A413F"/>
    <w:rsid w:val="003A64AA"/>
    <w:rsid w:val="003A676D"/>
    <w:rsid w:val="003B178A"/>
    <w:rsid w:val="003B2D7A"/>
    <w:rsid w:val="003B5D4C"/>
    <w:rsid w:val="003B5DB8"/>
    <w:rsid w:val="003B7E4B"/>
    <w:rsid w:val="003B7F2E"/>
    <w:rsid w:val="003C0400"/>
    <w:rsid w:val="003C0571"/>
    <w:rsid w:val="003C05D5"/>
    <w:rsid w:val="003C07E7"/>
    <w:rsid w:val="003C1246"/>
    <w:rsid w:val="003C4B5B"/>
    <w:rsid w:val="003D0AE4"/>
    <w:rsid w:val="003D1AF6"/>
    <w:rsid w:val="003D2167"/>
    <w:rsid w:val="003D2511"/>
    <w:rsid w:val="003D33AA"/>
    <w:rsid w:val="003D5082"/>
    <w:rsid w:val="003D5815"/>
    <w:rsid w:val="003D6105"/>
    <w:rsid w:val="003D6237"/>
    <w:rsid w:val="003D7246"/>
    <w:rsid w:val="003E1177"/>
    <w:rsid w:val="003E1AC0"/>
    <w:rsid w:val="003E1BC0"/>
    <w:rsid w:val="003E22F3"/>
    <w:rsid w:val="003E37B7"/>
    <w:rsid w:val="003E5A5F"/>
    <w:rsid w:val="003F0915"/>
    <w:rsid w:val="003F1806"/>
    <w:rsid w:val="003F68EE"/>
    <w:rsid w:val="003F75D8"/>
    <w:rsid w:val="004013A1"/>
    <w:rsid w:val="00401815"/>
    <w:rsid w:val="0040213D"/>
    <w:rsid w:val="004040F3"/>
    <w:rsid w:val="0040430C"/>
    <w:rsid w:val="004050A2"/>
    <w:rsid w:val="00405680"/>
    <w:rsid w:val="00406EF1"/>
    <w:rsid w:val="004116A4"/>
    <w:rsid w:val="0041438E"/>
    <w:rsid w:val="00414A04"/>
    <w:rsid w:val="00414E9A"/>
    <w:rsid w:val="004155C2"/>
    <w:rsid w:val="00416895"/>
    <w:rsid w:val="00422148"/>
    <w:rsid w:val="00422864"/>
    <w:rsid w:val="0042421C"/>
    <w:rsid w:val="00424DA9"/>
    <w:rsid w:val="004252A4"/>
    <w:rsid w:val="004265F9"/>
    <w:rsid w:val="0042772D"/>
    <w:rsid w:val="00427C43"/>
    <w:rsid w:val="00430030"/>
    <w:rsid w:val="00431BD4"/>
    <w:rsid w:val="00431DFE"/>
    <w:rsid w:val="00433038"/>
    <w:rsid w:val="00434715"/>
    <w:rsid w:val="004353C6"/>
    <w:rsid w:val="00437B92"/>
    <w:rsid w:val="00437C5F"/>
    <w:rsid w:val="004401F8"/>
    <w:rsid w:val="0044153B"/>
    <w:rsid w:val="00442A00"/>
    <w:rsid w:val="0044540F"/>
    <w:rsid w:val="00446F89"/>
    <w:rsid w:val="00450025"/>
    <w:rsid w:val="004500CE"/>
    <w:rsid w:val="00450AD5"/>
    <w:rsid w:val="00451885"/>
    <w:rsid w:val="00455D65"/>
    <w:rsid w:val="00456133"/>
    <w:rsid w:val="00462B09"/>
    <w:rsid w:val="00464749"/>
    <w:rsid w:val="004658DB"/>
    <w:rsid w:val="004661FB"/>
    <w:rsid w:val="004672A1"/>
    <w:rsid w:val="0046769F"/>
    <w:rsid w:val="00470BC0"/>
    <w:rsid w:val="0047350B"/>
    <w:rsid w:val="00475687"/>
    <w:rsid w:val="004763EE"/>
    <w:rsid w:val="00477103"/>
    <w:rsid w:val="004779DC"/>
    <w:rsid w:val="00483629"/>
    <w:rsid w:val="00483CC9"/>
    <w:rsid w:val="00484B5B"/>
    <w:rsid w:val="004911B3"/>
    <w:rsid w:val="004912F2"/>
    <w:rsid w:val="00493827"/>
    <w:rsid w:val="00494BE9"/>
    <w:rsid w:val="00496B85"/>
    <w:rsid w:val="00497CC2"/>
    <w:rsid w:val="004A0033"/>
    <w:rsid w:val="004A0C70"/>
    <w:rsid w:val="004A1A14"/>
    <w:rsid w:val="004A4770"/>
    <w:rsid w:val="004A48A4"/>
    <w:rsid w:val="004A6159"/>
    <w:rsid w:val="004A65C3"/>
    <w:rsid w:val="004A6A6D"/>
    <w:rsid w:val="004B0C41"/>
    <w:rsid w:val="004B2C33"/>
    <w:rsid w:val="004B46A9"/>
    <w:rsid w:val="004B519E"/>
    <w:rsid w:val="004B650C"/>
    <w:rsid w:val="004B7054"/>
    <w:rsid w:val="004C01F2"/>
    <w:rsid w:val="004C0579"/>
    <w:rsid w:val="004C0C87"/>
    <w:rsid w:val="004C2FCB"/>
    <w:rsid w:val="004C5087"/>
    <w:rsid w:val="004D2405"/>
    <w:rsid w:val="004D2E61"/>
    <w:rsid w:val="004D5652"/>
    <w:rsid w:val="004D7177"/>
    <w:rsid w:val="004E1F12"/>
    <w:rsid w:val="004E39B0"/>
    <w:rsid w:val="004E49AB"/>
    <w:rsid w:val="004E5194"/>
    <w:rsid w:val="004E5693"/>
    <w:rsid w:val="004E56CF"/>
    <w:rsid w:val="004F0EC8"/>
    <w:rsid w:val="004F1D05"/>
    <w:rsid w:val="004F54A0"/>
    <w:rsid w:val="004F7138"/>
    <w:rsid w:val="00501F16"/>
    <w:rsid w:val="00503387"/>
    <w:rsid w:val="00503A32"/>
    <w:rsid w:val="0050620F"/>
    <w:rsid w:val="00510ED5"/>
    <w:rsid w:val="00512F58"/>
    <w:rsid w:val="00514402"/>
    <w:rsid w:val="005164F7"/>
    <w:rsid w:val="005171AC"/>
    <w:rsid w:val="00517B90"/>
    <w:rsid w:val="00520281"/>
    <w:rsid w:val="00520366"/>
    <w:rsid w:val="00520420"/>
    <w:rsid w:val="00520B75"/>
    <w:rsid w:val="00520EF2"/>
    <w:rsid w:val="00522105"/>
    <w:rsid w:val="005252DB"/>
    <w:rsid w:val="0052579F"/>
    <w:rsid w:val="005264BF"/>
    <w:rsid w:val="00527101"/>
    <w:rsid w:val="00527428"/>
    <w:rsid w:val="0052780A"/>
    <w:rsid w:val="00532047"/>
    <w:rsid w:val="00540977"/>
    <w:rsid w:val="0054170A"/>
    <w:rsid w:val="005431A8"/>
    <w:rsid w:val="005456FB"/>
    <w:rsid w:val="00546720"/>
    <w:rsid w:val="00546D03"/>
    <w:rsid w:val="00552A96"/>
    <w:rsid w:val="00553D65"/>
    <w:rsid w:val="00555CED"/>
    <w:rsid w:val="005610A3"/>
    <w:rsid w:val="00561273"/>
    <w:rsid w:val="00562236"/>
    <w:rsid w:val="0056347B"/>
    <w:rsid w:val="005637CB"/>
    <w:rsid w:val="00564ADD"/>
    <w:rsid w:val="005666D3"/>
    <w:rsid w:val="00567517"/>
    <w:rsid w:val="005738F9"/>
    <w:rsid w:val="00576567"/>
    <w:rsid w:val="005813AB"/>
    <w:rsid w:val="00581981"/>
    <w:rsid w:val="00583733"/>
    <w:rsid w:val="00587289"/>
    <w:rsid w:val="0059163F"/>
    <w:rsid w:val="00592122"/>
    <w:rsid w:val="00592208"/>
    <w:rsid w:val="00595739"/>
    <w:rsid w:val="005959D7"/>
    <w:rsid w:val="00596A6A"/>
    <w:rsid w:val="005A0047"/>
    <w:rsid w:val="005A407D"/>
    <w:rsid w:val="005A41D4"/>
    <w:rsid w:val="005A436A"/>
    <w:rsid w:val="005A5426"/>
    <w:rsid w:val="005A7756"/>
    <w:rsid w:val="005A7C7C"/>
    <w:rsid w:val="005A7F2F"/>
    <w:rsid w:val="005B065C"/>
    <w:rsid w:val="005B0C76"/>
    <w:rsid w:val="005B29A8"/>
    <w:rsid w:val="005B71F1"/>
    <w:rsid w:val="005C1817"/>
    <w:rsid w:val="005C1EA2"/>
    <w:rsid w:val="005C23BC"/>
    <w:rsid w:val="005C340B"/>
    <w:rsid w:val="005C48D3"/>
    <w:rsid w:val="005C55EA"/>
    <w:rsid w:val="005C7FD5"/>
    <w:rsid w:val="005D0069"/>
    <w:rsid w:val="005D2FF6"/>
    <w:rsid w:val="005D5296"/>
    <w:rsid w:val="005D602D"/>
    <w:rsid w:val="005E15F4"/>
    <w:rsid w:val="005E1CB0"/>
    <w:rsid w:val="005E2A14"/>
    <w:rsid w:val="005E3D58"/>
    <w:rsid w:val="005E5660"/>
    <w:rsid w:val="005E57A7"/>
    <w:rsid w:val="005E66FA"/>
    <w:rsid w:val="005E6CE3"/>
    <w:rsid w:val="005E79AA"/>
    <w:rsid w:val="005F089F"/>
    <w:rsid w:val="005F2A67"/>
    <w:rsid w:val="005F45A2"/>
    <w:rsid w:val="005F49FD"/>
    <w:rsid w:val="006018AE"/>
    <w:rsid w:val="00601ACE"/>
    <w:rsid w:val="00601C82"/>
    <w:rsid w:val="006021A3"/>
    <w:rsid w:val="006022B5"/>
    <w:rsid w:val="00602A62"/>
    <w:rsid w:val="00604749"/>
    <w:rsid w:val="00606D79"/>
    <w:rsid w:val="00611E6A"/>
    <w:rsid w:val="0061489D"/>
    <w:rsid w:val="00614BB6"/>
    <w:rsid w:val="00615FF8"/>
    <w:rsid w:val="006165FE"/>
    <w:rsid w:val="00616F99"/>
    <w:rsid w:val="00617B46"/>
    <w:rsid w:val="00622DCC"/>
    <w:rsid w:val="00624778"/>
    <w:rsid w:val="00625664"/>
    <w:rsid w:val="00625CDF"/>
    <w:rsid w:val="00625F67"/>
    <w:rsid w:val="00626A11"/>
    <w:rsid w:val="006275DE"/>
    <w:rsid w:val="006306E1"/>
    <w:rsid w:val="00632FD4"/>
    <w:rsid w:val="0063464F"/>
    <w:rsid w:val="00634D8F"/>
    <w:rsid w:val="00635B76"/>
    <w:rsid w:val="006419E1"/>
    <w:rsid w:val="006437C9"/>
    <w:rsid w:val="00644B45"/>
    <w:rsid w:val="006576CD"/>
    <w:rsid w:val="0065797E"/>
    <w:rsid w:val="00664BE3"/>
    <w:rsid w:val="006650EC"/>
    <w:rsid w:val="00671C21"/>
    <w:rsid w:val="0067486B"/>
    <w:rsid w:val="00676E46"/>
    <w:rsid w:val="006806EF"/>
    <w:rsid w:val="00680AB4"/>
    <w:rsid w:val="00680AD3"/>
    <w:rsid w:val="006813A1"/>
    <w:rsid w:val="006834E2"/>
    <w:rsid w:val="00683946"/>
    <w:rsid w:val="00684071"/>
    <w:rsid w:val="006843CA"/>
    <w:rsid w:val="00686190"/>
    <w:rsid w:val="006910B7"/>
    <w:rsid w:val="0069377A"/>
    <w:rsid w:val="00694BC2"/>
    <w:rsid w:val="00696063"/>
    <w:rsid w:val="00696321"/>
    <w:rsid w:val="006979A2"/>
    <w:rsid w:val="006A082C"/>
    <w:rsid w:val="006A36A6"/>
    <w:rsid w:val="006A58CF"/>
    <w:rsid w:val="006B0EC4"/>
    <w:rsid w:val="006B1D7D"/>
    <w:rsid w:val="006B5EF1"/>
    <w:rsid w:val="006B631F"/>
    <w:rsid w:val="006C02BE"/>
    <w:rsid w:val="006C4C12"/>
    <w:rsid w:val="006C5FFC"/>
    <w:rsid w:val="006C659F"/>
    <w:rsid w:val="006C6FA5"/>
    <w:rsid w:val="006C7CDF"/>
    <w:rsid w:val="006D05EB"/>
    <w:rsid w:val="006D0FA9"/>
    <w:rsid w:val="006D732C"/>
    <w:rsid w:val="006E0E23"/>
    <w:rsid w:val="006E4C7D"/>
    <w:rsid w:val="006F0152"/>
    <w:rsid w:val="006F146C"/>
    <w:rsid w:val="006F152A"/>
    <w:rsid w:val="006F2307"/>
    <w:rsid w:val="006F2FAC"/>
    <w:rsid w:val="006F3FAF"/>
    <w:rsid w:val="006F53DB"/>
    <w:rsid w:val="006F5767"/>
    <w:rsid w:val="006F676B"/>
    <w:rsid w:val="00700034"/>
    <w:rsid w:val="0070058F"/>
    <w:rsid w:val="0070068E"/>
    <w:rsid w:val="00703276"/>
    <w:rsid w:val="0070799D"/>
    <w:rsid w:val="00710D71"/>
    <w:rsid w:val="00711557"/>
    <w:rsid w:val="00711737"/>
    <w:rsid w:val="00711B87"/>
    <w:rsid w:val="00712360"/>
    <w:rsid w:val="0071303A"/>
    <w:rsid w:val="00714CE1"/>
    <w:rsid w:val="00715270"/>
    <w:rsid w:val="00715D06"/>
    <w:rsid w:val="00721659"/>
    <w:rsid w:val="0072280F"/>
    <w:rsid w:val="00722D4E"/>
    <w:rsid w:val="00725517"/>
    <w:rsid w:val="00726004"/>
    <w:rsid w:val="00726164"/>
    <w:rsid w:val="007277E8"/>
    <w:rsid w:val="00734295"/>
    <w:rsid w:val="00736CE5"/>
    <w:rsid w:val="00737A6C"/>
    <w:rsid w:val="00740A10"/>
    <w:rsid w:val="00741A70"/>
    <w:rsid w:val="00742FB8"/>
    <w:rsid w:val="00750976"/>
    <w:rsid w:val="007534D1"/>
    <w:rsid w:val="00755DB6"/>
    <w:rsid w:val="00760252"/>
    <w:rsid w:val="0076091E"/>
    <w:rsid w:val="00762CAA"/>
    <w:rsid w:val="00764C58"/>
    <w:rsid w:val="00764F17"/>
    <w:rsid w:val="00765064"/>
    <w:rsid w:val="0076642E"/>
    <w:rsid w:val="00767F97"/>
    <w:rsid w:val="00770722"/>
    <w:rsid w:val="00770775"/>
    <w:rsid w:val="00770FF4"/>
    <w:rsid w:val="007717F7"/>
    <w:rsid w:val="00771D26"/>
    <w:rsid w:val="007733FF"/>
    <w:rsid w:val="00773FD2"/>
    <w:rsid w:val="0077608B"/>
    <w:rsid w:val="0078153C"/>
    <w:rsid w:val="00781CBC"/>
    <w:rsid w:val="00782530"/>
    <w:rsid w:val="00782955"/>
    <w:rsid w:val="00783C6D"/>
    <w:rsid w:val="00786F5C"/>
    <w:rsid w:val="00787229"/>
    <w:rsid w:val="00793C9A"/>
    <w:rsid w:val="00795AFA"/>
    <w:rsid w:val="00797345"/>
    <w:rsid w:val="007A0113"/>
    <w:rsid w:val="007A3AC7"/>
    <w:rsid w:val="007A4752"/>
    <w:rsid w:val="007A48BD"/>
    <w:rsid w:val="007A60FB"/>
    <w:rsid w:val="007A68BD"/>
    <w:rsid w:val="007A69A8"/>
    <w:rsid w:val="007B062B"/>
    <w:rsid w:val="007B1B79"/>
    <w:rsid w:val="007B27F9"/>
    <w:rsid w:val="007B7C98"/>
    <w:rsid w:val="007C00C4"/>
    <w:rsid w:val="007C0C2E"/>
    <w:rsid w:val="007C2C9B"/>
    <w:rsid w:val="007D0F73"/>
    <w:rsid w:val="007D12D9"/>
    <w:rsid w:val="007D244F"/>
    <w:rsid w:val="007D63FE"/>
    <w:rsid w:val="007E3A0D"/>
    <w:rsid w:val="007E7994"/>
    <w:rsid w:val="007F36CB"/>
    <w:rsid w:val="007F3A90"/>
    <w:rsid w:val="007F4545"/>
    <w:rsid w:val="007F739E"/>
    <w:rsid w:val="00800E45"/>
    <w:rsid w:val="0080136C"/>
    <w:rsid w:val="008018E0"/>
    <w:rsid w:val="00803312"/>
    <w:rsid w:val="0080341A"/>
    <w:rsid w:val="008066D5"/>
    <w:rsid w:val="0080700B"/>
    <w:rsid w:val="0080775F"/>
    <w:rsid w:val="00811527"/>
    <w:rsid w:val="00811C58"/>
    <w:rsid w:val="00813AA4"/>
    <w:rsid w:val="00822438"/>
    <w:rsid w:val="00822688"/>
    <w:rsid w:val="00824797"/>
    <w:rsid w:val="0082585F"/>
    <w:rsid w:val="00827A86"/>
    <w:rsid w:val="00827F48"/>
    <w:rsid w:val="00831696"/>
    <w:rsid w:val="00836BBB"/>
    <w:rsid w:val="008419E0"/>
    <w:rsid w:val="008442F5"/>
    <w:rsid w:val="008467CE"/>
    <w:rsid w:val="00847008"/>
    <w:rsid w:val="0085132E"/>
    <w:rsid w:val="00851D74"/>
    <w:rsid w:val="008526AC"/>
    <w:rsid w:val="00852923"/>
    <w:rsid w:val="00853391"/>
    <w:rsid w:val="0085372D"/>
    <w:rsid w:val="00853CC2"/>
    <w:rsid w:val="00854B4B"/>
    <w:rsid w:val="00855B86"/>
    <w:rsid w:val="008611D5"/>
    <w:rsid w:val="008625B9"/>
    <w:rsid w:val="00865322"/>
    <w:rsid w:val="00865A3D"/>
    <w:rsid w:val="00872A3A"/>
    <w:rsid w:val="00875C61"/>
    <w:rsid w:val="00876D07"/>
    <w:rsid w:val="00883F6B"/>
    <w:rsid w:val="00884CA3"/>
    <w:rsid w:val="008872EC"/>
    <w:rsid w:val="00887468"/>
    <w:rsid w:val="00891DC8"/>
    <w:rsid w:val="0089214F"/>
    <w:rsid w:val="008960EE"/>
    <w:rsid w:val="008A07B6"/>
    <w:rsid w:val="008A0D5B"/>
    <w:rsid w:val="008A177A"/>
    <w:rsid w:val="008A17BD"/>
    <w:rsid w:val="008A3085"/>
    <w:rsid w:val="008A40F2"/>
    <w:rsid w:val="008A4ECB"/>
    <w:rsid w:val="008B296F"/>
    <w:rsid w:val="008B53B4"/>
    <w:rsid w:val="008B6BFC"/>
    <w:rsid w:val="008B6DBC"/>
    <w:rsid w:val="008C286E"/>
    <w:rsid w:val="008C46F9"/>
    <w:rsid w:val="008C685F"/>
    <w:rsid w:val="008C70B3"/>
    <w:rsid w:val="008D1E2A"/>
    <w:rsid w:val="008D5E07"/>
    <w:rsid w:val="008D606E"/>
    <w:rsid w:val="008E1935"/>
    <w:rsid w:val="008E2B69"/>
    <w:rsid w:val="008E3746"/>
    <w:rsid w:val="008E4909"/>
    <w:rsid w:val="008E6E63"/>
    <w:rsid w:val="008F394E"/>
    <w:rsid w:val="008F3D4B"/>
    <w:rsid w:val="008F4097"/>
    <w:rsid w:val="00900209"/>
    <w:rsid w:val="00901AFD"/>
    <w:rsid w:val="009047AD"/>
    <w:rsid w:val="0090710A"/>
    <w:rsid w:val="00907C56"/>
    <w:rsid w:val="00911519"/>
    <w:rsid w:val="009117F6"/>
    <w:rsid w:val="00911C9B"/>
    <w:rsid w:val="009120EE"/>
    <w:rsid w:val="00914579"/>
    <w:rsid w:val="00915A24"/>
    <w:rsid w:val="00915A84"/>
    <w:rsid w:val="00916D26"/>
    <w:rsid w:val="00920FDB"/>
    <w:rsid w:val="00922A72"/>
    <w:rsid w:val="00923670"/>
    <w:rsid w:val="00923F37"/>
    <w:rsid w:val="009249F2"/>
    <w:rsid w:val="00926D28"/>
    <w:rsid w:val="009276E3"/>
    <w:rsid w:val="00930102"/>
    <w:rsid w:val="0093040D"/>
    <w:rsid w:val="0093133B"/>
    <w:rsid w:val="00931481"/>
    <w:rsid w:val="0093355C"/>
    <w:rsid w:val="0093441F"/>
    <w:rsid w:val="00934AC9"/>
    <w:rsid w:val="00936A9D"/>
    <w:rsid w:val="00940DE8"/>
    <w:rsid w:val="009413B2"/>
    <w:rsid w:val="00942064"/>
    <w:rsid w:val="00942F43"/>
    <w:rsid w:val="0094636C"/>
    <w:rsid w:val="00946671"/>
    <w:rsid w:val="009473F8"/>
    <w:rsid w:val="00947C05"/>
    <w:rsid w:val="009503E7"/>
    <w:rsid w:val="00950631"/>
    <w:rsid w:val="00950898"/>
    <w:rsid w:val="00952968"/>
    <w:rsid w:val="00953342"/>
    <w:rsid w:val="0095345F"/>
    <w:rsid w:val="00953D04"/>
    <w:rsid w:val="00953FF0"/>
    <w:rsid w:val="00954C60"/>
    <w:rsid w:val="00956523"/>
    <w:rsid w:val="0095799F"/>
    <w:rsid w:val="00960558"/>
    <w:rsid w:val="009607B5"/>
    <w:rsid w:val="009628C4"/>
    <w:rsid w:val="009712BF"/>
    <w:rsid w:val="0097138C"/>
    <w:rsid w:val="00972330"/>
    <w:rsid w:val="00973337"/>
    <w:rsid w:val="00980474"/>
    <w:rsid w:val="009839FF"/>
    <w:rsid w:val="00986964"/>
    <w:rsid w:val="00990A13"/>
    <w:rsid w:val="0099139A"/>
    <w:rsid w:val="00994AA3"/>
    <w:rsid w:val="00994D11"/>
    <w:rsid w:val="00996AB1"/>
    <w:rsid w:val="009A30A3"/>
    <w:rsid w:val="009A3D8E"/>
    <w:rsid w:val="009A6260"/>
    <w:rsid w:val="009A7B12"/>
    <w:rsid w:val="009B4496"/>
    <w:rsid w:val="009B6360"/>
    <w:rsid w:val="009B778C"/>
    <w:rsid w:val="009B7C0B"/>
    <w:rsid w:val="009C12A8"/>
    <w:rsid w:val="009C4C2E"/>
    <w:rsid w:val="009C564B"/>
    <w:rsid w:val="009C7206"/>
    <w:rsid w:val="009C75D5"/>
    <w:rsid w:val="009D097E"/>
    <w:rsid w:val="009D1957"/>
    <w:rsid w:val="009D36F3"/>
    <w:rsid w:val="009D38AA"/>
    <w:rsid w:val="009D3C87"/>
    <w:rsid w:val="009D5926"/>
    <w:rsid w:val="009D6315"/>
    <w:rsid w:val="009D75E2"/>
    <w:rsid w:val="009D798B"/>
    <w:rsid w:val="009E158C"/>
    <w:rsid w:val="009E17C5"/>
    <w:rsid w:val="009E193F"/>
    <w:rsid w:val="009E24E0"/>
    <w:rsid w:val="009E32B9"/>
    <w:rsid w:val="009E59D6"/>
    <w:rsid w:val="009F0E5F"/>
    <w:rsid w:val="009F19A9"/>
    <w:rsid w:val="009F3095"/>
    <w:rsid w:val="009F5197"/>
    <w:rsid w:val="009F6504"/>
    <w:rsid w:val="009F6778"/>
    <w:rsid w:val="00A02CEB"/>
    <w:rsid w:val="00A04290"/>
    <w:rsid w:val="00A052C8"/>
    <w:rsid w:val="00A05A9C"/>
    <w:rsid w:val="00A05D19"/>
    <w:rsid w:val="00A060B7"/>
    <w:rsid w:val="00A067D5"/>
    <w:rsid w:val="00A10DE6"/>
    <w:rsid w:val="00A12B04"/>
    <w:rsid w:val="00A13F56"/>
    <w:rsid w:val="00A21E9F"/>
    <w:rsid w:val="00A24407"/>
    <w:rsid w:val="00A342F4"/>
    <w:rsid w:val="00A35AF0"/>
    <w:rsid w:val="00A37CB9"/>
    <w:rsid w:val="00A405F8"/>
    <w:rsid w:val="00A4487D"/>
    <w:rsid w:val="00A4782F"/>
    <w:rsid w:val="00A53E6A"/>
    <w:rsid w:val="00A5419D"/>
    <w:rsid w:val="00A54D93"/>
    <w:rsid w:val="00A55C30"/>
    <w:rsid w:val="00A55E0A"/>
    <w:rsid w:val="00A5673A"/>
    <w:rsid w:val="00A57BAF"/>
    <w:rsid w:val="00A60CDE"/>
    <w:rsid w:val="00A60F86"/>
    <w:rsid w:val="00A637E2"/>
    <w:rsid w:val="00A63DE5"/>
    <w:rsid w:val="00A63F6F"/>
    <w:rsid w:val="00A6710A"/>
    <w:rsid w:val="00A67C68"/>
    <w:rsid w:val="00A715BE"/>
    <w:rsid w:val="00A73201"/>
    <w:rsid w:val="00A74F78"/>
    <w:rsid w:val="00A76F87"/>
    <w:rsid w:val="00A771DF"/>
    <w:rsid w:val="00A80851"/>
    <w:rsid w:val="00A81583"/>
    <w:rsid w:val="00A82E50"/>
    <w:rsid w:val="00A86022"/>
    <w:rsid w:val="00A90A11"/>
    <w:rsid w:val="00A97B98"/>
    <w:rsid w:val="00AA20F8"/>
    <w:rsid w:val="00AA2F3B"/>
    <w:rsid w:val="00AA3BAD"/>
    <w:rsid w:val="00AA41E0"/>
    <w:rsid w:val="00AB0E33"/>
    <w:rsid w:val="00AB104B"/>
    <w:rsid w:val="00AB1AC5"/>
    <w:rsid w:val="00AB2F66"/>
    <w:rsid w:val="00AB3699"/>
    <w:rsid w:val="00AB4F8E"/>
    <w:rsid w:val="00AC0EBB"/>
    <w:rsid w:val="00AC15EF"/>
    <w:rsid w:val="00AC2D47"/>
    <w:rsid w:val="00AC36C0"/>
    <w:rsid w:val="00AC41E5"/>
    <w:rsid w:val="00AC4244"/>
    <w:rsid w:val="00AC4716"/>
    <w:rsid w:val="00AC4FA4"/>
    <w:rsid w:val="00AC6B5C"/>
    <w:rsid w:val="00AC7478"/>
    <w:rsid w:val="00AC7697"/>
    <w:rsid w:val="00AC7ACD"/>
    <w:rsid w:val="00AD11FC"/>
    <w:rsid w:val="00AD1621"/>
    <w:rsid w:val="00AD2267"/>
    <w:rsid w:val="00AD4291"/>
    <w:rsid w:val="00AD52BD"/>
    <w:rsid w:val="00AE0DC1"/>
    <w:rsid w:val="00AE4E75"/>
    <w:rsid w:val="00AF182E"/>
    <w:rsid w:val="00AF1AC7"/>
    <w:rsid w:val="00AF5573"/>
    <w:rsid w:val="00AF6F35"/>
    <w:rsid w:val="00AF73DE"/>
    <w:rsid w:val="00AF7733"/>
    <w:rsid w:val="00AF7F07"/>
    <w:rsid w:val="00B01854"/>
    <w:rsid w:val="00B020D3"/>
    <w:rsid w:val="00B042B2"/>
    <w:rsid w:val="00B044B7"/>
    <w:rsid w:val="00B059C5"/>
    <w:rsid w:val="00B0756F"/>
    <w:rsid w:val="00B11176"/>
    <w:rsid w:val="00B11457"/>
    <w:rsid w:val="00B116DE"/>
    <w:rsid w:val="00B11F62"/>
    <w:rsid w:val="00B1285B"/>
    <w:rsid w:val="00B17353"/>
    <w:rsid w:val="00B22CF0"/>
    <w:rsid w:val="00B247BC"/>
    <w:rsid w:val="00B25F18"/>
    <w:rsid w:val="00B26233"/>
    <w:rsid w:val="00B305DD"/>
    <w:rsid w:val="00B333F7"/>
    <w:rsid w:val="00B34502"/>
    <w:rsid w:val="00B35C25"/>
    <w:rsid w:val="00B36370"/>
    <w:rsid w:val="00B40013"/>
    <w:rsid w:val="00B40225"/>
    <w:rsid w:val="00B403E6"/>
    <w:rsid w:val="00B407C7"/>
    <w:rsid w:val="00B4290C"/>
    <w:rsid w:val="00B44B5A"/>
    <w:rsid w:val="00B460C7"/>
    <w:rsid w:val="00B50F6B"/>
    <w:rsid w:val="00B51F84"/>
    <w:rsid w:val="00B52E0F"/>
    <w:rsid w:val="00B5349B"/>
    <w:rsid w:val="00B550C7"/>
    <w:rsid w:val="00B564A9"/>
    <w:rsid w:val="00B606F3"/>
    <w:rsid w:val="00B612DD"/>
    <w:rsid w:val="00B61444"/>
    <w:rsid w:val="00B618C8"/>
    <w:rsid w:val="00B61950"/>
    <w:rsid w:val="00B62C3A"/>
    <w:rsid w:val="00B64284"/>
    <w:rsid w:val="00B64BD6"/>
    <w:rsid w:val="00B6522D"/>
    <w:rsid w:val="00B656A4"/>
    <w:rsid w:val="00B65E00"/>
    <w:rsid w:val="00B7035D"/>
    <w:rsid w:val="00B70A44"/>
    <w:rsid w:val="00B75C85"/>
    <w:rsid w:val="00B76635"/>
    <w:rsid w:val="00B76D5E"/>
    <w:rsid w:val="00B809BC"/>
    <w:rsid w:val="00B86CD3"/>
    <w:rsid w:val="00B918A2"/>
    <w:rsid w:val="00B92829"/>
    <w:rsid w:val="00B9486A"/>
    <w:rsid w:val="00B94CBF"/>
    <w:rsid w:val="00B95C63"/>
    <w:rsid w:val="00B96C01"/>
    <w:rsid w:val="00B971FC"/>
    <w:rsid w:val="00B972E0"/>
    <w:rsid w:val="00B97BC0"/>
    <w:rsid w:val="00BA32F4"/>
    <w:rsid w:val="00BA3CCC"/>
    <w:rsid w:val="00BA44F6"/>
    <w:rsid w:val="00BA5A9F"/>
    <w:rsid w:val="00BA615F"/>
    <w:rsid w:val="00BA63A5"/>
    <w:rsid w:val="00BA704B"/>
    <w:rsid w:val="00BB2285"/>
    <w:rsid w:val="00BB282A"/>
    <w:rsid w:val="00BB2C5E"/>
    <w:rsid w:val="00BB45EE"/>
    <w:rsid w:val="00BB5BCF"/>
    <w:rsid w:val="00BB6A71"/>
    <w:rsid w:val="00BC07AA"/>
    <w:rsid w:val="00BC1CDD"/>
    <w:rsid w:val="00BC2ADA"/>
    <w:rsid w:val="00BC2CEE"/>
    <w:rsid w:val="00BC2DEA"/>
    <w:rsid w:val="00BC4D8D"/>
    <w:rsid w:val="00BC6229"/>
    <w:rsid w:val="00BD06C0"/>
    <w:rsid w:val="00BD0C92"/>
    <w:rsid w:val="00BD440F"/>
    <w:rsid w:val="00BE088E"/>
    <w:rsid w:val="00BF1F89"/>
    <w:rsid w:val="00BF3C8A"/>
    <w:rsid w:val="00BF40E4"/>
    <w:rsid w:val="00BF5097"/>
    <w:rsid w:val="00BF5260"/>
    <w:rsid w:val="00BF59F4"/>
    <w:rsid w:val="00C00BC1"/>
    <w:rsid w:val="00C04087"/>
    <w:rsid w:val="00C04206"/>
    <w:rsid w:val="00C0501A"/>
    <w:rsid w:val="00C05788"/>
    <w:rsid w:val="00C103E1"/>
    <w:rsid w:val="00C14263"/>
    <w:rsid w:val="00C155EC"/>
    <w:rsid w:val="00C15DB2"/>
    <w:rsid w:val="00C21E74"/>
    <w:rsid w:val="00C226AD"/>
    <w:rsid w:val="00C22B23"/>
    <w:rsid w:val="00C23777"/>
    <w:rsid w:val="00C3053D"/>
    <w:rsid w:val="00C30AFE"/>
    <w:rsid w:val="00C30CEF"/>
    <w:rsid w:val="00C315AF"/>
    <w:rsid w:val="00C32947"/>
    <w:rsid w:val="00C32E51"/>
    <w:rsid w:val="00C35490"/>
    <w:rsid w:val="00C365D2"/>
    <w:rsid w:val="00C36C95"/>
    <w:rsid w:val="00C42FD0"/>
    <w:rsid w:val="00C43FCD"/>
    <w:rsid w:val="00C46622"/>
    <w:rsid w:val="00C46A0F"/>
    <w:rsid w:val="00C501F3"/>
    <w:rsid w:val="00C52A71"/>
    <w:rsid w:val="00C5328E"/>
    <w:rsid w:val="00C532E9"/>
    <w:rsid w:val="00C5546B"/>
    <w:rsid w:val="00C61DF2"/>
    <w:rsid w:val="00C662C5"/>
    <w:rsid w:val="00C67B95"/>
    <w:rsid w:val="00C74009"/>
    <w:rsid w:val="00C772A9"/>
    <w:rsid w:val="00C817AA"/>
    <w:rsid w:val="00C82265"/>
    <w:rsid w:val="00C84AB4"/>
    <w:rsid w:val="00C84BD4"/>
    <w:rsid w:val="00C85B45"/>
    <w:rsid w:val="00C90A8E"/>
    <w:rsid w:val="00C91028"/>
    <w:rsid w:val="00C9143E"/>
    <w:rsid w:val="00C918FB"/>
    <w:rsid w:val="00C9515E"/>
    <w:rsid w:val="00C95889"/>
    <w:rsid w:val="00CA3983"/>
    <w:rsid w:val="00CA60C9"/>
    <w:rsid w:val="00CA7E37"/>
    <w:rsid w:val="00CB0846"/>
    <w:rsid w:val="00CB1F4C"/>
    <w:rsid w:val="00CB39DC"/>
    <w:rsid w:val="00CB502F"/>
    <w:rsid w:val="00CB5F00"/>
    <w:rsid w:val="00CB6924"/>
    <w:rsid w:val="00CB6B94"/>
    <w:rsid w:val="00CB6EDE"/>
    <w:rsid w:val="00CC0C18"/>
    <w:rsid w:val="00CC2ACF"/>
    <w:rsid w:val="00CD0CC6"/>
    <w:rsid w:val="00CD2329"/>
    <w:rsid w:val="00CD3146"/>
    <w:rsid w:val="00CD3482"/>
    <w:rsid w:val="00CD50BF"/>
    <w:rsid w:val="00CD544C"/>
    <w:rsid w:val="00CE0680"/>
    <w:rsid w:val="00CE363C"/>
    <w:rsid w:val="00CE40EF"/>
    <w:rsid w:val="00CE4299"/>
    <w:rsid w:val="00CF07C6"/>
    <w:rsid w:val="00CF0B37"/>
    <w:rsid w:val="00CF3EAD"/>
    <w:rsid w:val="00CF5457"/>
    <w:rsid w:val="00CF7019"/>
    <w:rsid w:val="00D008C6"/>
    <w:rsid w:val="00D00E68"/>
    <w:rsid w:val="00D01086"/>
    <w:rsid w:val="00D016EE"/>
    <w:rsid w:val="00D032A6"/>
    <w:rsid w:val="00D03C40"/>
    <w:rsid w:val="00D06DD7"/>
    <w:rsid w:val="00D06ECA"/>
    <w:rsid w:val="00D0733D"/>
    <w:rsid w:val="00D07F07"/>
    <w:rsid w:val="00D12A01"/>
    <w:rsid w:val="00D13368"/>
    <w:rsid w:val="00D13A2A"/>
    <w:rsid w:val="00D1626C"/>
    <w:rsid w:val="00D16306"/>
    <w:rsid w:val="00D20762"/>
    <w:rsid w:val="00D22CB3"/>
    <w:rsid w:val="00D2457B"/>
    <w:rsid w:val="00D24BD2"/>
    <w:rsid w:val="00D25722"/>
    <w:rsid w:val="00D262AD"/>
    <w:rsid w:val="00D262C4"/>
    <w:rsid w:val="00D26EDF"/>
    <w:rsid w:val="00D279D6"/>
    <w:rsid w:val="00D30E1C"/>
    <w:rsid w:val="00D31E60"/>
    <w:rsid w:val="00D37A28"/>
    <w:rsid w:val="00D40E15"/>
    <w:rsid w:val="00D41F08"/>
    <w:rsid w:val="00D4287A"/>
    <w:rsid w:val="00D46647"/>
    <w:rsid w:val="00D47772"/>
    <w:rsid w:val="00D52F0E"/>
    <w:rsid w:val="00D6546E"/>
    <w:rsid w:val="00D65C8D"/>
    <w:rsid w:val="00D7045B"/>
    <w:rsid w:val="00D70731"/>
    <w:rsid w:val="00D746E4"/>
    <w:rsid w:val="00D80023"/>
    <w:rsid w:val="00D81834"/>
    <w:rsid w:val="00D831E3"/>
    <w:rsid w:val="00D85E57"/>
    <w:rsid w:val="00D8703F"/>
    <w:rsid w:val="00D925C6"/>
    <w:rsid w:val="00D93437"/>
    <w:rsid w:val="00DA0F98"/>
    <w:rsid w:val="00DA17C3"/>
    <w:rsid w:val="00DA1920"/>
    <w:rsid w:val="00DA1B09"/>
    <w:rsid w:val="00DA1C28"/>
    <w:rsid w:val="00DA242B"/>
    <w:rsid w:val="00DA2A46"/>
    <w:rsid w:val="00DA4EF2"/>
    <w:rsid w:val="00DB1508"/>
    <w:rsid w:val="00DB193C"/>
    <w:rsid w:val="00DB1E81"/>
    <w:rsid w:val="00DB28C0"/>
    <w:rsid w:val="00DB48DC"/>
    <w:rsid w:val="00DB57F9"/>
    <w:rsid w:val="00DB72C0"/>
    <w:rsid w:val="00DB782C"/>
    <w:rsid w:val="00DC0052"/>
    <w:rsid w:val="00DC17FE"/>
    <w:rsid w:val="00DC3879"/>
    <w:rsid w:val="00DC3C03"/>
    <w:rsid w:val="00DC3DA7"/>
    <w:rsid w:val="00DC6F9D"/>
    <w:rsid w:val="00DC7184"/>
    <w:rsid w:val="00DD0E24"/>
    <w:rsid w:val="00DD2122"/>
    <w:rsid w:val="00DD43E4"/>
    <w:rsid w:val="00DD4EA2"/>
    <w:rsid w:val="00DD5A43"/>
    <w:rsid w:val="00DE06FF"/>
    <w:rsid w:val="00DE2707"/>
    <w:rsid w:val="00DE3628"/>
    <w:rsid w:val="00DE3A96"/>
    <w:rsid w:val="00DE56D5"/>
    <w:rsid w:val="00DF043A"/>
    <w:rsid w:val="00DF112F"/>
    <w:rsid w:val="00DF2108"/>
    <w:rsid w:val="00DF3E92"/>
    <w:rsid w:val="00DF6335"/>
    <w:rsid w:val="00DF6C11"/>
    <w:rsid w:val="00E00B30"/>
    <w:rsid w:val="00E019EC"/>
    <w:rsid w:val="00E01F6C"/>
    <w:rsid w:val="00E0260B"/>
    <w:rsid w:val="00E06635"/>
    <w:rsid w:val="00E10CBF"/>
    <w:rsid w:val="00E14A89"/>
    <w:rsid w:val="00E17AC9"/>
    <w:rsid w:val="00E216DE"/>
    <w:rsid w:val="00E21AD6"/>
    <w:rsid w:val="00E21CBE"/>
    <w:rsid w:val="00E23FB3"/>
    <w:rsid w:val="00E2783B"/>
    <w:rsid w:val="00E300A2"/>
    <w:rsid w:val="00E31072"/>
    <w:rsid w:val="00E341D5"/>
    <w:rsid w:val="00E357AC"/>
    <w:rsid w:val="00E36948"/>
    <w:rsid w:val="00E41A23"/>
    <w:rsid w:val="00E41BBC"/>
    <w:rsid w:val="00E420FD"/>
    <w:rsid w:val="00E43646"/>
    <w:rsid w:val="00E44861"/>
    <w:rsid w:val="00E457A7"/>
    <w:rsid w:val="00E46F11"/>
    <w:rsid w:val="00E46FD7"/>
    <w:rsid w:val="00E50145"/>
    <w:rsid w:val="00E508C0"/>
    <w:rsid w:val="00E528E3"/>
    <w:rsid w:val="00E53364"/>
    <w:rsid w:val="00E53E8B"/>
    <w:rsid w:val="00E54515"/>
    <w:rsid w:val="00E609BA"/>
    <w:rsid w:val="00E60FF8"/>
    <w:rsid w:val="00E62C08"/>
    <w:rsid w:val="00E62D86"/>
    <w:rsid w:val="00E6429D"/>
    <w:rsid w:val="00E64F2B"/>
    <w:rsid w:val="00E66623"/>
    <w:rsid w:val="00E67C4B"/>
    <w:rsid w:val="00E70025"/>
    <w:rsid w:val="00E73EE5"/>
    <w:rsid w:val="00E752B1"/>
    <w:rsid w:val="00E7569E"/>
    <w:rsid w:val="00E75769"/>
    <w:rsid w:val="00E77E4F"/>
    <w:rsid w:val="00E802C5"/>
    <w:rsid w:val="00E874A9"/>
    <w:rsid w:val="00E92D6B"/>
    <w:rsid w:val="00E93B82"/>
    <w:rsid w:val="00EA0596"/>
    <w:rsid w:val="00EA108B"/>
    <w:rsid w:val="00EA2F6D"/>
    <w:rsid w:val="00EA5C4A"/>
    <w:rsid w:val="00EA72C4"/>
    <w:rsid w:val="00EA7C69"/>
    <w:rsid w:val="00EA7F10"/>
    <w:rsid w:val="00EB0A88"/>
    <w:rsid w:val="00EB14D7"/>
    <w:rsid w:val="00EB1CC8"/>
    <w:rsid w:val="00EB4D4D"/>
    <w:rsid w:val="00EB5F4E"/>
    <w:rsid w:val="00EB7366"/>
    <w:rsid w:val="00EC15F4"/>
    <w:rsid w:val="00EC30DA"/>
    <w:rsid w:val="00EC33E7"/>
    <w:rsid w:val="00EC3EF7"/>
    <w:rsid w:val="00EC4EF6"/>
    <w:rsid w:val="00ED09CC"/>
    <w:rsid w:val="00ED2CBF"/>
    <w:rsid w:val="00ED3325"/>
    <w:rsid w:val="00ED3737"/>
    <w:rsid w:val="00ED3CF6"/>
    <w:rsid w:val="00EE06D1"/>
    <w:rsid w:val="00EE0981"/>
    <w:rsid w:val="00EE2E79"/>
    <w:rsid w:val="00EE31C8"/>
    <w:rsid w:val="00EE5EBC"/>
    <w:rsid w:val="00EF280A"/>
    <w:rsid w:val="00EF4C19"/>
    <w:rsid w:val="00EF56BA"/>
    <w:rsid w:val="00EF59BB"/>
    <w:rsid w:val="00EF6A22"/>
    <w:rsid w:val="00F00970"/>
    <w:rsid w:val="00F0148A"/>
    <w:rsid w:val="00F0183A"/>
    <w:rsid w:val="00F02780"/>
    <w:rsid w:val="00F03514"/>
    <w:rsid w:val="00F146C0"/>
    <w:rsid w:val="00F15ECC"/>
    <w:rsid w:val="00F16CC9"/>
    <w:rsid w:val="00F20CDC"/>
    <w:rsid w:val="00F23122"/>
    <w:rsid w:val="00F236E0"/>
    <w:rsid w:val="00F237A8"/>
    <w:rsid w:val="00F245E9"/>
    <w:rsid w:val="00F24C1B"/>
    <w:rsid w:val="00F25FF4"/>
    <w:rsid w:val="00F27820"/>
    <w:rsid w:val="00F319AF"/>
    <w:rsid w:val="00F3555E"/>
    <w:rsid w:val="00F372BF"/>
    <w:rsid w:val="00F40815"/>
    <w:rsid w:val="00F40A5D"/>
    <w:rsid w:val="00F41327"/>
    <w:rsid w:val="00F45555"/>
    <w:rsid w:val="00F47B5D"/>
    <w:rsid w:val="00F50099"/>
    <w:rsid w:val="00F522DF"/>
    <w:rsid w:val="00F527BD"/>
    <w:rsid w:val="00F537F9"/>
    <w:rsid w:val="00F5477C"/>
    <w:rsid w:val="00F560B3"/>
    <w:rsid w:val="00F60BB2"/>
    <w:rsid w:val="00F66242"/>
    <w:rsid w:val="00F665DA"/>
    <w:rsid w:val="00F7302B"/>
    <w:rsid w:val="00F73732"/>
    <w:rsid w:val="00F73ACA"/>
    <w:rsid w:val="00F74955"/>
    <w:rsid w:val="00F75A0C"/>
    <w:rsid w:val="00F75D1C"/>
    <w:rsid w:val="00F76FFC"/>
    <w:rsid w:val="00F77128"/>
    <w:rsid w:val="00F802BC"/>
    <w:rsid w:val="00F804B0"/>
    <w:rsid w:val="00F80800"/>
    <w:rsid w:val="00F83372"/>
    <w:rsid w:val="00F8490B"/>
    <w:rsid w:val="00F84973"/>
    <w:rsid w:val="00F9182F"/>
    <w:rsid w:val="00F92B27"/>
    <w:rsid w:val="00F931F2"/>
    <w:rsid w:val="00F9502D"/>
    <w:rsid w:val="00F95479"/>
    <w:rsid w:val="00F967CC"/>
    <w:rsid w:val="00F976F4"/>
    <w:rsid w:val="00FA37AF"/>
    <w:rsid w:val="00FA3E97"/>
    <w:rsid w:val="00FA6960"/>
    <w:rsid w:val="00FA6C09"/>
    <w:rsid w:val="00FA738B"/>
    <w:rsid w:val="00FB0DF6"/>
    <w:rsid w:val="00FB1D48"/>
    <w:rsid w:val="00FB22AD"/>
    <w:rsid w:val="00FB37C4"/>
    <w:rsid w:val="00FB3A27"/>
    <w:rsid w:val="00FB4C71"/>
    <w:rsid w:val="00FB5609"/>
    <w:rsid w:val="00FB6565"/>
    <w:rsid w:val="00FB7359"/>
    <w:rsid w:val="00FB7A1D"/>
    <w:rsid w:val="00FC217C"/>
    <w:rsid w:val="00FC3346"/>
    <w:rsid w:val="00FC5573"/>
    <w:rsid w:val="00FC6C3E"/>
    <w:rsid w:val="00FD3BAE"/>
    <w:rsid w:val="00FD5A34"/>
    <w:rsid w:val="00FD5EB9"/>
    <w:rsid w:val="00FE1036"/>
    <w:rsid w:val="00FE1C9D"/>
    <w:rsid w:val="00FE30F7"/>
    <w:rsid w:val="00FE3625"/>
    <w:rsid w:val="00FE38B4"/>
    <w:rsid w:val="00FE38C0"/>
    <w:rsid w:val="00FE5A44"/>
    <w:rsid w:val="00FE632F"/>
    <w:rsid w:val="00FE6AB6"/>
    <w:rsid w:val="00FF01E0"/>
    <w:rsid w:val="00FF07FE"/>
    <w:rsid w:val="00FF1F81"/>
    <w:rsid w:val="00FF40AC"/>
    <w:rsid w:val="00FF5660"/>
    <w:rsid w:val="00FF56F1"/>
    <w:rsid w:val="00FF5A72"/>
    <w:rsid w:val="00FF625A"/>
    <w:rsid w:val="00FF726A"/>
    <w:rsid w:val="00FF7E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B3FC43-59B4-4CD3-BC45-5681A615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AC0"/>
    <w:rPr>
      <w:sz w:val="24"/>
      <w:szCs w:val="24"/>
      <w:lang w:val="en-GB" w:eastAsia="en-GB"/>
    </w:rPr>
  </w:style>
  <w:style w:type="paragraph" w:styleId="Heading1">
    <w:name w:val="heading 1"/>
    <w:basedOn w:val="Heading2"/>
    <w:next w:val="Normal"/>
    <w:qFormat/>
    <w:rsid w:val="001C62B4"/>
    <w:pPr>
      <w:keepLines/>
      <w:autoSpaceDE w:val="0"/>
      <w:autoSpaceDN w:val="0"/>
      <w:adjustRightInd w:val="0"/>
      <w:spacing w:before="480" w:after="0"/>
      <w:jc w:val="center"/>
      <w:outlineLvl w:val="0"/>
    </w:pPr>
    <w:rPr>
      <w:rFonts w:cs="Times New Roman"/>
      <w:bCs w:val="0"/>
      <w:i/>
      <w:iCs w:val="0"/>
      <w:szCs w:val="20"/>
      <w:u w:val="single"/>
      <w:lang w:eastAsia="en-US"/>
    </w:rPr>
  </w:style>
  <w:style w:type="paragraph" w:styleId="Heading2">
    <w:name w:val="heading 2"/>
    <w:basedOn w:val="Normal"/>
    <w:next w:val="Normal"/>
    <w:qFormat/>
    <w:rsid w:val="00715D06"/>
    <w:pPr>
      <w:keepNext/>
      <w:spacing w:before="360" w:after="240"/>
      <w:outlineLvl w:val="1"/>
    </w:pPr>
    <w:rPr>
      <w:rFonts w:cs="Arial"/>
      <w:b/>
      <w:bCs/>
      <w:iCs/>
      <w:szCs w:val="28"/>
    </w:rPr>
  </w:style>
  <w:style w:type="paragraph" w:styleId="Heading3">
    <w:name w:val="heading 3"/>
    <w:basedOn w:val="Normal"/>
    <w:next w:val="Normal"/>
    <w:link w:val="Heading3Char"/>
    <w:semiHidden/>
    <w:unhideWhenUsed/>
    <w:qFormat/>
    <w:rsid w:val="00901A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6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C62B4"/>
    <w:pPr>
      <w:spacing w:before="240" w:after="60"/>
      <w:jc w:val="center"/>
      <w:outlineLvl w:val="0"/>
    </w:pPr>
    <w:rPr>
      <w:rFonts w:ascii="Arial" w:hAnsi="Arial" w:cs="Arial"/>
      <w:b/>
      <w:bCs/>
      <w:kern w:val="28"/>
      <w:sz w:val="32"/>
      <w:szCs w:val="32"/>
      <w:lang w:val="fr-FR" w:eastAsia="en-US"/>
    </w:rPr>
  </w:style>
  <w:style w:type="paragraph" w:customStyle="1" w:styleId="Text">
    <w:name w:val="Text"/>
    <w:basedOn w:val="Normal"/>
    <w:link w:val="TextChar"/>
    <w:rsid w:val="001C62B4"/>
    <w:pPr>
      <w:spacing w:before="240"/>
      <w:jc w:val="both"/>
    </w:pPr>
    <w:rPr>
      <w:szCs w:val="20"/>
      <w:lang w:eastAsia="en-US"/>
    </w:rPr>
  </w:style>
  <w:style w:type="character" w:customStyle="1" w:styleId="TextChar">
    <w:name w:val="Text Char"/>
    <w:link w:val="Text"/>
    <w:rsid w:val="001C62B4"/>
    <w:rPr>
      <w:sz w:val="24"/>
      <w:lang w:val="en-GB" w:eastAsia="en-US" w:bidi="ar-SA"/>
    </w:rPr>
  </w:style>
  <w:style w:type="character" w:styleId="Hyperlink">
    <w:name w:val="Hyperlink"/>
    <w:rsid w:val="001C62B4"/>
    <w:rPr>
      <w:color w:val="0000FF"/>
      <w:u w:val="single"/>
    </w:rPr>
  </w:style>
  <w:style w:type="paragraph" w:customStyle="1" w:styleId="Text1">
    <w:name w:val="Text 1"/>
    <w:basedOn w:val="Normal"/>
    <w:rsid w:val="00DC5D12"/>
    <w:pPr>
      <w:spacing w:after="240"/>
      <w:ind w:left="482"/>
      <w:jc w:val="both"/>
    </w:pPr>
    <w:rPr>
      <w:szCs w:val="20"/>
      <w:lang w:eastAsia="en-US"/>
    </w:rPr>
  </w:style>
  <w:style w:type="character" w:styleId="FootnoteReference">
    <w:name w:val="footnote reference"/>
    <w:aliases w:val="16 Point,Superscript 6 Point,Footnote Reference Number,Footnote Reference_LVL6,Footnote Reference_LVL61,Footnote Reference_LVL62,Footnote Reference_LVL63,Footnote Reference_LVL64,-E Fußnotenzeichen, BVI fnr"/>
    <w:semiHidden/>
    <w:rsid w:val="005D6C7A"/>
    <w:rPr>
      <w:vertAlign w:val="superscript"/>
    </w:rPr>
  </w:style>
  <w:style w:type="paragraph" w:styleId="Footer">
    <w:name w:val="footer"/>
    <w:basedOn w:val="Normal"/>
    <w:link w:val="FooterChar"/>
    <w:uiPriority w:val="99"/>
    <w:rsid w:val="00850D36"/>
    <w:pPr>
      <w:tabs>
        <w:tab w:val="center" w:pos="4153"/>
        <w:tab w:val="right" w:pos="8306"/>
      </w:tabs>
    </w:pPr>
  </w:style>
  <w:style w:type="character" w:styleId="PageNumber">
    <w:name w:val="page number"/>
    <w:basedOn w:val="DefaultParagraphFont"/>
    <w:rsid w:val="00850D36"/>
  </w:style>
  <w:style w:type="paragraph" w:customStyle="1" w:styleId="text10">
    <w:name w:val="text1"/>
    <w:basedOn w:val="Normal"/>
    <w:rsid w:val="00850D36"/>
    <w:pPr>
      <w:spacing w:before="100" w:beforeAutospacing="1" w:after="100" w:afterAutospacing="1"/>
    </w:pPr>
  </w:style>
  <w:style w:type="character" w:styleId="CommentReference">
    <w:name w:val="annotation reference"/>
    <w:semiHidden/>
    <w:rsid w:val="00F40815"/>
    <w:rPr>
      <w:sz w:val="16"/>
      <w:szCs w:val="16"/>
    </w:rPr>
  </w:style>
  <w:style w:type="paragraph" w:styleId="CommentText">
    <w:name w:val="annotation text"/>
    <w:basedOn w:val="Normal"/>
    <w:link w:val="CommentTextChar"/>
    <w:semiHidden/>
    <w:rsid w:val="00F40815"/>
    <w:rPr>
      <w:sz w:val="20"/>
      <w:szCs w:val="20"/>
    </w:rPr>
  </w:style>
  <w:style w:type="paragraph" w:styleId="CommentSubject">
    <w:name w:val="annotation subject"/>
    <w:basedOn w:val="CommentText"/>
    <w:next w:val="CommentText"/>
    <w:semiHidden/>
    <w:rsid w:val="00F40815"/>
    <w:rPr>
      <w:b/>
      <w:bCs/>
    </w:rPr>
  </w:style>
  <w:style w:type="paragraph" w:styleId="BalloonText">
    <w:name w:val="Balloon Text"/>
    <w:basedOn w:val="Normal"/>
    <w:semiHidden/>
    <w:rsid w:val="00F40815"/>
    <w:rPr>
      <w:rFonts w:ascii="Tahoma" w:hAnsi="Tahoma" w:cs="Tahoma"/>
      <w:sz w:val="16"/>
      <w:szCs w:val="16"/>
    </w:rPr>
  </w:style>
  <w:style w:type="paragraph" w:styleId="FootnoteText">
    <w:name w:val="footnote text"/>
    <w:basedOn w:val="Normal"/>
    <w:semiHidden/>
    <w:rsid w:val="00854B4B"/>
    <w:rPr>
      <w:rFonts w:ascii="Arial" w:hAnsi="Arial"/>
      <w:sz w:val="20"/>
      <w:szCs w:val="20"/>
    </w:rPr>
  </w:style>
  <w:style w:type="character" w:customStyle="1" w:styleId="yshortcuts">
    <w:name w:val="yshortcuts"/>
    <w:basedOn w:val="DefaultParagraphFont"/>
    <w:rsid w:val="00ED09CC"/>
  </w:style>
  <w:style w:type="character" w:customStyle="1" w:styleId="hps">
    <w:name w:val="hps"/>
    <w:rsid w:val="00A052C8"/>
  </w:style>
  <w:style w:type="paragraph" w:styleId="NormalWeb">
    <w:name w:val="Normal (Web)"/>
    <w:basedOn w:val="Normal"/>
    <w:uiPriority w:val="99"/>
    <w:unhideWhenUsed/>
    <w:rsid w:val="00BB45EE"/>
    <w:pPr>
      <w:spacing w:before="100" w:beforeAutospacing="1" w:after="100" w:afterAutospacing="1"/>
    </w:pPr>
  </w:style>
  <w:style w:type="character" w:styleId="Strong">
    <w:name w:val="Strong"/>
    <w:uiPriority w:val="22"/>
    <w:qFormat/>
    <w:rsid w:val="00BB45EE"/>
    <w:rPr>
      <w:b/>
      <w:bCs/>
    </w:rPr>
  </w:style>
  <w:style w:type="character" w:customStyle="1" w:styleId="s3">
    <w:name w:val="s3"/>
    <w:rsid w:val="00B17353"/>
  </w:style>
  <w:style w:type="character" w:styleId="FollowedHyperlink">
    <w:name w:val="FollowedHyperlink"/>
    <w:rsid w:val="000A1724"/>
    <w:rPr>
      <w:color w:val="800080"/>
      <w:u w:val="single"/>
    </w:rPr>
  </w:style>
  <w:style w:type="paragraph" w:styleId="Revision">
    <w:name w:val="Revision"/>
    <w:hidden/>
    <w:uiPriority w:val="99"/>
    <w:semiHidden/>
    <w:rsid w:val="003B5DB8"/>
    <w:rPr>
      <w:sz w:val="24"/>
      <w:szCs w:val="24"/>
      <w:lang w:val="en-GB" w:eastAsia="en-GB"/>
    </w:rPr>
  </w:style>
  <w:style w:type="paragraph" w:customStyle="1" w:styleId="Normal6">
    <w:name w:val="Normal6"/>
    <w:basedOn w:val="Normal"/>
    <w:rsid w:val="003B5DB8"/>
    <w:pPr>
      <w:widowControl w:val="0"/>
      <w:spacing w:after="120"/>
    </w:pPr>
    <w:rPr>
      <w:szCs w:val="20"/>
    </w:rPr>
  </w:style>
  <w:style w:type="paragraph" w:styleId="Header">
    <w:name w:val="header"/>
    <w:basedOn w:val="Normal"/>
    <w:link w:val="HeaderChar"/>
    <w:rsid w:val="004911B3"/>
    <w:pPr>
      <w:tabs>
        <w:tab w:val="center" w:pos="4513"/>
        <w:tab w:val="right" w:pos="9026"/>
      </w:tabs>
    </w:pPr>
  </w:style>
  <w:style w:type="character" w:customStyle="1" w:styleId="HeaderChar">
    <w:name w:val="Header Char"/>
    <w:link w:val="Header"/>
    <w:rsid w:val="004911B3"/>
    <w:rPr>
      <w:sz w:val="24"/>
      <w:szCs w:val="24"/>
    </w:rPr>
  </w:style>
  <w:style w:type="character" w:customStyle="1" w:styleId="FooterChar">
    <w:name w:val="Footer Char"/>
    <w:link w:val="Footer"/>
    <w:uiPriority w:val="99"/>
    <w:rsid w:val="004911B3"/>
    <w:rPr>
      <w:sz w:val="24"/>
      <w:szCs w:val="24"/>
    </w:rPr>
  </w:style>
  <w:style w:type="paragraph" w:styleId="ListParagraph">
    <w:name w:val="List Paragraph"/>
    <w:basedOn w:val="Normal"/>
    <w:uiPriority w:val="34"/>
    <w:qFormat/>
    <w:rsid w:val="00595739"/>
    <w:pPr>
      <w:ind w:left="720"/>
      <w:contextualSpacing/>
    </w:pPr>
  </w:style>
  <w:style w:type="character" w:customStyle="1" w:styleId="CommentTextChar">
    <w:name w:val="Comment Text Char"/>
    <w:basedOn w:val="DefaultParagraphFont"/>
    <w:link w:val="CommentText"/>
    <w:uiPriority w:val="99"/>
    <w:semiHidden/>
    <w:rsid w:val="0022576B"/>
    <w:rPr>
      <w:lang w:val="en-GB" w:eastAsia="en-GB"/>
    </w:rPr>
  </w:style>
  <w:style w:type="character" w:customStyle="1" w:styleId="TitleChar">
    <w:name w:val="Title Char"/>
    <w:basedOn w:val="DefaultParagraphFont"/>
    <w:link w:val="Title"/>
    <w:rsid w:val="00BB2285"/>
    <w:rPr>
      <w:rFonts w:ascii="Arial" w:hAnsi="Arial" w:cs="Arial"/>
      <w:b/>
      <w:bCs/>
      <w:kern w:val="28"/>
      <w:sz w:val="32"/>
      <w:szCs w:val="32"/>
      <w:lang w:eastAsia="en-US"/>
    </w:rPr>
  </w:style>
  <w:style w:type="paragraph" w:customStyle="1" w:styleId="BodyA">
    <w:name w:val="Body A"/>
    <w:rsid w:val="00BB228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eastAsia="en-GB"/>
    </w:rPr>
  </w:style>
  <w:style w:type="character" w:customStyle="1" w:styleId="Heading3Char">
    <w:name w:val="Heading 3 Char"/>
    <w:basedOn w:val="DefaultParagraphFont"/>
    <w:link w:val="Heading3"/>
    <w:semiHidden/>
    <w:rsid w:val="00901AFD"/>
    <w:rPr>
      <w:rFonts w:asciiTheme="majorHAnsi" w:eastAsiaTheme="majorEastAsia" w:hAnsiTheme="majorHAnsi" w:cstheme="majorBidi"/>
      <w:b/>
      <w:bCs/>
      <w:color w:val="4F81BD" w:themeColor="accent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8413">
      <w:bodyDiv w:val="1"/>
      <w:marLeft w:val="0"/>
      <w:marRight w:val="0"/>
      <w:marTop w:val="0"/>
      <w:marBottom w:val="0"/>
      <w:divBdr>
        <w:top w:val="none" w:sz="0" w:space="0" w:color="auto"/>
        <w:left w:val="none" w:sz="0" w:space="0" w:color="auto"/>
        <w:bottom w:val="none" w:sz="0" w:space="0" w:color="auto"/>
        <w:right w:val="none" w:sz="0" w:space="0" w:color="auto"/>
      </w:divBdr>
    </w:div>
    <w:div w:id="225723167">
      <w:bodyDiv w:val="1"/>
      <w:marLeft w:val="0"/>
      <w:marRight w:val="0"/>
      <w:marTop w:val="0"/>
      <w:marBottom w:val="0"/>
      <w:divBdr>
        <w:top w:val="none" w:sz="0" w:space="0" w:color="auto"/>
        <w:left w:val="none" w:sz="0" w:space="0" w:color="auto"/>
        <w:bottom w:val="none" w:sz="0" w:space="0" w:color="auto"/>
        <w:right w:val="none" w:sz="0" w:space="0" w:color="auto"/>
      </w:divBdr>
    </w:div>
    <w:div w:id="293020600">
      <w:bodyDiv w:val="1"/>
      <w:marLeft w:val="0"/>
      <w:marRight w:val="0"/>
      <w:marTop w:val="0"/>
      <w:marBottom w:val="0"/>
      <w:divBdr>
        <w:top w:val="none" w:sz="0" w:space="0" w:color="auto"/>
        <w:left w:val="none" w:sz="0" w:space="0" w:color="auto"/>
        <w:bottom w:val="none" w:sz="0" w:space="0" w:color="auto"/>
        <w:right w:val="none" w:sz="0" w:space="0" w:color="auto"/>
      </w:divBdr>
    </w:div>
    <w:div w:id="317727389">
      <w:bodyDiv w:val="1"/>
      <w:marLeft w:val="0"/>
      <w:marRight w:val="0"/>
      <w:marTop w:val="0"/>
      <w:marBottom w:val="0"/>
      <w:divBdr>
        <w:top w:val="none" w:sz="0" w:space="0" w:color="auto"/>
        <w:left w:val="none" w:sz="0" w:space="0" w:color="auto"/>
        <w:bottom w:val="none" w:sz="0" w:space="0" w:color="auto"/>
        <w:right w:val="none" w:sz="0" w:space="0" w:color="auto"/>
      </w:divBdr>
    </w:div>
    <w:div w:id="450325517">
      <w:bodyDiv w:val="1"/>
      <w:marLeft w:val="0"/>
      <w:marRight w:val="0"/>
      <w:marTop w:val="0"/>
      <w:marBottom w:val="0"/>
      <w:divBdr>
        <w:top w:val="none" w:sz="0" w:space="0" w:color="auto"/>
        <w:left w:val="none" w:sz="0" w:space="0" w:color="auto"/>
        <w:bottom w:val="none" w:sz="0" w:space="0" w:color="auto"/>
        <w:right w:val="none" w:sz="0" w:space="0" w:color="auto"/>
      </w:divBdr>
    </w:div>
    <w:div w:id="457525668">
      <w:bodyDiv w:val="1"/>
      <w:marLeft w:val="0"/>
      <w:marRight w:val="0"/>
      <w:marTop w:val="0"/>
      <w:marBottom w:val="0"/>
      <w:divBdr>
        <w:top w:val="none" w:sz="0" w:space="0" w:color="auto"/>
        <w:left w:val="none" w:sz="0" w:space="0" w:color="auto"/>
        <w:bottom w:val="none" w:sz="0" w:space="0" w:color="auto"/>
        <w:right w:val="none" w:sz="0" w:space="0" w:color="auto"/>
      </w:divBdr>
    </w:div>
    <w:div w:id="515657120">
      <w:bodyDiv w:val="1"/>
      <w:marLeft w:val="0"/>
      <w:marRight w:val="0"/>
      <w:marTop w:val="0"/>
      <w:marBottom w:val="0"/>
      <w:divBdr>
        <w:top w:val="none" w:sz="0" w:space="0" w:color="auto"/>
        <w:left w:val="none" w:sz="0" w:space="0" w:color="auto"/>
        <w:bottom w:val="none" w:sz="0" w:space="0" w:color="auto"/>
        <w:right w:val="none" w:sz="0" w:space="0" w:color="auto"/>
      </w:divBdr>
    </w:div>
    <w:div w:id="592591775">
      <w:bodyDiv w:val="1"/>
      <w:marLeft w:val="0"/>
      <w:marRight w:val="0"/>
      <w:marTop w:val="0"/>
      <w:marBottom w:val="0"/>
      <w:divBdr>
        <w:top w:val="none" w:sz="0" w:space="0" w:color="auto"/>
        <w:left w:val="none" w:sz="0" w:space="0" w:color="auto"/>
        <w:bottom w:val="none" w:sz="0" w:space="0" w:color="auto"/>
        <w:right w:val="none" w:sz="0" w:space="0" w:color="auto"/>
      </w:divBdr>
    </w:div>
    <w:div w:id="719402407">
      <w:bodyDiv w:val="1"/>
      <w:marLeft w:val="0"/>
      <w:marRight w:val="0"/>
      <w:marTop w:val="0"/>
      <w:marBottom w:val="0"/>
      <w:divBdr>
        <w:top w:val="none" w:sz="0" w:space="0" w:color="auto"/>
        <w:left w:val="none" w:sz="0" w:space="0" w:color="auto"/>
        <w:bottom w:val="none" w:sz="0" w:space="0" w:color="auto"/>
        <w:right w:val="none" w:sz="0" w:space="0" w:color="auto"/>
      </w:divBdr>
    </w:div>
    <w:div w:id="733353076">
      <w:bodyDiv w:val="1"/>
      <w:marLeft w:val="0"/>
      <w:marRight w:val="0"/>
      <w:marTop w:val="0"/>
      <w:marBottom w:val="0"/>
      <w:divBdr>
        <w:top w:val="none" w:sz="0" w:space="0" w:color="auto"/>
        <w:left w:val="none" w:sz="0" w:space="0" w:color="auto"/>
        <w:bottom w:val="none" w:sz="0" w:space="0" w:color="auto"/>
        <w:right w:val="none" w:sz="0" w:space="0" w:color="auto"/>
      </w:divBdr>
      <w:divsChild>
        <w:div w:id="1873180628">
          <w:marLeft w:val="0"/>
          <w:marRight w:val="0"/>
          <w:marTop w:val="0"/>
          <w:marBottom w:val="0"/>
          <w:divBdr>
            <w:top w:val="none" w:sz="0" w:space="0" w:color="auto"/>
            <w:left w:val="none" w:sz="0" w:space="0" w:color="auto"/>
            <w:bottom w:val="none" w:sz="0" w:space="0" w:color="auto"/>
            <w:right w:val="none" w:sz="0" w:space="0" w:color="auto"/>
          </w:divBdr>
        </w:div>
      </w:divsChild>
    </w:div>
    <w:div w:id="883366642">
      <w:bodyDiv w:val="1"/>
      <w:marLeft w:val="0"/>
      <w:marRight w:val="0"/>
      <w:marTop w:val="0"/>
      <w:marBottom w:val="0"/>
      <w:divBdr>
        <w:top w:val="none" w:sz="0" w:space="0" w:color="auto"/>
        <w:left w:val="none" w:sz="0" w:space="0" w:color="auto"/>
        <w:bottom w:val="none" w:sz="0" w:space="0" w:color="auto"/>
        <w:right w:val="none" w:sz="0" w:space="0" w:color="auto"/>
      </w:divBdr>
    </w:div>
    <w:div w:id="1088847415">
      <w:bodyDiv w:val="1"/>
      <w:marLeft w:val="0"/>
      <w:marRight w:val="0"/>
      <w:marTop w:val="0"/>
      <w:marBottom w:val="0"/>
      <w:divBdr>
        <w:top w:val="none" w:sz="0" w:space="0" w:color="auto"/>
        <w:left w:val="none" w:sz="0" w:space="0" w:color="auto"/>
        <w:bottom w:val="none" w:sz="0" w:space="0" w:color="auto"/>
        <w:right w:val="none" w:sz="0" w:space="0" w:color="auto"/>
      </w:divBdr>
    </w:div>
    <w:div w:id="1350107689">
      <w:bodyDiv w:val="1"/>
      <w:marLeft w:val="0"/>
      <w:marRight w:val="0"/>
      <w:marTop w:val="0"/>
      <w:marBottom w:val="0"/>
      <w:divBdr>
        <w:top w:val="none" w:sz="0" w:space="0" w:color="auto"/>
        <w:left w:val="none" w:sz="0" w:space="0" w:color="auto"/>
        <w:bottom w:val="none" w:sz="0" w:space="0" w:color="auto"/>
        <w:right w:val="none" w:sz="0" w:space="0" w:color="auto"/>
      </w:divBdr>
    </w:div>
    <w:div w:id="1377466358">
      <w:bodyDiv w:val="1"/>
      <w:marLeft w:val="0"/>
      <w:marRight w:val="0"/>
      <w:marTop w:val="0"/>
      <w:marBottom w:val="0"/>
      <w:divBdr>
        <w:top w:val="none" w:sz="0" w:space="0" w:color="auto"/>
        <w:left w:val="none" w:sz="0" w:space="0" w:color="auto"/>
        <w:bottom w:val="none" w:sz="0" w:space="0" w:color="auto"/>
        <w:right w:val="none" w:sz="0" w:space="0" w:color="auto"/>
      </w:divBdr>
    </w:div>
    <w:div w:id="1408335125">
      <w:bodyDiv w:val="1"/>
      <w:marLeft w:val="0"/>
      <w:marRight w:val="0"/>
      <w:marTop w:val="0"/>
      <w:marBottom w:val="0"/>
      <w:divBdr>
        <w:top w:val="none" w:sz="0" w:space="0" w:color="auto"/>
        <w:left w:val="none" w:sz="0" w:space="0" w:color="auto"/>
        <w:bottom w:val="none" w:sz="0" w:space="0" w:color="auto"/>
        <w:right w:val="none" w:sz="0" w:space="0" w:color="auto"/>
      </w:divBdr>
    </w:div>
    <w:div w:id="1430156463">
      <w:bodyDiv w:val="1"/>
      <w:marLeft w:val="0"/>
      <w:marRight w:val="0"/>
      <w:marTop w:val="0"/>
      <w:marBottom w:val="0"/>
      <w:divBdr>
        <w:top w:val="none" w:sz="0" w:space="0" w:color="auto"/>
        <w:left w:val="none" w:sz="0" w:space="0" w:color="auto"/>
        <w:bottom w:val="none" w:sz="0" w:space="0" w:color="auto"/>
        <w:right w:val="none" w:sz="0" w:space="0" w:color="auto"/>
      </w:divBdr>
    </w:div>
    <w:div w:id="1533419462">
      <w:bodyDiv w:val="1"/>
      <w:marLeft w:val="0"/>
      <w:marRight w:val="0"/>
      <w:marTop w:val="0"/>
      <w:marBottom w:val="0"/>
      <w:divBdr>
        <w:top w:val="none" w:sz="0" w:space="0" w:color="auto"/>
        <w:left w:val="none" w:sz="0" w:space="0" w:color="auto"/>
        <w:bottom w:val="none" w:sz="0" w:space="0" w:color="auto"/>
        <w:right w:val="none" w:sz="0" w:space="0" w:color="auto"/>
      </w:divBdr>
    </w:div>
    <w:div w:id="1552573691">
      <w:bodyDiv w:val="1"/>
      <w:marLeft w:val="0"/>
      <w:marRight w:val="0"/>
      <w:marTop w:val="0"/>
      <w:marBottom w:val="0"/>
      <w:divBdr>
        <w:top w:val="none" w:sz="0" w:space="0" w:color="auto"/>
        <w:left w:val="none" w:sz="0" w:space="0" w:color="auto"/>
        <w:bottom w:val="none" w:sz="0" w:space="0" w:color="auto"/>
        <w:right w:val="none" w:sz="0" w:space="0" w:color="auto"/>
      </w:divBdr>
    </w:div>
    <w:div w:id="1594782185">
      <w:bodyDiv w:val="1"/>
      <w:marLeft w:val="0"/>
      <w:marRight w:val="0"/>
      <w:marTop w:val="0"/>
      <w:marBottom w:val="0"/>
      <w:divBdr>
        <w:top w:val="none" w:sz="0" w:space="0" w:color="auto"/>
        <w:left w:val="none" w:sz="0" w:space="0" w:color="auto"/>
        <w:bottom w:val="none" w:sz="0" w:space="0" w:color="auto"/>
        <w:right w:val="none" w:sz="0" w:space="0" w:color="auto"/>
      </w:divBdr>
    </w:div>
    <w:div w:id="1712993815">
      <w:bodyDiv w:val="1"/>
      <w:marLeft w:val="0"/>
      <w:marRight w:val="0"/>
      <w:marTop w:val="0"/>
      <w:marBottom w:val="0"/>
      <w:divBdr>
        <w:top w:val="none" w:sz="0" w:space="0" w:color="auto"/>
        <w:left w:val="none" w:sz="0" w:space="0" w:color="auto"/>
        <w:bottom w:val="none" w:sz="0" w:space="0" w:color="auto"/>
        <w:right w:val="none" w:sz="0" w:space="0" w:color="auto"/>
      </w:divBdr>
      <w:divsChild>
        <w:div w:id="1948274759">
          <w:marLeft w:val="0"/>
          <w:marRight w:val="0"/>
          <w:marTop w:val="0"/>
          <w:marBottom w:val="0"/>
          <w:divBdr>
            <w:top w:val="none" w:sz="0" w:space="0" w:color="auto"/>
            <w:left w:val="none" w:sz="0" w:space="0" w:color="auto"/>
            <w:bottom w:val="none" w:sz="0" w:space="0" w:color="auto"/>
            <w:right w:val="none" w:sz="0" w:space="0" w:color="auto"/>
          </w:divBdr>
        </w:div>
      </w:divsChild>
    </w:div>
    <w:div w:id="1777213356">
      <w:bodyDiv w:val="1"/>
      <w:marLeft w:val="0"/>
      <w:marRight w:val="0"/>
      <w:marTop w:val="0"/>
      <w:marBottom w:val="0"/>
      <w:divBdr>
        <w:top w:val="none" w:sz="0" w:space="0" w:color="auto"/>
        <w:left w:val="none" w:sz="0" w:space="0" w:color="auto"/>
        <w:bottom w:val="none" w:sz="0" w:space="0" w:color="auto"/>
        <w:right w:val="none" w:sz="0" w:space="0" w:color="auto"/>
      </w:divBdr>
    </w:div>
    <w:div w:id="1936135755">
      <w:bodyDiv w:val="1"/>
      <w:marLeft w:val="0"/>
      <w:marRight w:val="0"/>
      <w:marTop w:val="0"/>
      <w:marBottom w:val="0"/>
      <w:divBdr>
        <w:top w:val="none" w:sz="0" w:space="0" w:color="auto"/>
        <w:left w:val="none" w:sz="0" w:space="0" w:color="auto"/>
        <w:bottom w:val="none" w:sz="0" w:space="0" w:color="auto"/>
        <w:right w:val="none" w:sz="0" w:space="0" w:color="auto"/>
      </w:divBdr>
    </w:div>
    <w:div w:id="210661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AB51066B5F28A46A4A4A8C4D1F4A061" ma:contentTypeVersion="4" ma:contentTypeDescription="Create a new document in this library." ma:contentTypeScope="" ma:versionID="74079fdd1a6e7fb88bd8d56612fdcbf1">
  <xsd:schema xmlns:xsd="http://www.w3.org/2001/XMLSchema" xmlns:xs="http://www.w3.org/2001/XMLSchema" xmlns:p="http://schemas.microsoft.com/office/2006/metadata/properties" xmlns:ns3="b41e250c-6265-4c57-a190-cee75543d3d9" targetNamespace="http://schemas.microsoft.com/office/2006/metadata/properties" ma:root="true" ma:fieldsID="abfff5b2bfd4cf8421c7df67fd5afd37" ns3:_="">
    <xsd:import namespace="b41e250c-6265-4c57-a190-cee75543d3d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e250c-6265-4c57-a190-cee75543d3d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b41e250c-6265-4c57-a190-cee75543d3d9" xsi:nil="true"/>
    <EC_ARES_DATE_TRANSFERRED xmlns="b41e250c-6265-4c57-a190-cee75543d3d9" xsi:nil="true"/>
    <EC_Collab_DocumentLanguage xmlns="b41e250c-6265-4c57-a190-cee75543d3d9">EN</EC_Collab_DocumentLanguage>
    <EC_Collab_Reference xmlns="b41e250c-6265-4c57-a190-cee75543d3d9" xsi:nil="true"/>
    <EC_Collab_Status xmlns="b41e250c-6265-4c57-a190-cee75543d3d9">Not Started</EC_Collab_Status>
    <EC_ARES_NUMBER xmlns="b41e250c-6265-4c57-a190-cee75543d3d9">
      <Url xsi:nil="true"/>
      <Description xsi:nil="true"/>
    </EC_ARES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D2F8-3B49-4C7D-BAE4-9B23B5C85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e250c-6265-4c57-a190-cee75543d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98FED-E04A-4715-B564-B99F5037AE4D}">
  <ds:schemaRefs>
    <ds:schemaRef ds:uri="http://schemas.microsoft.com/office/2006/metadata/properties"/>
    <ds:schemaRef ds:uri="http://schemas.microsoft.com/office/infopath/2007/PartnerControls"/>
    <ds:schemaRef ds:uri="b41e250c-6265-4c57-a190-cee75543d3d9"/>
  </ds:schemaRefs>
</ds:datastoreItem>
</file>

<file path=customXml/itemProps3.xml><?xml version="1.0" encoding="utf-8"?>
<ds:datastoreItem xmlns:ds="http://schemas.openxmlformats.org/officeDocument/2006/customXml" ds:itemID="{45897903-9657-4BFA-A37B-EAF8C2C8644E}">
  <ds:schemaRefs>
    <ds:schemaRef ds:uri="http://schemas.microsoft.com/sharepoint/v3/contenttype/forms"/>
  </ds:schemaRefs>
</ds:datastoreItem>
</file>

<file path=customXml/itemProps4.xml><?xml version="1.0" encoding="utf-8"?>
<ds:datastoreItem xmlns:ds="http://schemas.openxmlformats.org/officeDocument/2006/customXml" ds:itemID="{67F1A2BB-EC3C-4DCF-87CF-8A7B1338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2046</Words>
  <Characters>11668</Characters>
  <Application>Microsoft Office Word</Application>
  <DocSecurity>0</DocSecurity>
  <Lines>97</Lines>
  <Paragraphs>27</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Τίτλος</vt:lpstr>
      </vt:variant>
      <vt:variant>
        <vt:i4>1</vt:i4>
      </vt:variant>
    </vt:vector>
  </HeadingPairs>
  <TitlesOfParts>
    <vt:vector size="4" baseType="lpstr">
      <vt:lpstr>Georgia MoU COVID-19 MFA v1</vt:lpstr>
      <vt:lpstr>Moldova 2010 draft MoU</vt:lpstr>
      <vt:lpstr>Moldova 2010 draft MoU</vt:lpstr>
      <vt:lpstr>Moldova 2010 draft MoU</vt:lpstr>
    </vt:vector>
  </TitlesOfParts>
  <Company>European Commission</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MoU COVID-19 MFA v1</dc:title>
  <dc:subject/>
  <dc:creator>Jerzy</dc:creator>
  <cp:keywords/>
  <dc:description/>
  <cp:lastModifiedBy>GRIESSE Joern (ECFIN)</cp:lastModifiedBy>
  <cp:revision>5</cp:revision>
  <cp:lastPrinted>2016-11-08T08:30:00Z</cp:lastPrinted>
  <dcterms:created xsi:type="dcterms:W3CDTF">2020-05-18T17:02:00Z</dcterms:created>
  <dcterms:modified xsi:type="dcterms:W3CDTF">2020-05-19T10:08:00Z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0x010100258AA79CEB83498886A3A0868112325000FAB51066B5F28A46A4A4A8C4D1F4A061</vt:lpwstr>
  </property>
</Properties>
</file>