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04685090"/>
        <w:docPartObj>
          <w:docPartGallery w:val="Cover Pages"/>
          <w:docPartUnique/>
        </w:docPartObj>
      </w:sdtPr>
      <w:sdtEndPr/>
      <w:sdtContent>
        <w:p w14:paraId="3E96B910" w14:textId="77777777" w:rsidR="000E70A1" w:rsidRDefault="000E70A1" w:rsidP="004C2E2F">
          <w:pPr>
            <w:sectPr w:rsidR="000E70A1" w:rsidSect="004E16C1">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6" w:h="16838" w:code="9"/>
              <w:pgMar w:top="2098" w:right="2268" w:bottom="1928" w:left="2268" w:header="1531" w:footer="1134" w:gutter="0"/>
              <w:cols w:space="708"/>
              <w:titlePg/>
              <w:docGrid w:linePitch="360"/>
            </w:sectPr>
          </w:pPr>
        </w:p>
        <w:p w14:paraId="374681C1" w14:textId="77777777" w:rsidR="000E70A1" w:rsidRPr="00EE3A99" w:rsidRDefault="000E70A1" w:rsidP="004C2E2F">
          <w:r>
            <w:rPr>
              <w:noProof/>
              <w:lang w:eastAsia="en-GB"/>
            </w:rPr>
            <mc:AlternateContent>
              <mc:Choice Requires="wps">
                <w:drawing>
                  <wp:anchor distT="0" distB="0" distL="114300" distR="114300" simplePos="0" relativeHeight="251658240" behindDoc="0" locked="1" layoutInCell="1" allowOverlap="1" wp14:anchorId="219B0EC3" wp14:editId="54922395">
                    <wp:simplePos x="0" y="0"/>
                    <wp:positionH relativeFrom="margin">
                      <wp:align>center</wp:align>
                    </wp:positionH>
                    <wp:positionV relativeFrom="page">
                      <wp:posOffset>260985</wp:posOffset>
                    </wp:positionV>
                    <wp:extent cx="5457190" cy="9701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57190" cy="9701530"/>
                            </a:xfrm>
                            <a:prstGeom prst="rect">
                              <a:avLst/>
                            </a:prstGeom>
                            <a:solidFill>
                              <a:schemeClr val="bg1"/>
                            </a:solidFill>
                            <a:ln w="6350">
                              <a:noFill/>
                            </a:ln>
                          </wps:spPr>
                          <wps:txbx>
                            <w:txbxContent>
                              <w:sdt>
                                <w:sdtPr>
                                  <w:rPr>
                                    <w:noProof/>
                                    <w:lang w:eastAsia="ko-KR"/>
                                  </w:rPr>
                                  <w:alias w:val="OECD logo"/>
                                  <w:tag w:val="imgOECDLogo"/>
                                  <w:id w:val="-439381495"/>
                                  <w:lock w:val="contentLocked"/>
                                  <w:picture/>
                                </w:sdtPr>
                                <w:sdtEndPr/>
                                <w:sdtContent>
                                  <w:p w14:paraId="5C7A6107" w14:textId="77777777" w:rsidR="008914FE" w:rsidRDefault="008914FE" w:rsidP="004C2E2F">
                                    <w:pPr>
                                      <w:pStyle w:val="CoverNormal"/>
                                      <w:rPr>
                                        <w:noProof/>
                                        <w:lang w:eastAsia="ko-KR"/>
                                      </w:rPr>
                                    </w:pPr>
                                    <w:r>
                                      <w:rPr>
                                        <w:noProof/>
                                        <w:lang w:eastAsia="en-GB"/>
                                      </w:rPr>
                                      <w:drawing>
                                        <wp:inline distT="0" distB="0" distL="0" distR="0" wp14:anchorId="49512840" wp14:editId="4981ECE0">
                                          <wp:extent cx="1641361" cy="3925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sz w:val="18"/>
                                    <w:szCs w:val="18"/>
                                  </w:rPr>
                                  <w:alias w:val="Organisation Title"/>
                                  <w:tag w:val="txtOrganisationTitle"/>
                                  <w:id w:val="-908073342"/>
                                  <w:lock w:val="contentLocked"/>
                                  <w:text w:multiLine="1"/>
                                </w:sdtPr>
                                <w:sdtEndPr/>
                                <w:sdtContent>
                                  <w:p w14:paraId="5DE94074" w14:textId="77777777" w:rsidR="008914FE" w:rsidRDefault="008914FE" w:rsidP="004C2E2F">
                                    <w:pPr>
                                      <w:pStyle w:val="CoverNormal"/>
                                      <w:rPr>
                                        <w:sz w:val="18"/>
                                        <w:szCs w:val="18"/>
                                      </w:rPr>
                                    </w:pPr>
                                    <w:r w:rsidRPr="00766835">
                                      <w:rPr>
                                        <w:sz w:val="18"/>
                                        <w:szCs w:val="18"/>
                                      </w:rPr>
                                      <w:t>Organisation for Economic Co-operation and Development</w:t>
                                    </w:r>
                                  </w:p>
                                </w:sdtContent>
                              </w:sdt>
                              <w:p w14:paraId="585A8618" w14:textId="77777777" w:rsidR="008914FE" w:rsidRDefault="009915F6" w:rsidP="004C2E2F">
                                <w:pPr>
                                  <w:pStyle w:val="CoverNormal"/>
                                  <w:spacing w:after="240"/>
                                  <w:jc w:val="right"/>
                                  <w:rPr>
                                    <w:rStyle w:val="CoverCote"/>
                                  </w:rPr>
                                </w:pPr>
                                <w:sdt>
                                  <w:sdtPr>
                                    <w:rPr>
                                      <w:rStyle w:val="CoverCote"/>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rPr>
                                      <w:rStyle w:val="CoverCote"/>
                                    </w:rPr>
                                  </w:sdtEndPr>
                                  <w:sdtContent>
                                    <w:r w:rsidR="008914FE">
                                      <w:rPr>
                                        <w:rStyle w:val="CoverCote"/>
                                      </w:rPr>
                                      <w:t>DOCUMENT CODE</w:t>
                                    </w:r>
                                  </w:sdtContent>
                                </w:sdt>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148"/>
                                  <w:gridCol w:w="4148"/>
                                </w:tblGrid>
                                <w:tr w:rsidR="008914FE" w14:paraId="71ED0AE0" w14:textId="77777777" w:rsidTr="004C2E2F">
                                  <w:sdt>
                                    <w:sdtPr>
                                      <w:alias w:val="Document Classification"/>
                                      <w:tag w:val="comboDocClassification"/>
                                      <w:id w:val="24921505"/>
                                      <w:comboBox>
                                        <w:listItem w:displayText="For Official Use" w:value="FOROFFICIALUSE"/>
                                        <w:listItem w:displayText="Confidential" w:value="CONFIDENTIAL"/>
                                        <w:listItem w:displayText="Unclassified" w:value="UNCLASSIFIED"/>
                                        <w:listItem w:displayText="À usage officiel" w:value="FOROFFICIALUSEFR"/>
                                        <w:listItem w:displayText="Confidentiel" w:value="CONFIDENTIALFR"/>
                                        <w:listItem w:displayText="Non classifié" w:value="UNCLASSIFIEDFR"/>
                                      </w:comboBox>
                                    </w:sdtPr>
                                    <w:sdtEndPr/>
                                    <w:sdtContent>
                                      <w:tc>
                                        <w:tcPr>
                                          <w:tcW w:w="2500" w:type="pct"/>
                                        </w:tcPr>
                                        <w:p w14:paraId="23D72C66" w14:textId="77777777" w:rsidR="008914FE" w:rsidRDefault="008914FE" w:rsidP="004C2E2F">
                                          <w:pPr>
                                            <w:pStyle w:val="CoverClassification"/>
                                          </w:pPr>
                                          <w:r>
                                            <w:t>For Official Use</w:t>
                                          </w:r>
                                        </w:p>
                                      </w:tc>
                                    </w:sdtContent>
                                  </w:sdt>
                                  <w:sdt>
                                    <w:sdtPr>
                                      <w:alias w:val="Document Language"/>
                                      <w:tag w:val="comboDocumentLanguage"/>
                                      <w:id w:val="-2139101875"/>
                                      <w:comboBox>
                                        <w:listItem w:displayText="English - Or. English" w:value="English"/>
                                        <w:listItem w:displayText="English - Or. French" w:value="English2"/>
                                        <w:listItem w:displayText="English/French" w:value="English3"/>
                                        <w:listItem w:displayText="English text only" w:value="English4"/>
                                        <w:listItem w:displayText="Français - Or. Français" w:value="French"/>
                                        <w:listItem w:displayText="Français - Or. Anglais" w:value="French2"/>
                                        <w:listItem w:displayText="Français/Anglais" w:value="French3"/>
                                        <w:listItem w:displayText="Texte français seulement" w:value="French4"/>
                                        <w:listItem w:displayText="Italian - Or. English" w:value="Italian"/>
                                        <w:listItem w:displayText="Russian - Or. English" w:value="Russian"/>
                                        <w:listItem w:displayText="Spanish - Or. English" w:value="Spanish"/>
                                        <w:listItem w:displayText="German - Or. English" w:value="German"/>
                                        <w:listItem w:displayText="Italian - Or. French" w:value="Italian1"/>
                                        <w:listItem w:displayText="Russian - Or. French" w:value="Russian1"/>
                                        <w:listItem w:displayText="Spanish - Or. French" w:value="Spanish1"/>
                                        <w:listItem w:displayText="German - Or. French" w:value="German1"/>
                                      </w:comboBox>
                                    </w:sdtPr>
                                    <w:sdtEndPr/>
                                    <w:sdtContent>
                                      <w:tc>
                                        <w:tcPr>
                                          <w:tcW w:w="2500" w:type="pct"/>
                                        </w:tcPr>
                                        <w:p w14:paraId="10CF0B31" w14:textId="77777777" w:rsidR="008914FE" w:rsidRDefault="008914FE" w:rsidP="004C2E2F">
                                          <w:pPr>
                                            <w:pStyle w:val="CoverLanguage"/>
                                          </w:pPr>
                                          <w:r>
                                            <w:t>English - Or. English</w:t>
                                          </w:r>
                                        </w:p>
                                      </w:tc>
                                    </w:sdtContent>
                                  </w:sdt>
                                </w:tr>
                              </w:tbl>
                              <w:sdt>
                                <w:sdtPr>
                                  <w:alias w:val="Document Date"/>
                                  <w:tag w:val="txtDocDate"/>
                                  <w:id w:val="947821904"/>
                                  <w:lock w:val="contentLocked"/>
                                  <w:date>
                                    <w:dateFormat w:val="d MMMM yyyy"/>
                                    <w:lid w:val="en-US"/>
                                    <w:storeMappedDataAs w:val="dateTime"/>
                                    <w:calendar w:val="gregorian"/>
                                  </w:date>
                                </w:sdtPr>
                                <w:sdtEndPr/>
                                <w:sdtContent>
                                  <w:p w14:paraId="2DC7166F" w14:textId="77777777" w:rsidR="008914FE" w:rsidRDefault="008914FE" w:rsidP="004C2E2F">
                                    <w:pPr>
                                      <w:pStyle w:val="CoverDate"/>
                                    </w:pPr>
                                    <w:r>
                                      <w:t xml:space="preserve"> </w:t>
                                    </w:r>
                                  </w:p>
                                </w:sdtContent>
                              </w:sdt>
                              <w:sdt>
                                <w:sdtPr>
                                  <w:alias w:val="Directorate"/>
                                  <w:tag w:val="txtDirectorate"/>
                                  <w:id w:val="2012713445"/>
                                  <w:lock w:val="contentLocked"/>
                                </w:sdtPr>
                                <w:sdtEndPr/>
                                <w:sdtContent>
                                  <w:p w14:paraId="49B458E5" w14:textId="77777777" w:rsidR="008914FE" w:rsidRDefault="008914FE" w:rsidP="004C2E2F">
                                    <w:pPr>
                                      <w:pStyle w:val="CoverDirectorate"/>
                                    </w:pPr>
                                    <w:r>
                                      <w:t xml:space="preserve"> </w:t>
                                    </w:r>
                                  </w:p>
                                </w:sdtContent>
                              </w:sdt>
                              <w:sdt>
                                <w:sdtPr>
                                  <w:alias w:val="Committee"/>
                                  <w:tag w:val="txtCommittee"/>
                                  <w:id w:val="1460301256"/>
                                  <w:lock w:val="contentLocked"/>
                                </w:sdtPr>
                                <w:sdtEndPr/>
                                <w:sdtContent>
                                  <w:p w14:paraId="26C3285A" w14:textId="77777777" w:rsidR="008914FE" w:rsidRDefault="008914FE" w:rsidP="004C2E2F">
                                    <w:pPr>
                                      <w:pStyle w:val="CoverCommittee"/>
                                    </w:pPr>
                                    <w:r>
                                      <w:t xml:space="preserve"> </w:t>
                                    </w:r>
                                  </w:p>
                                </w:sdtContent>
                              </w:sdt>
                              <w:p w14:paraId="27EFD266" w14:textId="77777777" w:rsidR="008914FE" w:rsidRDefault="008914FE" w:rsidP="004C2E2F">
                                <w:pPr>
                                  <w:pStyle w:val="CoverNormal"/>
                                </w:pPr>
                              </w:p>
                              <w:p w14:paraId="36675465" w14:textId="77777777" w:rsidR="008914FE" w:rsidRDefault="008914FE" w:rsidP="004C2E2F">
                                <w:pPr>
                                  <w:pStyle w:val="CoverNormal"/>
                                </w:pPr>
                              </w:p>
                              <w:sdt>
                                <w:sdtPr>
                                  <w:alias w:val="Cancel / Replace"/>
                                  <w:tag w:val="txtCancelReplace"/>
                                  <w:id w:val="-338318661"/>
                                  <w:lock w:val="contentLocked"/>
                                </w:sdtPr>
                                <w:sdtEndPr/>
                                <w:sdtContent>
                                  <w:p w14:paraId="351D6927" w14:textId="77777777" w:rsidR="008914FE" w:rsidRDefault="008914FE" w:rsidP="004C2E2F">
                                    <w:pPr>
                                      <w:pStyle w:val="CoverCancel"/>
                                    </w:pPr>
                                    <w:r>
                                      <w:t xml:space="preserve"> </w:t>
                                    </w:r>
                                  </w:p>
                                </w:sdtContent>
                              </w:sdt>
                              <w:p w14:paraId="4457DB6E" w14:textId="77777777" w:rsidR="008914FE" w:rsidRDefault="008914FE" w:rsidP="004C2E2F">
                                <w:pPr>
                                  <w:pStyle w:val="CoverNormal"/>
                                </w:pPr>
                              </w:p>
                              <w:p w14:paraId="7989D1C4" w14:textId="77777777" w:rsidR="008914FE" w:rsidRDefault="008914FE" w:rsidP="004C2E2F">
                                <w:pPr>
                                  <w:pStyle w:val="CoverNormal"/>
                                </w:pPr>
                              </w:p>
                              <w:sdt>
                                <w:sdtPr>
                                  <w:alias w:val="Working Party"/>
                                  <w:tag w:val="txtWorkingParty"/>
                                  <w:id w:val="615799634"/>
                                  <w:lock w:val="contentLocked"/>
                                </w:sdtPr>
                                <w:sdtEndPr/>
                                <w:sdtContent>
                                  <w:p w14:paraId="37413EFE" w14:textId="77777777" w:rsidR="008914FE" w:rsidRDefault="008914FE" w:rsidP="004C2E2F">
                                    <w:pPr>
                                      <w:pStyle w:val="CoverWorkingParty"/>
                                    </w:pPr>
                                    <w:r>
                                      <w:t xml:space="preserve"> </w:t>
                                    </w:r>
                                  </w:p>
                                </w:sdtContent>
                              </w:sdt>
                              <w:p w14:paraId="5D1A7A9A" w14:textId="77777777" w:rsidR="008914FE" w:rsidRDefault="008914FE" w:rsidP="004C2E2F">
                                <w:pPr>
                                  <w:pStyle w:val="CoverNormal"/>
                                </w:pPr>
                              </w:p>
                              <w:p w14:paraId="5BDE481A" w14:textId="77777777" w:rsidR="008914FE" w:rsidRDefault="008914FE" w:rsidP="004C2E2F">
                                <w:pPr>
                                  <w:pStyle w:val="CoverNormal"/>
                                </w:pPr>
                              </w:p>
                              <w:p w14:paraId="7980E555" w14:textId="77777777" w:rsidR="008914FE" w:rsidRDefault="008914FE" w:rsidP="004C2E2F">
                                <w:pPr>
                                  <w:pStyle w:val="CoverNormal"/>
                                </w:pPr>
                              </w:p>
                              <w:p w14:paraId="60EAF08D" w14:textId="7E89AA6B" w:rsidR="008914FE" w:rsidRDefault="009915F6" w:rsidP="004C2E2F">
                                <w:pPr>
                                  <w:pStyle w:val="CoverTitle"/>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EndPr/>
                                  <w:sdtContent>
                                    <w:r w:rsidR="008914FE">
                                      <w:t>Investment Promotion in Eurasia</w:t>
                                    </w:r>
                                  </w:sdtContent>
                                </w:sdt>
                              </w:p>
                              <w:p w14:paraId="301B4909" w14:textId="153CF8A7" w:rsidR="008914FE" w:rsidRDefault="009915F6" w:rsidP="004C2E2F">
                                <w:pPr>
                                  <w:pStyle w:val="CoverSubTitle"/>
                                </w:pPr>
                                <w:sdt>
                                  <w:sdtPr>
                                    <w:rPr>
                                      <w:b w:val="0"/>
                                      <w:i/>
                                      <w:u w:val="single"/>
                                    </w:rPr>
                                    <w:alias w:val="Document Subtitle"/>
                                    <w:tag w:val="txtDocSubtitle"/>
                                    <w:id w:val="-665630859"/>
                                    <w:dataBinding w:prefixMappings="xmlns:ns0='http://purl.org/dc/elements/1.1/' xmlns:ns1='http://schemas.openxmlformats.org/package/2006/metadata/core-properties' " w:xpath="/ns1:coreProperties[1]/ns0:subject[1]" w:storeItemID="{6C3C8BC8-F283-45AE-878A-BAB7291924A1}"/>
                                    <w:text w:multiLine="1"/>
                                  </w:sdtPr>
                                  <w:sdtEndPr/>
                                  <w:sdtContent>
                                    <w:r w:rsidR="008914FE" w:rsidRPr="00C00C85">
                                      <w:rPr>
                                        <w:b w:val="0"/>
                                        <w:i/>
                                        <w:u w:val="single"/>
                                      </w:rPr>
                                      <w:t xml:space="preserve">A </w:t>
                                    </w:r>
                                    <w:r w:rsidR="008914FE">
                                      <w:rPr>
                                        <w:b w:val="0"/>
                                        <w:i/>
                                        <w:u w:val="single"/>
                                      </w:rPr>
                                      <w:t>M</w:t>
                                    </w:r>
                                    <w:r w:rsidR="008914FE" w:rsidRPr="00C00C85">
                                      <w:rPr>
                                        <w:b w:val="0"/>
                                        <w:i/>
                                        <w:u w:val="single"/>
                                      </w:rPr>
                                      <w:t>apping of Investment Promotion Agencies</w:t>
                                    </w:r>
                                  </w:sdtContent>
                                </w:sdt>
                              </w:p>
                              <w:p w14:paraId="21CDA2C2" w14:textId="77777777" w:rsidR="008914FE" w:rsidRDefault="008914FE" w:rsidP="004C2E2F">
                                <w:pPr>
                                  <w:pStyle w:val="CoverNormal"/>
                                </w:pPr>
                              </w:p>
                              <w:p w14:paraId="68E9A0B3" w14:textId="77777777" w:rsidR="008914FE" w:rsidRDefault="008914FE" w:rsidP="004C2E2F">
                                <w:pPr>
                                  <w:pStyle w:val="CoverNormal"/>
                                </w:pPr>
                              </w:p>
                              <w:sdt>
                                <w:sdtPr>
                                  <w:alias w:val="Meeting Information"/>
                                  <w:tag w:val="txtInfomationMeeting"/>
                                  <w:id w:val="-1797124433"/>
                                  <w:showingPlcHdr/>
                                </w:sdtPr>
                                <w:sdtEndPr/>
                                <w:sdtContent>
                                  <w:p w14:paraId="65C6E404" w14:textId="02780656" w:rsidR="008914FE" w:rsidRDefault="008914FE" w:rsidP="004C2E2F">
                                    <w:pPr>
                                      <w:pStyle w:val="CoverInformation"/>
                                    </w:pPr>
                                    <w:r>
                                      <w:t xml:space="preserve">     </w:t>
                                    </w:r>
                                  </w:p>
                                </w:sdtContent>
                              </w:sdt>
                              <w:p w14:paraId="1A266A5C" w14:textId="77777777" w:rsidR="008914FE" w:rsidRDefault="008914FE" w:rsidP="004C2E2F">
                                <w:pPr>
                                  <w:pStyle w:val="CoverNormal"/>
                                </w:pPr>
                              </w:p>
                              <w:p w14:paraId="4ECB1D65" w14:textId="77777777" w:rsidR="008914FE" w:rsidRDefault="008914FE" w:rsidP="004C2E2F">
                                <w:pPr>
                                  <w:pStyle w:val="CoverNormal"/>
                                </w:pPr>
                              </w:p>
                              <w:tbl>
                                <w:tblPr>
                                  <w:tblW w:w="5090" w:type="pct"/>
                                  <w:jc w:val="center"/>
                                  <w:tblCellMar>
                                    <w:left w:w="85" w:type="dxa"/>
                                    <w:right w:w="85" w:type="dxa"/>
                                  </w:tblCellMar>
                                  <w:tblLook w:val="04A0" w:firstRow="1" w:lastRow="0" w:firstColumn="1" w:lastColumn="0" w:noHBand="0" w:noVBand="1"/>
                                </w:tblPr>
                                <w:tblGrid>
                                  <w:gridCol w:w="8445"/>
                                </w:tblGrid>
                                <w:sdt>
                                  <w:sdtPr>
                                    <w:rPr>
                                      <w:rFonts w:eastAsiaTheme="minorEastAsia"/>
                                      <w:lang w:eastAsia="ko-KR"/>
                                    </w:rPr>
                                    <w:alias w:val="Information Note"/>
                                    <w:tag w:val="txtInformationNote"/>
                                    <w:id w:val="-1842384933"/>
                                    <w:showingPlcHdr/>
                                  </w:sdtPr>
                                  <w:sdtEndPr/>
                                  <w:sdtContent>
                                    <w:tr w:rsidR="008914FE" w14:paraId="0EF2D6F7" w14:textId="77777777" w:rsidTr="004C2E2F">
                                      <w:trPr>
                                        <w:trHeight w:val="3368"/>
                                        <w:jc w:val="center"/>
                                      </w:trPr>
                                      <w:tc>
                                        <w:tcPr>
                                          <w:tcW w:w="5000" w:type="pct"/>
                                        </w:tcPr>
                                        <w:p w14:paraId="61337A97" w14:textId="2FA8FBC3" w:rsidR="008914FE" w:rsidRDefault="00300794" w:rsidP="00300794">
                                          <w:pPr>
                                            <w:pStyle w:val="CoverInformation"/>
                                          </w:pPr>
                                          <w:r>
                                            <w:rPr>
                                              <w:rFonts w:eastAsiaTheme="minorEastAsia"/>
                                              <w:lang w:eastAsia="ko-KR"/>
                                            </w:rPr>
                                            <w:t xml:space="preserve">     </w:t>
                                          </w:r>
                                        </w:p>
                                      </w:tc>
                                    </w:tr>
                                  </w:sdtContent>
                                </w:sdt>
                              </w:tbl>
                              <w:p w14:paraId="152D689F" w14:textId="77777777" w:rsidR="008914FE" w:rsidRDefault="008914FE" w:rsidP="004C2E2F">
                                <w:pPr>
                                  <w:pStyle w:val="CoverNormal"/>
                                </w:pPr>
                              </w:p>
                              <w:p w14:paraId="236336DC" w14:textId="77777777" w:rsidR="008914FE" w:rsidRDefault="008914FE" w:rsidP="004C2E2F">
                                <w:pPr>
                                  <w:pStyle w:val="CoverNormal"/>
                                </w:pPr>
                              </w:p>
                              <w:p w14:paraId="303C4B92" w14:textId="77777777" w:rsidR="008914FE" w:rsidRDefault="008914FE" w:rsidP="004C2E2F">
                                <w:pPr>
                                  <w:pStyle w:val="CoverNormal"/>
                                </w:pPr>
                              </w:p>
                              <w:sdt>
                                <w:sdtPr>
                                  <w:alias w:val="PWB Code"/>
                                  <w:tag w:val="txtPWBCode"/>
                                  <w:id w:val="-278178166"/>
                                  <w:lock w:val="contentLocked"/>
                                  <w:text w:multiLine="1"/>
                                </w:sdtPr>
                                <w:sdtEndPr/>
                                <w:sdtContent>
                                  <w:p w14:paraId="142BFBFB" w14:textId="77777777" w:rsidR="008914FE" w:rsidRDefault="008914FE" w:rsidP="004C2E2F">
                                    <w:pPr>
                                      <w:pStyle w:val="CoverPwbCode"/>
                                    </w:pPr>
                                    <w:r>
                                      <w:t xml:space="preserve"> </w:t>
                                    </w:r>
                                  </w:p>
                                </w:sdtContent>
                              </w:sdt>
                              <w:sdt>
                                <w:sdtPr>
                                  <w:alias w:val="JT Number"/>
                                  <w:tag w:val="txtJobNumber"/>
                                  <w:id w:val="1285929225"/>
                                  <w:lock w:val="contentLocked"/>
                                  <w:text/>
                                </w:sdtPr>
                                <w:sdtEndPr/>
                                <w:sdtContent>
                                  <w:p w14:paraId="766E7AC9" w14:textId="77777777" w:rsidR="008914FE" w:rsidRDefault="008914FE" w:rsidP="004C2E2F">
                                    <w:pPr>
                                      <w:pStyle w:val="CoverJobTicket"/>
                                    </w:pPr>
                                    <w:r w:rsidRPr="00310112">
                                      <w:t xml:space="preserve"> </w:t>
                                    </w:r>
                                  </w:p>
                                </w:sdtContent>
                              </w:sdt>
                              <w:sdt>
                                <w:sdtPr>
                                  <w:rPr>
                                    <w:color w:val="FFFFFF" w:themeColor="background1"/>
                                  </w:rPr>
                                  <w:alias w:val="cvpname"/>
                                  <w:tag w:val="txtcvpname"/>
                                  <w:id w:val="-311641019"/>
                                </w:sdtPr>
                                <w:sdtEndPr/>
                                <w:sdtContent>
                                  <w:p w14:paraId="0769707A" w14:textId="77777777" w:rsidR="008914FE" w:rsidRDefault="008914FE" w:rsidP="004C2E2F">
                                    <w:pPr>
                                      <w:pStyle w:val="CoverNormal"/>
                                      <w:rPr>
                                        <w:color w:val="FFFFFF" w:themeColor="background1"/>
                                      </w:rPr>
                                    </w:pPr>
                                    <w:r w:rsidRPr="00D06B7E">
                                      <w:rPr>
                                        <w:color w:val="FFFFFF" w:themeColor="background1"/>
                                      </w:rPr>
                                      <w:t>OFDE</w:t>
                                    </w:r>
                                  </w:p>
                                </w:sdtContent>
                              </w:sdt>
                              <w:p w14:paraId="730CAABF" w14:textId="77777777" w:rsidR="008914FE" w:rsidRPr="00310112" w:rsidRDefault="008914FE" w:rsidP="004C2E2F">
                                <w:pPr>
                                  <w:pStyle w:val="CoverNorma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B0EC3" id="_x0000_t202" coordsize="21600,21600" o:spt="202" path="m,l,21600r21600,l21600,xe">
                    <v:stroke joinstyle="miter"/>
                    <v:path gradientshapeok="t" o:connecttype="rect"/>
                  </v:shapetype>
                  <v:shape id="Text Box 16" o:spid="_x0000_s1026" type="#_x0000_t202" style="position:absolute;left:0;text-align:left;margin-left:0;margin-top:20.55pt;width:429.7pt;height:763.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" fillcolor="white [3212]" stroked="f" strokeweight=".5pt">
                    <v:textbox>
                      <w:txbxContent>
                        <w:sdt>
                          <w:sdtPr>
                            <w:rPr>
                              <w:noProof/>
                              <w:lang w:eastAsia="ko-KR"/>
                            </w:rPr>
                            <w:alias w:val="OECD logo"/>
                            <w:tag w:val="imgOECDLogo"/>
                            <w:id w:val="-439381495"/>
                            <w:lock w:val="contentLocked"/>
                            <w:picture/>
                          </w:sdtPr>
                          <w:sdtEndPr/>
                          <w:sdtContent>
                            <w:p w14:paraId="5C7A6107" w14:textId="77777777" w:rsidR="008914FE" w:rsidRDefault="008914FE" w:rsidP="004C2E2F">
                              <w:pPr>
                                <w:pStyle w:val="CoverNormal"/>
                                <w:rPr>
                                  <w:noProof/>
                                  <w:lang w:eastAsia="ko-KR"/>
                                </w:rPr>
                              </w:pPr>
                              <w:r>
                                <w:rPr>
                                  <w:noProof/>
                                  <w:lang w:eastAsia="en-GB"/>
                                </w:rPr>
                                <w:drawing>
                                  <wp:inline distT="0" distB="0" distL="0" distR="0" wp14:anchorId="49512840" wp14:editId="4981ECE0">
                                    <wp:extent cx="1641361" cy="39256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41361" cy="392567"/>
                                            </a:xfrm>
                                            <a:prstGeom prst="rect">
                                              <a:avLst/>
                                            </a:prstGeom>
                                            <a:noFill/>
                                            <a:ln>
                                              <a:noFill/>
                                            </a:ln>
                                          </pic:spPr>
                                        </pic:pic>
                                      </a:graphicData>
                                    </a:graphic>
                                  </wp:inline>
                                </w:drawing>
                              </w:r>
                            </w:p>
                          </w:sdtContent>
                        </w:sdt>
                        <w:sdt>
                          <w:sdtPr>
                            <w:rPr>
                              <w:sz w:val="18"/>
                              <w:szCs w:val="18"/>
                            </w:rPr>
                            <w:alias w:val="Organisation Title"/>
                            <w:tag w:val="txtOrganisationTitle"/>
                            <w:id w:val="-908073342"/>
                            <w:lock w:val="contentLocked"/>
                            <w:text w:multiLine="1"/>
                          </w:sdtPr>
                          <w:sdtEndPr/>
                          <w:sdtContent>
                            <w:p w14:paraId="5DE94074" w14:textId="77777777" w:rsidR="008914FE" w:rsidRDefault="008914FE" w:rsidP="004C2E2F">
                              <w:pPr>
                                <w:pStyle w:val="CoverNormal"/>
                                <w:rPr>
                                  <w:sz w:val="18"/>
                                  <w:szCs w:val="18"/>
                                </w:rPr>
                              </w:pPr>
                              <w:r w:rsidRPr="00766835">
                                <w:rPr>
                                  <w:sz w:val="18"/>
                                  <w:szCs w:val="18"/>
                                </w:rPr>
                                <w:t>Organisation for Economic Co-operation and Development</w:t>
                              </w:r>
                            </w:p>
                          </w:sdtContent>
                        </w:sdt>
                        <w:p w14:paraId="585A8618" w14:textId="77777777" w:rsidR="008914FE" w:rsidRDefault="009915F6" w:rsidP="004C2E2F">
                          <w:pPr>
                            <w:pStyle w:val="CoverNormal"/>
                            <w:spacing w:after="240"/>
                            <w:jc w:val="right"/>
                            <w:rPr>
                              <w:rStyle w:val="CoverCote"/>
                            </w:rPr>
                          </w:pPr>
                          <w:sdt>
                            <w:sdtPr>
                              <w:rPr>
                                <w:rStyle w:val="CoverCote"/>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rPr>
                                <w:rStyle w:val="CoverCote"/>
                              </w:rPr>
                            </w:sdtEndPr>
                            <w:sdtContent>
                              <w:r w:rsidR="008914FE">
                                <w:rPr>
                                  <w:rStyle w:val="CoverCote"/>
                                </w:rPr>
                                <w:t>DOCUMENT CODE</w:t>
                              </w:r>
                            </w:sdtContent>
                          </w:sdt>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4148"/>
                            <w:gridCol w:w="4148"/>
                          </w:tblGrid>
                          <w:tr w:rsidR="008914FE" w14:paraId="71ED0AE0" w14:textId="77777777" w:rsidTr="004C2E2F">
                            <w:sdt>
                              <w:sdtPr>
                                <w:alias w:val="Document Classification"/>
                                <w:tag w:val="comboDocClassification"/>
                                <w:id w:val="24921505"/>
                                <w:comboBox>
                                  <w:listItem w:displayText="For Official Use" w:value="FOROFFICIALUSE"/>
                                  <w:listItem w:displayText="Confidential" w:value="CONFIDENTIAL"/>
                                  <w:listItem w:displayText="Unclassified" w:value="UNCLASSIFIED"/>
                                  <w:listItem w:displayText="À usage officiel" w:value="FOROFFICIALUSEFR"/>
                                  <w:listItem w:displayText="Confidentiel" w:value="CONFIDENTIALFR"/>
                                  <w:listItem w:displayText="Non classifié" w:value="UNCLASSIFIEDFR"/>
                                </w:comboBox>
                              </w:sdtPr>
                              <w:sdtEndPr/>
                              <w:sdtContent>
                                <w:tc>
                                  <w:tcPr>
                                    <w:tcW w:w="2500" w:type="pct"/>
                                  </w:tcPr>
                                  <w:p w14:paraId="23D72C66" w14:textId="77777777" w:rsidR="008914FE" w:rsidRDefault="008914FE" w:rsidP="004C2E2F">
                                    <w:pPr>
                                      <w:pStyle w:val="CoverClassification"/>
                                    </w:pPr>
                                    <w:r>
                                      <w:t>For Official Use</w:t>
                                    </w:r>
                                  </w:p>
                                </w:tc>
                              </w:sdtContent>
                            </w:sdt>
                            <w:sdt>
                              <w:sdtPr>
                                <w:alias w:val="Document Language"/>
                                <w:tag w:val="comboDocumentLanguage"/>
                                <w:id w:val="-2139101875"/>
                                <w:comboBox>
                                  <w:listItem w:displayText="English - Or. English" w:value="English"/>
                                  <w:listItem w:displayText="English - Or. French" w:value="English2"/>
                                  <w:listItem w:displayText="English/French" w:value="English3"/>
                                  <w:listItem w:displayText="English text only" w:value="English4"/>
                                  <w:listItem w:displayText="Français - Or. Français" w:value="French"/>
                                  <w:listItem w:displayText="Français - Or. Anglais" w:value="French2"/>
                                  <w:listItem w:displayText="Français/Anglais" w:value="French3"/>
                                  <w:listItem w:displayText="Texte français seulement" w:value="French4"/>
                                  <w:listItem w:displayText="Italian - Or. English" w:value="Italian"/>
                                  <w:listItem w:displayText="Russian - Or. English" w:value="Russian"/>
                                  <w:listItem w:displayText="Spanish - Or. English" w:value="Spanish"/>
                                  <w:listItem w:displayText="German - Or. English" w:value="German"/>
                                  <w:listItem w:displayText="Italian - Or. French" w:value="Italian1"/>
                                  <w:listItem w:displayText="Russian - Or. French" w:value="Russian1"/>
                                  <w:listItem w:displayText="Spanish - Or. French" w:value="Spanish1"/>
                                  <w:listItem w:displayText="German - Or. French" w:value="German1"/>
                                </w:comboBox>
                              </w:sdtPr>
                              <w:sdtEndPr/>
                              <w:sdtContent>
                                <w:tc>
                                  <w:tcPr>
                                    <w:tcW w:w="2500" w:type="pct"/>
                                  </w:tcPr>
                                  <w:p w14:paraId="10CF0B31" w14:textId="77777777" w:rsidR="008914FE" w:rsidRDefault="008914FE" w:rsidP="004C2E2F">
                                    <w:pPr>
                                      <w:pStyle w:val="CoverLanguage"/>
                                    </w:pPr>
                                    <w:r>
                                      <w:t>English - Or. English</w:t>
                                    </w:r>
                                  </w:p>
                                </w:tc>
                              </w:sdtContent>
                            </w:sdt>
                          </w:tr>
                        </w:tbl>
                        <w:sdt>
                          <w:sdtPr>
                            <w:alias w:val="Document Date"/>
                            <w:tag w:val="txtDocDate"/>
                            <w:id w:val="947821904"/>
                            <w:lock w:val="contentLocked"/>
                            <w:date>
                              <w:dateFormat w:val="d MMMM yyyy"/>
                              <w:lid w:val="en-US"/>
                              <w:storeMappedDataAs w:val="dateTime"/>
                              <w:calendar w:val="gregorian"/>
                            </w:date>
                          </w:sdtPr>
                          <w:sdtEndPr/>
                          <w:sdtContent>
                            <w:p w14:paraId="2DC7166F" w14:textId="77777777" w:rsidR="008914FE" w:rsidRDefault="008914FE" w:rsidP="004C2E2F">
                              <w:pPr>
                                <w:pStyle w:val="CoverDate"/>
                              </w:pPr>
                              <w:r>
                                <w:t xml:space="preserve"> </w:t>
                              </w:r>
                            </w:p>
                          </w:sdtContent>
                        </w:sdt>
                        <w:sdt>
                          <w:sdtPr>
                            <w:alias w:val="Directorate"/>
                            <w:tag w:val="txtDirectorate"/>
                            <w:id w:val="2012713445"/>
                            <w:lock w:val="contentLocked"/>
                          </w:sdtPr>
                          <w:sdtEndPr/>
                          <w:sdtContent>
                            <w:p w14:paraId="49B458E5" w14:textId="77777777" w:rsidR="008914FE" w:rsidRDefault="008914FE" w:rsidP="004C2E2F">
                              <w:pPr>
                                <w:pStyle w:val="CoverDirectorate"/>
                              </w:pPr>
                              <w:r>
                                <w:t xml:space="preserve"> </w:t>
                              </w:r>
                            </w:p>
                          </w:sdtContent>
                        </w:sdt>
                        <w:sdt>
                          <w:sdtPr>
                            <w:alias w:val="Committee"/>
                            <w:tag w:val="txtCommittee"/>
                            <w:id w:val="1460301256"/>
                            <w:lock w:val="contentLocked"/>
                          </w:sdtPr>
                          <w:sdtEndPr/>
                          <w:sdtContent>
                            <w:p w14:paraId="26C3285A" w14:textId="77777777" w:rsidR="008914FE" w:rsidRDefault="008914FE" w:rsidP="004C2E2F">
                              <w:pPr>
                                <w:pStyle w:val="CoverCommittee"/>
                              </w:pPr>
                              <w:r>
                                <w:t xml:space="preserve"> </w:t>
                              </w:r>
                            </w:p>
                          </w:sdtContent>
                        </w:sdt>
                        <w:p w14:paraId="27EFD266" w14:textId="77777777" w:rsidR="008914FE" w:rsidRDefault="008914FE" w:rsidP="004C2E2F">
                          <w:pPr>
                            <w:pStyle w:val="CoverNormal"/>
                          </w:pPr>
                        </w:p>
                        <w:p w14:paraId="36675465" w14:textId="77777777" w:rsidR="008914FE" w:rsidRDefault="008914FE" w:rsidP="004C2E2F">
                          <w:pPr>
                            <w:pStyle w:val="CoverNormal"/>
                          </w:pPr>
                        </w:p>
                        <w:sdt>
                          <w:sdtPr>
                            <w:alias w:val="Cancel / Replace"/>
                            <w:tag w:val="txtCancelReplace"/>
                            <w:id w:val="-338318661"/>
                            <w:lock w:val="contentLocked"/>
                          </w:sdtPr>
                          <w:sdtEndPr/>
                          <w:sdtContent>
                            <w:p w14:paraId="351D6927" w14:textId="77777777" w:rsidR="008914FE" w:rsidRDefault="008914FE" w:rsidP="004C2E2F">
                              <w:pPr>
                                <w:pStyle w:val="CoverCancel"/>
                              </w:pPr>
                              <w:r>
                                <w:t xml:space="preserve"> </w:t>
                              </w:r>
                            </w:p>
                          </w:sdtContent>
                        </w:sdt>
                        <w:p w14:paraId="4457DB6E" w14:textId="77777777" w:rsidR="008914FE" w:rsidRDefault="008914FE" w:rsidP="004C2E2F">
                          <w:pPr>
                            <w:pStyle w:val="CoverNormal"/>
                          </w:pPr>
                        </w:p>
                        <w:p w14:paraId="7989D1C4" w14:textId="77777777" w:rsidR="008914FE" w:rsidRDefault="008914FE" w:rsidP="004C2E2F">
                          <w:pPr>
                            <w:pStyle w:val="CoverNormal"/>
                          </w:pPr>
                        </w:p>
                        <w:sdt>
                          <w:sdtPr>
                            <w:alias w:val="Working Party"/>
                            <w:tag w:val="txtWorkingParty"/>
                            <w:id w:val="615799634"/>
                            <w:lock w:val="contentLocked"/>
                          </w:sdtPr>
                          <w:sdtEndPr/>
                          <w:sdtContent>
                            <w:p w14:paraId="37413EFE" w14:textId="77777777" w:rsidR="008914FE" w:rsidRDefault="008914FE" w:rsidP="004C2E2F">
                              <w:pPr>
                                <w:pStyle w:val="CoverWorkingParty"/>
                              </w:pPr>
                              <w:r>
                                <w:t xml:space="preserve"> </w:t>
                              </w:r>
                            </w:p>
                          </w:sdtContent>
                        </w:sdt>
                        <w:p w14:paraId="5D1A7A9A" w14:textId="77777777" w:rsidR="008914FE" w:rsidRDefault="008914FE" w:rsidP="004C2E2F">
                          <w:pPr>
                            <w:pStyle w:val="CoverNormal"/>
                          </w:pPr>
                        </w:p>
                        <w:p w14:paraId="5BDE481A" w14:textId="77777777" w:rsidR="008914FE" w:rsidRDefault="008914FE" w:rsidP="004C2E2F">
                          <w:pPr>
                            <w:pStyle w:val="CoverNormal"/>
                          </w:pPr>
                        </w:p>
                        <w:p w14:paraId="7980E555" w14:textId="77777777" w:rsidR="008914FE" w:rsidRDefault="008914FE" w:rsidP="004C2E2F">
                          <w:pPr>
                            <w:pStyle w:val="CoverNormal"/>
                          </w:pPr>
                        </w:p>
                        <w:p w14:paraId="60EAF08D" w14:textId="7E89AA6B" w:rsidR="008914FE" w:rsidRDefault="009915F6" w:rsidP="004C2E2F">
                          <w:pPr>
                            <w:pStyle w:val="CoverTitle"/>
                          </w:pPr>
                          <w:sdt>
                            <w:sdtPr>
                              <w:alias w:val="Document Title"/>
                              <w:tag w:val="txtDocTitle"/>
                              <w:id w:val="-1237394102"/>
                              <w:dataBinding w:prefixMappings="xmlns:ns0='http://purl.org/dc/elements/1.1/' xmlns:ns1='http://schemas.openxmlformats.org/package/2006/metadata/core-properties' " w:xpath="/ns1:coreProperties[1]/ns0:title[1]" w:storeItemID="{6C3C8BC8-F283-45AE-878A-BAB7291924A1}"/>
                              <w:text/>
                            </w:sdtPr>
                            <w:sdtEndPr/>
                            <w:sdtContent>
                              <w:r w:rsidR="008914FE">
                                <w:t>Investment Promotion in Eurasia</w:t>
                              </w:r>
                            </w:sdtContent>
                          </w:sdt>
                        </w:p>
                        <w:p w14:paraId="301B4909" w14:textId="153CF8A7" w:rsidR="008914FE" w:rsidRDefault="009915F6" w:rsidP="004C2E2F">
                          <w:pPr>
                            <w:pStyle w:val="CoverSubTitle"/>
                          </w:pPr>
                          <w:sdt>
                            <w:sdtPr>
                              <w:rPr>
                                <w:b w:val="0"/>
                                <w:i/>
                                <w:u w:val="single"/>
                              </w:rPr>
                              <w:alias w:val="Document Subtitle"/>
                              <w:tag w:val="txtDocSubtitle"/>
                              <w:id w:val="-665630859"/>
                              <w:dataBinding w:prefixMappings="xmlns:ns0='http://purl.org/dc/elements/1.1/' xmlns:ns1='http://schemas.openxmlformats.org/package/2006/metadata/core-properties' " w:xpath="/ns1:coreProperties[1]/ns0:subject[1]" w:storeItemID="{6C3C8BC8-F283-45AE-878A-BAB7291924A1}"/>
                              <w:text w:multiLine="1"/>
                            </w:sdtPr>
                            <w:sdtEndPr/>
                            <w:sdtContent>
                              <w:r w:rsidR="008914FE" w:rsidRPr="00C00C85">
                                <w:rPr>
                                  <w:b w:val="0"/>
                                  <w:i/>
                                  <w:u w:val="single"/>
                                </w:rPr>
                                <w:t xml:space="preserve">A </w:t>
                              </w:r>
                              <w:r w:rsidR="008914FE">
                                <w:rPr>
                                  <w:b w:val="0"/>
                                  <w:i/>
                                  <w:u w:val="single"/>
                                </w:rPr>
                                <w:t>M</w:t>
                              </w:r>
                              <w:r w:rsidR="008914FE" w:rsidRPr="00C00C85">
                                <w:rPr>
                                  <w:b w:val="0"/>
                                  <w:i/>
                                  <w:u w:val="single"/>
                                </w:rPr>
                                <w:t>apping of Investment Promotion Agencies</w:t>
                              </w:r>
                            </w:sdtContent>
                          </w:sdt>
                        </w:p>
                        <w:p w14:paraId="21CDA2C2" w14:textId="77777777" w:rsidR="008914FE" w:rsidRDefault="008914FE" w:rsidP="004C2E2F">
                          <w:pPr>
                            <w:pStyle w:val="CoverNormal"/>
                          </w:pPr>
                        </w:p>
                        <w:p w14:paraId="68E9A0B3" w14:textId="77777777" w:rsidR="008914FE" w:rsidRDefault="008914FE" w:rsidP="004C2E2F">
                          <w:pPr>
                            <w:pStyle w:val="CoverNormal"/>
                          </w:pPr>
                        </w:p>
                        <w:sdt>
                          <w:sdtPr>
                            <w:alias w:val="Meeting Information"/>
                            <w:tag w:val="txtInfomationMeeting"/>
                            <w:id w:val="-1797124433"/>
                            <w:showingPlcHdr/>
                          </w:sdtPr>
                          <w:sdtEndPr/>
                          <w:sdtContent>
                            <w:p w14:paraId="65C6E404" w14:textId="02780656" w:rsidR="008914FE" w:rsidRDefault="008914FE" w:rsidP="004C2E2F">
                              <w:pPr>
                                <w:pStyle w:val="CoverInformation"/>
                              </w:pPr>
                              <w:r>
                                <w:t xml:space="preserve">     </w:t>
                              </w:r>
                            </w:p>
                          </w:sdtContent>
                        </w:sdt>
                        <w:p w14:paraId="1A266A5C" w14:textId="77777777" w:rsidR="008914FE" w:rsidRDefault="008914FE" w:rsidP="004C2E2F">
                          <w:pPr>
                            <w:pStyle w:val="CoverNormal"/>
                          </w:pPr>
                        </w:p>
                        <w:p w14:paraId="4ECB1D65" w14:textId="77777777" w:rsidR="008914FE" w:rsidRDefault="008914FE" w:rsidP="004C2E2F">
                          <w:pPr>
                            <w:pStyle w:val="CoverNormal"/>
                          </w:pPr>
                        </w:p>
                        <w:tbl>
                          <w:tblPr>
                            <w:tblW w:w="5090" w:type="pct"/>
                            <w:jc w:val="center"/>
                            <w:tblCellMar>
                              <w:left w:w="85" w:type="dxa"/>
                              <w:right w:w="85" w:type="dxa"/>
                            </w:tblCellMar>
                            <w:tblLook w:val="04A0" w:firstRow="1" w:lastRow="0" w:firstColumn="1" w:lastColumn="0" w:noHBand="0" w:noVBand="1"/>
                          </w:tblPr>
                          <w:tblGrid>
                            <w:gridCol w:w="8445"/>
                          </w:tblGrid>
                          <w:sdt>
                            <w:sdtPr>
                              <w:rPr>
                                <w:rFonts w:eastAsiaTheme="minorEastAsia"/>
                                <w:lang w:eastAsia="ko-KR"/>
                              </w:rPr>
                              <w:alias w:val="Information Note"/>
                              <w:tag w:val="txtInformationNote"/>
                              <w:id w:val="-1842384933"/>
                              <w:showingPlcHdr/>
                            </w:sdtPr>
                            <w:sdtEndPr/>
                            <w:sdtContent>
                              <w:tr w:rsidR="008914FE" w14:paraId="0EF2D6F7" w14:textId="77777777" w:rsidTr="004C2E2F">
                                <w:trPr>
                                  <w:trHeight w:val="3368"/>
                                  <w:jc w:val="center"/>
                                </w:trPr>
                                <w:tc>
                                  <w:tcPr>
                                    <w:tcW w:w="5000" w:type="pct"/>
                                  </w:tcPr>
                                  <w:p w14:paraId="61337A97" w14:textId="2FA8FBC3" w:rsidR="008914FE" w:rsidRDefault="00300794" w:rsidP="00300794">
                                    <w:pPr>
                                      <w:pStyle w:val="CoverInformation"/>
                                    </w:pPr>
                                    <w:r>
                                      <w:rPr>
                                        <w:rFonts w:eastAsiaTheme="minorEastAsia"/>
                                        <w:lang w:eastAsia="ko-KR"/>
                                      </w:rPr>
                                      <w:t xml:space="preserve">     </w:t>
                                    </w:r>
                                  </w:p>
                                </w:tc>
                              </w:tr>
                            </w:sdtContent>
                          </w:sdt>
                        </w:tbl>
                        <w:p w14:paraId="152D689F" w14:textId="77777777" w:rsidR="008914FE" w:rsidRDefault="008914FE" w:rsidP="004C2E2F">
                          <w:pPr>
                            <w:pStyle w:val="CoverNormal"/>
                          </w:pPr>
                        </w:p>
                        <w:p w14:paraId="236336DC" w14:textId="77777777" w:rsidR="008914FE" w:rsidRDefault="008914FE" w:rsidP="004C2E2F">
                          <w:pPr>
                            <w:pStyle w:val="CoverNormal"/>
                          </w:pPr>
                        </w:p>
                        <w:p w14:paraId="303C4B92" w14:textId="77777777" w:rsidR="008914FE" w:rsidRDefault="008914FE" w:rsidP="004C2E2F">
                          <w:pPr>
                            <w:pStyle w:val="CoverNormal"/>
                          </w:pPr>
                        </w:p>
                        <w:sdt>
                          <w:sdtPr>
                            <w:alias w:val="PWB Code"/>
                            <w:tag w:val="txtPWBCode"/>
                            <w:id w:val="-278178166"/>
                            <w:lock w:val="contentLocked"/>
                            <w:text w:multiLine="1"/>
                          </w:sdtPr>
                          <w:sdtEndPr/>
                          <w:sdtContent>
                            <w:p w14:paraId="142BFBFB" w14:textId="77777777" w:rsidR="008914FE" w:rsidRDefault="008914FE" w:rsidP="004C2E2F">
                              <w:pPr>
                                <w:pStyle w:val="CoverPwbCode"/>
                              </w:pPr>
                              <w:r>
                                <w:t xml:space="preserve"> </w:t>
                              </w:r>
                            </w:p>
                          </w:sdtContent>
                        </w:sdt>
                        <w:sdt>
                          <w:sdtPr>
                            <w:alias w:val="JT Number"/>
                            <w:tag w:val="txtJobNumber"/>
                            <w:id w:val="1285929225"/>
                            <w:lock w:val="contentLocked"/>
                            <w:text/>
                          </w:sdtPr>
                          <w:sdtEndPr/>
                          <w:sdtContent>
                            <w:p w14:paraId="766E7AC9" w14:textId="77777777" w:rsidR="008914FE" w:rsidRDefault="008914FE" w:rsidP="004C2E2F">
                              <w:pPr>
                                <w:pStyle w:val="CoverJobTicket"/>
                              </w:pPr>
                              <w:r w:rsidRPr="00310112">
                                <w:t xml:space="preserve"> </w:t>
                              </w:r>
                            </w:p>
                          </w:sdtContent>
                        </w:sdt>
                        <w:sdt>
                          <w:sdtPr>
                            <w:rPr>
                              <w:color w:val="FFFFFF" w:themeColor="background1"/>
                            </w:rPr>
                            <w:alias w:val="cvpname"/>
                            <w:tag w:val="txtcvpname"/>
                            <w:id w:val="-311641019"/>
                          </w:sdtPr>
                          <w:sdtEndPr/>
                          <w:sdtContent>
                            <w:p w14:paraId="0769707A" w14:textId="77777777" w:rsidR="008914FE" w:rsidRDefault="008914FE" w:rsidP="004C2E2F">
                              <w:pPr>
                                <w:pStyle w:val="CoverNormal"/>
                                <w:rPr>
                                  <w:color w:val="FFFFFF" w:themeColor="background1"/>
                                </w:rPr>
                              </w:pPr>
                              <w:r w:rsidRPr="00D06B7E">
                                <w:rPr>
                                  <w:color w:val="FFFFFF" w:themeColor="background1"/>
                                </w:rPr>
                                <w:t>OFDE</w:t>
                              </w:r>
                            </w:p>
                          </w:sdtContent>
                        </w:sdt>
                        <w:p w14:paraId="730CAABF" w14:textId="77777777" w:rsidR="008914FE" w:rsidRPr="00310112" w:rsidRDefault="008914FE" w:rsidP="004C2E2F">
                          <w:pPr>
                            <w:pStyle w:val="CoverNormal"/>
                          </w:pPr>
                        </w:p>
                      </w:txbxContent>
                    </v:textbox>
                    <w10:wrap anchorx="margin" anchory="page"/>
                    <w10:anchorlock/>
                  </v:shape>
                </w:pict>
              </mc:Fallback>
            </mc:AlternateContent>
          </w:r>
          <w:r>
            <w:rPr>
              <w:noProof/>
              <w:lang w:eastAsia="en-GB"/>
            </w:rPr>
            <mc:AlternateContent>
              <mc:Choice Requires="wps">
                <w:drawing>
                  <wp:anchor distT="0" distB="0" distL="114300" distR="114300" simplePos="0" relativeHeight="251658241" behindDoc="0" locked="1" layoutInCell="1" allowOverlap="1" wp14:anchorId="056BF5AE" wp14:editId="19BCD2EE">
                    <wp:simplePos x="0" y="0"/>
                    <wp:positionH relativeFrom="margin">
                      <wp:posOffset>-393065</wp:posOffset>
                    </wp:positionH>
                    <wp:positionV relativeFrom="page">
                      <wp:posOffset>9963150</wp:posOffset>
                    </wp:positionV>
                    <wp:extent cx="5616000" cy="42799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5616000" cy="427990"/>
                            </a:xfrm>
                            <a:prstGeom prst="rect">
                              <a:avLst/>
                            </a:prstGeom>
                            <a:solidFill>
                              <a:schemeClr val="bg1"/>
                            </a:solidFill>
                            <a:ln w="6350">
                              <a:noFill/>
                            </a:ln>
                          </wps:spPr>
                          <wps:txbx>
                            <w:txbxContent>
                              <w:sdt>
                                <w:sdtPr>
                                  <w:alias w:val="Cover Disclaimer"/>
                                  <w:tag w:val="txtCoverDisclaimer"/>
                                  <w:id w:val="284548140"/>
                                  <w:lock w:val="contentLocked"/>
                                  <w:text/>
                                </w:sdtPr>
                                <w:sdtEndPr/>
                                <w:sdtContent>
                                  <w:p w14:paraId="26F74194" w14:textId="77777777" w:rsidR="008914FE" w:rsidRDefault="008914FE" w:rsidP="004C2E2F">
                                    <w:pPr>
                                      <w:pStyle w:val="CoverDisclaimer"/>
                                    </w:pPr>
                                    <w:r w:rsidRPr="00065085">
                                      <w:t>This document, as well as any data and map included herein, are without prejudice to the status of or sovereignty over any territory, to the delimitation of international frontiers and boundaries and to the name of any territory, city or area.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F5AE" id="Text Box 22" o:spid="_x0000_s1027" type="#_x0000_t202" style="position:absolute;left:0;text-align:left;margin-left:-30.95pt;margin-top:784.5pt;width:442.2pt;height:33.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" fillcolor="white [3212]" stroked="f" strokeweight=".5pt">
                    <v:textbox>
                      <w:txbxContent>
                        <w:sdt>
                          <w:sdtPr>
                            <w:alias w:val="Cover Disclaimer"/>
                            <w:tag w:val="txtCoverDisclaimer"/>
                            <w:id w:val="284548140"/>
                            <w:lock w:val="contentLocked"/>
                            <w:text/>
                          </w:sdtPr>
                          <w:sdtContent>
                            <w:p w14:paraId="26F74194" w14:textId="77777777" w:rsidR="008914FE" w:rsidRDefault="008914FE" w:rsidP="004C2E2F">
                              <w:pPr>
                                <w:pStyle w:val="CoverDisclaimer"/>
                              </w:pPr>
                              <w:r w:rsidRPr="00065085">
                                <w:t>This document, as well as any data and map included herein, are without prejudice to the status of or sovereignty over any territory, to the delimitation of international frontiers and boundaries and to the name of any territory, city or area.</w:t>
                              </w:r>
                            </w:p>
                          </w:sdtContent>
                        </w:sdt>
                      </w:txbxContent>
                    </v:textbox>
                    <w10:wrap anchorx="margin" anchory="page"/>
                    <w10:anchorlock/>
                  </v:shape>
                </w:pict>
              </mc:Fallback>
            </mc:AlternateContent>
          </w:r>
        </w:p>
        <w:p w14:paraId="26ECA9B3" w14:textId="77777777" w:rsidR="000E70A1" w:rsidRPr="00BE4154" w:rsidRDefault="000E70A1" w:rsidP="004C2E2F">
          <w:pPr>
            <w:spacing w:line="276" w:lineRule="auto"/>
            <w:rPr>
              <w:color w:val="000000" w:themeColor="text1"/>
              <w:sz w:val="20"/>
            </w:rPr>
          </w:pPr>
        </w:p>
        <w:p w14:paraId="6036F0AC" w14:textId="26A89EDF" w:rsidR="000E70A1" w:rsidRDefault="000E70A1">
          <w:pPr>
            <w:spacing w:line="276" w:lineRule="auto"/>
            <w:jc w:val="left"/>
          </w:pPr>
          <w:r>
            <w:br w:type="page"/>
          </w:r>
        </w:p>
      </w:sdtContent>
    </w:sdt>
    <w:sdt>
      <w:sdtPr>
        <w:rPr>
          <w:rFonts w:eastAsiaTheme="minorHAnsi" w:cstheme="minorBidi"/>
          <w:i w:val="0"/>
          <w:noProof/>
          <w:color w:val="auto"/>
          <w:sz w:val="22"/>
          <w:szCs w:val="22"/>
          <w:lang w:val="en-US"/>
        </w:rPr>
        <w:id w:val="363180757"/>
        <w:docPartObj>
          <w:docPartGallery w:val="Table of Contents"/>
          <w:docPartUnique/>
        </w:docPartObj>
      </w:sdtPr>
      <w:sdtEndPr>
        <w:rPr>
          <w:b/>
          <w:bCs/>
        </w:rPr>
      </w:sdtEndPr>
      <w:sdtContent>
        <w:p w14:paraId="3287150A" w14:textId="5F8BA201" w:rsidR="00091FED" w:rsidRDefault="00091FED" w:rsidP="002714C8">
          <w:pPr>
            <w:pStyle w:val="TOCHeading"/>
            <w:rPr>
              <w:noProof/>
              <w:lang w:val="en-US"/>
            </w:rPr>
          </w:pPr>
          <w:r>
            <w:rPr>
              <w:noProof/>
              <w:lang w:val="en-US"/>
            </w:rPr>
            <w:t>Table of Contents</w:t>
          </w:r>
        </w:p>
        <w:p w14:paraId="0EC9D662" w14:textId="0A29E15C" w:rsidR="005442CA" w:rsidRDefault="00091FED">
          <w:pPr>
            <w:pStyle w:val="TOC1"/>
            <w:rPr>
              <w:rFonts w:asciiTheme="minorHAnsi" w:eastAsiaTheme="minorEastAsia" w:hAnsiTheme="minorHAnsi"/>
              <w:b w:val="0"/>
              <w:noProof/>
              <w:lang w:eastAsia="en-GB"/>
            </w:rPr>
          </w:pPr>
          <w:r>
            <w:rPr>
              <w:b w:val="0"/>
              <w:bCs/>
              <w:noProof/>
              <w:lang w:val="en-US"/>
            </w:rPr>
            <w:fldChar w:fldCharType="begin"/>
          </w:r>
          <w:r>
            <w:rPr>
              <w:bCs/>
              <w:noProof/>
              <w:lang w:val="en-US"/>
            </w:rPr>
            <w:instrText xml:space="preserve"> TOC \o "1-2" \h \z \t "Heading 6,1,Heading 7,1,Heading 8,2,Heading 9,2,Title,1,Annex H2,2" </w:instrText>
          </w:r>
          <w:r>
            <w:rPr>
              <w:b w:val="0"/>
              <w:bCs/>
              <w:noProof/>
              <w:lang w:val="en-US"/>
            </w:rPr>
            <w:fldChar w:fldCharType="separate"/>
          </w:r>
          <w:hyperlink w:anchor="_Toc40103015" w:history="1">
            <w:r w:rsidR="005442CA" w:rsidRPr="007B076A">
              <w:rPr>
                <w:rStyle w:val="Hyperlink"/>
                <w:noProof/>
              </w:rPr>
              <w:t>Foreword</w:t>
            </w:r>
            <w:r w:rsidR="005442CA">
              <w:rPr>
                <w:noProof/>
                <w:webHidden/>
              </w:rPr>
              <w:tab/>
            </w:r>
            <w:r w:rsidR="005442CA">
              <w:rPr>
                <w:noProof/>
                <w:webHidden/>
              </w:rPr>
              <w:fldChar w:fldCharType="begin"/>
            </w:r>
            <w:r w:rsidR="005442CA">
              <w:rPr>
                <w:noProof/>
                <w:webHidden/>
              </w:rPr>
              <w:instrText xml:space="preserve"> PAGEREF _Toc40103015 \h </w:instrText>
            </w:r>
            <w:r w:rsidR="005442CA">
              <w:rPr>
                <w:noProof/>
                <w:webHidden/>
              </w:rPr>
            </w:r>
            <w:r w:rsidR="005442CA">
              <w:rPr>
                <w:noProof/>
                <w:webHidden/>
              </w:rPr>
              <w:fldChar w:fldCharType="separate"/>
            </w:r>
            <w:r w:rsidR="008914FE">
              <w:rPr>
                <w:noProof/>
                <w:webHidden/>
              </w:rPr>
              <w:t>5</w:t>
            </w:r>
            <w:r w:rsidR="005442CA">
              <w:rPr>
                <w:noProof/>
                <w:webHidden/>
              </w:rPr>
              <w:fldChar w:fldCharType="end"/>
            </w:r>
          </w:hyperlink>
        </w:p>
        <w:p w14:paraId="7032251F" w14:textId="481AF749" w:rsidR="005442CA" w:rsidRDefault="009915F6">
          <w:pPr>
            <w:pStyle w:val="TOC1"/>
            <w:rPr>
              <w:rFonts w:asciiTheme="minorHAnsi" w:eastAsiaTheme="minorEastAsia" w:hAnsiTheme="minorHAnsi"/>
              <w:b w:val="0"/>
              <w:noProof/>
              <w:lang w:eastAsia="en-GB"/>
            </w:rPr>
          </w:pPr>
          <w:hyperlink w:anchor="_Toc40103016" w:history="1">
            <w:r w:rsidR="005442CA" w:rsidRPr="007B076A">
              <w:rPr>
                <w:rStyle w:val="Hyperlink"/>
                <w:noProof/>
              </w:rPr>
              <w:t>Executive Summary</w:t>
            </w:r>
            <w:r w:rsidR="005442CA">
              <w:rPr>
                <w:noProof/>
                <w:webHidden/>
              </w:rPr>
              <w:tab/>
            </w:r>
            <w:r w:rsidR="005442CA">
              <w:rPr>
                <w:noProof/>
                <w:webHidden/>
              </w:rPr>
              <w:fldChar w:fldCharType="begin"/>
            </w:r>
            <w:r w:rsidR="005442CA">
              <w:rPr>
                <w:noProof/>
                <w:webHidden/>
              </w:rPr>
              <w:instrText xml:space="preserve"> PAGEREF _Toc40103016 \h </w:instrText>
            </w:r>
            <w:r w:rsidR="005442CA">
              <w:rPr>
                <w:noProof/>
                <w:webHidden/>
              </w:rPr>
            </w:r>
            <w:r w:rsidR="005442CA">
              <w:rPr>
                <w:noProof/>
                <w:webHidden/>
              </w:rPr>
              <w:fldChar w:fldCharType="separate"/>
            </w:r>
            <w:r w:rsidR="008914FE">
              <w:rPr>
                <w:noProof/>
                <w:webHidden/>
              </w:rPr>
              <w:t>6</w:t>
            </w:r>
            <w:r w:rsidR="005442CA">
              <w:rPr>
                <w:noProof/>
                <w:webHidden/>
              </w:rPr>
              <w:fldChar w:fldCharType="end"/>
            </w:r>
          </w:hyperlink>
        </w:p>
        <w:p w14:paraId="4EC71274" w14:textId="47C0BD6C" w:rsidR="005442CA" w:rsidRDefault="009915F6">
          <w:pPr>
            <w:pStyle w:val="TOC1"/>
            <w:rPr>
              <w:rFonts w:asciiTheme="minorHAnsi" w:eastAsiaTheme="minorEastAsia" w:hAnsiTheme="minorHAnsi"/>
              <w:b w:val="0"/>
              <w:noProof/>
              <w:lang w:eastAsia="en-GB"/>
            </w:rPr>
          </w:pPr>
          <w:hyperlink w:anchor="_Toc40103017" w:history="1">
            <w:r w:rsidR="005442CA" w:rsidRPr="007B076A">
              <w:rPr>
                <w:rStyle w:val="Hyperlink"/>
                <w:noProof/>
              </w:rPr>
              <w:t>Introduction</w:t>
            </w:r>
            <w:r w:rsidR="005442CA">
              <w:rPr>
                <w:noProof/>
                <w:webHidden/>
              </w:rPr>
              <w:tab/>
            </w:r>
            <w:r w:rsidR="005442CA">
              <w:rPr>
                <w:noProof/>
                <w:webHidden/>
              </w:rPr>
              <w:fldChar w:fldCharType="begin"/>
            </w:r>
            <w:r w:rsidR="005442CA">
              <w:rPr>
                <w:noProof/>
                <w:webHidden/>
              </w:rPr>
              <w:instrText xml:space="preserve"> PAGEREF _Toc40103017 \h </w:instrText>
            </w:r>
            <w:r w:rsidR="005442CA">
              <w:rPr>
                <w:noProof/>
                <w:webHidden/>
              </w:rPr>
            </w:r>
            <w:r w:rsidR="005442CA">
              <w:rPr>
                <w:noProof/>
                <w:webHidden/>
              </w:rPr>
              <w:fldChar w:fldCharType="separate"/>
            </w:r>
            <w:r w:rsidR="008914FE">
              <w:rPr>
                <w:noProof/>
                <w:webHidden/>
              </w:rPr>
              <w:t>9</w:t>
            </w:r>
            <w:r w:rsidR="005442CA">
              <w:rPr>
                <w:noProof/>
                <w:webHidden/>
              </w:rPr>
              <w:fldChar w:fldCharType="end"/>
            </w:r>
          </w:hyperlink>
        </w:p>
        <w:p w14:paraId="461BDBDC" w14:textId="6B02BB39" w:rsidR="005442CA" w:rsidRDefault="009915F6">
          <w:pPr>
            <w:pStyle w:val="TOC2"/>
            <w:rPr>
              <w:rFonts w:asciiTheme="minorHAnsi" w:eastAsiaTheme="minorEastAsia" w:hAnsiTheme="minorHAnsi"/>
              <w:noProof/>
              <w:lang w:eastAsia="en-GB"/>
            </w:rPr>
          </w:pPr>
          <w:hyperlink w:anchor="_Toc40103018" w:history="1">
            <w:r w:rsidR="005442CA" w:rsidRPr="007B076A">
              <w:rPr>
                <w:rStyle w:val="Hyperlink"/>
                <w:noProof/>
              </w:rPr>
              <w:t>Investment promotion and facilitation efforts and the role of IPAs</w:t>
            </w:r>
            <w:r w:rsidR="005442CA">
              <w:rPr>
                <w:noProof/>
                <w:webHidden/>
              </w:rPr>
              <w:tab/>
            </w:r>
            <w:r w:rsidR="005442CA">
              <w:rPr>
                <w:noProof/>
                <w:webHidden/>
              </w:rPr>
              <w:fldChar w:fldCharType="begin"/>
            </w:r>
            <w:r w:rsidR="005442CA">
              <w:rPr>
                <w:noProof/>
                <w:webHidden/>
              </w:rPr>
              <w:instrText xml:space="preserve"> PAGEREF _Toc40103018 \h </w:instrText>
            </w:r>
            <w:r w:rsidR="005442CA">
              <w:rPr>
                <w:noProof/>
                <w:webHidden/>
              </w:rPr>
            </w:r>
            <w:r w:rsidR="005442CA">
              <w:rPr>
                <w:noProof/>
                <w:webHidden/>
              </w:rPr>
              <w:fldChar w:fldCharType="separate"/>
            </w:r>
            <w:r w:rsidR="008914FE">
              <w:rPr>
                <w:noProof/>
                <w:webHidden/>
              </w:rPr>
              <w:t>11</w:t>
            </w:r>
            <w:r w:rsidR="005442CA">
              <w:rPr>
                <w:noProof/>
                <w:webHidden/>
              </w:rPr>
              <w:fldChar w:fldCharType="end"/>
            </w:r>
          </w:hyperlink>
        </w:p>
        <w:p w14:paraId="35CE5A18" w14:textId="3250F5CA" w:rsidR="005442CA" w:rsidRDefault="009915F6">
          <w:pPr>
            <w:pStyle w:val="TOC2"/>
            <w:rPr>
              <w:rFonts w:asciiTheme="minorHAnsi" w:eastAsiaTheme="minorEastAsia" w:hAnsiTheme="minorHAnsi"/>
              <w:noProof/>
              <w:lang w:eastAsia="en-GB"/>
            </w:rPr>
          </w:pPr>
          <w:hyperlink w:anchor="_Toc40103019" w:history="1">
            <w:r w:rsidR="005442CA" w:rsidRPr="007B076A">
              <w:rPr>
                <w:rStyle w:val="Hyperlink"/>
                <w:noProof/>
              </w:rPr>
              <w:t>Purpose of the OECD-IDB IPA mapping and report</w:t>
            </w:r>
            <w:r w:rsidR="005442CA">
              <w:rPr>
                <w:noProof/>
                <w:webHidden/>
              </w:rPr>
              <w:tab/>
            </w:r>
            <w:r w:rsidR="005442CA">
              <w:rPr>
                <w:noProof/>
                <w:webHidden/>
              </w:rPr>
              <w:fldChar w:fldCharType="begin"/>
            </w:r>
            <w:r w:rsidR="005442CA">
              <w:rPr>
                <w:noProof/>
                <w:webHidden/>
              </w:rPr>
              <w:instrText xml:space="preserve"> PAGEREF _Toc40103019 \h </w:instrText>
            </w:r>
            <w:r w:rsidR="005442CA">
              <w:rPr>
                <w:noProof/>
                <w:webHidden/>
              </w:rPr>
            </w:r>
            <w:r w:rsidR="005442CA">
              <w:rPr>
                <w:noProof/>
                <w:webHidden/>
              </w:rPr>
              <w:fldChar w:fldCharType="separate"/>
            </w:r>
            <w:r w:rsidR="008914FE">
              <w:rPr>
                <w:noProof/>
                <w:webHidden/>
              </w:rPr>
              <w:t>12</w:t>
            </w:r>
            <w:r w:rsidR="005442CA">
              <w:rPr>
                <w:noProof/>
                <w:webHidden/>
              </w:rPr>
              <w:fldChar w:fldCharType="end"/>
            </w:r>
          </w:hyperlink>
        </w:p>
        <w:p w14:paraId="48631606" w14:textId="70C56825" w:rsidR="005442CA" w:rsidRDefault="009915F6">
          <w:pPr>
            <w:pStyle w:val="TOC1"/>
            <w:rPr>
              <w:rFonts w:asciiTheme="minorHAnsi" w:eastAsiaTheme="minorEastAsia" w:hAnsiTheme="minorHAnsi"/>
              <w:b w:val="0"/>
              <w:noProof/>
              <w:lang w:eastAsia="en-GB"/>
            </w:rPr>
          </w:pPr>
          <w:hyperlink w:anchor="_Toc40103020" w:history="1">
            <w:r w:rsidR="005442CA" w:rsidRPr="007B076A">
              <w:rPr>
                <w:rStyle w:val="Hyperlink"/>
                <w:noProof/>
              </w:rPr>
              <w:t>1. Institutional settings and IPA roles</w:t>
            </w:r>
            <w:r w:rsidR="005442CA">
              <w:rPr>
                <w:noProof/>
                <w:webHidden/>
              </w:rPr>
              <w:tab/>
            </w:r>
            <w:r w:rsidR="005442CA">
              <w:rPr>
                <w:noProof/>
                <w:webHidden/>
              </w:rPr>
              <w:fldChar w:fldCharType="begin"/>
            </w:r>
            <w:r w:rsidR="005442CA">
              <w:rPr>
                <w:noProof/>
                <w:webHidden/>
              </w:rPr>
              <w:instrText xml:space="preserve"> PAGEREF _Toc40103020 \h </w:instrText>
            </w:r>
            <w:r w:rsidR="005442CA">
              <w:rPr>
                <w:noProof/>
                <w:webHidden/>
              </w:rPr>
            </w:r>
            <w:r w:rsidR="005442CA">
              <w:rPr>
                <w:noProof/>
                <w:webHidden/>
              </w:rPr>
              <w:fldChar w:fldCharType="separate"/>
            </w:r>
            <w:r w:rsidR="008914FE">
              <w:rPr>
                <w:noProof/>
                <w:webHidden/>
              </w:rPr>
              <w:t>14</w:t>
            </w:r>
            <w:r w:rsidR="005442CA">
              <w:rPr>
                <w:noProof/>
                <w:webHidden/>
              </w:rPr>
              <w:fldChar w:fldCharType="end"/>
            </w:r>
          </w:hyperlink>
        </w:p>
        <w:p w14:paraId="1C50ACB6" w14:textId="10EEE26A" w:rsidR="005442CA" w:rsidRDefault="009915F6">
          <w:pPr>
            <w:pStyle w:val="TOC2"/>
            <w:rPr>
              <w:rFonts w:asciiTheme="minorHAnsi" w:eastAsiaTheme="minorEastAsia" w:hAnsiTheme="minorHAnsi"/>
              <w:noProof/>
              <w:lang w:eastAsia="en-GB"/>
            </w:rPr>
          </w:pPr>
          <w:hyperlink w:anchor="_Toc40103021" w:history="1">
            <w:r w:rsidR="005442CA" w:rsidRPr="007B076A">
              <w:rPr>
                <w:rStyle w:val="Hyperlink"/>
                <w:noProof/>
              </w:rPr>
              <w:t>Organisational settings</w:t>
            </w:r>
            <w:r w:rsidR="005442CA">
              <w:rPr>
                <w:noProof/>
                <w:webHidden/>
              </w:rPr>
              <w:tab/>
            </w:r>
            <w:r w:rsidR="005442CA">
              <w:rPr>
                <w:noProof/>
                <w:webHidden/>
              </w:rPr>
              <w:fldChar w:fldCharType="begin"/>
            </w:r>
            <w:r w:rsidR="005442CA">
              <w:rPr>
                <w:noProof/>
                <w:webHidden/>
              </w:rPr>
              <w:instrText xml:space="preserve"> PAGEREF _Toc40103021 \h </w:instrText>
            </w:r>
            <w:r w:rsidR="005442CA">
              <w:rPr>
                <w:noProof/>
                <w:webHidden/>
              </w:rPr>
            </w:r>
            <w:r w:rsidR="005442CA">
              <w:rPr>
                <w:noProof/>
                <w:webHidden/>
              </w:rPr>
              <w:fldChar w:fldCharType="separate"/>
            </w:r>
            <w:r w:rsidR="008914FE">
              <w:rPr>
                <w:noProof/>
                <w:webHidden/>
              </w:rPr>
              <w:t>14</w:t>
            </w:r>
            <w:r w:rsidR="005442CA">
              <w:rPr>
                <w:noProof/>
                <w:webHidden/>
              </w:rPr>
              <w:fldChar w:fldCharType="end"/>
            </w:r>
          </w:hyperlink>
        </w:p>
        <w:p w14:paraId="5DFE955C" w14:textId="7B1EB111" w:rsidR="005442CA" w:rsidRDefault="009915F6">
          <w:pPr>
            <w:pStyle w:val="TOC2"/>
            <w:rPr>
              <w:rFonts w:asciiTheme="minorHAnsi" w:eastAsiaTheme="minorEastAsia" w:hAnsiTheme="minorHAnsi"/>
              <w:noProof/>
              <w:lang w:eastAsia="en-GB"/>
            </w:rPr>
          </w:pPr>
          <w:hyperlink w:anchor="_Toc40103022" w:history="1">
            <w:r w:rsidR="005442CA" w:rsidRPr="007B076A">
              <w:rPr>
                <w:rStyle w:val="Hyperlink"/>
                <w:noProof/>
              </w:rPr>
              <w:t>Mandates, resources and strategic planning</w:t>
            </w:r>
            <w:r w:rsidR="005442CA">
              <w:rPr>
                <w:noProof/>
                <w:webHidden/>
              </w:rPr>
              <w:tab/>
            </w:r>
            <w:r w:rsidR="005442CA">
              <w:rPr>
                <w:noProof/>
                <w:webHidden/>
              </w:rPr>
              <w:fldChar w:fldCharType="begin"/>
            </w:r>
            <w:r w:rsidR="005442CA">
              <w:rPr>
                <w:noProof/>
                <w:webHidden/>
              </w:rPr>
              <w:instrText xml:space="preserve"> PAGEREF _Toc40103022 \h </w:instrText>
            </w:r>
            <w:r w:rsidR="005442CA">
              <w:rPr>
                <w:noProof/>
                <w:webHidden/>
              </w:rPr>
            </w:r>
            <w:r w:rsidR="005442CA">
              <w:rPr>
                <w:noProof/>
                <w:webHidden/>
              </w:rPr>
              <w:fldChar w:fldCharType="separate"/>
            </w:r>
            <w:r w:rsidR="008914FE">
              <w:rPr>
                <w:noProof/>
                <w:webHidden/>
              </w:rPr>
              <w:t>19</w:t>
            </w:r>
            <w:r w:rsidR="005442CA">
              <w:rPr>
                <w:noProof/>
                <w:webHidden/>
              </w:rPr>
              <w:fldChar w:fldCharType="end"/>
            </w:r>
          </w:hyperlink>
        </w:p>
        <w:p w14:paraId="0AB4E30F" w14:textId="1FED9FD2" w:rsidR="005442CA" w:rsidRDefault="009915F6">
          <w:pPr>
            <w:pStyle w:val="TOC2"/>
            <w:rPr>
              <w:rFonts w:asciiTheme="minorHAnsi" w:eastAsiaTheme="minorEastAsia" w:hAnsiTheme="minorHAnsi"/>
              <w:noProof/>
              <w:lang w:eastAsia="en-GB"/>
            </w:rPr>
          </w:pPr>
          <w:hyperlink w:anchor="_Toc40103023" w:history="1">
            <w:r w:rsidR="005442CA" w:rsidRPr="007B076A">
              <w:rPr>
                <w:rStyle w:val="Hyperlink"/>
                <w:noProof/>
              </w:rPr>
              <w:t>Institutional relationships</w:t>
            </w:r>
            <w:r w:rsidR="005442CA">
              <w:rPr>
                <w:noProof/>
                <w:webHidden/>
              </w:rPr>
              <w:tab/>
            </w:r>
            <w:r w:rsidR="005442CA">
              <w:rPr>
                <w:noProof/>
                <w:webHidden/>
              </w:rPr>
              <w:fldChar w:fldCharType="begin"/>
            </w:r>
            <w:r w:rsidR="005442CA">
              <w:rPr>
                <w:noProof/>
                <w:webHidden/>
              </w:rPr>
              <w:instrText xml:space="preserve"> PAGEREF _Toc40103023 \h </w:instrText>
            </w:r>
            <w:r w:rsidR="005442CA">
              <w:rPr>
                <w:noProof/>
                <w:webHidden/>
              </w:rPr>
            </w:r>
            <w:r w:rsidR="005442CA">
              <w:rPr>
                <w:noProof/>
                <w:webHidden/>
              </w:rPr>
              <w:fldChar w:fldCharType="separate"/>
            </w:r>
            <w:r w:rsidR="008914FE">
              <w:rPr>
                <w:noProof/>
                <w:webHidden/>
              </w:rPr>
              <w:t>25</w:t>
            </w:r>
            <w:r w:rsidR="005442CA">
              <w:rPr>
                <w:noProof/>
                <w:webHidden/>
              </w:rPr>
              <w:fldChar w:fldCharType="end"/>
            </w:r>
          </w:hyperlink>
        </w:p>
        <w:p w14:paraId="58777ADC" w14:textId="2AB4B98E" w:rsidR="005442CA" w:rsidRDefault="009915F6">
          <w:pPr>
            <w:pStyle w:val="TOC1"/>
            <w:rPr>
              <w:rFonts w:asciiTheme="minorHAnsi" w:eastAsiaTheme="minorEastAsia" w:hAnsiTheme="minorHAnsi"/>
              <w:b w:val="0"/>
              <w:noProof/>
              <w:lang w:eastAsia="en-GB"/>
            </w:rPr>
          </w:pPr>
          <w:hyperlink w:anchor="_Toc40103024" w:history="1">
            <w:r w:rsidR="005442CA" w:rsidRPr="007B076A">
              <w:rPr>
                <w:rStyle w:val="Hyperlink"/>
                <w:noProof/>
              </w:rPr>
              <w:t>2. Activities</w:t>
            </w:r>
            <w:r w:rsidR="005442CA">
              <w:rPr>
                <w:noProof/>
                <w:webHidden/>
              </w:rPr>
              <w:tab/>
            </w:r>
            <w:r w:rsidR="005442CA">
              <w:rPr>
                <w:noProof/>
                <w:webHidden/>
              </w:rPr>
              <w:fldChar w:fldCharType="begin"/>
            </w:r>
            <w:r w:rsidR="005442CA">
              <w:rPr>
                <w:noProof/>
                <w:webHidden/>
              </w:rPr>
              <w:instrText xml:space="preserve"> PAGEREF _Toc40103024 \h </w:instrText>
            </w:r>
            <w:r w:rsidR="005442CA">
              <w:rPr>
                <w:noProof/>
                <w:webHidden/>
              </w:rPr>
            </w:r>
            <w:r w:rsidR="005442CA">
              <w:rPr>
                <w:noProof/>
                <w:webHidden/>
              </w:rPr>
              <w:fldChar w:fldCharType="separate"/>
            </w:r>
            <w:r w:rsidR="008914FE">
              <w:rPr>
                <w:noProof/>
                <w:webHidden/>
              </w:rPr>
              <w:t>31</w:t>
            </w:r>
            <w:r w:rsidR="005442CA">
              <w:rPr>
                <w:noProof/>
                <w:webHidden/>
              </w:rPr>
              <w:fldChar w:fldCharType="end"/>
            </w:r>
          </w:hyperlink>
        </w:p>
        <w:p w14:paraId="7AB11D8A" w14:textId="02762A30" w:rsidR="005442CA" w:rsidRDefault="009915F6">
          <w:pPr>
            <w:pStyle w:val="TOC2"/>
            <w:rPr>
              <w:rFonts w:asciiTheme="minorHAnsi" w:eastAsiaTheme="minorEastAsia" w:hAnsiTheme="minorHAnsi"/>
              <w:noProof/>
              <w:lang w:eastAsia="en-GB"/>
            </w:rPr>
          </w:pPr>
          <w:hyperlink w:anchor="_Toc40103025" w:history="1">
            <w:r w:rsidR="005442CA" w:rsidRPr="007B076A">
              <w:rPr>
                <w:rStyle w:val="Hyperlink"/>
                <w:noProof/>
              </w:rPr>
              <w:t>Functions and Activities</w:t>
            </w:r>
            <w:r w:rsidR="005442CA">
              <w:rPr>
                <w:noProof/>
                <w:webHidden/>
              </w:rPr>
              <w:tab/>
            </w:r>
            <w:r w:rsidR="005442CA">
              <w:rPr>
                <w:noProof/>
                <w:webHidden/>
              </w:rPr>
              <w:fldChar w:fldCharType="begin"/>
            </w:r>
            <w:r w:rsidR="005442CA">
              <w:rPr>
                <w:noProof/>
                <w:webHidden/>
              </w:rPr>
              <w:instrText xml:space="preserve"> PAGEREF _Toc40103025 \h </w:instrText>
            </w:r>
            <w:r w:rsidR="005442CA">
              <w:rPr>
                <w:noProof/>
                <w:webHidden/>
              </w:rPr>
            </w:r>
            <w:r w:rsidR="005442CA">
              <w:rPr>
                <w:noProof/>
                <w:webHidden/>
              </w:rPr>
              <w:fldChar w:fldCharType="separate"/>
            </w:r>
            <w:r w:rsidR="008914FE">
              <w:rPr>
                <w:noProof/>
                <w:webHidden/>
              </w:rPr>
              <w:t>32</w:t>
            </w:r>
            <w:r w:rsidR="005442CA">
              <w:rPr>
                <w:noProof/>
                <w:webHidden/>
              </w:rPr>
              <w:fldChar w:fldCharType="end"/>
            </w:r>
          </w:hyperlink>
        </w:p>
        <w:p w14:paraId="77C72C3E" w14:textId="67722C06" w:rsidR="005442CA" w:rsidRDefault="009915F6">
          <w:pPr>
            <w:pStyle w:val="TOC2"/>
            <w:rPr>
              <w:rFonts w:asciiTheme="minorHAnsi" w:eastAsiaTheme="minorEastAsia" w:hAnsiTheme="minorHAnsi"/>
              <w:noProof/>
              <w:lang w:eastAsia="en-GB"/>
            </w:rPr>
          </w:pPr>
          <w:hyperlink w:anchor="_Toc40103026" w:history="1">
            <w:r w:rsidR="005442CA" w:rsidRPr="007B076A">
              <w:rPr>
                <w:rStyle w:val="Hyperlink"/>
                <w:noProof/>
              </w:rPr>
              <w:t>Prioritisation strategies</w:t>
            </w:r>
            <w:r w:rsidR="005442CA">
              <w:rPr>
                <w:noProof/>
                <w:webHidden/>
              </w:rPr>
              <w:tab/>
            </w:r>
            <w:r w:rsidR="005442CA">
              <w:rPr>
                <w:noProof/>
                <w:webHidden/>
              </w:rPr>
              <w:fldChar w:fldCharType="begin"/>
            </w:r>
            <w:r w:rsidR="005442CA">
              <w:rPr>
                <w:noProof/>
                <w:webHidden/>
              </w:rPr>
              <w:instrText xml:space="preserve"> PAGEREF _Toc40103026 \h </w:instrText>
            </w:r>
            <w:r w:rsidR="005442CA">
              <w:rPr>
                <w:noProof/>
                <w:webHidden/>
              </w:rPr>
            </w:r>
            <w:r w:rsidR="005442CA">
              <w:rPr>
                <w:noProof/>
                <w:webHidden/>
              </w:rPr>
              <w:fldChar w:fldCharType="separate"/>
            </w:r>
            <w:r w:rsidR="008914FE">
              <w:rPr>
                <w:noProof/>
                <w:webHidden/>
              </w:rPr>
              <w:t>44</w:t>
            </w:r>
            <w:r w:rsidR="005442CA">
              <w:rPr>
                <w:noProof/>
                <w:webHidden/>
              </w:rPr>
              <w:fldChar w:fldCharType="end"/>
            </w:r>
          </w:hyperlink>
        </w:p>
        <w:p w14:paraId="2EF94321" w14:textId="54D131C1" w:rsidR="005442CA" w:rsidRDefault="009915F6">
          <w:pPr>
            <w:pStyle w:val="TOC2"/>
            <w:rPr>
              <w:rFonts w:asciiTheme="minorHAnsi" w:eastAsiaTheme="minorEastAsia" w:hAnsiTheme="minorHAnsi"/>
              <w:noProof/>
              <w:lang w:eastAsia="en-GB"/>
            </w:rPr>
          </w:pPr>
          <w:hyperlink w:anchor="_Toc40103027" w:history="1">
            <w:r w:rsidR="005442CA" w:rsidRPr="007B076A">
              <w:rPr>
                <w:rStyle w:val="Hyperlink"/>
                <w:noProof/>
              </w:rPr>
              <w:t>Annex 2.A. Shares of activities performed within each core function</w:t>
            </w:r>
            <w:r w:rsidR="005442CA">
              <w:rPr>
                <w:noProof/>
                <w:webHidden/>
              </w:rPr>
              <w:tab/>
            </w:r>
            <w:r w:rsidR="005442CA">
              <w:rPr>
                <w:noProof/>
                <w:webHidden/>
              </w:rPr>
              <w:fldChar w:fldCharType="begin"/>
            </w:r>
            <w:r w:rsidR="005442CA">
              <w:rPr>
                <w:noProof/>
                <w:webHidden/>
              </w:rPr>
              <w:instrText xml:space="preserve"> PAGEREF _Toc40103027 \h </w:instrText>
            </w:r>
            <w:r w:rsidR="005442CA">
              <w:rPr>
                <w:noProof/>
                <w:webHidden/>
              </w:rPr>
            </w:r>
            <w:r w:rsidR="005442CA">
              <w:rPr>
                <w:noProof/>
                <w:webHidden/>
              </w:rPr>
              <w:fldChar w:fldCharType="separate"/>
            </w:r>
            <w:r w:rsidR="008914FE">
              <w:rPr>
                <w:noProof/>
                <w:webHidden/>
              </w:rPr>
              <w:t>51</w:t>
            </w:r>
            <w:r w:rsidR="005442CA">
              <w:rPr>
                <w:noProof/>
                <w:webHidden/>
              </w:rPr>
              <w:fldChar w:fldCharType="end"/>
            </w:r>
          </w:hyperlink>
        </w:p>
        <w:p w14:paraId="2B912587" w14:textId="46BA78C9" w:rsidR="005442CA" w:rsidRDefault="009915F6">
          <w:pPr>
            <w:pStyle w:val="TOC2"/>
            <w:rPr>
              <w:rFonts w:asciiTheme="minorHAnsi" w:eastAsiaTheme="minorEastAsia" w:hAnsiTheme="minorHAnsi"/>
              <w:noProof/>
              <w:lang w:eastAsia="en-GB"/>
            </w:rPr>
          </w:pPr>
          <w:hyperlink w:anchor="_Toc40103028" w:history="1">
            <w:r w:rsidR="005442CA" w:rsidRPr="007B076A">
              <w:rPr>
                <w:rStyle w:val="Hyperlink"/>
                <w:noProof/>
              </w:rPr>
              <w:t>Annex 2.B. Overview of Eurasia IPAs’ targeting approaches</w:t>
            </w:r>
            <w:r w:rsidR="005442CA">
              <w:rPr>
                <w:noProof/>
                <w:webHidden/>
              </w:rPr>
              <w:tab/>
            </w:r>
            <w:r w:rsidR="005442CA">
              <w:rPr>
                <w:noProof/>
                <w:webHidden/>
              </w:rPr>
              <w:fldChar w:fldCharType="begin"/>
            </w:r>
            <w:r w:rsidR="005442CA">
              <w:rPr>
                <w:noProof/>
                <w:webHidden/>
              </w:rPr>
              <w:instrText xml:space="preserve"> PAGEREF _Toc40103028 \h </w:instrText>
            </w:r>
            <w:r w:rsidR="005442CA">
              <w:rPr>
                <w:noProof/>
                <w:webHidden/>
              </w:rPr>
            </w:r>
            <w:r w:rsidR="005442CA">
              <w:rPr>
                <w:noProof/>
                <w:webHidden/>
              </w:rPr>
              <w:fldChar w:fldCharType="separate"/>
            </w:r>
            <w:r w:rsidR="008914FE">
              <w:rPr>
                <w:noProof/>
                <w:webHidden/>
              </w:rPr>
              <w:t>52</w:t>
            </w:r>
            <w:r w:rsidR="005442CA">
              <w:rPr>
                <w:noProof/>
                <w:webHidden/>
              </w:rPr>
              <w:fldChar w:fldCharType="end"/>
            </w:r>
          </w:hyperlink>
        </w:p>
        <w:p w14:paraId="7A596C07" w14:textId="1446E8DB" w:rsidR="005442CA" w:rsidRDefault="009915F6">
          <w:pPr>
            <w:pStyle w:val="TOC1"/>
            <w:rPr>
              <w:rFonts w:asciiTheme="minorHAnsi" w:eastAsiaTheme="minorEastAsia" w:hAnsiTheme="minorHAnsi"/>
              <w:b w:val="0"/>
              <w:noProof/>
              <w:lang w:eastAsia="en-GB"/>
            </w:rPr>
          </w:pPr>
          <w:hyperlink w:anchor="_Toc40103029" w:history="1">
            <w:r w:rsidR="005442CA" w:rsidRPr="007B076A">
              <w:rPr>
                <w:rStyle w:val="Hyperlink"/>
                <w:noProof/>
              </w:rPr>
              <w:t>3. Monitoring and evaluation</w:t>
            </w:r>
            <w:r w:rsidR="005442CA">
              <w:rPr>
                <w:noProof/>
                <w:webHidden/>
              </w:rPr>
              <w:tab/>
            </w:r>
            <w:r w:rsidR="005442CA">
              <w:rPr>
                <w:noProof/>
                <w:webHidden/>
              </w:rPr>
              <w:fldChar w:fldCharType="begin"/>
            </w:r>
            <w:r w:rsidR="005442CA">
              <w:rPr>
                <w:noProof/>
                <w:webHidden/>
              </w:rPr>
              <w:instrText xml:space="preserve"> PAGEREF _Toc40103029 \h </w:instrText>
            </w:r>
            <w:r w:rsidR="005442CA">
              <w:rPr>
                <w:noProof/>
                <w:webHidden/>
              </w:rPr>
            </w:r>
            <w:r w:rsidR="005442CA">
              <w:rPr>
                <w:noProof/>
                <w:webHidden/>
              </w:rPr>
              <w:fldChar w:fldCharType="separate"/>
            </w:r>
            <w:r w:rsidR="008914FE">
              <w:rPr>
                <w:noProof/>
                <w:webHidden/>
              </w:rPr>
              <w:t>53</w:t>
            </w:r>
            <w:r w:rsidR="005442CA">
              <w:rPr>
                <w:noProof/>
                <w:webHidden/>
              </w:rPr>
              <w:fldChar w:fldCharType="end"/>
            </w:r>
          </w:hyperlink>
        </w:p>
        <w:p w14:paraId="53924D64" w14:textId="1D1AF7F9" w:rsidR="005442CA" w:rsidRDefault="009915F6">
          <w:pPr>
            <w:pStyle w:val="TOC2"/>
            <w:rPr>
              <w:rFonts w:asciiTheme="minorHAnsi" w:eastAsiaTheme="minorEastAsia" w:hAnsiTheme="minorHAnsi"/>
              <w:noProof/>
              <w:lang w:eastAsia="en-GB"/>
            </w:rPr>
          </w:pPr>
          <w:hyperlink w:anchor="_Toc40103030" w:history="1">
            <w:r w:rsidR="005442CA" w:rsidRPr="007B076A">
              <w:rPr>
                <w:rStyle w:val="Hyperlink"/>
                <w:noProof/>
              </w:rPr>
              <w:t>Overall level of engagement in Monitoring and Evaluation</w:t>
            </w:r>
            <w:r w:rsidR="005442CA">
              <w:rPr>
                <w:noProof/>
                <w:webHidden/>
              </w:rPr>
              <w:tab/>
            </w:r>
            <w:r w:rsidR="005442CA">
              <w:rPr>
                <w:noProof/>
                <w:webHidden/>
              </w:rPr>
              <w:fldChar w:fldCharType="begin"/>
            </w:r>
            <w:r w:rsidR="005442CA">
              <w:rPr>
                <w:noProof/>
                <w:webHidden/>
              </w:rPr>
              <w:instrText xml:space="preserve"> PAGEREF _Toc40103030 \h </w:instrText>
            </w:r>
            <w:r w:rsidR="005442CA">
              <w:rPr>
                <w:noProof/>
                <w:webHidden/>
              </w:rPr>
            </w:r>
            <w:r w:rsidR="005442CA">
              <w:rPr>
                <w:noProof/>
                <w:webHidden/>
              </w:rPr>
              <w:fldChar w:fldCharType="separate"/>
            </w:r>
            <w:r w:rsidR="008914FE">
              <w:rPr>
                <w:noProof/>
                <w:webHidden/>
              </w:rPr>
              <w:t>54</w:t>
            </w:r>
            <w:r w:rsidR="005442CA">
              <w:rPr>
                <w:noProof/>
                <w:webHidden/>
              </w:rPr>
              <w:fldChar w:fldCharType="end"/>
            </w:r>
          </w:hyperlink>
        </w:p>
        <w:p w14:paraId="2EAFD11E" w14:textId="77068974" w:rsidR="005442CA" w:rsidRDefault="009915F6">
          <w:pPr>
            <w:pStyle w:val="TOC2"/>
            <w:rPr>
              <w:rFonts w:asciiTheme="minorHAnsi" w:eastAsiaTheme="minorEastAsia" w:hAnsiTheme="minorHAnsi"/>
              <w:noProof/>
              <w:lang w:eastAsia="en-GB"/>
            </w:rPr>
          </w:pPr>
          <w:hyperlink w:anchor="_Toc40103031" w:history="1">
            <w:r w:rsidR="005442CA" w:rsidRPr="007B076A">
              <w:rPr>
                <w:rStyle w:val="Hyperlink"/>
                <w:noProof/>
              </w:rPr>
              <w:t>Monitoring and Evaluation activities</w:t>
            </w:r>
            <w:r w:rsidR="005442CA">
              <w:rPr>
                <w:noProof/>
                <w:webHidden/>
              </w:rPr>
              <w:tab/>
            </w:r>
            <w:r w:rsidR="005442CA">
              <w:rPr>
                <w:noProof/>
                <w:webHidden/>
              </w:rPr>
              <w:fldChar w:fldCharType="begin"/>
            </w:r>
            <w:r w:rsidR="005442CA">
              <w:rPr>
                <w:noProof/>
                <w:webHidden/>
              </w:rPr>
              <w:instrText xml:space="preserve"> PAGEREF _Toc40103031 \h </w:instrText>
            </w:r>
            <w:r w:rsidR="005442CA">
              <w:rPr>
                <w:noProof/>
                <w:webHidden/>
              </w:rPr>
            </w:r>
            <w:r w:rsidR="005442CA">
              <w:rPr>
                <w:noProof/>
                <w:webHidden/>
              </w:rPr>
              <w:fldChar w:fldCharType="separate"/>
            </w:r>
            <w:r w:rsidR="008914FE">
              <w:rPr>
                <w:noProof/>
                <w:webHidden/>
              </w:rPr>
              <w:t>56</w:t>
            </w:r>
            <w:r w:rsidR="005442CA">
              <w:rPr>
                <w:noProof/>
                <w:webHidden/>
              </w:rPr>
              <w:fldChar w:fldCharType="end"/>
            </w:r>
          </w:hyperlink>
        </w:p>
        <w:p w14:paraId="29F632EF" w14:textId="7726DF01" w:rsidR="005442CA" w:rsidRDefault="009915F6">
          <w:pPr>
            <w:pStyle w:val="TOC1"/>
            <w:rPr>
              <w:rFonts w:asciiTheme="minorHAnsi" w:eastAsiaTheme="minorEastAsia" w:hAnsiTheme="minorHAnsi"/>
              <w:b w:val="0"/>
              <w:noProof/>
              <w:lang w:eastAsia="en-GB"/>
            </w:rPr>
          </w:pPr>
          <w:hyperlink w:anchor="_Toc40103032" w:history="1">
            <w:r w:rsidR="005442CA" w:rsidRPr="007B076A">
              <w:rPr>
                <w:rStyle w:val="Hyperlink"/>
                <w:noProof/>
              </w:rPr>
              <w:t>4. The way forward</w:t>
            </w:r>
            <w:r w:rsidR="005442CA">
              <w:rPr>
                <w:noProof/>
                <w:webHidden/>
              </w:rPr>
              <w:tab/>
            </w:r>
            <w:r w:rsidR="005442CA">
              <w:rPr>
                <w:noProof/>
                <w:webHidden/>
              </w:rPr>
              <w:fldChar w:fldCharType="begin"/>
            </w:r>
            <w:r w:rsidR="005442CA">
              <w:rPr>
                <w:noProof/>
                <w:webHidden/>
              </w:rPr>
              <w:instrText xml:space="preserve"> PAGEREF _Toc40103032 \h </w:instrText>
            </w:r>
            <w:r w:rsidR="005442CA">
              <w:rPr>
                <w:noProof/>
                <w:webHidden/>
              </w:rPr>
            </w:r>
            <w:r w:rsidR="005442CA">
              <w:rPr>
                <w:noProof/>
                <w:webHidden/>
              </w:rPr>
              <w:fldChar w:fldCharType="separate"/>
            </w:r>
            <w:r w:rsidR="008914FE">
              <w:rPr>
                <w:noProof/>
                <w:webHidden/>
              </w:rPr>
              <w:t>65</w:t>
            </w:r>
            <w:r w:rsidR="005442CA">
              <w:rPr>
                <w:noProof/>
                <w:webHidden/>
              </w:rPr>
              <w:fldChar w:fldCharType="end"/>
            </w:r>
          </w:hyperlink>
        </w:p>
        <w:p w14:paraId="650CB5CA" w14:textId="02765FB5" w:rsidR="005442CA" w:rsidRDefault="009915F6">
          <w:pPr>
            <w:pStyle w:val="TOC2"/>
            <w:rPr>
              <w:rFonts w:asciiTheme="minorHAnsi" w:eastAsiaTheme="minorEastAsia" w:hAnsiTheme="minorHAnsi"/>
              <w:noProof/>
              <w:lang w:eastAsia="en-GB"/>
            </w:rPr>
          </w:pPr>
          <w:hyperlink w:anchor="_Toc40103033" w:history="1">
            <w:r w:rsidR="005442CA" w:rsidRPr="007B076A">
              <w:rPr>
                <w:rStyle w:val="Hyperlink"/>
                <w:noProof/>
              </w:rPr>
              <w:t>Guide Eurasia IPAs in their efforts to strengthen their institutional and strategic frameworks</w:t>
            </w:r>
            <w:r w:rsidR="005442CA">
              <w:rPr>
                <w:noProof/>
                <w:webHidden/>
              </w:rPr>
              <w:tab/>
            </w:r>
            <w:r w:rsidR="005442CA">
              <w:rPr>
                <w:noProof/>
                <w:webHidden/>
              </w:rPr>
              <w:fldChar w:fldCharType="begin"/>
            </w:r>
            <w:r w:rsidR="005442CA">
              <w:rPr>
                <w:noProof/>
                <w:webHidden/>
              </w:rPr>
              <w:instrText xml:space="preserve"> PAGEREF _Toc40103033 \h </w:instrText>
            </w:r>
            <w:r w:rsidR="005442CA">
              <w:rPr>
                <w:noProof/>
                <w:webHidden/>
              </w:rPr>
            </w:r>
            <w:r w:rsidR="005442CA">
              <w:rPr>
                <w:noProof/>
                <w:webHidden/>
              </w:rPr>
              <w:fldChar w:fldCharType="separate"/>
            </w:r>
            <w:r w:rsidR="008914FE">
              <w:rPr>
                <w:noProof/>
                <w:webHidden/>
              </w:rPr>
              <w:t>65</w:t>
            </w:r>
            <w:r w:rsidR="005442CA">
              <w:rPr>
                <w:noProof/>
                <w:webHidden/>
              </w:rPr>
              <w:fldChar w:fldCharType="end"/>
            </w:r>
          </w:hyperlink>
        </w:p>
        <w:p w14:paraId="33A704B7" w14:textId="15718CEE" w:rsidR="005442CA" w:rsidRDefault="009915F6">
          <w:pPr>
            <w:pStyle w:val="TOC2"/>
            <w:rPr>
              <w:rFonts w:asciiTheme="minorHAnsi" w:eastAsiaTheme="minorEastAsia" w:hAnsiTheme="minorHAnsi"/>
              <w:noProof/>
              <w:lang w:eastAsia="en-GB"/>
            </w:rPr>
          </w:pPr>
          <w:hyperlink w:anchor="_Toc40103034" w:history="1">
            <w:r w:rsidR="005442CA" w:rsidRPr="007B076A">
              <w:rPr>
                <w:rStyle w:val="Hyperlink"/>
                <w:noProof/>
              </w:rPr>
              <w:t>Help Eurasia governments to strengthen their investment facilitation and policy advocacy frameworks</w:t>
            </w:r>
            <w:r w:rsidR="005442CA">
              <w:rPr>
                <w:noProof/>
                <w:webHidden/>
              </w:rPr>
              <w:tab/>
            </w:r>
            <w:r w:rsidR="005442CA">
              <w:rPr>
                <w:noProof/>
                <w:webHidden/>
              </w:rPr>
              <w:fldChar w:fldCharType="begin"/>
            </w:r>
            <w:r w:rsidR="005442CA">
              <w:rPr>
                <w:noProof/>
                <w:webHidden/>
              </w:rPr>
              <w:instrText xml:space="preserve"> PAGEREF _Toc40103034 \h </w:instrText>
            </w:r>
            <w:r w:rsidR="005442CA">
              <w:rPr>
                <w:noProof/>
                <w:webHidden/>
              </w:rPr>
            </w:r>
            <w:r w:rsidR="005442CA">
              <w:rPr>
                <w:noProof/>
                <w:webHidden/>
              </w:rPr>
              <w:fldChar w:fldCharType="separate"/>
            </w:r>
            <w:r w:rsidR="008914FE">
              <w:rPr>
                <w:noProof/>
                <w:webHidden/>
              </w:rPr>
              <w:t>65</w:t>
            </w:r>
            <w:r w:rsidR="005442CA">
              <w:rPr>
                <w:noProof/>
                <w:webHidden/>
              </w:rPr>
              <w:fldChar w:fldCharType="end"/>
            </w:r>
          </w:hyperlink>
        </w:p>
        <w:p w14:paraId="296C9D66" w14:textId="4A8061ED" w:rsidR="005442CA" w:rsidRDefault="009915F6">
          <w:pPr>
            <w:pStyle w:val="TOC2"/>
            <w:rPr>
              <w:rFonts w:asciiTheme="minorHAnsi" w:eastAsiaTheme="minorEastAsia" w:hAnsiTheme="minorHAnsi"/>
              <w:noProof/>
              <w:lang w:eastAsia="en-GB"/>
            </w:rPr>
          </w:pPr>
          <w:hyperlink w:anchor="_Toc40103035" w:history="1">
            <w:r w:rsidR="005442CA" w:rsidRPr="007B076A">
              <w:rPr>
                <w:rStyle w:val="Hyperlink"/>
                <w:noProof/>
              </w:rPr>
              <w:t>Provide Eurasia IPAs with recommendations to strengthen monitoring and evaluation</w:t>
            </w:r>
            <w:r w:rsidR="005442CA">
              <w:rPr>
                <w:noProof/>
                <w:webHidden/>
              </w:rPr>
              <w:tab/>
            </w:r>
            <w:r w:rsidR="005442CA">
              <w:rPr>
                <w:noProof/>
                <w:webHidden/>
              </w:rPr>
              <w:fldChar w:fldCharType="begin"/>
            </w:r>
            <w:r w:rsidR="005442CA">
              <w:rPr>
                <w:noProof/>
                <w:webHidden/>
              </w:rPr>
              <w:instrText xml:space="preserve"> PAGEREF _Toc40103035 \h </w:instrText>
            </w:r>
            <w:r w:rsidR="005442CA">
              <w:rPr>
                <w:noProof/>
                <w:webHidden/>
              </w:rPr>
            </w:r>
            <w:r w:rsidR="005442CA">
              <w:rPr>
                <w:noProof/>
                <w:webHidden/>
              </w:rPr>
              <w:fldChar w:fldCharType="separate"/>
            </w:r>
            <w:r w:rsidR="008914FE">
              <w:rPr>
                <w:noProof/>
                <w:webHidden/>
              </w:rPr>
              <w:t>66</w:t>
            </w:r>
            <w:r w:rsidR="005442CA">
              <w:rPr>
                <w:noProof/>
                <w:webHidden/>
              </w:rPr>
              <w:fldChar w:fldCharType="end"/>
            </w:r>
          </w:hyperlink>
        </w:p>
        <w:p w14:paraId="46DF1F61" w14:textId="4DBD8916" w:rsidR="005442CA" w:rsidRDefault="009915F6">
          <w:pPr>
            <w:pStyle w:val="TOC1"/>
            <w:rPr>
              <w:rFonts w:asciiTheme="minorHAnsi" w:eastAsiaTheme="minorEastAsia" w:hAnsiTheme="minorHAnsi"/>
              <w:b w:val="0"/>
              <w:noProof/>
              <w:lang w:eastAsia="en-GB"/>
            </w:rPr>
          </w:pPr>
          <w:hyperlink w:anchor="_Toc40103036" w:history="1">
            <w:r w:rsidR="005442CA" w:rsidRPr="007B076A">
              <w:rPr>
                <w:rStyle w:val="Hyperlink"/>
                <w:noProof/>
              </w:rPr>
              <w:t>References</w:t>
            </w:r>
            <w:r w:rsidR="005442CA">
              <w:rPr>
                <w:noProof/>
                <w:webHidden/>
              </w:rPr>
              <w:tab/>
            </w:r>
            <w:r w:rsidR="005442CA">
              <w:rPr>
                <w:noProof/>
                <w:webHidden/>
              </w:rPr>
              <w:fldChar w:fldCharType="begin"/>
            </w:r>
            <w:r w:rsidR="005442CA">
              <w:rPr>
                <w:noProof/>
                <w:webHidden/>
              </w:rPr>
              <w:instrText xml:space="preserve"> PAGEREF _Toc40103036 \h </w:instrText>
            </w:r>
            <w:r w:rsidR="005442CA">
              <w:rPr>
                <w:noProof/>
                <w:webHidden/>
              </w:rPr>
            </w:r>
            <w:r w:rsidR="005442CA">
              <w:rPr>
                <w:noProof/>
                <w:webHidden/>
              </w:rPr>
              <w:fldChar w:fldCharType="separate"/>
            </w:r>
            <w:r w:rsidR="008914FE">
              <w:rPr>
                <w:noProof/>
                <w:webHidden/>
              </w:rPr>
              <w:t>67</w:t>
            </w:r>
            <w:r w:rsidR="005442CA">
              <w:rPr>
                <w:noProof/>
                <w:webHidden/>
              </w:rPr>
              <w:fldChar w:fldCharType="end"/>
            </w:r>
          </w:hyperlink>
        </w:p>
        <w:p w14:paraId="033EE918" w14:textId="00DF3A3D" w:rsidR="00091FED" w:rsidRDefault="00091FED" w:rsidP="00E44FB3">
          <w:r>
            <w:rPr>
              <w:b/>
              <w:bCs/>
              <w:noProof/>
              <w:lang w:val="en-US"/>
            </w:rPr>
            <w:fldChar w:fldCharType="end"/>
          </w:r>
        </w:p>
        <w:p w14:paraId="1F80E3A3" w14:textId="77777777" w:rsidR="00091FED" w:rsidRDefault="00091FED" w:rsidP="00E44FB3">
          <w:pPr>
            <w:pStyle w:val="Subtitle"/>
            <w:rPr>
              <w:rFonts w:hint="eastAsia"/>
            </w:rPr>
          </w:pPr>
          <w:r>
            <w:t>Tables</w:t>
          </w:r>
        </w:p>
        <w:p w14:paraId="54A09755" w14:textId="155645F6" w:rsidR="004E16C1" w:rsidRDefault="00091FED">
          <w:pPr>
            <w:pStyle w:val="TableofFigures"/>
            <w:rPr>
              <w:rFonts w:asciiTheme="minorHAnsi" w:eastAsiaTheme="minorEastAsia" w:hAnsiTheme="minorHAnsi"/>
              <w:noProof/>
              <w:lang w:eastAsia="en-GB"/>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34647233" w:history="1">
            <w:r w:rsidR="004E16C1" w:rsidRPr="00A6373B">
              <w:rPr>
                <w:rStyle w:val="Hyperlink"/>
                <w:noProof/>
              </w:rPr>
              <w:t>Table 1.1. IPAs’ top three challenges: regional rankings</w:t>
            </w:r>
            <w:r w:rsidR="004E16C1">
              <w:rPr>
                <w:noProof/>
                <w:webHidden/>
              </w:rPr>
              <w:tab/>
            </w:r>
            <w:r w:rsidR="004E16C1">
              <w:rPr>
                <w:noProof/>
                <w:webHidden/>
              </w:rPr>
              <w:fldChar w:fldCharType="begin"/>
            </w:r>
            <w:r w:rsidR="004E16C1">
              <w:rPr>
                <w:noProof/>
                <w:webHidden/>
              </w:rPr>
              <w:instrText xml:space="preserve"> PAGEREF _Toc34647233 \h </w:instrText>
            </w:r>
            <w:r w:rsidR="004E16C1">
              <w:rPr>
                <w:noProof/>
                <w:webHidden/>
              </w:rPr>
            </w:r>
            <w:r w:rsidR="004E16C1">
              <w:rPr>
                <w:noProof/>
                <w:webHidden/>
              </w:rPr>
              <w:fldChar w:fldCharType="separate"/>
            </w:r>
            <w:r w:rsidR="008914FE">
              <w:rPr>
                <w:noProof/>
                <w:webHidden/>
              </w:rPr>
              <w:t>16</w:t>
            </w:r>
            <w:r w:rsidR="004E16C1">
              <w:rPr>
                <w:noProof/>
                <w:webHidden/>
              </w:rPr>
              <w:fldChar w:fldCharType="end"/>
            </w:r>
          </w:hyperlink>
        </w:p>
        <w:p w14:paraId="2FDA6E92" w14:textId="44E82562" w:rsidR="004E16C1" w:rsidRDefault="009915F6">
          <w:pPr>
            <w:pStyle w:val="TableofFigures"/>
            <w:rPr>
              <w:rFonts w:asciiTheme="minorHAnsi" w:eastAsiaTheme="minorEastAsia" w:hAnsiTheme="minorHAnsi"/>
              <w:noProof/>
              <w:lang w:eastAsia="en-GB"/>
            </w:rPr>
          </w:pPr>
          <w:hyperlink w:anchor="_Toc34647234" w:history="1">
            <w:r w:rsidR="004E16C1" w:rsidRPr="00A6373B">
              <w:rPr>
                <w:rStyle w:val="Hyperlink"/>
                <w:noProof/>
              </w:rPr>
              <w:t>Table 2.1. IPAs’ four core functions</w:t>
            </w:r>
            <w:r w:rsidR="004E16C1">
              <w:rPr>
                <w:noProof/>
                <w:webHidden/>
              </w:rPr>
              <w:tab/>
            </w:r>
            <w:r w:rsidR="004E16C1">
              <w:rPr>
                <w:noProof/>
                <w:webHidden/>
              </w:rPr>
              <w:fldChar w:fldCharType="begin"/>
            </w:r>
            <w:r w:rsidR="004E16C1">
              <w:rPr>
                <w:noProof/>
                <w:webHidden/>
              </w:rPr>
              <w:instrText xml:space="preserve"> PAGEREF _Toc34647234 \h </w:instrText>
            </w:r>
            <w:r w:rsidR="004E16C1">
              <w:rPr>
                <w:noProof/>
                <w:webHidden/>
              </w:rPr>
            </w:r>
            <w:r w:rsidR="004E16C1">
              <w:rPr>
                <w:noProof/>
                <w:webHidden/>
              </w:rPr>
              <w:fldChar w:fldCharType="separate"/>
            </w:r>
            <w:r w:rsidR="008914FE">
              <w:rPr>
                <w:noProof/>
                <w:webHidden/>
              </w:rPr>
              <w:t>32</w:t>
            </w:r>
            <w:r w:rsidR="004E16C1">
              <w:rPr>
                <w:noProof/>
                <w:webHidden/>
              </w:rPr>
              <w:fldChar w:fldCharType="end"/>
            </w:r>
          </w:hyperlink>
        </w:p>
        <w:p w14:paraId="69D0B6F2" w14:textId="2069F0FD" w:rsidR="004E16C1" w:rsidRDefault="009915F6">
          <w:pPr>
            <w:pStyle w:val="TableofFigures"/>
            <w:rPr>
              <w:rFonts w:asciiTheme="minorHAnsi" w:eastAsiaTheme="minorEastAsia" w:hAnsiTheme="minorHAnsi"/>
              <w:noProof/>
              <w:lang w:eastAsia="en-GB"/>
            </w:rPr>
          </w:pPr>
          <w:hyperlink w:anchor="_Toc34647235" w:history="1">
            <w:r w:rsidR="004E16C1" w:rsidRPr="00A6373B">
              <w:rPr>
                <w:rStyle w:val="Hyperlink"/>
                <w:noProof/>
              </w:rPr>
              <w:t>Table 2.2. Number of facilitation and aftercare activities performed by Eurasia IPAs</w:t>
            </w:r>
            <w:r w:rsidR="004E16C1">
              <w:rPr>
                <w:noProof/>
                <w:webHidden/>
              </w:rPr>
              <w:tab/>
            </w:r>
            <w:r w:rsidR="004E16C1">
              <w:rPr>
                <w:noProof/>
                <w:webHidden/>
              </w:rPr>
              <w:fldChar w:fldCharType="begin"/>
            </w:r>
            <w:r w:rsidR="004E16C1">
              <w:rPr>
                <w:noProof/>
                <w:webHidden/>
              </w:rPr>
              <w:instrText xml:space="preserve"> PAGEREF _Toc34647235 \h </w:instrText>
            </w:r>
            <w:r w:rsidR="004E16C1">
              <w:rPr>
                <w:noProof/>
                <w:webHidden/>
              </w:rPr>
            </w:r>
            <w:r w:rsidR="004E16C1">
              <w:rPr>
                <w:noProof/>
                <w:webHidden/>
              </w:rPr>
              <w:fldChar w:fldCharType="separate"/>
            </w:r>
            <w:r w:rsidR="008914FE">
              <w:rPr>
                <w:noProof/>
                <w:webHidden/>
              </w:rPr>
              <w:t>38</w:t>
            </w:r>
            <w:r w:rsidR="004E16C1">
              <w:rPr>
                <w:noProof/>
                <w:webHidden/>
              </w:rPr>
              <w:fldChar w:fldCharType="end"/>
            </w:r>
          </w:hyperlink>
        </w:p>
        <w:p w14:paraId="07074EF0" w14:textId="39E2185C" w:rsidR="004E16C1" w:rsidRDefault="009915F6">
          <w:pPr>
            <w:pStyle w:val="TableofFigures"/>
            <w:rPr>
              <w:rFonts w:asciiTheme="minorHAnsi" w:eastAsiaTheme="minorEastAsia" w:hAnsiTheme="minorHAnsi"/>
              <w:noProof/>
              <w:lang w:eastAsia="en-GB"/>
            </w:rPr>
          </w:pPr>
          <w:hyperlink w:anchor="_Toc34647236" w:history="1">
            <w:r w:rsidR="004E16C1" w:rsidRPr="00A6373B">
              <w:rPr>
                <w:rStyle w:val="Hyperlink"/>
                <w:noProof/>
              </w:rPr>
              <w:t>Table 2.3. List of Eurasia IPAs by strategic profiles</w:t>
            </w:r>
            <w:r w:rsidR="004E16C1">
              <w:rPr>
                <w:noProof/>
                <w:webHidden/>
              </w:rPr>
              <w:tab/>
            </w:r>
            <w:r w:rsidR="004E16C1">
              <w:rPr>
                <w:noProof/>
                <w:webHidden/>
              </w:rPr>
              <w:fldChar w:fldCharType="begin"/>
            </w:r>
            <w:r w:rsidR="004E16C1">
              <w:rPr>
                <w:noProof/>
                <w:webHidden/>
              </w:rPr>
              <w:instrText xml:space="preserve"> PAGEREF _Toc34647236 \h </w:instrText>
            </w:r>
            <w:r w:rsidR="004E16C1">
              <w:rPr>
                <w:noProof/>
                <w:webHidden/>
              </w:rPr>
            </w:r>
            <w:r w:rsidR="004E16C1">
              <w:rPr>
                <w:noProof/>
                <w:webHidden/>
              </w:rPr>
              <w:fldChar w:fldCharType="separate"/>
            </w:r>
            <w:r w:rsidR="008914FE">
              <w:rPr>
                <w:noProof/>
                <w:webHidden/>
              </w:rPr>
              <w:t>44</w:t>
            </w:r>
            <w:r w:rsidR="004E16C1">
              <w:rPr>
                <w:noProof/>
                <w:webHidden/>
              </w:rPr>
              <w:fldChar w:fldCharType="end"/>
            </w:r>
          </w:hyperlink>
        </w:p>
        <w:p w14:paraId="3E6C0BAE" w14:textId="2ED9A383" w:rsidR="004E16C1" w:rsidRDefault="009915F6">
          <w:pPr>
            <w:pStyle w:val="TableofFigures"/>
            <w:rPr>
              <w:rFonts w:asciiTheme="minorHAnsi" w:eastAsiaTheme="minorEastAsia" w:hAnsiTheme="minorHAnsi"/>
              <w:noProof/>
              <w:lang w:eastAsia="en-GB"/>
            </w:rPr>
          </w:pPr>
          <w:hyperlink w:anchor="_Toc34647237" w:history="1">
            <w:r w:rsidR="004E16C1" w:rsidRPr="00A6373B">
              <w:rPr>
                <w:rStyle w:val="Hyperlink"/>
                <w:noProof/>
              </w:rPr>
              <w:t>Table 2.4. Priority sectors in Eurasia</w:t>
            </w:r>
            <w:r w:rsidR="004E16C1">
              <w:rPr>
                <w:noProof/>
                <w:webHidden/>
              </w:rPr>
              <w:tab/>
            </w:r>
            <w:r w:rsidR="004E16C1">
              <w:rPr>
                <w:noProof/>
                <w:webHidden/>
              </w:rPr>
              <w:fldChar w:fldCharType="begin"/>
            </w:r>
            <w:r w:rsidR="004E16C1">
              <w:rPr>
                <w:noProof/>
                <w:webHidden/>
              </w:rPr>
              <w:instrText xml:space="preserve"> PAGEREF _Toc34647237 \h </w:instrText>
            </w:r>
            <w:r w:rsidR="004E16C1">
              <w:rPr>
                <w:noProof/>
                <w:webHidden/>
              </w:rPr>
            </w:r>
            <w:r w:rsidR="004E16C1">
              <w:rPr>
                <w:noProof/>
                <w:webHidden/>
              </w:rPr>
              <w:fldChar w:fldCharType="separate"/>
            </w:r>
            <w:r w:rsidR="008914FE">
              <w:rPr>
                <w:noProof/>
                <w:webHidden/>
              </w:rPr>
              <w:t>47</w:t>
            </w:r>
            <w:r w:rsidR="004E16C1">
              <w:rPr>
                <w:noProof/>
                <w:webHidden/>
              </w:rPr>
              <w:fldChar w:fldCharType="end"/>
            </w:r>
          </w:hyperlink>
        </w:p>
        <w:p w14:paraId="5208D86B" w14:textId="59FF87AB" w:rsidR="004E16C1" w:rsidRDefault="009915F6">
          <w:pPr>
            <w:pStyle w:val="TableofFigures"/>
            <w:rPr>
              <w:rFonts w:asciiTheme="minorHAnsi" w:eastAsiaTheme="minorEastAsia" w:hAnsiTheme="minorHAnsi"/>
              <w:noProof/>
              <w:lang w:eastAsia="en-GB"/>
            </w:rPr>
          </w:pPr>
          <w:hyperlink w:anchor="_Toc34647238" w:history="1">
            <w:r w:rsidR="004E16C1" w:rsidRPr="00A6373B">
              <w:rPr>
                <w:rStyle w:val="Hyperlink"/>
                <w:noProof/>
              </w:rPr>
              <w:t>Table 2.5. Criteria used for sector prioritisation by IPA and region</w:t>
            </w:r>
            <w:r w:rsidR="004E16C1">
              <w:rPr>
                <w:noProof/>
                <w:webHidden/>
              </w:rPr>
              <w:tab/>
            </w:r>
            <w:r w:rsidR="004E16C1">
              <w:rPr>
                <w:noProof/>
                <w:webHidden/>
              </w:rPr>
              <w:fldChar w:fldCharType="begin"/>
            </w:r>
            <w:r w:rsidR="004E16C1">
              <w:rPr>
                <w:noProof/>
                <w:webHidden/>
              </w:rPr>
              <w:instrText xml:space="preserve"> PAGEREF _Toc34647238 \h </w:instrText>
            </w:r>
            <w:r w:rsidR="004E16C1">
              <w:rPr>
                <w:noProof/>
                <w:webHidden/>
              </w:rPr>
            </w:r>
            <w:r w:rsidR="004E16C1">
              <w:rPr>
                <w:noProof/>
                <w:webHidden/>
              </w:rPr>
              <w:fldChar w:fldCharType="separate"/>
            </w:r>
            <w:r w:rsidR="008914FE">
              <w:rPr>
                <w:noProof/>
                <w:webHidden/>
              </w:rPr>
              <w:t>48</w:t>
            </w:r>
            <w:r w:rsidR="004E16C1">
              <w:rPr>
                <w:noProof/>
                <w:webHidden/>
              </w:rPr>
              <w:fldChar w:fldCharType="end"/>
            </w:r>
          </w:hyperlink>
        </w:p>
        <w:p w14:paraId="38636247" w14:textId="39398E59" w:rsidR="004E16C1" w:rsidRDefault="009915F6">
          <w:pPr>
            <w:pStyle w:val="TableofFigures"/>
            <w:rPr>
              <w:rFonts w:asciiTheme="minorHAnsi" w:eastAsiaTheme="minorEastAsia" w:hAnsiTheme="minorHAnsi"/>
              <w:noProof/>
              <w:lang w:eastAsia="en-GB"/>
            </w:rPr>
          </w:pPr>
          <w:hyperlink w:anchor="_Toc34647239" w:history="1">
            <w:r w:rsidR="004E16C1" w:rsidRPr="00A6373B">
              <w:rPr>
                <w:rStyle w:val="Hyperlink"/>
                <w:noProof/>
              </w:rPr>
              <w:t>Table 2.6. Criteria used for prioritisation of projects by IPA and region</w:t>
            </w:r>
            <w:r w:rsidR="004E16C1">
              <w:rPr>
                <w:noProof/>
                <w:webHidden/>
              </w:rPr>
              <w:tab/>
            </w:r>
            <w:r w:rsidR="004E16C1">
              <w:rPr>
                <w:noProof/>
                <w:webHidden/>
              </w:rPr>
              <w:fldChar w:fldCharType="begin"/>
            </w:r>
            <w:r w:rsidR="004E16C1">
              <w:rPr>
                <w:noProof/>
                <w:webHidden/>
              </w:rPr>
              <w:instrText xml:space="preserve"> PAGEREF _Toc34647239 \h </w:instrText>
            </w:r>
            <w:r w:rsidR="004E16C1">
              <w:rPr>
                <w:noProof/>
                <w:webHidden/>
              </w:rPr>
            </w:r>
            <w:r w:rsidR="004E16C1">
              <w:rPr>
                <w:noProof/>
                <w:webHidden/>
              </w:rPr>
              <w:fldChar w:fldCharType="separate"/>
            </w:r>
            <w:r w:rsidR="008914FE">
              <w:rPr>
                <w:noProof/>
                <w:webHidden/>
              </w:rPr>
              <w:t>49</w:t>
            </w:r>
            <w:r w:rsidR="004E16C1">
              <w:rPr>
                <w:noProof/>
                <w:webHidden/>
              </w:rPr>
              <w:fldChar w:fldCharType="end"/>
            </w:r>
          </w:hyperlink>
        </w:p>
        <w:p w14:paraId="57BE1CBA" w14:textId="339824D9" w:rsidR="004E16C1" w:rsidRDefault="009915F6">
          <w:pPr>
            <w:pStyle w:val="TableofFigures"/>
            <w:rPr>
              <w:rFonts w:asciiTheme="minorHAnsi" w:eastAsiaTheme="minorEastAsia" w:hAnsiTheme="minorHAnsi"/>
              <w:noProof/>
              <w:lang w:eastAsia="en-GB"/>
            </w:rPr>
          </w:pPr>
          <w:hyperlink w:anchor="_Toc34647240" w:history="1">
            <w:r w:rsidR="004E16C1" w:rsidRPr="00A6373B">
              <w:rPr>
                <w:rStyle w:val="Hyperlink"/>
                <w:noProof/>
              </w:rPr>
              <w:t>Table 3.1. Overview of Eurasia IPAs’ CRM systems</w:t>
            </w:r>
            <w:r w:rsidR="004E16C1">
              <w:rPr>
                <w:noProof/>
                <w:webHidden/>
              </w:rPr>
              <w:tab/>
            </w:r>
            <w:r w:rsidR="004E16C1">
              <w:rPr>
                <w:noProof/>
                <w:webHidden/>
              </w:rPr>
              <w:fldChar w:fldCharType="begin"/>
            </w:r>
            <w:r w:rsidR="004E16C1">
              <w:rPr>
                <w:noProof/>
                <w:webHidden/>
              </w:rPr>
              <w:instrText xml:space="preserve"> PAGEREF _Toc34647240 \h </w:instrText>
            </w:r>
            <w:r w:rsidR="004E16C1">
              <w:rPr>
                <w:noProof/>
                <w:webHidden/>
              </w:rPr>
            </w:r>
            <w:r w:rsidR="004E16C1">
              <w:rPr>
                <w:noProof/>
                <w:webHidden/>
              </w:rPr>
              <w:fldChar w:fldCharType="separate"/>
            </w:r>
            <w:r w:rsidR="008914FE">
              <w:rPr>
                <w:noProof/>
                <w:webHidden/>
              </w:rPr>
              <w:t>62</w:t>
            </w:r>
            <w:r w:rsidR="004E16C1">
              <w:rPr>
                <w:noProof/>
                <w:webHidden/>
              </w:rPr>
              <w:fldChar w:fldCharType="end"/>
            </w:r>
          </w:hyperlink>
        </w:p>
        <w:p w14:paraId="3360EABB" w14:textId="674D85C6" w:rsidR="004E16C1" w:rsidRDefault="009915F6">
          <w:pPr>
            <w:pStyle w:val="TableofFigures"/>
            <w:rPr>
              <w:rFonts w:asciiTheme="minorHAnsi" w:eastAsiaTheme="minorEastAsia" w:hAnsiTheme="minorHAnsi"/>
              <w:noProof/>
              <w:lang w:eastAsia="en-GB"/>
            </w:rPr>
          </w:pPr>
          <w:hyperlink w:anchor="_Toc34647241" w:history="1">
            <w:r w:rsidR="004E16C1" w:rsidRPr="00A6373B">
              <w:rPr>
                <w:rStyle w:val="Hyperlink"/>
                <w:noProof/>
              </w:rPr>
              <w:t>Table 3.2. CRM functionality usage by region</w:t>
            </w:r>
            <w:r w:rsidR="004E16C1">
              <w:rPr>
                <w:noProof/>
                <w:webHidden/>
              </w:rPr>
              <w:tab/>
            </w:r>
            <w:r w:rsidR="004E16C1">
              <w:rPr>
                <w:noProof/>
                <w:webHidden/>
              </w:rPr>
              <w:fldChar w:fldCharType="begin"/>
            </w:r>
            <w:r w:rsidR="004E16C1">
              <w:rPr>
                <w:noProof/>
                <w:webHidden/>
              </w:rPr>
              <w:instrText xml:space="preserve"> PAGEREF _Toc34647241 \h </w:instrText>
            </w:r>
            <w:r w:rsidR="004E16C1">
              <w:rPr>
                <w:noProof/>
                <w:webHidden/>
              </w:rPr>
            </w:r>
            <w:r w:rsidR="004E16C1">
              <w:rPr>
                <w:noProof/>
                <w:webHidden/>
              </w:rPr>
              <w:fldChar w:fldCharType="separate"/>
            </w:r>
            <w:r w:rsidR="008914FE">
              <w:rPr>
                <w:noProof/>
                <w:webHidden/>
              </w:rPr>
              <w:t>63</w:t>
            </w:r>
            <w:r w:rsidR="004E16C1">
              <w:rPr>
                <w:noProof/>
                <w:webHidden/>
              </w:rPr>
              <w:fldChar w:fldCharType="end"/>
            </w:r>
          </w:hyperlink>
        </w:p>
        <w:p w14:paraId="2EA9943F" w14:textId="77777777" w:rsidR="00091FED" w:rsidRDefault="00091FED" w:rsidP="00E44FB3">
          <w:r>
            <w:rPr>
              <w:b/>
              <w:bCs/>
              <w:noProof/>
              <w:lang w:val="en-US"/>
            </w:rPr>
            <w:fldChar w:fldCharType="end"/>
          </w:r>
        </w:p>
        <w:p w14:paraId="7CD97AAE" w14:textId="77777777" w:rsidR="00CD249B" w:rsidRDefault="00CD249B" w:rsidP="00E44FB3">
          <w:pPr>
            <w:pStyle w:val="Subtitle"/>
            <w:rPr>
              <w:rFonts w:hint="eastAsia"/>
            </w:rPr>
          </w:pPr>
        </w:p>
        <w:p w14:paraId="379D0D2A" w14:textId="79DF0BED" w:rsidR="00091FED" w:rsidRDefault="00091FED" w:rsidP="00E44FB3">
          <w:pPr>
            <w:pStyle w:val="Subtitle"/>
            <w:rPr>
              <w:rFonts w:hint="eastAsia"/>
            </w:rPr>
          </w:pPr>
          <w:r>
            <w:lastRenderedPageBreak/>
            <w:t>Figures</w:t>
          </w:r>
        </w:p>
        <w:p w14:paraId="3FE9732E" w14:textId="6128D306" w:rsidR="004E16C1" w:rsidRDefault="00091FED">
          <w:pPr>
            <w:pStyle w:val="TableofFigures"/>
            <w:rPr>
              <w:rFonts w:asciiTheme="minorHAnsi" w:eastAsiaTheme="minorEastAsia" w:hAnsiTheme="minorHAnsi"/>
              <w:noProof/>
              <w:lang w:eastAsia="en-GB"/>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34647242" w:history="1">
            <w:r w:rsidR="004E16C1" w:rsidRPr="005E615E">
              <w:rPr>
                <w:rStyle w:val="Hyperlink"/>
                <w:noProof/>
              </w:rPr>
              <w:t>Figure 1. Evolution of inward FDI stock as a % of GDP</w:t>
            </w:r>
            <w:r w:rsidR="004E16C1">
              <w:rPr>
                <w:noProof/>
                <w:webHidden/>
              </w:rPr>
              <w:tab/>
            </w:r>
            <w:r w:rsidR="004E16C1">
              <w:rPr>
                <w:noProof/>
                <w:webHidden/>
              </w:rPr>
              <w:fldChar w:fldCharType="begin"/>
            </w:r>
            <w:r w:rsidR="004E16C1">
              <w:rPr>
                <w:noProof/>
                <w:webHidden/>
              </w:rPr>
              <w:instrText xml:space="preserve"> PAGEREF _Toc34647242 \h </w:instrText>
            </w:r>
            <w:r w:rsidR="004E16C1">
              <w:rPr>
                <w:noProof/>
                <w:webHidden/>
              </w:rPr>
            </w:r>
            <w:r w:rsidR="004E16C1">
              <w:rPr>
                <w:noProof/>
                <w:webHidden/>
              </w:rPr>
              <w:fldChar w:fldCharType="separate"/>
            </w:r>
            <w:r w:rsidR="008914FE">
              <w:rPr>
                <w:noProof/>
                <w:webHidden/>
              </w:rPr>
              <w:t>9</w:t>
            </w:r>
            <w:r w:rsidR="004E16C1">
              <w:rPr>
                <w:noProof/>
                <w:webHidden/>
              </w:rPr>
              <w:fldChar w:fldCharType="end"/>
            </w:r>
          </w:hyperlink>
        </w:p>
        <w:p w14:paraId="79F47164" w14:textId="534FBD43" w:rsidR="004E16C1" w:rsidRDefault="009915F6">
          <w:pPr>
            <w:pStyle w:val="TableofFigures"/>
            <w:rPr>
              <w:rFonts w:asciiTheme="minorHAnsi" w:eastAsiaTheme="minorEastAsia" w:hAnsiTheme="minorHAnsi"/>
              <w:noProof/>
              <w:lang w:eastAsia="en-GB"/>
            </w:rPr>
          </w:pPr>
          <w:hyperlink w:anchor="_Toc34647243" w:history="1">
            <w:r w:rsidR="004E16C1" w:rsidRPr="005E615E">
              <w:rPr>
                <w:rStyle w:val="Hyperlink"/>
                <w:noProof/>
              </w:rPr>
              <w:t>Figure 2. FDI inflows in Eurasia as a share of global FDI inflows</w:t>
            </w:r>
            <w:r w:rsidR="004E16C1">
              <w:rPr>
                <w:noProof/>
                <w:webHidden/>
              </w:rPr>
              <w:tab/>
            </w:r>
            <w:r w:rsidR="004E16C1">
              <w:rPr>
                <w:noProof/>
                <w:webHidden/>
              </w:rPr>
              <w:fldChar w:fldCharType="begin"/>
            </w:r>
            <w:r w:rsidR="004E16C1">
              <w:rPr>
                <w:noProof/>
                <w:webHidden/>
              </w:rPr>
              <w:instrText xml:space="preserve"> PAGEREF _Toc34647243 \h </w:instrText>
            </w:r>
            <w:r w:rsidR="004E16C1">
              <w:rPr>
                <w:noProof/>
                <w:webHidden/>
              </w:rPr>
            </w:r>
            <w:r w:rsidR="004E16C1">
              <w:rPr>
                <w:noProof/>
                <w:webHidden/>
              </w:rPr>
              <w:fldChar w:fldCharType="separate"/>
            </w:r>
            <w:r w:rsidR="008914FE">
              <w:rPr>
                <w:noProof/>
                <w:webHidden/>
              </w:rPr>
              <w:t>11</w:t>
            </w:r>
            <w:r w:rsidR="004E16C1">
              <w:rPr>
                <w:noProof/>
                <w:webHidden/>
              </w:rPr>
              <w:fldChar w:fldCharType="end"/>
            </w:r>
          </w:hyperlink>
        </w:p>
        <w:p w14:paraId="31AF06AF" w14:textId="2704457C" w:rsidR="004E16C1" w:rsidRDefault="009915F6">
          <w:pPr>
            <w:pStyle w:val="TableofFigures"/>
            <w:rPr>
              <w:rFonts w:asciiTheme="minorHAnsi" w:eastAsiaTheme="minorEastAsia" w:hAnsiTheme="minorHAnsi"/>
              <w:noProof/>
              <w:lang w:eastAsia="en-GB"/>
            </w:rPr>
          </w:pPr>
          <w:hyperlink w:anchor="_Toc34647244" w:history="1">
            <w:r w:rsidR="004E16C1" w:rsidRPr="005E615E">
              <w:rPr>
                <w:rStyle w:val="Hyperlink"/>
                <w:noProof/>
              </w:rPr>
              <w:t>Figure 1.1. Yearly evolution of the number of IPAs in regions  covered by the OECD-IDB survey</w:t>
            </w:r>
            <w:r w:rsidR="004E16C1">
              <w:rPr>
                <w:noProof/>
                <w:webHidden/>
              </w:rPr>
              <w:tab/>
            </w:r>
            <w:r w:rsidR="004E16C1">
              <w:rPr>
                <w:noProof/>
                <w:webHidden/>
              </w:rPr>
              <w:fldChar w:fldCharType="begin"/>
            </w:r>
            <w:r w:rsidR="004E16C1">
              <w:rPr>
                <w:noProof/>
                <w:webHidden/>
              </w:rPr>
              <w:instrText xml:space="preserve"> PAGEREF _Toc34647244 \h </w:instrText>
            </w:r>
            <w:r w:rsidR="004E16C1">
              <w:rPr>
                <w:noProof/>
                <w:webHidden/>
              </w:rPr>
            </w:r>
            <w:r w:rsidR="004E16C1">
              <w:rPr>
                <w:noProof/>
                <w:webHidden/>
              </w:rPr>
              <w:fldChar w:fldCharType="separate"/>
            </w:r>
            <w:r w:rsidR="008914FE">
              <w:rPr>
                <w:noProof/>
                <w:webHidden/>
              </w:rPr>
              <w:t>15</w:t>
            </w:r>
            <w:r w:rsidR="004E16C1">
              <w:rPr>
                <w:noProof/>
                <w:webHidden/>
              </w:rPr>
              <w:fldChar w:fldCharType="end"/>
            </w:r>
          </w:hyperlink>
        </w:p>
        <w:p w14:paraId="22A03D12" w14:textId="5F876F31" w:rsidR="004E16C1" w:rsidRDefault="009915F6">
          <w:pPr>
            <w:pStyle w:val="TableofFigures"/>
            <w:rPr>
              <w:rFonts w:asciiTheme="minorHAnsi" w:eastAsiaTheme="minorEastAsia" w:hAnsiTheme="minorHAnsi"/>
              <w:noProof/>
              <w:lang w:eastAsia="en-GB"/>
            </w:rPr>
          </w:pPr>
          <w:hyperlink w:anchor="_Toc34647245" w:history="1">
            <w:r w:rsidR="004E16C1" w:rsidRPr="005E615E">
              <w:rPr>
                <w:rStyle w:val="Hyperlink"/>
                <w:noProof/>
              </w:rPr>
              <w:t>Figure 1.2. Legal statuses of investment promotion agencies</w:t>
            </w:r>
            <w:r w:rsidR="004E16C1">
              <w:rPr>
                <w:noProof/>
                <w:webHidden/>
              </w:rPr>
              <w:tab/>
            </w:r>
            <w:r w:rsidR="004E16C1">
              <w:rPr>
                <w:noProof/>
                <w:webHidden/>
              </w:rPr>
              <w:fldChar w:fldCharType="begin"/>
            </w:r>
            <w:r w:rsidR="004E16C1">
              <w:rPr>
                <w:noProof/>
                <w:webHidden/>
              </w:rPr>
              <w:instrText xml:space="preserve"> PAGEREF _Toc34647245 \h </w:instrText>
            </w:r>
            <w:r w:rsidR="004E16C1">
              <w:rPr>
                <w:noProof/>
                <w:webHidden/>
              </w:rPr>
            </w:r>
            <w:r w:rsidR="004E16C1">
              <w:rPr>
                <w:noProof/>
                <w:webHidden/>
              </w:rPr>
              <w:fldChar w:fldCharType="separate"/>
            </w:r>
            <w:r w:rsidR="008914FE">
              <w:rPr>
                <w:noProof/>
                <w:webHidden/>
              </w:rPr>
              <w:t>17</w:t>
            </w:r>
            <w:r w:rsidR="004E16C1">
              <w:rPr>
                <w:noProof/>
                <w:webHidden/>
              </w:rPr>
              <w:fldChar w:fldCharType="end"/>
            </w:r>
          </w:hyperlink>
        </w:p>
        <w:p w14:paraId="785398AD" w14:textId="45291E47" w:rsidR="004E16C1" w:rsidRDefault="009915F6">
          <w:pPr>
            <w:pStyle w:val="TableofFigures"/>
            <w:rPr>
              <w:rFonts w:asciiTheme="minorHAnsi" w:eastAsiaTheme="minorEastAsia" w:hAnsiTheme="minorHAnsi"/>
              <w:noProof/>
              <w:lang w:eastAsia="en-GB"/>
            </w:rPr>
          </w:pPr>
          <w:hyperlink w:anchor="_Toc34647246" w:history="1">
            <w:r w:rsidR="004E16C1" w:rsidRPr="005E615E">
              <w:rPr>
                <w:rStyle w:val="Hyperlink"/>
                <w:noProof/>
              </w:rPr>
              <w:t>Figure 1.3. Average reporting frequencies of IPAs in Eurasia and in the OECD</w:t>
            </w:r>
            <w:r w:rsidR="004E16C1">
              <w:rPr>
                <w:noProof/>
                <w:webHidden/>
              </w:rPr>
              <w:tab/>
            </w:r>
            <w:r w:rsidR="004E16C1">
              <w:rPr>
                <w:noProof/>
                <w:webHidden/>
              </w:rPr>
              <w:fldChar w:fldCharType="begin"/>
            </w:r>
            <w:r w:rsidR="004E16C1">
              <w:rPr>
                <w:noProof/>
                <w:webHidden/>
              </w:rPr>
              <w:instrText xml:space="preserve"> PAGEREF _Toc34647246 \h </w:instrText>
            </w:r>
            <w:r w:rsidR="004E16C1">
              <w:rPr>
                <w:noProof/>
                <w:webHidden/>
              </w:rPr>
            </w:r>
            <w:r w:rsidR="004E16C1">
              <w:rPr>
                <w:noProof/>
                <w:webHidden/>
              </w:rPr>
              <w:fldChar w:fldCharType="separate"/>
            </w:r>
            <w:r w:rsidR="008914FE">
              <w:rPr>
                <w:noProof/>
                <w:webHidden/>
              </w:rPr>
              <w:t>18</w:t>
            </w:r>
            <w:r w:rsidR="004E16C1">
              <w:rPr>
                <w:noProof/>
                <w:webHidden/>
              </w:rPr>
              <w:fldChar w:fldCharType="end"/>
            </w:r>
          </w:hyperlink>
        </w:p>
        <w:p w14:paraId="3A152D71" w14:textId="79AFCF43" w:rsidR="004E16C1" w:rsidRDefault="009915F6">
          <w:pPr>
            <w:pStyle w:val="TableofFigures"/>
            <w:rPr>
              <w:rFonts w:asciiTheme="minorHAnsi" w:eastAsiaTheme="minorEastAsia" w:hAnsiTheme="minorHAnsi"/>
              <w:noProof/>
              <w:lang w:eastAsia="en-GB"/>
            </w:rPr>
          </w:pPr>
          <w:hyperlink w:anchor="_Toc34647247" w:history="1">
            <w:r w:rsidR="004E16C1" w:rsidRPr="005E615E">
              <w:rPr>
                <w:rStyle w:val="Hyperlink"/>
                <w:noProof/>
              </w:rPr>
              <w:t>Figure 1.4. Board compositions</w:t>
            </w:r>
            <w:r w:rsidR="004E16C1">
              <w:rPr>
                <w:noProof/>
                <w:webHidden/>
              </w:rPr>
              <w:tab/>
            </w:r>
            <w:r w:rsidR="004E16C1">
              <w:rPr>
                <w:noProof/>
                <w:webHidden/>
              </w:rPr>
              <w:fldChar w:fldCharType="begin"/>
            </w:r>
            <w:r w:rsidR="004E16C1">
              <w:rPr>
                <w:noProof/>
                <w:webHidden/>
              </w:rPr>
              <w:instrText xml:space="preserve"> PAGEREF _Toc34647247 \h </w:instrText>
            </w:r>
            <w:r w:rsidR="004E16C1">
              <w:rPr>
                <w:noProof/>
                <w:webHidden/>
              </w:rPr>
            </w:r>
            <w:r w:rsidR="004E16C1">
              <w:rPr>
                <w:noProof/>
                <w:webHidden/>
              </w:rPr>
              <w:fldChar w:fldCharType="separate"/>
            </w:r>
            <w:r w:rsidR="008914FE">
              <w:rPr>
                <w:noProof/>
                <w:webHidden/>
              </w:rPr>
              <w:t>19</w:t>
            </w:r>
            <w:r w:rsidR="004E16C1">
              <w:rPr>
                <w:noProof/>
                <w:webHidden/>
              </w:rPr>
              <w:fldChar w:fldCharType="end"/>
            </w:r>
          </w:hyperlink>
        </w:p>
        <w:p w14:paraId="597D26FC" w14:textId="248B5E3F" w:rsidR="004E16C1" w:rsidRDefault="009915F6">
          <w:pPr>
            <w:pStyle w:val="TableofFigures"/>
            <w:rPr>
              <w:rFonts w:asciiTheme="minorHAnsi" w:eastAsiaTheme="minorEastAsia" w:hAnsiTheme="minorHAnsi"/>
              <w:noProof/>
              <w:lang w:eastAsia="en-GB"/>
            </w:rPr>
          </w:pPr>
          <w:hyperlink w:anchor="_Toc34647248" w:history="1">
            <w:r w:rsidR="004E16C1" w:rsidRPr="005E615E">
              <w:rPr>
                <w:rStyle w:val="Hyperlink"/>
                <w:noProof/>
              </w:rPr>
              <w:t>Figure 1.5. IPA additional mandates in Eurasia and in the OECD</w:t>
            </w:r>
            <w:r w:rsidR="004E16C1">
              <w:rPr>
                <w:noProof/>
                <w:webHidden/>
              </w:rPr>
              <w:tab/>
            </w:r>
            <w:r w:rsidR="004E16C1">
              <w:rPr>
                <w:noProof/>
                <w:webHidden/>
              </w:rPr>
              <w:fldChar w:fldCharType="begin"/>
            </w:r>
            <w:r w:rsidR="004E16C1">
              <w:rPr>
                <w:noProof/>
                <w:webHidden/>
              </w:rPr>
              <w:instrText xml:space="preserve"> PAGEREF _Toc34647248 \h </w:instrText>
            </w:r>
            <w:r w:rsidR="004E16C1">
              <w:rPr>
                <w:noProof/>
                <w:webHidden/>
              </w:rPr>
            </w:r>
            <w:r w:rsidR="004E16C1">
              <w:rPr>
                <w:noProof/>
                <w:webHidden/>
              </w:rPr>
              <w:fldChar w:fldCharType="separate"/>
            </w:r>
            <w:r w:rsidR="008914FE">
              <w:rPr>
                <w:noProof/>
                <w:webHidden/>
              </w:rPr>
              <w:t>20</w:t>
            </w:r>
            <w:r w:rsidR="004E16C1">
              <w:rPr>
                <w:noProof/>
                <w:webHidden/>
              </w:rPr>
              <w:fldChar w:fldCharType="end"/>
            </w:r>
          </w:hyperlink>
        </w:p>
        <w:p w14:paraId="314D70B5" w14:textId="76F119AF" w:rsidR="004E16C1" w:rsidRDefault="009915F6">
          <w:pPr>
            <w:pStyle w:val="TableofFigures"/>
            <w:rPr>
              <w:rFonts w:asciiTheme="minorHAnsi" w:eastAsiaTheme="minorEastAsia" w:hAnsiTheme="minorHAnsi"/>
              <w:noProof/>
              <w:lang w:eastAsia="en-GB"/>
            </w:rPr>
          </w:pPr>
          <w:hyperlink w:anchor="_Toc34647249" w:history="1">
            <w:r w:rsidR="004E16C1" w:rsidRPr="005E615E">
              <w:rPr>
                <w:rStyle w:val="Hyperlink"/>
                <w:noProof/>
              </w:rPr>
              <w:t>Figure 1.6. Number of investment promotion staff in Eurasia and other regions</w:t>
            </w:r>
            <w:r w:rsidR="004E16C1">
              <w:rPr>
                <w:noProof/>
                <w:webHidden/>
              </w:rPr>
              <w:tab/>
            </w:r>
            <w:r w:rsidR="004E16C1">
              <w:rPr>
                <w:noProof/>
                <w:webHidden/>
              </w:rPr>
              <w:fldChar w:fldCharType="begin"/>
            </w:r>
            <w:r w:rsidR="004E16C1">
              <w:rPr>
                <w:noProof/>
                <w:webHidden/>
              </w:rPr>
              <w:instrText xml:space="preserve"> PAGEREF _Toc34647249 \h </w:instrText>
            </w:r>
            <w:r w:rsidR="004E16C1">
              <w:rPr>
                <w:noProof/>
                <w:webHidden/>
              </w:rPr>
            </w:r>
            <w:r w:rsidR="004E16C1">
              <w:rPr>
                <w:noProof/>
                <w:webHidden/>
              </w:rPr>
              <w:fldChar w:fldCharType="separate"/>
            </w:r>
            <w:r w:rsidR="008914FE">
              <w:rPr>
                <w:noProof/>
                <w:webHidden/>
              </w:rPr>
              <w:t>22</w:t>
            </w:r>
            <w:r w:rsidR="004E16C1">
              <w:rPr>
                <w:noProof/>
                <w:webHidden/>
              </w:rPr>
              <w:fldChar w:fldCharType="end"/>
            </w:r>
          </w:hyperlink>
        </w:p>
        <w:p w14:paraId="02E99D75" w14:textId="508E88E9" w:rsidR="004E16C1" w:rsidRDefault="009915F6">
          <w:pPr>
            <w:pStyle w:val="TableofFigures"/>
            <w:rPr>
              <w:rFonts w:asciiTheme="minorHAnsi" w:eastAsiaTheme="minorEastAsia" w:hAnsiTheme="minorHAnsi"/>
              <w:noProof/>
              <w:lang w:eastAsia="en-GB"/>
            </w:rPr>
          </w:pPr>
          <w:hyperlink w:anchor="_Toc34647250" w:history="1">
            <w:r w:rsidR="004E16C1" w:rsidRPr="005E615E">
              <w:rPr>
                <w:rStyle w:val="Hyperlink"/>
                <w:noProof/>
              </w:rPr>
              <w:t>Figure 1.7. IPA staff average tenure by region</w:t>
            </w:r>
            <w:r w:rsidR="004E16C1">
              <w:rPr>
                <w:noProof/>
                <w:webHidden/>
              </w:rPr>
              <w:tab/>
            </w:r>
            <w:r w:rsidR="004E16C1">
              <w:rPr>
                <w:noProof/>
                <w:webHidden/>
              </w:rPr>
              <w:fldChar w:fldCharType="begin"/>
            </w:r>
            <w:r w:rsidR="004E16C1">
              <w:rPr>
                <w:noProof/>
                <w:webHidden/>
              </w:rPr>
              <w:instrText xml:space="preserve"> PAGEREF _Toc34647250 \h </w:instrText>
            </w:r>
            <w:r w:rsidR="004E16C1">
              <w:rPr>
                <w:noProof/>
                <w:webHidden/>
              </w:rPr>
            </w:r>
            <w:r w:rsidR="004E16C1">
              <w:rPr>
                <w:noProof/>
                <w:webHidden/>
              </w:rPr>
              <w:fldChar w:fldCharType="separate"/>
            </w:r>
            <w:r w:rsidR="008914FE">
              <w:rPr>
                <w:noProof/>
                <w:webHidden/>
              </w:rPr>
              <w:t>23</w:t>
            </w:r>
            <w:r w:rsidR="004E16C1">
              <w:rPr>
                <w:noProof/>
                <w:webHidden/>
              </w:rPr>
              <w:fldChar w:fldCharType="end"/>
            </w:r>
          </w:hyperlink>
        </w:p>
        <w:p w14:paraId="574A52D7" w14:textId="04C883E3" w:rsidR="004E16C1" w:rsidRDefault="009915F6">
          <w:pPr>
            <w:pStyle w:val="TableofFigures"/>
            <w:rPr>
              <w:rFonts w:asciiTheme="minorHAnsi" w:eastAsiaTheme="minorEastAsia" w:hAnsiTheme="minorHAnsi"/>
              <w:noProof/>
              <w:lang w:eastAsia="en-GB"/>
            </w:rPr>
          </w:pPr>
          <w:hyperlink w:anchor="_Toc34647251" w:history="1">
            <w:r w:rsidR="004E16C1" w:rsidRPr="005E615E">
              <w:rPr>
                <w:rStyle w:val="Hyperlink"/>
                <w:noProof/>
              </w:rPr>
              <w:t>Figure 1.8. IPA staff background in Eurasia and the OECD</w:t>
            </w:r>
            <w:r w:rsidR="004E16C1">
              <w:rPr>
                <w:noProof/>
                <w:webHidden/>
              </w:rPr>
              <w:tab/>
            </w:r>
            <w:r w:rsidR="004E16C1">
              <w:rPr>
                <w:noProof/>
                <w:webHidden/>
              </w:rPr>
              <w:fldChar w:fldCharType="begin"/>
            </w:r>
            <w:r w:rsidR="004E16C1">
              <w:rPr>
                <w:noProof/>
                <w:webHidden/>
              </w:rPr>
              <w:instrText xml:space="preserve"> PAGEREF _Toc34647251 \h </w:instrText>
            </w:r>
            <w:r w:rsidR="004E16C1">
              <w:rPr>
                <w:noProof/>
                <w:webHidden/>
              </w:rPr>
            </w:r>
            <w:r w:rsidR="004E16C1">
              <w:rPr>
                <w:noProof/>
                <w:webHidden/>
              </w:rPr>
              <w:fldChar w:fldCharType="separate"/>
            </w:r>
            <w:r w:rsidR="008914FE">
              <w:rPr>
                <w:noProof/>
                <w:webHidden/>
              </w:rPr>
              <w:t>24</w:t>
            </w:r>
            <w:r w:rsidR="004E16C1">
              <w:rPr>
                <w:noProof/>
                <w:webHidden/>
              </w:rPr>
              <w:fldChar w:fldCharType="end"/>
            </w:r>
          </w:hyperlink>
        </w:p>
        <w:p w14:paraId="5958EAEE" w14:textId="71372832" w:rsidR="004E16C1" w:rsidRDefault="009915F6">
          <w:pPr>
            <w:pStyle w:val="TableofFigures"/>
            <w:rPr>
              <w:rFonts w:asciiTheme="minorHAnsi" w:eastAsiaTheme="minorEastAsia" w:hAnsiTheme="minorHAnsi"/>
              <w:noProof/>
              <w:lang w:eastAsia="en-GB"/>
            </w:rPr>
          </w:pPr>
          <w:hyperlink w:anchor="_Toc34647252" w:history="1">
            <w:r w:rsidR="004E16C1" w:rsidRPr="005E615E">
              <w:rPr>
                <w:rStyle w:val="Hyperlink"/>
                <w:noProof/>
              </w:rPr>
              <w:t>Figure 1.9. Strategic planning and reporting in Eurasia and the OECD</w:t>
            </w:r>
            <w:r w:rsidR="004E16C1">
              <w:rPr>
                <w:noProof/>
                <w:webHidden/>
              </w:rPr>
              <w:tab/>
            </w:r>
            <w:r w:rsidR="004E16C1">
              <w:rPr>
                <w:noProof/>
                <w:webHidden/>
              </w:rPr>
              <w:fldChar w:fldCharType="begin"/>
            </w:r>
            <w:r w:rsidR="004E16C1">
              <w:rPr>
                <w:noProof/>
                <w:webHidden/>
              </w:rPr>
              <w:instrText xml:space="preserve"> PAGEREF _Toc34647252 \h </w:instrText>
            </w:r>
            <w:r w:rsidR="004E16C1">
              <w:rPr>
                <w:noProof/>
                <w:webHidden/>
              </w:rPr>
            </w:r>
            <w:r w:rsidR="004E16C1">
              <w:rPr>
                <w:noProof/>
                <w:webHidden/>
              </w:rPr>
              <w:fldChar w:fldCharType="separate"/>
            </w:r>
            <w:r w:rsidR="008914FE">
              <w:rPr>
                <w:noProof/>
                <w:webHidden/>
              </w:rPr>
              <w:t>25</w:t>
            </w:r>
            <w:r w:rsidR="004E16C1">
              <w:rPr>
                <w:noProof/>
                <w:webHidden/>
              </w:rPr>
              <w:fldChar w:fldCharType="end"/>
            </w:r>
          </w:hyperlink>
        </w:p>
        <w:p w14:paraId="4339A1B9" w14:textId="6DFAD9CA" w:rsidR="004E16C1" w:rsidRDefault="009915F6">
          <w:pPr>
            <w:pStyle w:val="TableofFigures"/>
            <w:rPr>
              <w:rFonts w:asciiTheme="minorHAnsi" w:eastAsiaTheme="minorEastAsia" w:hAnsiTheme="minorHAnsi"/>
              <w:noProof/>
              <w:lang w:eastAsia="en-GB"/>
            </w:rPr>
          </w:pPr>
          <w:hyperlink w:anchor="_Toc34647253" w:history="1">
            <w:r w:rsidR="004E16C1" w:rsidRPr="005E615E">
              <w:rPr>
                <w:rStyle w:val="Hyperlink"/>
                <w:noProof/>
              </w:rPr>
              <w:t>Figure 1.10. Number of organisations with which IPAs interact</w:t>
            </w:r>
            <w:r w:rsidR="004E16C1">
              <w:rPr>
                <w:noProof/>
                <w:webHidden/>
              </w:rPr>
              <w:tab/>
            </w:r>
            <w:r w:rsidR="004E16C1">
              <w:rPr>
                <w:noProof/>
                <w:webHidden/>
              </w:rPr>
              <w:fldChar w:fldCharType="begin"/>
            </w:r>
            <w:r w:rsidR="004E16C1">
              <w:rPr>
                <w:noProof/>
                <w:webHidden/>
              </w:rPr>
              <w:instrText xml:space="preserve"> PAGEREF _Toc34647253 \h </w:instrText>
            </w:r>
            <w:r w:rsidR="004E16C1">
              <w:rPr>
                <w:noProof/>
                <w:webHidden/>
              </w:rPr>
            </w:r>
            <w:r w:rsidR="004E16C1">
              <w:rPr>
                <w:noProof/>
                <w:webHidden/>
              </w:rPr>
              <w:fldChar w:fldCharType="separate"/>
            </w:r>
            <w:r w:rsidR="008914FE">
              <w:rPr>
                <w:noProof/>
                <w:webHidden/>
              </w:rPr>
              <w:t>26</w:t>
            </w:r>
            <w:r w:rsidR="004E16C1">
              <w:rPr>
                <w:noProof/>
                <w:webHidden/>
              </w:rPr>
              <w:fldChar w:fldCharType="end"/>
            </w:r>
          </w:hyperlink>
        </w:p>
        <w:p w14:paraId="14FE1A50" w14:textId="59E3B6FF" w:rsidR="004E16C1" w:rsidRDefault="009915F6">
          <w:pPr>
            <w:pStyle w:val="TableofFigures"/>
            <w:rPr>
              <w:rFonts w:asciiTheme="minorHAnsi" w:eastAsiaTheme="minorEastAsia" w:hAnsiTheme="minorHAnsi"/>
              <w:noProof/>
              <w:lang w:eastAsia="en-GB"/>
            </w:rPr>
          </w:pPr>
          <w:hyperlink w:anchor="_Toc34647254" w:history="1">
            <w:r w:rsidR="004E16C1" w:rsidRPr="005E615E">
              <w:rPr>
                <w:rStyle w:val="Hyperlink"/>
                <w:noProof/>
              </w:rPr>
              <w:t>Figure 1.11. Mapping of IPA interactions</w:t>
            </w:r>
            <w:r w:rsidR="004E16C1">
              <w:rPr>
                <w:noProof/>
                <w:webHidden/>
              </w:rPr>
              <w:tab/>
            </w:r>
            <w:r w:rsidR="004E16C1">
              <w:rPr>
                <w:noProof/>
                <w:webHidden/>
              </w:rPr>
              <w:fldChar w:fldCharType="begin"/>
            </w:r>
            <w:r w:rsidR="004E16C1">
              <w:rPr>
                <w:noProof/>
                <w:webHidden/>
              </w:rPr>
              <w:instrText xml:space="preserve"> PAGEREF _Toc34647254 \h </w:instrText>
            </w:r>
            <w:r w:rsidR="004E16C1">
              <w:rPr>
                <w:noProof/>
                <w:webHidden/>
              </w:rPr>
            </w:r>
            <w:r w:rsidR="004E16C1">
              <w:rPr>
                <w:noProof/>
                <w:webHidden/>
              </w:rPr>
              <w:fldChar w:fldCharType="separate"/>
            </w:r>
            <w:r w:rsidR="008914FE">
              <w:rPr>
                <w:noProof/>
                <w:webHidden/>
              </w:rPr>
              <w:t>27</w:t>
            </w:r>
            <w:r w:rsidR="004E16C1">
              <w:rPr>
                <w:noProof/>
                <w:webHidden/>
              </w:rPr>
              <w:fldChar w:fldCharType="end"/>
            </w:r>
          </w:hyperlink>
        </w:p>
        <w:p w14:paraId="73443C50" w14:textId="0D16E5C7" w:rsidR="004E16C1" w:rsidRDefault="009915F6">
          <w:pPr>
            <w:pStyle w:val="TableofFigures"/>
            <w:rPr>
              <w:rFonts w:asciiTheme="minorHAnsi" w:eastAsiaTheme="minorEastAsia" w:hAnsiTheme="minorHAnsi"/>
              <w:noProof/>
              <w:lang w:eastAsia="en-GB"/>
            </w:rPr>
          </w:pPr>
          <w:hyperlink w:anchor="_Toc34647255" w:history="1">
            <w:r w:rsidR="004E16C1" w:rsidRPr="005E615E">
              <w:rPr>
                <w:rStyle w:val="Hyperlink"/>
                <w:noProof/>
              </w:rPr>
              <w:t>Figure 1.12. Eurasia IPAs’ top ten most strategic relationships</w:t>
            </w:r>
            <w:r w:rsidR="004E16C1">
              <w:rPr>
                <w:noProof/>
                <w:webHidden/>
              </w:rPr>
              <w:tab/>
            </w:r>
            <w:r w:rsidR="004E16C1">
              <w:rPr>
                <w:noProof/>
                <w:webHidden/>
              </w:rPr>
              <w:fldChar w:fldCharType="begin"/>
            </w:r>
            <w:r w:rsidR="004E16C1">
              <w:rPr>
                <w:noProof/>
                <w:webHidden/>
              </w:rPr>
              <w:instrText xml:space="preserve"> PAGEREF _Toc34647255 \h </w:instrText>
            </w:r>
            <w:r w:rsidR="004E16C1">
              <w:rPr>
                <w:noProof/>
                <w:webHidden/>
              </w:rPr>
            </w:r>
            <w:r w:rsidR="004E16C1">
              <w:rPr>
                <w:noProof/>
                <w:webHidden/>
              </w:rPr>
              <w:fldChar w:fldCharType="separate"/>
            </w:r>
            <w:r w:rsidR="008914FE">
              <w:rPr>
                <w:noProof/>
                <w:webHidden/>
              </w:rPr>
              <w:t>28</w:t>
            </w:r>
            <w:r w:rsidR="004E16C1">
              <w:rPr>
                <w:noProof/>
                <w:webHidden/>
              </w:rPr>
              <w:fldChar w:fldCharType="end"/>
            </w:r>
          </w:hyperlink>
        </w:p>
        <w:p w14:paraId="1BCAAD52" w14:textId="55483400" w:rsidR="004E16C1" w:rsidRDefault="009915F6">
          <w:pPr>
            <w:pStyle w:val="TableofFigures"/>
            <w:rPr>
              <w:rFonts w:asciiTheme="minorHAnsi" w:eastAsiaTheme="minorEastAsia" w:hAnsiTheme="minorHAnsi"/>
              <w:noProof/>
              <w:lang w:eastAsia="en-GB"/>
            </w:rPr>
          </w:pPr>
          <w:hyperlink w:anchor="_Toc34647256" w:history="1">
            <w:r w:rsidR="004E16C1" w:rsidRPr="005E615E">
              <w:rPr>
                <w:rStyle w:val="Hyperlink"/>
                <w:noProof/>
              </w:rPr>
              <w:t>Figure 1.13. Collaboration between national and sub-national IPAs</w:t>
            </w:r>
            <w:r w:rsidR="004E16C1">
              <w:rPr>
                <w:noProof/>
                <w:webHidden/>
              </w:rPr>
              <w:tab/>
            </w:r>
            <w:r w:rsidR="004E16C1">
              <w:rPr>
                <w:noProof/>
                <w:webHidden/>
              </w:rPr>
              <w:fldChar w:fldCharType="begin"/>
            </w:r>
            <w:r w:rsidR="004E16C1">
              <w:rPr>
                <w:noProof/>
                <w:webHidden/>
              </w:rPr>
              <w:instrText xml:space="preserve"> PAGEREF _Toc34647256 \h </w:instrText>
            </w:r>
            <w:r w:rsidR="004E16C1">
              <w:rPr>
                <w:noProof/>
                <w:webHidden/>
              </w:rPr>
            </w:r>
            <w:r w:rsidR="004E16C1">
              <w:rPr>
                <w:noProof/>
                <w:webHidden/>
              </w:rPr>
              <w:fldChar w:fldCharType="separate"/>
            </w:r>
            <w:r w:rsidR="008914FE">
              <w:rPr>
                <w:noProof/>
                <w:webHidden/>
              </w:rPr>
              <w:t>29</w:t>
            </w:r>
            <w:r w:rsidR="004E16C1">
              <w:rPr>
                <w:noProof/>
                <w:webHidden/>
              </w:rPr>
              <w:fldChar w:fldCharType="end"/>
            </w:r>
          </w:hyperlink>
        </w:p>
        <w:p w14:paraId="4967D7C3" w14:textId="6953398E" w:rsidR="004E16C1" w:rsidRDefault="009915F6">
          <w:pPr>
            <w:pStyle w:val="TableofFigures"/>
            <w:rPr>
              <w:rFonts w:asciiTheme="minorHAnsi" w:eastAsiaTheme="minorEastAsia" w:hAnsiTheme="minorHAnsi"/>
              <w:noProof/>
              <w:lang w:eastAsia="en-GB"/>
            </w:rPr>
          </w:pPr>
          <w:hyperlink w:anchor="_Toc34647257" w:history="1">
            <w:r w:rsidR="004E16C1" w:rsidRPr="005E615E">
              <w:rPr>
                <w:rStyle w:val="Hyperlink"/>
                <w:noProof/>
              </w:rPr>
              <w:t>Figure 2.1. Number of investment promotion and facilitation activities  in Eurasia and other regions</w:t>
            </w:r>
            <w:r w:rsidR="004E16C1">
              <w:rPr>
                <w:noProof/>
                <w:webHidden/>
              </w:rPr>
              <w:tab/>
            </w:r>
            <w:r w:rsidR="004E16C1">
              <w:rPr>
                <w:noProof/>
                <w:webHidden/>
              </w:rPr>
              <w:fldChar w:fldCharType="begin"/>
            </w:r>
            <w:r w:rsidR="004E16C1">
              <w:rPr>
                <w:noProof/>
                <w:webHidden/>
              </w:rPr>
              <w:instrText xml:space="preserve"> PAGEREF _Toc34647257 \h </w:instrText>
            </w:r>
            <w:r w:rsidR="004E16C1">
              <w:rPr>
                <w:noProof/>
                <w:webHidden/>
              </w:rPr>
            </w:r>
            <w:r w:rsidR="004E16C1">
              <w:rPr>
                <w:noProof/>
                <w:webHidden/>
              </w:rPr>
              <w:fldChar w:fldCharType="separate"/>
            </w:r>
            <w:r w:rsidR="008914FE">
              <w:rPr>
                <w:noProof/>
                <w:webHidden/>
              </w:rPr>
              <w:t>33</w:t>
            </w:r>
            <w:r w:rsidR="004E16C1">
              <w:rPr>
                <w:noProof/>
                <w:webHidden/>
              </w:rPr>
              <w:fldChar w:fldCharType="end"/>
            </w:r>
          </w:hyperlink>
        </w:p>
        <w:p w14:paraId="2FCD3DCA" w14:textId="37D20057" w:rsidR="004E16C1" w:rsidRDefault="009915F6">
          <w:pPr>
            <w:pStyle w:val="TableofFigures"/>
            <w:rPr>
              <w:rFonts w:asciiTheme="minorHAnsi" w:eastAsiaTheme="minorEastAsia" w:hAnsiTheme="minorHAnsi"/>
              <w:noProof/>
              <w:lang w:eastAsia="en-GB"/>
            </w:rPr>
          </w:pPr>
          <w:hyperlink w:anchor="_Toc34647258" w:history="1">
            <w:r w:rsidR="004E16C1" w:rsidRPr="005E615E">
              <w:rPr>
                <w:rStyle w:val="Hyperlink"/>
                <w:noProof/>
              </w:rPr>
              <w:t>Figure 2.2. IPA budget allocation across functions in Eurasia and other regions</w:t>
            </w:r>
            <w:r w:rsidR="004E16C1">
              <w:rPr>
                <w:noProof/>
                <w:webHidden/>
              </w:rPr>
              <w:tab/>
            </w:r>
            <w:r w:rsidR="004E16C1">
              <w:rPr>
                <w:noProof/>
                <w:webHidden/>
              </w:rPr>
              <w:fldChar w:fldCharType="begin"/>
            </w:r>
            <w:r w:rsidR="004E16C1">
              <w:rPr>
                <w:noProof/>
                <w:webHidden/>
              </w:rPr>
              <w:instrText xml:space="preserve"> PAGEREF _Toc34647258 \h </w:instrText>
            </w:r>
            <w:r w:rsidR="004E16C1">
              <w:rPr>
                <w:noProof/>
                <w:webHidden/>
              </w:rPr>
            </w:r>
            <w:r w:rsidR="004E16C1">
              <w:rPr>
                <w:noProof/>
                <w:webHidden/>
              </w:rPr>
              <w:fldChar w:fldCharType="separate"/>
            </w:r>
            <w:r w:rsidR="008914FE">
              <w:rPr>
                <w:noProof/>
                <w:webHidden/>
              </w:rPr>
              <w:t>34</w:t>
            </w:r>
            <w:r w:rsidR="004E16C1">
              <w:rPr>
                <w:noProof/>
                <w:webHidden/>
              </w:rPr>
              <w:fldChar w:fldCharType="end"/>
            </w:r>
          </w:hyperlink>
        </w:p>
        <w:p w14:paraId="6FC84213" w14:textId="278F8FCE" w:rsidR="004E16C1" w:rsidRDefault="009915F6">
          <w:pPr>
            <w:pStyle w:val="TableofFigures"/>
            <w:rPr>
              <w:rFonts w:asciiTheme="minorHAnsi" w:eastAsiaTheme="minorEastAsia" w:hAnsiTheme="minorHAnsi"/>
              <w:noProof/>
              <w:lang w:eastAsia="en-GB"/>
            </w:rPr>
          </w:pPr>
          <w:hyperlink w:anchor="_Toc34647259" w:history="1">
            <w:r w:rsidR="004E16C1" w:rsidRPr="005E615E">
              <w:rPr>
                <w:rStyle w:val="Hyperlink"/>
                <w:noProof/>
              </w:rPr>
              <w:t>Figure 2.3. Shares of Eurasia IPAs performing image building activities  (comparison across region)</w:t>
            </w:r>
            <w:r w:rsidR="004E16C1">
              <w:rPr>
                <w:noProof/>
                <w:webHidden/>
              </w:rPr>
              <w:tab/>
            </w:r>
            <w:r w:rsidR="004E16C1">
              <w:rPr>
                <w:noProof/>
                <w:webHidden/>
              </w:rPr>
              <w:fldChar w:fldCharType="begin"/>
            </w:r>
            <w:r w:rsidR="004E16C1">
              <w:rPr>
                <w:noProof/>
                <w:webHidden/>
              </w:rPr>
              <w:instrText xml:space="preserve"> PAGEREF _Toc34647259 \h </w:instrText>
            </w:r>
            <w:r w:rsidR="004E16C1">
              <w:rPr>
                <w:noProof/>
                <w:webHidden/>
              </w:rPr>
            </w:r>
            <w:r w:rsidR="004E16C1">
              <w:rPr>
                <w:noProof/>
                <w:webHidden/>
              </w:rPr>
              <w:fldChar w:fldCharType="separate"/>
            </w:r>
            <w:r w:rsidR="008914FE">
              <w:rPr>
                <w:noProof/>
                <w:webHidden/>
              </w:rPr>
              <w:t>36</w:t>
            </w:r>
            <w:r w:rsidR="004E16C1">
              <w:rPr>
                <w:noProof/>
                <w:webHidden/>
              </w:rPr>
              <w:fldChar w:fldCharType="end"/>
            </w:r>
          </w:hyperlink>
        </w:p>
        <w:p w14:paraId="709BCEFB" w14:textId="32F0D10C" w:rsidR="004E16C1" w:rsidRDefault="009915F6">
          <w:pPr>
            <w:pStyle w:val="TableofFigures"/>
            <w:rPr>
              <w:rFonts w:asciiTheme="minorHAnsi" w:eastAsiaTheme="minorEastAsia" w:hAnsiTheme="minorHAnsi"/>
              <w:noProof/>
              <w:lang w:eastAsia="en-GB"/>
            </w:rPr>
          </w:pPr>
          <w:hyperlink w:anchor="_Toc34647260" w:history="1">
            <w:r w:rsidR="004E16C1" w:rsidRPr="005E615E">
              <w:rPr>
                <w:rStyle w:val="Hyperlink"/>
                <w:noProof/>
              </w:rPr>
              <w:t>Figure 2.4. Shares of Eurasia IPAs performing investment generation activities  (comparison across region)</w:t>
            </w:r>
            <w:r w:rsidR="004E16C1">
              <w:rPr>
                <w:noProof/>
                <w:webHidden/>
              </w:rPr>
              <w:tab/>
            </w:r>
            <w:r w:rsidR="004E16C1">
              <w:rPr>
                <w:noProof/>
                <w:webHidden/>
              </w:rPr>
              <w:fldChar w:fldCharType="begin"/>
            </w:r>
            <w:r w:rsidR="004E16C1">
              <w:rPr>
                <w:noProof/>
                <w:webHidden/>
              </w:rPr>
              <w:instrText xml:space="preserve"> PAGEREF _Toc34647260 \h </w:instrText>
            </w:r>
            <w:r w:rsidR="004E16C1">
              <w:rPr>
                <w:noProof/>
                <w:webHidden/>
              </w:rPr>
            </w:r>
            <w:r w:rsidR="004E16C1">
              <w:rPr>
                <w:noProof/>
                <w:webHidden/>
              </w:rPr>
              <w:fldChar w:fldCharType="separate"/>
            </w:r>
            <w:r w:rsidR="008914FE">
              <w:rPr>
                <w:noProof/>
                <w:webHidden/>
              </w:rPr>
              <w:t>37</w:t>
            </w:r>
            <w:r w:rsidR="004E16C1">
              <w:rPr>
                <w:noProof/>
                <w:webHidden/>
              </w:rPr>
              <w:fldChar w:fldCharType="end"/>
            </w:r>
          </w:hyperlink>
        </w:p>
        <w:p w14:paraId="24606B98" w14:textId="559F6F5C" w:rsidR="004E16C1" w:rsidRDefault="009915F6">
          <w:pPr>
            <w:pStyle w:val="TableofFigures"/>
            <w:rPr>
              <w:rFonts w:asciiTheme="minorHAnsi" w:eastAsiaTheme="minorEastAsia" w:hAnsiTheme="minorHAnsi"/>
              <w:noProof/>
              <w:lang w:eastAsia="en-GB"/>
            </w:rPr>
          </w:pPr>
          <w:hyperlink w:anchor="_Toc34647261" w:history="1">
            <w:r w:rsidR="004E16C1" w:rsidRPr="005E615E">
              <w:rPr>
                <w:rStyle w:val="Hyperlink"/>
                <w:noProof/>
              </w:rPr>
              <w:t>Figure 2.5. Shares of Eurasia IPAs performing investment facilitation activities  (comparison across region)</w:t>
            </w:r>
            <w:r w:rsidR="004E16C1">
              <w:rPr>
                <w:noProof/>
                <w:webHidden/>
              </w:rPr>
              <w:tab/>
            </w:r>
            <w:r w:rsidR="004E16C1">
              <w:rPr>
                <w:noProof/>
                <w:webHidden/>
              </w:rPr>
              <w:fldChar w:fldCharType="begin"/>
            </w:r>
            <w:r w:rsidR="004E16C1">
              <w:rPr>
                <w:noProof/>
                <w:webHidden/>
              </w:rPr>
              <w:instrText xml:space="preserve"> PAGEREF _Toc34647261 \h </w:instrText>
            </w:r>
            <w:r w:rsidR="004E16C1">
              <w:rPr>
                <w:noProof/>
                <w:webHidden/>
              </w:rPr>
            </w:r>
            <w:r w:rsidR="004E16C1">
              <w:rPr>
                <w:noProof/>
                <w:webHidden/>
              </w:rPr>
              <w:fldChar w:fldCharType="separate"/>
            </w:r>
            <w:r w:rsidR="008914FE">
              <w:rPr>
                <w:noProof/>
                <w:webHidden/>
              </w:rPr>
              <w:t>39</w:t>
            </w:r>
            <w:r w:rsidR="004E16C1">
              <w:rPr>
                <w:noProof/>
                <w:webHidden/>
              </w:rPr>
              <w:fldChar w:fldCharType="end"/>
            </w:r>
          </w:hyperlink>
        </w:p>
        <w:p w14:paraId="220C7C2A" w14:textId="2AEE794B" w:rsidR="004E16C1" w:rsidRDefault="009915F6">
          <w:pPr>
            <w:pStyle w:val="TableofFigures"/>
            <w:rPr>
              <w:rFonts w:asciiTheme="minorHAnsi" w:eastAsiaTheme="minorEastAsia" w:hAnsiTheme="minorHAnsi"/>
              <w:noProof/>
              <w:lang w:eastAsia="en-GB"/>
            </w:rPr>
          </w:pPr>
          <w:hyperlink w:anchor="_Toc34647262" w:history="1">
            <w:r w:rsidR="004E16C1" w:rsidRPr="005E615E">
              <w:rPr>
                <w:rStyle w:val="Hyperlink"/>
                <w:noProof/>
              </w:rPr>
              <w:t>Figure 2.6. Shares of IPAs performing aftercare activities  (comparison across regions)</w:t>
            </w:r>
            <w:r w:rsidR="004E16C1">
              <w:rPr>
                <w:noProof/>
                <w:webHidden/>
              </w:rPr>
              <w:tab/>
            </w:r>
            <w:r w:rsidR="004E16C1">
              <w:rPr>
                <w:noProof/>
                <w:webHidden/>
              </w:rPr>
              <w:fldChar w:fldCharType="begin"/>
            </w:r>
            <w:r w:rsidR="004E16C1">
              <w:rPr>
                <w:noProof/>
                <w:webHidden/>
              </w:rPr>
              <w:instrText xml:space="preserve"> PAGEREF _Toc34647262 \h </w:instrText>
            </w:r>
            <w:r w:rsidR="004E16C1">
              <w:rPr>
                <w:noProof/>
                <w:webHidden/>
              </w:rPr>
            </w:r>
            <w:r w:rsidR="004E16C1">
              <w:rPr>
                <w:noProof/>
                <w:webHidden/>
              </w:rPr>
              <w:fldChar w:fldCharType="separate"/>
            </w:r>
            <w:r w:rsidR="008914FE">
              <w:rPr>
                <w:noProof/>
                <w:webHidden/>
              </w:rPr>
              <w:t>41</w:t>
            </w:r>
            <w:r w:rsidR="004E16C1">
              <w:rPr>
                <w:noProof/>
                <w:webHidden/>
              </w:rPr>
              <w:fldChar w:fldCharType="end"/>
            </w:r>
          </w:hyperlink>
        </w:p>
        <w:p w14:paraId="540417D8" w14:textId="10B5A636" w:rsidR="004E16C1" w:rsidRDefault="009915F6">
          <w:pPr>
            <w:pStyle w:val="TableofFigures"/>
            <w:rPr>
              <w:rFonts w:asciiTheme="minorHAnsi" w:eastAsiaTheme="minorEastAsia" w:hAnsiTheme="minorHAnsi"/>
              <w:noProof/>
              <w:lang w:eastAsia="en-GB"/>
            </w:rPr>
          </w:pPr>
          <w:hyperlink w:anchor="_Toc34647263" w:history="1">
            <w:r w:rsidR="004E16C1" w:rsidRPr="005E615E">
              <w:rPr>
                <w:rStyle w:val="Hyperlink"/>
                <w:noProof/>
              </w:rPr>
              <w:t>Figure 2.7. Shares of IPAs performing policy advocacy activities  (comparison across region)</w:t>
            </w:r>
            <w:r w:rsidR="004E16C1">
              <w:rPr>
                <w:noProof/>
                <w:webHidden/>
              </w:rPr>
              <w:tab/>
            </w:r>
            <w:r w:rsidR="004E16C1">
              <w:rPr>
                <w:noProof/>
                <w:webHidden/>
              </w:rPr>
              <w:fldChar w:fldCharType="begin"/>
            </w:r>
            <w:r w:rsidR="004E16C1">
              <w:rPr>
                <w:noProof/>
                <w:webHidden/>
              </w:rPr>
              <w:instrText xml:space="preserve"> PAGEREF _Toc34647263 \h </w:instrText>
            </w:r>
            <w:r w:rsidR="004E16C1">
              <w:rPr>
                <w:noProof/>
                <w:webHidden/>
              </w:rPr>
            </w:r>
            <w:r w:rsidR="004E16C1">
              <w:rPr>
                <w:noProof/>
                <w:webHidden/>
              </w:rPr>
              <w:fldChar w:fldCharType="separate"/>
            </w:r>
            <w:r w:rsidR="008914FE">
              <w:rPr>
                <w:noProof/>
                <w:webHidden/>
              </w:rPr>
              <w:t>43</w:t>
            </w:r>
            <w:r w:rsidR="004E16C1">
              <w:rPr>
                <w:noProof/>
                <w:webHidden/>
              </w:rPr>
              <w:fldChar w:fldCharType="end"/>
            </w:r>
          </w:hyperlink>
        </w:p>
        <w:p w14:paraId="3C13A956" w14:textId="1E46445D" w:rsidR="004E16C1" w:rsidRDefault="009915F6">
          <w:pPr>
            <w:pStyle w:val="TableofFigures"/>
            <w:rPr>
              <w:rFonts w:asciiTheme="minorHAnsi" w:eastAsiaTheme="minorEastAsia" w:hAnsiTheme="minorHAnsi"/>
              <w:noProof/>
              <w:lang w:eastAsia="en-GB"/>
            </w:rPr>
          </w:pPr>
          <w:hyperlink w:anchor="_Toc34647264" w:history="1">
            <w:r w:rsidR="004E16C1" w:rsidRPr="005E615E">
              <w:rPr>
                <w:rStyle w:val="Hyperlink"/>
                <w:noProof/>
              </w:rPr>
              <w:t>Figure 2.8. Overview of IPAs’ prioritisation strategies by region</w:t>
            </w:r>
            <w:r w:rsidR="004E16C1">
              <w:rPr>
                <w:noProof/>
                <w:webHidden/>
              </w:rPr>
              <w:tab/>
            </w:r>
            <w:r w:rsidR="004E16C1">
              <w:rPr>
                <w:noProof/>
                <w:webHidden/>
              </w:rPr>
              <w:fldChar w:fldCharType="begin"/>
            </w:r>
            <w:r w:rsidR="004E16C1">
              <w:rPr>
                <w:noProof/>
                <w:webHidden/>
              </w:rPr>
              <w:instrText xml:space="preserve"> PAGEREF _Toc34647264 \h </w:instrText>
            </w:r>
            <w:r w:rsidR="004E16C1">
              <w:rPr>
                <w:noProof/>
                <w:webHidden/>
              </w:rPr>
            </w:r>
            <w:r w:rsidR="004E16C1">
              <w:rPr>
                <w:noProof/>
                <w:webHidden/>
              </w:rPr>
              <w:fldChar w:fldCharType="separate"/>
            </w:r>
            <w:r w:rsidR="008914FE">
              <w:rPr>
                <w:noProof/>
                <w:webHidden/>
              </w:rPr>
              <w:t>45</w:t>
            </w:r>
            <w:r w:rsidR="004E16C1">
              <w:rPr>
                <w:noProof/>
                <w:webHidden/>
              </w:rPr>
              <w:fldChar w:fldCharType="end"/>
            </w:r>
          </w:hyperlink>
        </w:p>
        <w:p w14:paraId="59542959" w14:textId="4C6BF372" w:rsidR="004E16C1" w:rsidRDefault="009915F6">
          <w:pPr>
            <w:pStyle w:val="TableofFigures"/>
            <w:rPr>
              <w:rFonts w:asciiTheme="minorHAnsi" w:eastAsiaTheme="minorEastAsia" w:hAnsiTheme="minorHAnsi"/>
              <w:noProof/>
              <w:lang w:eastAsia="en-GB"/>
            </w:rPr>
          </w:pPr>
          <w:hyperlink w:anchor="_Toc34647265" w:history="1">
            <w:r w:rsidR="004E16C1" w:rsidRPr="005E615E">
              <w:rPr>
                <w:rStyle w:val="Hyperlink"/>
                <w:noProof/>
              </w:rPr>
              <w:t>Figure 2.9. Targeting intensity by dimensions prioritised in Eurasia and other regions</w:t>
            </w:r>
            <w:r w:rsidR="004E16C1">
              <w:rPr>
                <w:noProof/>
                <w:webHidden/>
              </w:rPr>
              <w:tab/>
            </w:r>
            <w:r w:rsidR="004E16C1">
              <w:rPr>
                <w:noProof/>
                <w:webHidden/>
              </w:rPr>
              <w:fldChar w:fldCharType="begin"/>
            </w:r>
            <w:r w:rsidR="004E16C1">
              <w:rPr>
                <w:noProof/>
                <w:webHidden/>
              </w:rPr>
              <w:instrText xml:space="preserve"> PAGEREF _Toc34647265 \h </w:instrText>
            </w:r>
            <w:r w:rsidR="004E16C1">
              <w:rPr>
                <w:noProof/>
                <w:webHidden/>
              </w:rPr>
            </w:r>
            <w:r w:rsidR="004E16C1">
              <w:rPr>
                <w:noProof/>
                <w:webHidden/>
              </w:rPr>
              <w:fldChar w:fldCharType="separate"/>
            </w:r>
            <w:r w:rsidR="008914FE">
              <w:rPr>
                <w:noProof/>
                <w:webHidden/>
              </w:rPr>
              <w:t>46</w:t>
            </w:r>
            <w:r w:rsidR="004E16C1">
              <w:rPr>
                <w:noProof/>
                <w:webHidden/>
              </w:rPr>
              <w:fldChar w:fldCharType="end"/>
            </w:r>
          </w:hyperlink>
        </w:p>
        <w:p w14:paraId="0CC324C2" w14:textId="692B6FAB" w:rsidR="004E16C1" w:rsidRDefault="009915F6">
          <w:pPr>
            <w:pStyle w:val="TableofFigures"/>
            <w:rPr>
              <w:rFonts w:asciiTheme="minorHAnsi" w:eastAsiaTheme="minorEastAsia" w:hAnsiTheme="minorHAnsi"/>
              <w:noProof/>
              <w:lang w:eastAsia="en-GB"/>
            </w:rPr>
          </w:pPr>
          <w:hyperlink w:anchor="_Toc34647266" w:history="1">
            <w:r w:rsidR="004E16C1" w:rsidRPr="005E615E">
              <w:rPr>
                <w:rStyle w:val="Hyperlink"/>
                <w:noProof/>
              </w:rPr>
              <w:t>Figure 2.10. Inputs used in the process of sector and country prioritisation by region</w:t>
            </w:r>
            <w:r w:rsidR="004E16C1">
              <w:rPr>
                <w:noProof/>
                <w:webHidden/>
              </w:rPr>
              <w:tab/>
            </w:r>
            <w:r w:rsidR="004E16C1">
              <w:rPr>
                <w:noProof/>
                <w:webHidden/>
              </w:rPr>
              <w:fldChar w:fldCharType="begin"/>
            </w:r>
            <w:r w:rsidR="004E16C1">
              <w:rPr>
                <w:noProof/>
                <w:webHidden/>
              </w:rPr>
              <w:instrText xml:space="preserve"> PAGEREF _Toc34647266 \h </w:instrText>
            </w:r>
            <w:r w:rsidR="004E16C1">
              <w:rPr>
                <w:noProof/>
                <w:webHidden/>
              </w:rPr>
            </w:r>
            <w:r w:rsidR="004E16C1">
              <w:rPr>
                <w:noProof/>
                <w:webHidden/>
              </w:rPr>
              <w:fldChar w:fldCharType="separate"/>
            </w:r>
            <w:r w:rsidR="008914FE">
              <w:rPr>
                <w:noProof/>
                <w:webHidden/>
              </w:rPr>
              <w:t>50</w:t>
            </w:r>
            <w:r w:rsidR="004E16C1">
              <w:rPr>
                <w:noProof/>
                <w:webHidden/>
              </w:rPr>
              <w:fldChar w:fldCharType="end"/>
            </w:r>
          </w:hyperlink>
        </w:p>
        <w:p w14:paraId="3565EFC2" w14:textId="256AD14E" w:rsidR="004E16C1" w:rsidRDefault="009915F6">
          <w:pPr>
            <w:pStyle w:val="TableofFigures"/>
            <w:rPr>
              <w:rFonts w:asciiTheme="minorHAnsi" w:eastAsiaTheme="minorEastAsia" w:hAnsiTheme="minorHAnsi"/>
              <w:noProof/>
              <w:lang w:eastAsia="en-GB"/>
            </w:rPr>
          </w:pPr>
          <w:hyperlink w:anchor="_Toc34647267" w:history="1">
            <w:r w:rsidR="004E16C1" w:rsidRPr="005E615E">
              <w:rPr>
                <w:rStyle w:val="Hyperlink"/>
                <w:noProof/>
              </w:rPr>
              <w:t>Figure 3.1. IPAs with dedicated evaluation unit and reporting lines</w:t>
            </w:r>
            <w:r w:rsidR="004E16C1">
              <w:rPr>
                <w:noProof/>
                <w:webHidden/>
              </w:rPr>
              <w:tab/>
            </w:r>
            <w:r w:rsidR="004E16C1">
              <w:rPr>
                <w:noProof/>
                <w:webHidden/>
              </w:rPr>
              <w:fldChar w:fldCharType="begin"/>
            </w:r>
            <w:r w:rsidR="004E16C1">
              <w:rPr>
                <w:noProof/>
                <w:webHidden/>
              </w:rPr>
              <w:instrText xml:space="preserve"> PAGEREF _Toc34647267 \h </w:instrText>
            </w:r>
            <w:r w:rsidR="004E16C1">
              <w:rPr>
                <w:noProof/>
                <w:webHidden/>
              </w:rPr>
            </w:r>
            <w:r w:rsidR="004E16C1">
              <w:rPr>
                <w:noProof/>
                <w:webHidden/>
              </w:rPr>
              <w:fldChar w:fldCharType="separate"/>
            </w:r>
            <w:r w:rsidR="008914FE">
              <w:rPr>
                <w:noProof/>
                <w:webHidden/>
              </w:rPr>
              <w:t>54</w:t>
            </w:r>
            <w:r w:rsidR="004E16C1">
              <w:rPr>
                <w:noProof/>
                <w:webHidden/>
              </w:rPr>
              <w:fldChar w:fldCharType="end"/>
            </w:r>
          </w:hyperlink>
        </w:p>
        <w:p w14:paraId="22ABB1AE" w14:textId="4168C4C1" w:rsidR="004E16C1" w:rsidRDefault="009915F6">
          <w:pPr>
            <w:pStyle w:val="TableofFigures"/>
            <w:rPr>
              <w:rFonts w:asciiTheme="minorHAnsi" w:eastAsiaTheme="minorEastAsia" w:hAnsiTheme="minorHAnsi"/>
              <w:noProof/>
              <w:lang w:eastAsia="en-GB"/>
            </w:rPr>
          </w:pPr>
          <w:hyperlink w:anchor="_Toc34647268" w:history="1">
            <w:r w:rsidR="004E16C1" w:rsidRPr="005E615E">
              <w:rPr>
                <w:rStyle w:val="Hyperlink"/>
                <w:noProof/>
              </w:rPr>
              <w:t>Figure 3.2. Total number of M&amp;E methods</w:t>
            </w:r>
            <w:r w:rsidR="004E16C1">
              <w:rPr>
                <w:noProof/>
                <w:webHidden/>
              </w:rPr>
              <w:tab/>
            </w:r>
            <w:r w:rsidR="004E16C1">
              <w:rPr>
                <w:noProof/>
                <w:webHidden/>
              </w:rPr>
              <w:fldChar w:fldCharType="begin"/>
            </w:r>
            <w:r w:rsidR="004E16C1">
              <w:rPr>
                <w:noProof/>
                <w:webHidden/>
              </w:rPr>
              <w:instrText xml:space="preserve"> PAGEREF _Toc34647268 \h </w:instrText>
            </w:r>
            <w:r w:rsidR="004E16C1">
              <w:rPr>
                <w:noProof/>
                <w:webHidden/>
              </w:rPr>
            </w:r>
            <w:r w:rsidR="004E16C1">
              <w:rPr>
                <w:noProof/>
                <w:webHidden/>
              </w:rPr>
              <w:fldChar w:fldCharType="separate"/>
            </w:r>
            <w:r w:rsidR="008914FE">
              <w:rPr>
                <w:noProof/>
                <w:webHidden/>
              </w:rPr>
              <w:t>55</w:t>
            </w:r>
            <w:r w:rsidR="004E16C1">
              <w:rPr>
                <w:noProof/>
                <w:webHidden/>
              </w:rPr>
              <w:fldChar w:fldCharType="end"/>
            </w:r>
          </w:hyperlink>
        </w:p>
        <w:p w14:paraId="2FCC2FA3" w14:textId="1EAB5F22" w:rsidR="004E16C1" w:rsidRDefault="009915F6">
          <w:pPr>
            <w:pStyle w:val="TableofFigures"/>
            <w:rPr>
              <w:rFonts w:asciiTheme="minorHAnsi" w:eastAsiaTheme="minorEastAsia" w:hAnsiTheme="minorHAnsi"/>
              <w:noProof/>
              <w:lang w:eastAsia="en-GB"/>
            </w:rPr>
          </w:pPr>
          <w:hyperlink w:anchor="_Toc34647269" w:history="1">
            <w:r w:rsidR="004E16C1" w:rsidRPr="005E615E">
              <w:rPr>
                <w:rStyle w:val="Hyperlink"/>
                <w:noProof/>
              </w:rPr>
              <w:t>Figure 3.3. Frequency of M&amp;E indicator generation by region</w:t>
            </w:r>
            <w:r w:rsidR="004E16C1">
              <w:rPr>
                <w:noProof/>
                <w:webHidden/>
              </w:rPr>
              <w:tab/>
            </w:r>
            <w:r w:rsidR="004E16C1">
              <w:rPr>
                <w:noProof/>
                <w:webHidden/>
              </w:rPr>
              <w:fldChar w:fldCharType="begin"/>
            </w:r>
            <w:r w:rsidR="004E16C1">
              <w:rPr>
                <w:noProof/>
                <w:webHidden/>
              </w:rPr>
              <w:instrText xml:space="preserve"> PAGEREF _Toc34647269 \h </w:instrText>
            </w:r>
            <w:r w:rsidR="004E16C1">
              <w:rPr>
                <w:noProof/>
                <w:webHidden/>
              </w:rPr>
            </w:r>
            <w:r w:rsidR="004E16C1">
              <w:rPr>
                <w:noProof/>
                <w:webHidden/>
              </w:rPr>
              <w:fldChar w:fldCharType="separate"/>
            </w:r>
            <w:r w:rsidR="008914FE">
              <w:rPr>
                <w:noProof/>
                <w:webHidden/>
              </w:rPr>
              <w:t>55</w:t>
            </w:r>
            <w:r w:rsidR="004E16C1">
              <w:rPr>
                <w:noProof/>
                <w:webHidden/>
              </w:rPr>
              <w:fldChar w:fldCharType="end"/>
            </w:r>
          </w:hyperlink>
        </w:p>
        <w:p w14:paraId="474C485F" w14:textId="0EE63328" w:rsidR="004E16C1" w:rsidRDefault="009915F6">
          <w:pPr>
            <w:pStyle w:val="TableofFigures"/>
            <w:rPr>
              <w:rFonts w:asciiTheme="minorHAnsi" w:eastAsiaTheme="minorEastAsia" w:hAnsiTheme="minorHAnsi"/>
              <w:noProof/>
              <w:lang w:eastAsia="en-GB"/>
            </w:rPr>
          </w:pPr>
          <w:hyperlink w:anchor="_Toc34647270" w:history="1">
            <w:r w:rsidR="004E16C1" w:rsidRPr="005E615E">
              <w:rPr>
                <w:rStyle w:val="Hyperlink"/>
                <w:noProof/>
              </w:rPr>
              <w:t>Figure 3.4. Total number of indicators used</w:t>
            </w:r>
            <w:r w:rsidR="004E16C1">
              <w:rPr>
                <w:noProof/>
                <w:webHidden/>
              </w:rPr>
              <w:tab/>
            </w:r>
            <w:r w:rsidR="004E16C1">
              <w:rPr>
                <w:noProof/>
                <w:webHidden/>
              </w:rPr>
              <w:fldChar w:fldCharType="begin"/>
            </w:r>
            <w:r w:rsidR="004E16C1">
              <w:rPr>
                <w:noProof/>
                <w:webHidden/>
              </w:rPr>
              <w:instrText xml:space="preserve"> PAGEREF _Toc34647270 \h </w:instrText>
            </w:r>
            <w:r w:rsidR="004E16C1">
              <w:rPr>
                <w:noProof/>
                <w:webHidden/>
              </w:rPr>
            </w:r>
            <w:r w:rsidR="004E16C1">
              <w:rPr>
                <w:noProof/>
                <w:webHidden/>
              </w:rPr>
              <w:fldChar w:fldCharType="separate"/>
            </w:r>
            <w:r w:rsidR="008914FE">
              <w:rPr>
                <w:noProof/>
                <w:webHidden/>
              </w:rPr>
              <w:t>56</w:t>
            </w:r>
            <w:r w:rsidR="004E16C1">
              <w:rPr>
                <w:noProof/>
                <w:webHidden/>
              </w:rPr>
              <w:fldChar w:fldCharType="end"/>
            </w:r>
          </w:hyperlink>
        </w:p>
        <w:p w14:paraId="54813B47" w14:textId="6CB9BB9A" w:rsidR="004E16C1" w:rsidRDefault="009915F6">
          <w:pPr>
            <w:pStyle w:val="TableofFigures"/>
            <w:rPr>
              <w:rFonts w:asciiTheme="minorHAnsi" w:eastAsiaTheme="minorEastAsia" w:hAnsiTheme="minorHAnsi"/>
              <w:noProof/>
              <w:lang w:eastAsia="en-GB"/>
            </w:rPr>
          </w:pPr>
          <w:hyperlink w:anchor="_Toc34647271" w:history="1">
            <w:r w:rsidR="004E16C1" w:rsidRPr="005E615E">
              <w:rPr>
                <w:rStyle w:val="Hyperlink"/>
                <w:noProof/>
              </w:rPr>
              <w:t>Figure 3.5. IPAs’ evaluation methodologies</w:t>
            </w:r>
            <w:r w:rsidR="004E16C1">
              <w:rPr>
                <w:noProof/>
                <w:webHidden/>
              </w:rPr>
              <w:tab/>
            </w:r>
            <w:r w:rsidR="004E16C1">
              <w:rPr>
                <w:noProof/>
                <w:webHidden/>
              </w:rPr>
              <w:fldChar w:fldCharType="begin"/>
            </w:r>
            <w:r w:rsidR="004E16C1">
              <w:rPr>
                <w:noProof/>
                <w:webHidden/>
              </w:rPr>
              <w:instrText xml:space="preserve"> PAGEREF _Toc34647271 \h </w:instrText>
            </w:r>
            <w:r w:rsidR="004E16C1">
              <w:rPr>
                <w:noProof/>
                <w:webHidden/>
              </w:rPr>
            </w:r>
            <w:r w:rsidR="004E16C1">
              <w:rPr>
                <w:noProof/>
                <w:webHidden/>
              </w:rPr>
              <w:fldChar w:fldCharType="separate"/>
            </w:r>
            <w:r w:rsidR="008914FE">
              <w:rPr>
                <w:noProof/>
                <w:webHidden/>
              </w:rPr>
              <w:t>57</w:t>
            </w:r>
            <w:r w:rsidR="004E16C1">
              <w:rPr>
                <w:noProof/>
                <w:webHidden/>
              </w:rPr>
              <w:fldChar w:fldCharType="end"/>
            </w:r>
          </w:hyperlink>
        </w:p>
        <w:p w14:paraId="7CCBF9AB" w14:textId="4F908E06" w:rsidR="004E16C1" w:rsidRDefault="009915F6">
          <w:pPr>
            <w:pStyle w:val="TableofFigures"/>
            <w:rPr>
              <w:rFonts w:asciiTheme="minorHAnsi" w:eastAsiaTheme="minorEastAsia" w:hAnsiTheme="minorHAnsi"/>
              <w:noProof/>
              <w:lang w:eastAsia="en-GB"/>
            </w:rPr>
          </w:pPr>
          <w:hyperlink w:anchor="_Toc34647272" w:history="1">
            <w:r w:rsidR="004E16C1" w:rsidRPr="005E615E">
              <w:rPr>
                <w:rStyle w:val="Hyperlink"/>
                <w:noProof/>
              </w:rPr>
              <w:t>Figure 3.6. Number of output and outcome indicators used by IPAs</w:t>
            </w:r>
            <w:r w:rsidR="004E16C1">
              <w:rPr>
                <w:noProof/>
                <w:webHidden/>
              </w:rPr>
              <w:tab/>
            </w:r>
            <w:r w:rsidR="004E16C1">
              <w:rPr>
                <w:noProof/>
                <w:webHidden/>
              </w:rPr>
              <w:fldChar w:fldCharType="begin"/>
            </w:r>
            <w:r w:rsidR="004E16C1">
              <w:rPr>
                <w:noProof/>
                <w:webHidden/>
              </w:rPr>
              <w:instrText xml:space="preserve"> PAGEREF _Toc34647272 \h </w:instrText>
            </w:r>
            <w:r w:rsidR="004E16C1">
              <w:rPr>
                <w:noProof/>
                <w:webHidden/>
              </w:rPr>
            </w:r>
            <w:r w:rsidR="004E16C1">
              <w:rPr>
                <w:noProof/>
                <w:webHidden/>
              </w:rPr>
              <w:fldChar w:fldCharType="separate"/>
            </w:r>
            <w:r w:rsidR="008914FE">
              <w:rPr>
                <w:noProof/>
                <w:webHidden/>
              </w:rPr>
              <w:t>58</w:t>
            </w:r>
            <w:r w:rsidR="004E16C1">
              <w:rPr>
                <w:noProof/>
                <w:webHidden/>
              </w:rPr>
              <w:fldChar w:fldCharType="end"/>
            </w:r>
          </w:hyperlink>
        </w:p>
        <w:p w14:paraId="3835FE06" w14:textId="1C71B489" w:rsidR="004E16C1" w:rsidRDefault="009915F6">
          <w:pPr>
            <w:pStyle w:val="TableofFigures"/>
            <w:rPr>
              <w:rFonts w:asciiTheme="minorHAnsi" w:eastAsiaTheme="minorEastAsia" w:hAnsiTheme="minorHAnsi"/>
              <w:noProof/>
              <w:lang w:eastAsia="en-GB"/>
            </w:rPr>
          </w:pPr>
          <w:hyperlink w:anchor="_Toc34647273" w:history="1">
            <w:r w:rsidR="004E16C1" w:rsidRPr="005E615E">
              <w:rPr>
                <w:rStyle w:val="Hyperlink"/>
                <w:noProof/>
              </w:rPr>
              <w:t>Figure 3.7. Top five Output indicators in Eurasia and usage comparison with other regions</w:t>
            </w:r>
            <w:r w:rsidR="004E16C1">
              <w:rPr>
                <w:noProof/>
                <w:webHidden/>
              </w:rPr>
              <w:tab/>
            </w:r>
            <w:r w:rsidR="004E16C1">
              <w:rPr>
                <w:noProof/>
                <w:webHidden/>
              </w:rPr>
              <w:fldChar w:fldCharType="begin"/>
            </w:r>
            <w:r w:rsidR="004E16C1">
              <w:rPr>
                <w:noProof/>
                <w:webHidden/>
              </w:rPr>
              <w:instrText xml:space="preserve"> PAGEREF _Toc34647273 \h </w:instrText>
            </w:r>
            <w:r w:rsidR="004E16C1">
              <w:rPr>
                <w:noProof/>
                <w:webHidden/>
              </w:rPr>
            </w:r>
            <w:r w:rsidR="004E16C1">
              <w:rPr>
                <w:noProof/>
                <w:webHidden/>
              </w:rPr>
              <w:fldChar w:fldCharType="separate"/>
            </w:r>
            <w:r w:rsidR="008914FE">
              <w:rPr>
                <w:noProof/>
                <w:webHidden/>
              </w:rPr>
              <w:t>59</w:t>
            </w:r>
            <w:r w:rsidR="004E16C1">
              <w:rPr>
                <w:noProof/>
                <w:webHidden/>
              </w:rPr>
              <w:fldChar w:fldCharType="end"/>
            </w:r>
          </w:hyperlink>
        </w:p>
        <w:p w14:paraId="0A5EEB0C" w14:textId="791D79A8" w:rsidR="004E16C1" w:rsidRDefault="009915F6">
          <w:pPr>
            <w:pStyle w:val="TableofFigures"/>
            <w:rPr>
              <w:rFonts w:asciiTheme="minorHAnsi" w:eastAsiaTheme="minorEastAsia" w:hAnsiTheme="minorHAnsi"/>
              <w:noProof/>
              <w:lang w:eastAsia="en-GB"/>
            </w:rPr>
          </w:pPr>
          <w:hyperlink w:anchor="_Toc34647274" w:history="1">
            <w:r w:rsidR="004E16C1" w:rsidRPr="005E615E">
              <w:rPr>
                <w:rStyle w:val="Hyperlink"/>
                <w:noProof/>
              </w:rPr>
              <w:t>Figure 3.8. Top five Outcome Indicators</w:t>
            </w:r>
            <w:r w:rsidR="004E16C1">
              <w:rPr>
                <w:noProof/>
                <w:webHidden/>
              </w:rPr>
              <w:tab/>
            </w:r>
            <w:r w:rsidR="004E16C1">
              <w:rPr>
                <w:noProof/>
                <w:webHidden/>
              </w:rPr>
              <w:fldChar w:fldCharType="begin"/>
            </w:r>
            <w:r w:rsidR="004E16C1">
              <w:rPr>
                <w:noProof/>
                <w:webHidden/>
              </w:rPr>
              <w:instrText xml:space="preserve"> PAGEREF _Toc34647274 \h </w:instrText>
            </w:r>
            <w:r w:rsidR="004E16C1">
              <w:rPr>
                <w:noProof/>
                <w:webHidden/>
              </w:rPr>
            </w:r>
            <w:r w:rsidR="004E16C1">
              <w:rPr>
                <w:noProof/>
                <w:webHidden/>
              </w:rPr>
              <w:fldChar w:fldCharType="separate"/>
            </w:r>
            <w:r w:rsidR="008914FE">
              <w:rPr>
                <w:noProof/>
                <w:webHidden/>
              </w:rPr>
              <w:t>60</w:t>
            </w:r>
            <w:r w:rsidR="004E16C1">
              <w:rPr>
                <w:noProof/>
                <w:webHidden/>
              </w:rPr>
              <w:fldChar w:fldCharType="end"/>
            </w:r>
          </w:hyperlink>
        </w:p>
        <w:p w14:paraId="766BEE0B" w14:textId="44B6628F" w:rsidR="004E16C1" w:rsidRDefault="009915F6">
          <w:pPr>
            <w:pStyle w:val="TableofFigures"/>
            <w:rPr>
              <w:rFonts w:asciiTheme="minorHAnsi" w:eastAsiaTheme="minorEastAsia" w:hAnsiTheme="minorHAnsi"/>
              <w:noProof/>
              <w:lang w:eastAsia="en-GB"/>
            </w:rPr>
          </w:pPr>
          <w:hyperlink w:anchor="_Toc34647275" w:history="1">
            <w:r w:rsidR="004E16C1" w:rsidRPr="005E615E">
              <w:rPr>
                <w:rStyle w:val="Hyperlink"/>
                <w:noProof/>
              </w:rPr>
              <w:t>Figure 3.9. Strategic alignment of IPAs’ outcome indicators</w:t>
            </w:r>
            <w:r w:rsidR="004E16C1">
              <w:rPr>
                <w:noProof/>
                <w:webHidden/>
              </w:rPr>
              <w:tab/>
            </w:r>
            <w:r w:rsidR="004E16C1">
              <w:rPr>
                <w:noProof/>
                <w:webHidden/>
              </w:rPr>
              <w:fldChar w:fldCharType="begin"/>
            </w:r>
            <w:r w:rsidR="004E16C1">
              <w:rPr>
                <w:noProof/>
                <w:webHidden/>
              </w:rPr>
              <w:instrText xml:space="preserve"> PAGEREF _Toc34647275 \h </w:instrText>
            </w:r>
            <w:r w:rsidR="004E16C1">
              <w:rPr>
                <w:noProof/>
                <w:webHidden/>
              </w:rPr>
            </w:r>
            <w:r w:rsidR="004E16C1">
              <w:rPr>
                <w:noProof/>
                <w:webHidden/>
              </w:rPr>
              <w:fldChar w:fldCharType="separate"/>
            </w:r>
            <w:r w:rsidR="008914FE">
              <w:rPr>
                <w:noProof/>
                <w:webHidden/>
              </w:rPr>
              <w:t>61</w:t>
            </w:r>
            <w:r w:rsidR="004E16C1">
              <w:rPr>
                <w:noProof/>
                <w:webHidden/>
              </w:rPr>
              <w:fldChar w:fldCharType="end"/>
            </w:r>
          </w:hyperlink>
        </w:p>
        <w:p w14:paraId="25980F2A" w14:textId="46D7FB7C" w:rsidR="004E16C1" w:rsidRDefault="009915F6">
          <w:pPr>
            <w:pStyle w:val="TableofFigures"/>
            <w:rPr>
              <w:rFonts w:asciiTheme="minorHAnsi" w:eastAsiaTheme="minorEastAsia" w:hAnsiTheme="minorHAnsi"/>
              <w:noProof/>
              <w:lang w:eastAsia="en-GB"/>
            </w:rPr>
          </w:pPr>
          <w:hyperlink w:anchor="_Toc34647276" w:history="1">
            <w:r w:rsidR="004E16C1" w:rsidRPr="005E615E">
              <w:rPr>
                <w:rStyle w:val="Hyperlink"/>
                <w:noProof/>
              </w:rPr>
              <w:t>Figure 3.10. Existence of a CRM system and IPAs’ promotion budget</w:t>
            </w:r>
            <w:r w:rsidR="004E16C1">
              <w:rPr>
                <w:noProof/>
                <w:webHidden/>
              </w:rPr>
              <w:tab/>
            </w:r>
            <w:r w:rsidR="004E16C1">
              <w:rPr>
                <w:noProof/>
                <w:webHidden/>
              </w:rPr>
              <w:fldChar w:fldCharType="begin"/>
            </w:r>
            <w:r w:rsidR="004E16C1">
              <w:rPr>
                <w:noProof/>
                <w:webHidden/>
              </w:rPr>
              <w:instrText xml:space="preserve"> PAGEREF _Toc34647276 \h </w:instrText>
            </w:r>
            <w:r w:rsidR="004E16C1">
              <w:rPr>
                <w:noProof/>
                <w:webHidden/>
              </w:rPr>
            </w:r>
            <w:r w:rsidR="004E16C1">
              <w:rPr>
                <w:noProof/>
                <w:webHidden/>
              </w:rPr>
              <w:fldChar w:fldCharType="separate"/>
            </w:r>
            <w:r w:rsidR="008914FE">
              <w:rPr>
                <w:noProof/>
                <w:webHidden/>
              </w:rPr>
              <w:t>62</w:t>
            </w:r>
            <w:r w:rsidR="004E16C1">
              <w:rPr>
                <w:noProof/>
                <w:webHidden/>
              </w:rPr>
              <w:fldChar w:fldCharType="end"/>
            </w:r>
          </w:hyperlink>
        </w:p>
        <w:p w14:paraId="558A78C7" w14:textId="7663FB11" w:rsidR="004E16C1" w:rsidRDefault="009915F6">
          <w:pPr>
            <w:pStyle w:val="TableofFigures"/>
            <w:rPr>
              <w:rFonts w:asciiTheme="minorHAnsi" w:eastAsiaTheme="minorEastAsia" w:hAnsiTheme="minorHAnsi"/>
              <w:noProof/>
              <w:lang w:eastAsia="en-GB"/>
            </w:rPr>
          </w:pPr>
          <w:hyperlink w:anchor="_Toc34647277" w:history="1">
            <w:r w:rsidR="004E16C1" w:rsidRPr="005E615E">
              <w:rPr>
                <w:rStyle w:val="Hyperlink"/>
                <w:noProof/>
              </w:rPr>
              <w:t>Figure 3.11. Cases triggering corrective actions</w:t>
            </w:r>
            <w:r w:rsidR="004E16C1">
              <w:rPr>
                <w:noProof/>
                <w:webHidden/>
              </w:rPr>
              <w:tab/>
            </w:r>
            <w:r w:rsidR="004E16C1">
              <w:rPr>
                <w:noProof/>
                <w:webHidden/>
              </w:rPr>
              <w:fldChar w:fldCharType="begin"/>
            </w:r>
            <w:r w:rsidR="004E16C1">
              <w:rPr>
                <w:noProof/>
                <w:webHidden/>
              </w:rPr>
              <w:instrText xml:space="preserve"> PAGEREF _Toc34647277 \h </w:instrText>
            </w:r>
            <w:r w:rsidR="004E16C1">
              <w:rPr>
                <w:noProof/>
                <w:webHidden/>
              </w:rPr>
            </w:r>
            <w:r w:rsidR="004E16C1">
              <w:rPr>
                <w:noProof/>
                <w:webHidden/>
              </w:rPr>
              <w:fldChar w:fldCharType="separate"/>
            </w:r>
            <w:r w:rsidR="008914FE">
              <w:rPr>
                <w:noProof/>
                <w:webHidden/>
              </w:rPr>
              <w:t>64</w:t>
            </w:r>
            <w:r w:rsidR="004E16C1">
              <w:rPr>
                <w:noProof/>
                <w:webHidden/>
              </w:rPr>
              <w:fldChar w:fldCharType="end"/>
            </w:r>
          </w:hyperlink>
        </w:p>
        <w:p w14:paraId="1F0ED87B" w14:textId="37BF45E7" w:rsidR="00091FED" w:rsidRDefault="00091FED" w:rsidP="00E44FB3">
          <w:r>
            <w:rPr>
              <w:b/>
              <w:bCs/>
              <w:noProof/>
              <w:lang w:val="en-US"/>
            </w:rPr>
            <w:fldChar w:fldCharType="end"/>
          </w:r>
        </w:p>
        <w:p w14:paraId="10AB9751" w14:textId="77777777" w:rsidR="00091FED" w:rsidRDefault="00091FED" w:rsidP="00E44FB3">
          <w:pPr>
            <w:pStyle w:val="Subtitle"/>
            <w:rPr>
              <w:rFonts w:hint="eastAsia"/>
            </w:rPr>
          </w:pPr>
          <w:r>
            <w:t>Boxes</w:t>
          </w:r>
        </w:p>
        <w:p w14:paraId="1FE3C787" w14:textId="4971FD50" w:rsidR="004E16C1" w:rsidRDefault="00091FED">
          <w:pPr>
            <w:pStyle w:val="TableofFigures"/>
            <w:rPr>
              <w:rFonts w:asciiTheme="minorHAnsi" w:eastAsiaTheme="minorEastAsia" w:hAnsiTheme="minorHAnsi"/>
              <w:noProof/>
              <w:lang w:eastAsia="en-GB"/>
            </w:rPr>
          </w:pPr>
          <w:r>
            <w:rPr>
              <w:b/>
              <w:bCs/>
              <w:noProof/>
              <w:lang w:val="en-US"/>
            </w:rPr>
            <w:fldChar w:fldCharType="begin"/>
          </w:r>
          <w:r>
            <w:rPr>
              <w:b/>
              <w:bCs/>
              <w:noProof/>
              <w:lang w:val="en-US"/>
            </w:rPr>
            <w:instrText xml:space="preserve"> TOC \h \z \c "Box" </w:instrText>
          </w:r>
          <w:r>
            <w:rPr>
              <w:b/>
              <w:bCs/>
              <w:noProof/>
              <w:lang w:val="en-US"/>
            </w:rPr>
            <w:fldChar w:fldCharType="separate"/>
          </w:r>
          <w:hyperlink w:anchor="_Toc34647278" w:history="1">
            <w:r w:rsidR="004E16C1" w:rsidRPr="009C289B">
              <w:rPr>
                <w:rStyle w:val="Hyperlink"/>
                <w:noProof/>
              </w:rPr>
              <w:t>Box 1. The OECD-IDB Survey of Investment Promotion Agencies</w:t>
            </w:r>
            <w:r w:rsidR="004E16C1">
              <w:rPr>
                <w:noProof/>
                <w:webHidden/>
              </w:rPr>
              <w:tab/>
            </w:r>
            <w:r w:rsidR="004E16C1">
              <w:rPr>
                <w:noProof/>
                <w:webHidden/>
              </w:rPr>
              <w:fldChar w:fldCharType="begin"/>
            </w:r>
            <w:r w:rsidR="004E16C1">
              <w:rPr>
                <w:noProof/>
                <w:webHidden/>
              </w:rPr>
              <w:instrText xml:space="preserve"> PAGEREF _Toc34647278 \h </w:instrText>
            </w:r>
            <w:r w:rsidR="004E16C1">
              <w:rPr>
                <w:noProof/>
                <w:webHidden/>
              </w:rPr>
            </w:r>
            <w:r w:rsidR="004E16C1">
              <w:rPr>
                <w:noProof/>
                <w:webHidden/>
              </w:rPr>
              <w:fldChar w:fldCharType="separate"/>
            </w:r>
            <w:r w:rsidR="008914FE">
              <w:rPr>
                <w:noProof/>
                <w:webHidden/>
              </w:rPr>
              <w:t>13</w:t>
            </w:r>
            <w:r w:rsidR="004E16C1">
              <w:rPr>
                <w:noProof/>
                <w:webHidden/>
              </w:rPr>
              <w:fldChar w:fldCharType="end"/>
            </w:r>
          </w:hyperlink>
        </w:p>
        <w:p w14:paraId="006A51C3" w14:textId="3636AA21" w:rsidR="004E16C1" w:rsidRDefault="009915F6">
          <w:pPr>
            <w:pStyle w:val="TableofFigures"/>
            <w:rPr>
              <w:rFonts w:asciiTheme="minorHAnsi" w:eastAsiaTheme="minorEastAsia" w:hAnsiTheme="minorHAnsi"/>
              <w:noProof/>
              <w:lang w:eastAsia="en-GB"/>
            </w:rPr>
          </w:pPr>
          <w:hyperlink w:anchor="_Toc34647279" w:history="1">
            <w:r w:rsidR="004E16C1" w:rsidRPr="009C289B">
              <w:rPr>
                <w:rStyle w:val="Hyperlink"/>
                <w:noProof/>
              </w:rPr>
              <w:t>Box 1.1. The combination of export and investment promotion mandates: trends and strategic considerations</w:t>
            </w:r>
            <w:r w:rsidR="004E16C1">
              <w:rPr>
                <w:noProof/>
                <w:webHidden/>
              </w:rPr>
              <w:tab/>
            </w:r>
            <w:r w:rsidR="004E16C1">
              <w:rPr>
                <w:noProof/>
                <w:webHidden/>
              </w:rPr>
              <w:fldChar w:fldCharType="begin"/>
            </w:r>
            <w:r w:rsidR="004E16C1">
              <w:rPr>
                <w:noProof/>
                <w:webHidden/>
              </w:rPr>
              <w:instrText xml:space="preserve"> PAGEREF _Toc34647279 \h </w:instrText>
            </w:r>
            <w:r w:rsidR="004E16C1">
              <w:rPr>
                <w:noProof/>
                <w:webHidden/>
              </w:rPr>
            </w:r>
            <w:r w:rsidR="004E16C1">
              <w:rPr>
                <w:noProof/>
                <w:webHidden/>
              </w:rPr>
              <w:fldChar w:fldCharType="separate"/>
            </w:r>
            <w:r w:rsidR="008914FE">
              <w:rPr>
                <w:noProof/>
                <w:webHidden/>
              </w:rPr>
              <w:t>20</w:t>
            </w:r>
            <w:r w:rsidR="004E16C1">
              <w:rPr>
                <w:noProof/>
                <w:webHidden/>
              </w:rPr>
              <w:fldChar w:fldCharType="end"/>
            </w:r>
          </w:hyperlink>
        </w:p>
        <w:p w14:paraId="09CF5B28" w14:textId="548C6E35" w:rsidR="004E16C1" w:rsidRDefault="009915F6">
          <w:pPr>
            <w:pStyle w:val="TableofFigures"/>
            <w:rPr>
              <w:rFonts w:asciiTheme="minorHAnsi" w:eastAsiaTheme="minorEastAsia" w:hAnsiTheme="minorHAnsi"/>
              <w:noProof/>
              <w:lang w:eastAsia="en-GB"/>
            </w:rPr>
          </w:pPr>
          <w:hyperlink w:anchor="_Toc34647280" w:history="1">
            <w:r w:rsidR="004E16C1" w:rsidRPr="009C289B">
              <w:rPr>
                <w:rStyle w:val="Hyperlink"/>
                <w:noProof/>
              </w:rPr>
              <w:t>Box 1.2. Business France’s cooperation agreement with regional agencies</w:t>
            </w:r>
            <w:r w:rsidR="004E16C1">
              <w:rPr>
                <w:noProof/>
                <w:webHidden/>
              </w:rPr>
              <w:tab/>
            </w:r>
            <w:r w:rsidR="004E16C1">
              <w:rPr>
                <w:noProof/>
                <w:webHidden/>
              </w:rPr>
              <w:fldChar w:fldCharType="begin"/>
            </w:r>
            <w:r w:rsidR="004E16C1">
              <w:rPr>
                <w:noProof/>
                <w:webHidden/>
              </w:rPr>
              <w:instrText xml:space="preserve"> PAGEREF _Toc34647280 \h </w:instrText>
            </w:r>
            <w:r w:rsidR="004E16C1">
              <w:rPr>
                <w:noProof/>
                <w:webHidden/>
              </w:rPr>
            </w:r>
            <w:r w:rsidR="004E16C1">
              <w:rPr>
                <w:noProof/>
                <w:webHidden/>
              </w:rPr>
              <w:fldChar w:fldCharType="separate"/>
            </w:r>
            <w:r w:rsidR="008914FE">
              <w:rPr>
                <w:noProof/>
                <w:webHidden/>
              </w:rPr>
              <w:t>29</w:t>
            </w:r>
            <w:r w:rsidR="004E16C1">
              <w:rPr>
                <w:noProof/>
                <w:webHidden/>
              </w:rPr>
              <w:fldChar w:fldCharType="end"/>
            </w:r>
          </w:hyperlink>
        </w:p>
        <w:p w14:paraId="72E8B6ED" w14:textId="2B2CB0E4" w:rsidR="004E16C1" w:rsidRDefault="009915F6">
          <w:pPr>
            <w:pStyle w:val="TableofFigures"/>
            <w:rPr>
              <w:rFonts w:asciiTheme="minorHAnsi" w:eastAsiaTheme="minorEastAsia" w:hAnsiTheme="minorHAnsi"/>
              <w:noProof/>
              <w:lang w:eastAsia="en-GB"/>
            </w:rPr>
          </w:pPr>
          <w:hyperlink w:anchor="_Toc34647281" w:history="1">
            <w:r w:rsidR="004E16C1" w:rsidRPr="009C289B">
              <w:rPr>
                <w:rStyle w:val="Hyperlink"/>
                <w:noProof/>
              </w:rPr>
              <w:t>Box 2.1. Czech Invest’s Supplier Development Programme</w:t>
            </w:r>
            <w:r w:rsidR="004E16C1">
              <w:rPr>
                <w:noProof/>
                <w:webHidden/>
              </w:rPr>
              <w:tab/>
            </w:r>
            <w:r w:rsidR="004E16C1">
              <w:rPr>
                <w:noProof/>
                <w:webHidden/>
              </w:rPr>
              <w:fldChar w:fldCharType="begin"/>
            </w:r>
            <w:r w:rsidR="004E16C1">
              <w:rPr>
                <w:noProof/>
                <w:webHidden/>
              </w:rPr>
              <w:instrText xml:space="preserve"> PAGEREF _Toc34647281 \h </w:instrText>
            </w:r>
            <w:r w:rsidR="004E16C1">
              <w:rPr>
                <w:noProof/>
                <w:webHidden/>
              </w:rPr>
            </w:r>
            <w:r w:rsidR="004E16C1">
              <w:rPr>
                <w:noProof/>
                <w:webHidden/>
              </w:rPr>
              <w:fldChar w:fldCharType="separate"/>
            </w:r>
            <w:r w:rsidR="008914FE">
              <w:rPr>
                <w:noProof/>
                <w:webHidden/>
              </w:rPr>
              <w:t>40</w:t>
            </w:r>
            <w:r w:rsidR="004E16C1">
              <w:rPr>
                <w:noProof/>
                <w:webHidden/>
              </w:rPr>
              <w:fldChar w:fldCharType="end"/>
            </w:r>
          </w:hyperlink>
        </w:p>
        <w:p w14:paraId="64BEA84B" w14:textId="25CE445A" w:rsidR="004E16C1" w:rsidRDefault="009915F6">
          <w:pPr>
            <w:pStyle w:val="TableofFigures"/>
            <w:rPr>
              <w:rFonts w:asciiTheme="minorHAnsi" w:eastAsiaTheme="minorEastAsia" w:hAnsiTheme="minorHAnsi"/>
              <w:noProof/>
              <w:lang w:eastAsia="en-GB"/>
            </w:rPr>
          </w:pPr>
          <w:hyperlink w:anchor="_Toc34647282" w:history="1">
            <w:r w:rsidR="004E16C1" w:rsidRPr="009C289B">
              <w:rPr>
                <w:rStyle w:val="Hyperlink"/>
                <w:noProof/>
              </w:rPr>
              <w:t>Box 2.2. A structured approach to aftercare: The example of Business France</w:t>
            </w:r>
            <w:r w:rsidR="004E16C1">
              <w:rPr>
                <w:noProof/>
                <w:webHidden/>
              </w:rPr>
              <w:tab/>
            </w:r>
            <w:r w:rsidR="004E16C1">
              <w:rPr>
                <w:noProof/>
                <w:webHidden/>
              </w:rPr>
              <w:fldChar w:fldCharType="begin"/>
            </w:r>
            <w:r w:rsidR="004E16C1">
              <w:rPr>
                <w:noProof/>
                <w:webHidden/>
              </w:rPr>
              <w:instrText xml:space="preserve"> PAGEREF _Toc34647282 \h </w:instrText>
            </w:r>
            <w:r w:rsidR="004E16C1">
              <w:rPr>
                <w:noProof/>
                <w:webHidden/>
              </w:rPr>
            </w:r>
            <w:r w:rsidR="004E16C1">
              <w:rPr>
                <w:noProof/>
                <w:webHidden/>
              </w:rPr>
              <w:fldChar w:fldCharType="separate"/>
            </w:r>
            <w:r w:rsidR="008914FE">
              <w:rPr>
                <w:noProof/>
                <w:webHidden/>
              </w:rPr>
              <w:t>42</w:t>
            </w:r>
            <w:r w:rsidR="004E16C1">
              <w:rPr>
                <w:noProof/>
                <w:webHidden/>
              </w:rPr>
              <w:fldChar w:fldCharType="end"/>
            </w:r>
          </w:hyperlink>
        </w:p>
        <w:p w14:paraId="3B0FE19E" w14:textId="79D6F87C" w:rsidR="005F50AB" w:rsidRDefault="00091FED" w:rsidP="00910B5F">
          <w:r>
            <w:rPr>
              <w:b/>
              <w:bCs/>
              <w:noProof/>
              <w:lang w:val="en-US"/>
            </w:rPr>
            <w:fldChar w:fldCharType="end"/>
          </w:r>
        </w:p>
      </w:sdtContent>
    </w:sdt>
    <w:p w14:paraId="2D5C0905" w14:textId="38EC4051" w:rsidR="00091FED" w:rsidRPr="00252AC4" w:rsidRDefault="005F50AB" w:rsidP="002C75F3">
      <w:pPr>
        <w:pStyle w:val="Title"/>
      </w:pPr>
      <w:bookmarkStart w:id="1" w:name="_Toc40103015"/>
      <w:r w:rsidRPr="00252AC4">
        <w:lastRenderedPageBreak/>
        <w:t>For</w:t>
      </w:r>
      <w:r w:rsidR="00D95B34" w:rsidRPr="00252AC4">
        <w:t>e</w:t>
      </w:r>
      <w:r w:rsidRPr="00252AC4">
        <w:t>w</w:t>
      </w:r>
      <w:r w:rsidR="00D95B34" w:rsidRPr="00252AC4">
        <w:t>o</w:t>
      </w:r>
      <w:r w:rsidRPr="00252AC4">
        <w:t>rd</w:t>
      </w:r>
      <w:bookmarkEnd w:id="1"/>
    </w:p>
    <w:p w14:paraId="0894D760" w14:textId="77777777" w:rsidR="00E5406A" w:rsidRPr="00252AC4" w:rsidRDefault="00E5406A" w:rsidP="00E5406A">
      <w:pPr>
        <w:pStyle w:val="Para0"/>
      </w:pPr>
      <w:r w:rsidRPr="00252AC4">
        <w:t>Like most governments around the world, Eurasia governments have established investment promotion agencies (IPAs) to promote their countries as investment destinations, attract foreign direct investment (FDI), and facilitate foreign investors’ establishment and expansion in the domestic economy. This report takes stock of Eurasia governments’ efforts to attract foreign investment, and offers comparisons with investment promotion practices in the OECD, Middle East and North Africa (MENA) and Latin America and the Caribbean (LAC).</w:t>
      </w:r>
    </w:p>
    <w:p w14:paraId="5117358C" w14:textId="77777777" w:rsidR="00E5406A" w:rsidRPr="00252AC4" w:rsidRDefault="00E5406A" w:rsidP="00E5406A">
      <w:pPr>
        <w:pStyle w:val="Para0"/>
      </w:pPr>
      <w:r w:rsidRPr="00252AC4">
        <w:t xml:space="preserve">The report is part of a wider mapping of IPAs, based on an extensive survey designed and conducted by the OECD, in partnership with the Inter-American Development Bank (IDB). In Eurasia, the mapping was carried out by the OECD Eurasia Competitiveness Programme, with the support of the European Union’s EU4Business initiative and the government of Kazakhstan. </w:t>
      </w:r>
    </w:p>
    <w:p w14:paraId="026E1421" w14:textId="77777777" w:rsidR="00E5406A" w:rsidRPr="00252AC4" w:rsidRDefault="00E5406A" w:rsidP="00E5406A">
      <w:pPr>
        <w:pStyle w:val="Para0"/>
      </w:pPr>
      <w:r w:rsidRPr="00252AC4">
        <w:t xml:space="preserve">This report is based on data from the OECD-IDB IPA database, which contains information on investment promotion agencies and practices from 69 economies in total, including 32 from the OECD, 10 from Eurasia, 19 from LAC, and eight from MENA. The respondent countries in Eurasia include Afghanistan, Azerbaijan, Belarus, Georgia, Kazakhstan, Kyrgyzstan, Mongolia, Tajikistan, Ukraine and Uzbekistan. The report also draws on discussions held with IPAs in the framework of various workshops and missions. </w:t>
      </w:r>
    </w:p>
    <w:p w14:paraId="5406E86A" w14:textId="77777777" w:rsidR="00E5406A" w:rsidRPr="00252AC4" w:rsidRDefault="00E5406A" w:rsidP="00E5406A">
      <w:pPr>
        <w:pStyle w:val="Para0"/>
      </w:pPr>
      <w:r w:rsidRPr="00252AC4">
        <w:t>The aim of this report is to foster peer learning among IPA practitioners and policymakers by better understanding differences and similarities across agencies. The report also suggests avenues for Eurasia governments and their IPAs to consider in the future development of their investment promotion efforts. It paves the way for further analytical and evidence-based investment promotion work on topics of interest to OECD and non-OECD countries.</w:t>
      </w:r>
    </w:p>
    <w:p w14:paraId="280F0DB8" w14:textId="77777777" w:rsidR="00E5406A" w:rsidRPr="00252AC4" w:rsidRDefault="00E5406A" w:rsidP="00E5406A">
      <w:pPr>
        <w:pStyle w:val="Para0"/>
      </w:pPr>
      <w:r w:rsidRPr="00252AC4">
        <w:t>The OECD thanks all Eurasia IPAs that have participated in the mapping for their availability and their contributions to discussions held during workshops and seminars.</w:t>
      </w:r>
    </w:p>
    <w:p w14:paraId="648E02D7" w14:textId="6C05C17E" w:rsidR="00E5406A" w:rsidRPr="00252AC4" w:rsidRDefault="00E5406A" w:rsidP="00E5406A">
      <w:pPr>
        <w:pStyle w:val="Para0"/>
      </w:pPr>
      <w:r w:rsidRPr="00252AC4">
        <w:t xml:space="preserve">The report was drafted by Peline Atamer, Project Manager, and Fabio Ascione, Junior Policy Analyst, of the Eurasia Division of the OECD Global Relations Secretariat (GRS), under the leadership of Ana Novik, Head of the Investment Division of the OECD Directorate for Financial and Enterprise Affairs (DAF), and William Tompson, Head of the Eurasia Division (GRS). Valuable feedback and comments were provided by Alexandre de Crombrugghe, Economist and Project Manager (DAF); Alexander Böhmer, Head of the Southeast Asia Division (GRS); Arnault Prêtet, Project Manager (Eurasia/GRS); </w:t>
      </w:r>
      <w:r w:rsidR="004B734A" w:rsidRPr="00252AC4">
        <w:t>Daniel Quadbeck, Senior Policy Analyst (Eurasia/GRS);</w:t>
      </w:r>
      <w:r w:rsidRPr="00252AC4">
        <w:t xml:space="preserve"> and Talisa zur Hausen, Policy Analyst (Eurasia/GRS).</w:t>
      </w:r>
    </w:p>
    <w:p w14:paraId="370FD862" w14:textId="77777777" w:rsidR="00E5406A" w:rsidRPr="00252AC4" w:rsidRDefault="00E5406A" w:rsidP="00E5406A">
      <w:pPr>
        <w:pStyle w:val="Para0"/>
      </w:pPr>
      <w:r w:rsidRPr="00252AC4">
        <w:t>Final editorial support was provided by Vanessa Berry-Chatelain, Communications Manager, and Kristin Sazama, Communications Officer, OECD Global Relations Secretariat. Valuable administrative support was also provided by Orla Halliday and Eugenia Klimenka from the Eurasia Division (GRS).</w:t>
      </w:r>
    </w:p>
    <w:p w14:paraId="5A6C45A8" w14:textId="77777777" w:rsidR="00E5406A" w:rsidRPr="00252AC4" w:rsidRDefault="00E5406A" w:rsidP="00E5406A">
      <w:pPr>
        <w:pStyle w:val="Para0"/>
      </w:pPr>
    </w:p>
    <w:p w14:paraId="015C6A27" w14:textId="77777777" w:rsidR="003C7420" w:rsidRPr="00252AC4" w:rsidRDefault="003C7420" w:rsidP="003C7420">
      <w:pPr>
        <w:pStyle w:val="Para0"/>
      </w:pPr>
    </w:p>
    <w:p w14:paraId="765FC60B" w14:textId="1F013BAC" w:rsidR="00EC4BAA" w:rsidRPr="00252AC4" w:rsidRDefault="00EC4BAA" w:rsidP="002C75F3">
      <w:pPr>
        <w:pStyle w:val="Title"/>
      </w:pPr>
      <w:bookmarkStart w:id="2" w:name="_Toc31617773"/>
      <w:bookmarkStart w:id="3" w:name="_Toc31641302"/>
      <w:bookmarkStart w:id="4" w:name="_Toc31650300"/>
      <w:bookmarkStart w:id="5" w:name="_Ref32310156"/>
      <w:bookmarkStart w:id="6" w:name="_Ref32310161"/>
      <w:bookmarkStart w:id="7" w:name="_Ref32310167"/>
      <w:bookmarkStart w:id="8" w:name="_Ref32310190"/>
      <w:bookmarkStart w:id="9" w:name="_Toc32317001"/>
      <w:bookmarkStart w:id="10" w:name="_Toc32324660"/>
      <w:bookmarkStart w:id="11" w:name="_Toc40103016"/>
      <w:r w:rsidRPr="00252AC4">
        <w:lastRenderedPageBreak/>
        <w:t>Executive Summary</w:t>
      </w:r>
      <w:bookmarkEnd w:id="2"/>
      <w:bookmarkEnd w:id="3"/>
      <w:bookmarkEnd w:id="4"/>
      <w:bookmarkEnd w:id="5"/>
      <w:bookmarkEnd w:id="6"/>
      <w:bookmarkEnd w:id="7"/>
      <w:bookmarkEnd w:id="8"/>
      <w:bookmarkEnd w:id="9"/>
      <w:bookmarkEnd w:id="10"/>
      <w:bookmarkEnd w:id="11"/>
    </w:p>
    <w:p w14:paraId="364399A7" w14:textId="0BE45870" w:rsidR="00F72A2F" w:rsidRPr="00252AC4" w:rsidRDefault="00F72A2F">
      <w:pPr>
        <w:pStyle w:val="Heading2IndicatorSublevel"/>
        <w:numPr>
          <w:ilvl w:val="0"/>
          <w:numId w:val="0"/>
        </w:numPr>
      </w:pPr>
      <w:r w:rsidRPr="00252AC4">
        <w:t>Key highlights</w:t>
      </w:r>
    </w:p>
    <w:p w14:paraId="5A6A6ED6" w14:textId="74915DAA" w:rsidR="00F72A2F" w:rsidRPr="00252AC4" w:rsidRDefault="001B3585" w:rsidP="00214441">
      <w:pPr>
        <w:pStyle w:val="BulletedList"/>
      </w:pPr>
      <w:r w:rsidRPr="001B3585">
        <w:rPr>
          <w:b/>
        </w:rPr>
        <w:t xml:space="preserve">All </w:t>
      </w:r>
      <w:r w:rsidR="00F72A2F" w:rsidRPr="001B3585">
        <w:rPr>
          <w:b/>
        </w:rPr>
        <w:t>Eurasia governments have established investment promotion agencies</w:t>
      </w:r>
      <w:r w:rsidR="00AD4AA4" w:rsidRPr="00252AC4">
        <w:t xml:space="preserve"> (IPAs)</w:t>
      </w:r>
      <w:r w:rsidR="00F72A2F" w:rsidRPr="00252AC4">
        <w:t xml:space="preserve"> as focal points of their investment promotion efforts. </w:t>
      </w:r>
      <w:r w:rsidR="00CC66B0">
        <w:t xml:space="preserve">As </w:t>
      </w:r>
      <w:r w:rsidR="0050768D">
        <w:t xml:space="preserve">these efforts are readjusted to adapt to an expected drop in FDI levels </w:t>
      </w:r>
      <w:r w:rsidR="00F34556">
        <w:t>due to</w:t>
      </w:r>
      <w:r w:rsidR="0050768D">
        <w:t xml:space="preserve"> the COVID-19 crisis, the role of these IPAs will likely evolve. This report can provide guidance </w:t>
      </w:r>
      <w:r w:rsidR="007D75DD">
        <w:t xml:space="preserve">to policy-makers reflecting </w:t>
      </w:r>
      <w:r w:rsidR="0050768D">
        <w:t>on how to strengthen their roles.</w:t>
      </w:r>
    </w:p>
    <w:p w14:paraId="402AF969" w14:textId="26F7D2B0" w:rsidR="00F72A2F" w:rsidRPr="00252AC4" w:rsidRDefault="00AD4AA4" w:rsidP="00214441">
      <w:pPr>
        <w:pStyle w:val="BulletedList"/>
      </w:pPr>
      <w:r w:rsidRPr="001B3585">
        <w:rPr>
          <w:b/>
        </w:rPr>
        <w:t xml:space="preserve">Eurasia </w:t>
      </w:r>
      <w:r w:rsidR="00F72A2F" w:rsidRPr="001B3585">
        <w:rPr>
          <w:b/>
        </w:rPr>
        <w:t>IPAs are relatively young</w:t>
      </w:r>
      <w:r w:rsidRPr="00252AC4">
        <w:t>:</w:t>
      </w:r>
      <w:r w:rsidR="00F72A2F" w:rsidRPr="00252AC4">
        <w:t xml:space="preserve"> most were created </w:t>
      </w:r>
      <w:r w:rsidRPr="00252AC4">
        <w:t>with</w:t>
      </w:r>
      <w:r w:rsidR="00F72A2F" w:rsidRPr="00252AC4">
        <w:t xml:space="preserve">in the last decade. </w:t>
      </w:r>
      <w:r w:rsidRPr="00252AC4">
        <w:t>Even so, m</w:t>
      </w:r>
      <w:r w:rsidR="00F72A2F" w:rsidRPr="00252AC4">
        <w:t xml:space="preserve">any have </w:t>
      </w:r>
      <w:r w:rsidRPr="00252AC4">
        <w:t xml:space="preserve">already </w:t>
      </w:r>
      <w:r w:rsidR="00F72A2F" w:rsidRPr="00252AC4">
        <w:t xml:space="preserve">undergone important restructuring, </w:t>
      </w:r>
      <w:r w:rsidRPr="00252AC4">
        <w:t>which</w:t>
      </w:r>
      <w:r w:rsidR="00F72A2F" w:rsidRPr="00252AC4">
        <w:t xml:space="preserve"> poses challenges</w:t>
      </w:r>
      <w:r w:rsidRPr="00252AC4">
        <w:t xml:space="preserve"> for their development in terms of</w:t>
      </w:r>
      <w:r w:rsidR="00F72A2F" w:rsidRPr="00252AC4">
        <w:t xml:space="preserve"> instability of mandate</w:t>
      </w:r>
      <w:r w:rsidRPr="00252AC4">
        <w:t>s and institutional configurations,</w:t>
      </w:r>
      <w:r w:rsidR="00F72A2F" w:rsidRPr="00252AC4">
        <w:t xml:space="preserve"> and high staff turnover. </w:t>
      </w:r>
    </w:p>
    <w:p w14:paraId="4BAEF9AD" w14:textId="1188B289" w:rsidR="00F72A2F" w:rsidRPr="00252AC4" w:rsidRDefault="00FB211D" w:rsidP="00214441">
      <w:pPr>
        <w:pStyle w:val="BulletedList"/>
      </w:pPr>
      <w:r w:rsidRPr="001B3585">
        <w:rPr>
          <w:b/>
        </w:rPr>
        <w:t>IPAs’ g</w:t>
      </w:r>
      <w:r w:rsidR="004869FB" w:rsidRPr="001B3585">
        <w:rPr>
          <w:b/>
        </w:rPr>
        <w:t xml:space="preserve">overnance </w:t>
      </w:r>
      <w:r w:rsidRPr="001B3585">
        <w:rPr>
          <w:b/>
        </w:rPr>
        <w:t>models are relatively homogeneous across the region</w:t>
      </w:r>
      <w:r w:rsidR="004869FB" w:rsidRPr="00252AC4">
        <w:t xml:space="preserve">. </w:t>
      </w:r>
      <w:r w:rsidR="00F72A2F" w:rsidRPr="00252AC4">
        <w:t xml:space="preserve">A large majority are governmental IPAs, and few of them have advisory or strategic boards. Most report to a </w:t>
      </w:r>
      <w:r w:rsidR="00AD4AA4" w:rsidRPr="00252AC4">
        <w:t xml:space="preserve">ministry </w:t>
      </w:r>
      <w:r w:rsidR="00F72A2F" w:rsidRPr="00252AC4">
        <w:t>in charge of investment</w:t>
      </w:r>
      <w:r w:rsidR="00AD4AA4" w:rsidRPr="00252AC4">
        <w:t xml:space="preserve"> policy</w:t>
      </w:r>
      <w:r w:rsidRPr="00252AC4">
        <w:t xml:space="preserve"> or attraction</w:t>
      </w:r>
      <w:r w:rsidR="00F72A2F" w:rsidRPr="00252AC4">
        <w:t>.</w:t>
      </w:r>
    </w:p>
    <w:p w14:paraId="12AD3519" w14:textId="5E4946DE" w:rsidR="00F72A2F" w:rsidRPr="00252AC4" w:rsidRDefault="00F72A2F" w:rsidP="00214441">
      <w:pPr>
        <w:pStyle w:val="BulletedList"/>
      </w:pPr>
      <w:r w:rsidRPr="001B3585">
        <w:rPr>
          <w:b/>
        </w:rPr>
        <w:t>Investment promotion in Eurasia is closely associated with regional development and economic diversification objectives</w:t>
      </w:r>
      <w:r w:rsidRPr="00252AC4">
        <w:t>, as reflected in IPAs’ mandates and prioritisation strategies.</w:t>
      </w:r>
      <w:r w:rsidR="00C362DA">
        <w:t xml:space="preserve"> Strategic objectives, however, could evolve as the CO</w:t>
      </w:r>
      <w:r w:rsidR="00562547">
        <w:t>V</w:t>
      </w:r>
      <w:r w:rsidR="00C362DA">
        <w:t>ID-19 crisis unfolds.</w:t>
      </w:r>
      <w:r w:rsidRPr="00252AC4">
        <w:t xml:space="preserve"> </w:t>
      </w:r>
      <w:r w:rsidR="00FB211D" w:rsidRPr="00252AC4">
        <w:t xml:space="preserve">Their monitoring and evaluation tools, however, are not </w:t>
      </w:r>
      <w:r w:rsidR="00B003FC">
        <w:t>always well</w:t>
      </w:r>
      <w:r w:rsidR="00B003FC" w:rsidRPr="00252AC4">
        <w:t xml:space="preserve"> </w:t>
      </w:r>
      <w:r w:rsidR="00FB211D" w:rsidRPr="00252AC4">
        <w:t xml:space="preserve">aligned with </w:t>
      </w:r>
      <w:r w:rsidR="00C362DA">
        <w:t>strategic</w:t>
      </w:r>
      <w:r w:rsidR="00C362DA" w:rsidRPr="00252AC4">
        <w:t xml:space="preserve"> </w:t>
      </w:r>
      <w:r w:rsidR="00FB211D" w:rsidRPr="00252AC4">
        <w:t>objectives.</w:t>
      </w:r>
    </w:p>
    <w:p w14:paraId="19DAABFE" w14:textId="78AEE1D8" w:rsidR="00F72A2F" w:rsidRPr="00252AC4" w:rsidRDefault="00AD4AA4" w:rsidP="00214441">
      <w:pPr>
        <w:pStyle w:val="BulletedList"/>
      </w:pPr>
      <w:r w:rsidRPr="00CF4E7C">
        <w:rPr>
          <w:b/>
        </w:rPr>
        <w:t>Eurasia</w:t>
      </w:r>
      <w:r w:rsidR="00F72A2F" w:rsidRPr="00CF4E7C">
        <w:rPr>
          <w:b/>
        </w:rPr>
        <w:t xml:space="preserve"> IPAs operate with limited resources</w:t>
      </w:r>
      <w:r w:rsidRPr="00252AC4">
        <w:t>, particularly when</w:t>
      </w:r>
      <w:r w:rsidR="00F72A2F" w:rsidRPr="00252AC4">
        <w:t xml:space="preserve"> compared to OECD </w:t>
      </w:r>
      <w:r w:rsidR="004869FB" w:rsidRPr="00252AC4">
        <w:t>agencies</w:t>
      </w:r>
      <w:r w:rsidR="00F72A2F" w:rsidRPr="00252AC4">
        <w:t xml:space="preserve">. </w:t>
      </w:r>
      <w:r w:rsidRPr="00252AC4">
        <w:t>T</w:t>
      </w:r>
      <w:r w:rsidR="00F72A2F" w:rsidRPr="00252AC4">
        <w:t>his is not surprising</w:t>
      </w:r>
      <w:r w:rsidRPr="00252AC4">
        <w:t xml:space="preserve"> – </w:t>
      </w:r>
      <w:r w:rsidR="00F72A2F" w:rsidRPr="00252AC4">
        <w:t xml:space="preserve">IPA budgets </w:t>
      </w:r>
      <w:r w:rsidRPr="00252AC4">
        <w:t xml:space="preserve">tend to be </w:t>
      </w:r>
      <w:r w:rsidR="00F72A2F" w:rsidRPr="00252AC4">
        <w:t>correlated</w:t>
      </w:r>
      <w:r w:rsidRPr="00252AC4">
        <w:t xml:space="preserve"> with</w:t>
      </w:r>
      <w:r w:rsidR="00F72A2F" w:rsidRPr="00252AC4">
        <w:t xml:space="preserve"> GDP </w:t>
      </w:r>
      <w:r w:rsidR="00F72A2F" w:rsidRPr="00CF4E7C">
        <w:rPr>
          <w:i/>
        </w:rPr>
        <w:t>per capita</w:t>
      </w:r>
      <w:r w:rsidRPr="00252AC4">
        <w:t xml:space="preserve"> – but</w:t>
      </w:r>
      <w:r w:rsidR="00F72A2F" w:rsidRPr="00252AC4">
        <w:t xml:space="preserve"> it </w:t>
      </w:r>
      <w:r w:rsidRPr="00252AC4">
        <w:t>means that Eurasia IPAs need greater</w:t>
      </w:r>
      <w:r w:rsidR="00F72A2F" w:rsidRPr="00252AC4">
        <w:t xml:space="preserve"> strategic focus than IPAs with </w:t>
      </w:r>
      <w:r w:rsidRPr="00252AC4">
        <w:t>greater resources</w:t>
      </w:r>
      <w:r w:rsidR="00F72A2F" w:rsidRPr="00252AC4">
        <w:t>.</w:t>
      </w:r>
    </w:p>
    <w:p w14:paraId="7504F3AE" w14:textId="2A1BA2ED" w:rsidR="00F72A2F" w:rsidRPr="00252AC4" w:rsidRDefault="00CF4E7C" w:rsidP="00214441">
      <w:pPr>
        <w:pStyle w:val="BulletedList"/>
      </w:pPr>
      <w:r w:rsidRPr="00CF4E7C">
        <w:rPr>
          <w:b/>
        </w:rPr>
        <w:t>The</w:t>
      </w:r>
      <w:r w:rsidR="00F72A2F" w:rsidRPr="00CF4E7C">
        <w:rPr>
          <w:b/>
        </w:rPr>
        <w:t xml:space="preserve"> grea</w:t>
      </w:r>
      <w:r w:rsidRPr="00CF4E7C">
        <w:rPr>
          <w:b/>
        </w:rPr>
        <w:t>t majority of Eurasia IPA staff</w:t>
      </w:r>
      <w:r w:rsidR="00F72A2F" w:rsidRPr="00CF4E7C">
        <w:rPr>
          <w:b/>
        </w:rPr>
        <w:t xml:space="preserve"> have short tenures in their </w:t>
      </w:r>
      <w:r>
        <w:rPr>
          <w:b/>
        </w:rPr>
        <w:t>agencies</w:t>
      </w:r>
      <w:r w:rsidR="00F72A2F" w:rsidRPr="00252AC4">
        <w:t xml:space="preserve">, and in </w:t>
      </w:r>
      <w:r>
        <w:t>some countries, the staff lack</w:t>
      </w:r>
      <w:r w:rsidR="00F72A2F" w:rsidRPr="00252AC4">
        <w:t xml:space="preserve"> private</w:t>
      </w:r>
      <w:r w:rsidR="002B418A" w:rsidRPr="00252AC4">
        <w:t>-</w:t>
      </w:r>
      <w:r w:rsidR="00F72A2F" w:rsidRPr="00252AC4">
        <w:t>secto</w:t>
      </w:r>
      <w:r w:rsidR="00552B64" w:rsidRPr="00252AC4">
        <w:t xml:space="preserve">r profiles. </w:t>
      </w:r>
      <w:r w:rsidR="002B418A" w:rsidRPr="00252AC4">
        <w:t>Private-sector experience can be critical</w:t>
      </w:r>
      <w:r w:rsidR="00F72A2F" w:rsidRPr="00252AC4">
        <w:t xml:space="preserve"> in functions such as marketing and sector-specific advisory services </w:t>
      </w:r>
      <w:r w:rsidR="002B418A" w:rsidRPr="00252AC4">
        <w:t xml:space="preserve">and </w:t>
      </w:r>
      <w:r w:rsidR="00F72A2F" w:rsidRPr="00252AC4">
        <w:t>can</w:t>
      </w:r>
      <w:r w:rsidR="002B418A" w:rsidRPr="00252AC4">
        <w:t xml:space="preserve"> thus</w:t>
      </w:r>
      <w:r w:rsidR="00F72A2F" w:rsidRPr="00252AC4">
        <w:t xml:space="preserve"> be a great asset for IPAs.</w:t>
      </w:r>
    </w:p>
    <w:p w14:paraId="5A055431" w14:textId="092DA31A" w:rsidR="00F72A2F" w:rsidRPr="00252AC4" w:rsidRDefault="00F72A2F" w:rsidP="00214441">
      <w:pPr>
        <w:pStyle w:val="BulletedList"/>
      </w:pPr>
      <w:r w:rsidRPr="00CF4E7C">
        <w:rPr>
          <w:b/>
        </w:rPr>
        <w:t xml:space="preserve">Half of Eurasia IPAs have </w:t>
      </w:r>
      <w:r w:rsidR="002B418A" w:rsidRPr="00CF4E7C">
        <w:rPr>
          <w:b/>
        </w:rPr>
        <w:t xml:space="preserve">a </w:t>
      </w:r>
      <w:r w:rsidRPr="00CF4E7C">
        <w:rPr>
          <w:b/>
        </w:rPr>
        <w:t>“balanced” profile</w:t>
      </w:r>
      <w:r w:rsidRPr="00252AC4">
        <w:t xml:space="preserve">, meaning that their resource allocation across the four core functions of investment promotion is close to the average. Balanced IPAs typically try to cover all aspects of investment promotion, but </w:t>
      </w:r>
      <w:r w:rsidR="00CF4E7C">
        <w:t xml:space="preserve">do so </w:t>
      </w:r>
      <w:r w:rsidRPr="00252AC4">
        <w:t>with</w:t>
      </w:r>
      <w:r w:rsidR="00E85DF8">
        <w:t xml:space="preserve"> more</w:t>
      </w:r>
      <w:r w:rsidRPr="00252AC4">
        <w:t xml:space="preserve"> limited resources than</w:t>
      </w:r>
      <w:r w:rsidR="00252AC4">
        <w:t xml:space="preserve"> do</w:t>
      </w:r>
      <w:r w:rsidRPr="00252AC4">
        <w:t xml:space="preserve"> their peers</w:t>
      </w:r>
      <w:r w:rsidR="00E85DF8">
        <w:t xml:space="preserve"> with strong facilitation and policy advocacy functions</w:t>
      </w:r>
      <w:r w:rsidRPr="00252AC4">
        <w:t>.</w:t>
      </w:r>
    </w:p>
    <w:p w14:paraId="197BD0EB" w14:textId="3C30999A" w:rsidR="00F72A2F" w:rsidRPr="00252AC4" w:rsidRDefault="00F72A2F" w:rsidP="00214441">
      <w:pPr>
        <w:pStyle w:val="BulletedList"/>
      </w:pPr>
      <w:r w:rsidRPr="00CF4E7C">
        <w:rPr>
          <w:b/>
        </w:rPr>
        <w:t xml:space="preserve">Eurasia IPAs tend to spend more resources </w:t>
      </w:r>
      <w:r w:rsidR="002B418A" w:rsidRPr="00CF4E7C">
        <w:rPr>
          <w:b/>
        </w:rPr>
        <w:t>on</w:t>
      </w:r>
      <w:r w:rsidRPr="00CF4E7C">
        <w:rPr>
          <w:b/>
        </w:rPr>
        <w:t xml:space="preserve"> image</w:t>
      </w:r>
      <w:r w:rsidR="002B418A" w:rsidRPr="00CF4E7C">
        <w:rPr>
          <w:b/>
        </w:rPr>
        <w:t>-</w:t>
      </w:r>
      <w:r w:rsidRPr="00CF4E7C">
        <w:rPr>
          <w:b/>
        </w:rPr>
        <w:t>building</w:t>
      </w:r>
      <w:r w:rsidRPr="00252AC4">
        <w:t xml:space="preserve"> than their </w:t>
      </w:r>
      <w:r w:rsidR="002B418A" w:rsidRPr="00252AC4">
        <w:t xml:space="preserve">OECD </w:t>
      </w:r>
      <w:r w:rsidRPr="00252AC4">
        <w:t>peers. This trend reflects a shared perception that countries have not yet built an image of</w:t>
      </w:r>
      <w:r w:rsidR="002B418A" w:rsidRPr="00252AC4">
        <w:t xml:space="preserve"> themselves as </w:t>
      </w:r>
      <w:r w:rsidRPr="00252AC4">
        <w:t xml:space="preserve">“places to do business” and </w:t>
      </w:r>
      <w:r w:rsidR="002B418A" w:rsidRPr="00252AC4">
        <w:t>must thus work harder</w:t>
      </w:r>
      <w:r w:rsidRPr="00252AC4">
        <w:t xml:space="preserve"> to put themselves “on the</w:t>
      </w:r>
      <w:r w:rsidR="004869FB" w:rsidRPr="00252AC4">
        <w:t xml:space="preserve"> </w:t>
      </w:r>
      <w:r w:rsidRPr="00252AC4">
        <w:t>map”.</w:t>
      </w:r>
      <w:r w:rsidR="00C362DA">
        <w:t xml:space="preserve"> The COVID-19 crisis is likely to affect activity mixes, however, as investor retention becomes critical in a context of declining FDI </w:t>
      </w:r>
      <w:r w:rsidR="00B003FC">
        <w:t>flows</w:t>
      </w:r>
      <w:r w:rsidR="00C362DA">
        <w:t>.</w:t>
      </w:r>
    </w:p>
    <w:p w14:paraId="192CE166" w14:textId="1E596BA7" w:rsidR="000C3DBA" w:rsidRPr="000C3DBA" w:rsidRDefault="00F72A2F" w:rsidP="000C3DBA">
      <w:pPr>
        <w:pStyle w:val="BulletedList"/>
      </w:pPr>
      <w:r w:rsidRPr="00CF4E7C">
        <w:rPr>
          <w:b/>
        </w:rPr>
        <w:t>Messages regarding investment facilitation and policy advocacy are mixed</w:t>
      </w:r>
      <w:r w:rsidRPr="00252AC4">
        <w:t>. While IPAs recognise</w:t>
      </w:r>
      <w:r w:rsidR="000C3DBA">
        <w:t xml:space="preserve"> the importance of these functions, they</w:t>
      </w:r>
      <w:r w:rsidR="000C3DBA" w:rsidRPr="000C3DBA">
        <w:t xml:space="preserve"> deliver significantly less assistance on administrative and business issues and engage in less structured dialogue with governments than OECD IPAs</w:t>
      </w:r>
      <w:r w:rsidR="000C3DBA">
        <w:t>.</w:t>
      </w:r>
    </w:p>
    <w:p w14:paraId="1EE929E0" w14:textId="42800642" w:rsidR="00CF4E7C" w:rsidRDefault="000C3DBA" w:rsidP="00214441">
      <w:pPr>
        <w:pStyle w:val="BulletedList"/>
      </w:pPr>
      <w:r w:rsidRPr="00A0417B">
        <w:rPr>
          <w:b/>
        </w:rPr>
        <w:lastRenderedPageBreak/>
        <w:t xml:space="preserve">Their policy </w:t>
      </w:r>
      <w:r>
        <w:rPr>
          <w:b/>
        </w:rPr>
        <w:t>ad</w:t>
      </w:r>
      <w:r w:rsidR="00DC02D7">
        <w:rPr>
          <w:b/>
        </w:rPr>
        <w:t>vocacy functions</w:t>
      </w:r>
      <w:r w:rsidRPr="00A0417B">
        <w:rPr>
          <w:b/>
        </w:rPr>
        <w:t xml:space="preserve">, in particular, seem weak </w:t>
      </w:r>
      <w:r w:rsidR="00DC02D7">
        <w:rPr>
          <w:b/>
        </w:rPr>
        <w:t xml:space="preserve">when </w:t>
      </w:r>
      <w:r w:rsidRPr="00A0417B">
        <w:rPr>
          <w:b/>
        </w:rPr>
        <w:t>compared to OECD IPAs,</w:t>
      </w:r>
      <w:r>
        <w:t xml:space="preserve"> as they </w:t>
      </w:r>
      <w:r w:rsidR="00DC02D7">
        <w:t>entail</w:t>
      </w:r>
      <w:r>
        <w:t xml:space="preserve"> fewer and less formal activities.</w:t>
      </w:r>
      <w:r w:rsidR="00F72A2F" w:rsidRPr="00252AC4">
        <w:t xml:space="preserve"> </w:t>
      </w:r>
      <w:r>
        <w:t>Although they recognise that</w:t>
      </w:r>
      <w:r w:rsidRPr="00252AC4">
        <w:t xml:space="preserve"> </w:t>
      </w:r>
      <w:r w:rsidR="00F72A2F" w:rsidRPr="00252AC4">
        <w:t xml:space="preserve">domestic investment climates are both important and often a challenge, </w:t>
      </w:r>
      <w:r w:rsidR="00DC02D7">
        <w:t>Eurasia IPAs’</w:t>
      </w:r>
      <w:r w:rsidR="00DC02D7" w:rsidRPr="00252AC4">
        <w:t xml:space="preserve"> </w:t>
      </w:r>
      <w:r w:rsidR="00F72A2F" w:rsidRPr="00252AC4">
        <w:t xml:space="preserve">role </w:t>
      </w:r>
      <w:r w:rsidR="00AD4AA4" w:rsidRPr="00252AC4">
        <w:t xml:space="preserve">in helping </w:t>
      </w:r>
      <w:r w:rsidR="00F72A2F" w:rsidRPr="00252AC4">
        <w:t xml:space="preserve">to address </w:t>
      </w:r>
      <w:r w:rsidR="002B418A" w:rsidRPr="00252AC4">
        <w:t>such</w:t>
      </w:r>
      <w:r w:rsidR="00F72A2F" w:rsidRPr="00252AC4">
        <w:t xml:space="preserve"> challenges is not clear. </w:t>
      </w:r>
    </w:p>
    <w:p w14:paraId="3E0A772D" w14:textId="678C413B" w:rsidR="00F72A2F" w:rsidRPr="00252AC4" w:rsidRDefault="00AD4AA4" w:rsidP="00214441">
      <w:pPr>
        <w:pStyle w:val="BulletedList"/>
      </w:pPr>
      <w:r w:rsidRPr="00CF4E7C">
        <w:rPr>
          <w:b/>
        </w:rPr>
        <w:t>Sixty percent</w:t>
      </w:r>
      <w:r w:rsidR="00F72A2F" w:rsidRPr="00CF4E7C">
        <w:rPr>
          <w:b/>
        </w:rPr>
        <w:t xml:space="preserve"> of </w:t>
      </w:r>
      <w:r w:rsidR="00CF4E7C" w:rsidRPr="00CF4E7C">
        <w:rPr>
          <w:b/>
        </w:rPr>
        <w:t>Eurasia IPAs</w:t>
      </w:r>
      <w:r w:rsidR="00F72A2F" w:rsidRPr="00CF4E7C">
        <w:rPr>
          <w:b/>
        </w:rPr>
        <w:t xml:space="preserve"> have mandates to operate as one-stop-shops, </w:t>
      </w:r>
      <w:r w:rsidR="002B418A" w:rsidRPr="00CF4E7C">
        <w:rPr>
          <w:b/>
        </w:rPr>
        <w:t xml:space="preserve">but </w:t>
      </w:r>
      <w:r w:rsidR="00F72A2F" w:rsidRPr="00CF4E7C">
        <w:rPr>
          <w:b/>
        </w:rPr>
        <w:t xml:space="preserve">they tend to spend fewer resources </w:t>
      </w:r>
      <w:r w:rsidR="002B418A" w:rsidRPr="00CF4E7C">
        <w:rPr>
          <w:b/>
        </w:rPr>
        <w:t>on</w:t>
      </w:r>
      <w:r w:rsidR="00F72A2F" w:rsidRPr="00CF4E7C">
        <w:rPr>
          <w:b/>
        </w:rPr>
        <w:t xml:space="preserve"> facilitation and aftercare</w:t>
      </w:r>
      <w:r w:rsidR="00F72A2F" w:rsidRPr="00252AC4">
        <w:t xml:space="preserve"> activities than their peers. </w:t>
      </w:r>
      <w:r w:rsidR="002B418A" w:rsidRPr="00252AC4">
        <w:t>A</w:t>
      </w:r>
      <w:r w:rsidR="00F72A2F" w:rsidRPr="00252AC4">
        <w:t>lthough they spend more in policy advocacy than OECD IPAs, their roles seem rather informal and less structured.</w:t>
      </w:r>
    </w:p>
    <w:p w14:paraId="122DF19D" w14:textId="5A9D7B8B" w:rsidR="00F72A2F" w:rsidRPr="00252AC4" w:rsidRDefault="00F72A2F" w:rsidP="00F72A2F">
      <w:pPr>
        <w:pStyle w:val="BulletedList"/>
      </w:pPr>
      <w:r w:rsidRPr="00CF4E7C">
        <w:rPr>
          <w:b/>
        </w:rPr>
        <w:t>Overall, Eurasia IPAs engage in monitoring and evaluation activities as much as their peers in other regions</w:t>
      </w:r>
      <w:r w:rsidRPr="00252AC4">
        <w:t xml:space="preserve">. They however tend to </w:t>
      </w:r>
      <w:r w:rsidR="002B418A" w:rsidRPr="00252AC4">
        <w:t xml:space="preserve">focus </w:t>
      </w:r>
      <w:r w:rsidRPr="00252AC4">
        <w:t>more</w:t>
      </w:r>
      <w:r w:rsidR="002B418A" w:rsidRPr="00252AC4">
        <w:t xml:space="preserve"> on</w:t>
      </w:r>
      <w:r w:rsidRPr="00252AC4">
        <w:t xml:space="preserve"> output </w:t>
      </w:r>
      <w:r w:rsidR="002B418A" w:rsidRPr="00252AC4">
        <w:t xml:space="preserve">as opposed to </w:t>
      </w:r>
      <w:r w:rsidRPr="00252AC4">
        <w:t>outcome indicators, and few are equipped with data-tracking tools such as C</w:t>
      </w:r>
      <w:r w:rsidR="002B418A" w:rsidRPr="00252AC4">
        <w:t xml:space="preserve">ustomer </w:t>
      </w:r>
      <w:r w:rsidRPr="00252AC4">
        <w:t>R</w:t>
      </w:r>
      <w:r w:rsidR="002B418A" w:rsidRPr="00252AC4">
        <w:t>elations</w:t>
      </w:r>
      <w:r w:rsidR="00AD3AB3" w:rsidRPr="00252AC4">
        <w:t>hip</w:t>
      </w:r>
      <w:r w:rsidR="002B418A" w:rsidRPr="00252AC4">
        <w:t xml:space="preserve"> </w:t>
      </w:r>
      <w:r w:rsidRPr="00252AC4">
        <w:t>M</w:t>
      </w:r>
      <w:r w:rsidR="002B418A" w:rsidRPr="00252AC4">
        <w:t>anagement (CRM)</w:t>
      </w:r>
      <w:r w:rsidRPr="00252AC4">
        <w:t>.</w:t>
      </w:r>
    </w:p>
    <w:p w14:paraId="079ACFE8" w14:textId="5E009552" w:rsidR="00F72A2F" w:rsidRPr="00252AC4" w:rsidRDefault="002B418A" w:rsidP="00214441">
      <w:pPr>
        <w:pStyle w:val="Heading2IndicatorSublevel"/>
        <w:numPr>
          <w:ilvl w:val="0"/>
          <w:numId w:val="0"/>
        </w:numPr>
        <w:ind w:left="680"/>
      </w:pPr>
      <w:r w:rsidRPr="00252AC4">
        <w:t>A</w:t>
      </w:r>
      <w:r w:rsidR="00F72A2F" w:rsidRPr="00252AC4">
        <w:t>venues to support the development of investment attraction in Eurasia</w:t>
      </w:r>
    </w:p>
    <w:p w14:paraId="5926AFC7" w14:textId="39A43352" w:rsidR="00F72A2F" w:rsidRPr="00252AC4" w:rsidRDefault="00F72A2F" w:rsidP="00214441">
      <w:pPr>
        <w:pStyle w:val="BulletedList"/>
      </w:pPr>
      <w:r w:rsidRPr="00252AC4">
        <w:t xml:space="preserve">Gradually granting Eurasia IPAs </w:t>
      </w:r>
      <w:r w:rsidRPr="00CF4E7C">
        <w:rPr>
          <w:b/>
        </w:rPr>
        <w:t>more institutional independence</w:t>
      </w:r>
      <w:r w:rsidRPr="00252AC4">
        <w:t xml:space="preserve"> could enable them to establish themselves as go-to partners for investors and as policy influencers. </w:t>
      </w:r>
      <w:r w:rsidR="002B418A" w:rsidRPr="00252AC4">
        <w:t xml:space="preserve">This suggests </w:t>
      </w:r>
      <w:r w:rsidR="002B418A" w:rsidRPr="00CF4E7C">
        <w:rPr>
          <w:b/>
        </w:rPr>
        <w:t>a need for autonomous budgets, shorter reporting lines and greater decision-making powers</w:t>
      </w:r>
      <w:r w:rsidR="002B418A" w:rsidRPr="00252AC4">
        <w:t xml:space="preserve">. </w:t>
      </w:r>
      <w:r w:rsidRPr="00252AC4">
        <w:t>Shorter reporting lines c</w:t>
      </w:r>
      <w:r w:rsidR="002B418A" w:rsidRPr="00252AC4">
        <w:t>ould</w:t>
      </w:r>
      <w:r w:rsidRPr="00252AC4">
        <w:t xml:space="preserve"> also contribute to greater whole-of-government coordination in dealing with critical issues such as large, complex projects and policy barriers to investment.</w:t>
      </w:r>
    </w:p>
    <w:p w14:paraId="1C0F4EE3" w14:textId="2EDB54C5" w:rsidR="002B418A" w:rsidRPr="00252AC4" w:rsidRDefault="00F72A2F" w:rsidP="00214441">
      <w:pPr>
        <w:pStyle w:val="BulletedList"/>
      </w:pPr>
      <w:r w:rsidRPr="00252AC4">
        <w:t xml:space="preserve">In parallel, the contribution of Eurasia IPAs to the investment policy process could be enhanced. IPAs’ </w:t>
      </w:r>
      <w:r w:rsidRPr="00CF4E7C">
        <w:rPr>
          <w:b/>
        </w:rPr>
        <w:t xml:space="preserve">links with the private sector could be strengthened through </w:t>
      </w:r>
      <w:r w:rsidR="002B418A" w:rsidRPr="00CF4E7C">
        <w:rPr>
          <w:b/>
        </w:rPr>
        <w:t xml:space="preserve">both </w:t>
      </w:r>
      <w:r w:rsidR="00CF4E7C" w:rsidRPr="00CF4E7C">
        <w:rPr>
          <w:b/>
        </w:rPr>
        <w:t xml:space="preserve">private-sector </w:t>
      </w:r>
      <w:r w:rsidRPr="00CF4E7C">
        <w:rPr>
          <w:b/>
        </w:rPr>
        <w:t xml:space="preserve">representation in </w:t>
      </w:r>
      <w:r w:rsidR="002B418A" w:rsidRPr="00CF4E7C">
        <w:rPr>
          <w:b/>
        </w:rPr>
        <w:t xml:space="preserve">IPA </w:t>
      </w:r>
      <w:r w:rsidRPr="00CF4E7C">
        <w:rPr>
          <w:b/>
        </w:rPr>
        <w:t xml:space="preserve">governance and </w:t>
      </w:r>
      <w:r w:rsidR="002B418A" w:rsidRPr="00CF4E7C">
        <w:rPr>
          <w:b/>
        </w:rPr>
        <w:t>greater recruitment of staff with relevant private-sector experience</w:t>
      </w:r>
      <w:r w:rsidRPr="00252AC4">
        <w:t>. Further formalisation of the policy advocacy function of IPA</w:t>
      </w:r>
      <w:r w:rsidR="002B418A" w:rsidRPr="00252AC4">
        <w:t>s</w:t>
      </w:r>
      <w:r w:rsidRPr="00252AC4">
        <w:t xml:space="preserve"> would also help </w:t>
      </w:r>
      <w:r w:rsidR="002B418A" w:rsidRPr="00252AC4">
        <w:t>en</w:t>
      </w:r>
      <w:r w:rsidRPr="00252AC4">
        <w:t xml:space="preserve">sure that IPA experience </w:t>
      </w:r>
      <w:r w:rsidR="002B418A" w:rsidRPr="00252AC4">
        <w:t>wa</w:t>
      </w:r>
      <w:r w:rsidRPr="00252AC4">
        <w:t>s used</w:t>
      </w:r>
      <w:r w:rsidR="00132799" w:rsidRPr="00252AC4">
        <w:t xml:space="preserve"> </w:t>
      </w:r>
      <w:r w:rsidR="00CA3831" w:rsidRPr="00252AC4">
        <w:t xml:space="preserve">to facilitate investment and prevent disputes, but also </w:t>
      </w:r>
      <w:r w:rsidRPr="00252AC4">
        <w:t xml:space="preserve">to build institutional knowledge and capacity. </w:t>
      </w:r>
      <w:r w:rsidR="00DC02D7">
        <w:t xml:space="preserve">Ultimately, it could </w:t>
      </w:r>
      <w:r w:rsidR="00CC214C">
        <w:t>support</w:t>
      </w:r>
      <w:r w:rsidR="00DC02D7">
        <w:t xml:space="preserve"> </w:t>
      </w:r>
      <w:r w:rsidR="00CC214C">
        <w:t>the effective</w:t>
      </w:r>
      <w:r w:rsidR="00DC02D7">
        <w:t xml:space="preserve"> implement</w:t>
      </w:r>
      <w:r w:rsidR="00CC214C">
        <w:t>ation</w:t>
      </w:r>
      <w:r w:rsidR="00DC02D7">
        <w:t xml:space="preserve"> </w:t>
      </w:r>
      <w:r w:rsidR="00CC214C">
        <w:t xml:space="preserve">of </w:t>
      </w:r>
      <w:r w:rsidR="00DC02D7">
        <w:t>broader reforms to enhance business climates across the region.</w:t>
      </w:r>
    </w:p>
    <w:p w14:paraId="3C323D7C" w14:textId="0E421860" w:rsidR="00F72A2F" w:rsidRPr="00252AC4" w:rsidRDefault="00F72A2F" w:rsidP="00214441">
      <w:pPr>
        <w:pStyle w:val="BulletedList"/>
      </w:pPr>
      <w:r w:rsidRPr="00CF4E7C">
        <w:rPr>
          <w:b/>
        </w:rPr>
        <w:t>Strengthening aftercare</w:t>
      </w:r>
      <w:r w:rsidRPr="00252AC4">
        <w:t xml:space="preserve"> could also be beneficial</w:t>
      </w:r>
      <w:r w:rsidR="002B418A" w:rsidRPr="00252AC4">
        <w:t>. In addition to</w:t>
      </w:r>
      <w:r w:rsidRPr="00252AC4">
        <w:t xml:space="preserve"> triggering re-investment, it would contribute to greater understanding of policy issues via an ongoing dialogue with existing investors.</w:t>
      </w:r>
      <w:r w:rsidR="001B6ECC">
        <w:t xml:space="preserve"> This dialogue </w:t>
      </w:r>
      <w:r w:rsidR="004433C6">
        <w:t>may prove</w:t>
      </w:r>
      <w:r w:rsidR="001B6ECC">
        <w:t xml:space="preserve"> particularly </w:t>
      </w:r>
      <w:r w:rsidR="00C362DA">
        <w:t xml:space="preserve">important in the </w:t>
      </w:r>
      <w:r w:rsidR="004433C6">
        <w:t>wake</w:t>
      </w:r>
      <w:r w:rsidR="00C362DA">
        <w:t xml:space="preserve"> of the COVID-19 </w:t>
      </w:r>
      <w:r w:rsidR="001B6ECC">
        <w:t>crisis, as MNEs reconsider their investment strategies.</w:t>
      </w:r>
    </w:p>
    <w:p w14:paraId="6E6D8FDE" w14:textId="09EC612E" w:rsidR="00F72A2F" w:rsidRPr="00252AC4" w:rsidRDefault="00F72A2F" w:rsidP="00214441">
      <w:pPr>
        <w:pStyle w:val="BulletedList"/>
      </w:pPr>
      <w:r w:rsidRPr="00252AC4">
        <w:t xml:space="preserve">Further </w:t>
      </w:r>
      <w:r w:rsidRPr="00CF4E7C">
        <w:rPr>
          <w:b/>
        </w:rPr>
        <w:t xml:space="preserve">strategic and business planning </w:t>
      </w:r>
      <w:r w:rsidRPr="00252AC4">
        <w:t xml:space="preserve">would help align governments and IPAs on clear strategic targets and ensure that </w:t>
      </w:r>
      <w:r w:rsidR="002B418A" w:rsidRPr="00252AC4">
        <w:t xml:space="preserve">limited </w:t>
      </w:r>
      <w:r w:rsidRPr="00252AC4">
        <w:t>resource</w:t>
      </w:r>
      <w:r w:rsidR="002B418A" w:rsidRPr="00252AC4">
        <w:t>s</w:t>
      </w:r>
      <w:r w:rsidRPr="00252AC4">
        <w:t xml:space="preserve"> </w:t>
      </w:r>
      <w:r w:rsidR="002B418A" w:rsidRPr="00252AC4">
        <w:t xml:space="preserve">were </w:t>
      </w:r>
      <w:r w:rsidRPr="00252AC4">
        <w:t>aligned with key objectives.</w:t>
      </w:r>
      <w:r w:rsidR="00562547">
        <w:t xml:space="preserve"> The effects of the COVID-19 crisis on international investment and </w:t>
      </w:r>
      <w:r w:rsidR="00C7647E">
        <w:t>the consequent</w:t>
      </w:r>
      <w:r w:rsidR="00562547">
        <w:t xml:space="preserve"> </w:t>
      </w:r>
      <w:r w:rsidR="00C7647E">
        <w:t>need</w:t>
      </w:r>
      <w:r w:rsidR="00562547">
        <w:t xml:space="preserve"> to rethink national investment strategies can provide a window of opportunity for governments to strengthen their approaches.</w:t>
      </w:r>
      <w:r w:rsidR="00555E4C">
        <w:t xml:space="preserve"> Aligning objectives and resources will be all the especially critical in a post-COVID context of increasing competition for investment.</w:t>
      </w:r>
    </w:p>
    <w:p w14:paraId="6D58F10C" w14:textId="32DA40A5" w:rsidR="00562547" w:rsidRDefault="00562547" w:rsidP="00214441">
      <w:pPr>
        <w:pStyle w:val="BulletedList"/>
      </w:pPr>
      <w:r>
        <w:t xml:space="preserve">Eurasia IPAs would benefit from </w:t>
      </w:r>
      <w:r w:rsidRPr="00A0417B">
        <w:rPr>
          <w:b/>
        </w:rPr>
        <w:t>enhancing their digital communications tools, including their websites</w:t>
      </w:r>
      <w:r>
        <w:t xml:space="preserve">. More generally, they should seek to develop their digital capabilities as the COVID-19 crisis is driving the acceleration of </w:t>
      </w:r>
      <w:r w:rsidR="000373E1">
        <w:t xml:space="preserve">the </w:t>
      </w:r>
      <w:r>
        <w:t xml:space="preserve">digitalisation </w:t>
      </w:r>
      <w:r w:rsidR="000373E1">
        <w:t>of the economy</w:t>
      </w:r>
      <w:r>
        <w:t>.</w:t>
      </w:r>
    </w:p>
    <w:p w14:paraId="1CF222E1" w14:textId="4D7DC770" w:rsidR="00F72A2F" w:rsidRPr="00252AC4" w:rsidRDefault="00F72A2F" w:rsidP="00214441">
      <w:pPr>
        <w:pStyle w:val="BulletedList"/>
      </w:pPr>
      <w:r w:rsidRPr="00252AC4">
        <w:lastRenderedPageBreak/>
        <w:t xml:space="preserve">Eurasia governments and IPAs could consider leading some </w:t>
      </w:r>
      <w:r w:rsidRPr="00CF4E7C">
        <w:rPr>
          <w:b/>
        </w:rPr>
        <w:t xml:space="preserve">joint promotion initiatives as a means to enhance the visibility of the region as </w:t>
      </w:r>
      <w:r w:rsidR="00123106" w:rsidRPr="00CF4E7C">
        <w:rPr>
          <w:b/>
        </w:rPr>
        <w:t>a whole</w:t>
      </w:r>
      <w:r w:rsidRPr="00252AC4">
        <w:t xml:space="preserve">, when appropriate. This would </w:t>
      </w:r>
      <w:r w:rsidR="00123106" w:rsidRPr="00252AC4">
        <w:t>serve</w:t>
      </w:r>
      <w:r w:rsidRPr="00252AC4">
        <w:t xml:space="preserve"> the wider regional integration and connectivity agenda.</w:t>
      </w:r>
      <w:r w:rsidR="00735DF0">
        <w:t xml:space="preserve"> </w:t>
      </w:r>
      <w:r w:rsidR="00123106" w:rsidRPr="00252AC4">
        <w:t xml:space="preserve">The potential </w:t>
      </w:r>
      <w:r w:rsidR="00735DF0">
        <w:t xml:space="preserve">here </w:t>
      </w:r>
      <w:r w:rsidR="00123106" w:rsidRPr="00252AC4">
        <w:t>is particularly great in Central Asia: though individually small economies, they together constitute a substantial regional market.</w:t>
      </w:r>
      <w:r w:rsidRPr="00252AC4">
        <w:t xml:space="preserve"> </w:t>
      </w:r>
    </w:p>
    <w:p w14:paraId="2B9A4EEB" w14:textId="78CE9B33" w:rsidR="00395114" w:rsidRPr="00252AC4" w:rsidRDefault="00F72A2F" w:rsidP="00214441">
      <w:pPr>
        <w:pStyle w:val="BulletedList"/>
      </w:pPr>
      <w:r w:rsidRPr="00252AC4">
        <w:t xml:space="preserve">The monitoring and evaluation function of Eurasia IPAs would benefit from </w:t>
      </w:r>
      <w:r w:rsidRPr="00CF4E7C">
        <w:rPr>
          <w:b/>
        </w:rPr>
        <w:t>better data-tracking systems and tools</w:t>
      </w:r>
      <w:r w:rsidR="00123106" w:rsidRPr="00CF4E7C">
        <w:rPr>
          <w:b/>
        </w:rPr>
        <w:t>,</w:t>
      </w:r>
      <w:r w:rsidRPr="00CF4E7C">
        <w:rPr>
          <w:b/>
        </w:rPr>
        <w:t xml:space="preserve"> such as CRM software</w:t>
      </w:r>
      <w:r w:rsidRPr="00252AC4">
        <w:t>. Reporting authorities should also make sure to work with manageable sets of meaningful indicators, i.e. indicators that can help determine whether the IPA actions generates expected economic and social outcomes. Developing this approach would help extend the investment promotion efforts’ contribution to sustainable development and responsible business conduct</w:t>
      </w:r>
      <w:r w:rsidR="00AC3883">
        <w:t xml:space="preserve">, and </w:t>
      </w:r>
      <w:r w:rsidR="00EA16DE">
        <w:t>can help maximise</w:t>
      </w:r>
      <w:r w:rsidR="00E370AD">
        <w:t xml:space="preserve"> the contribution of foreign investment to economic recovery after a crisis</w:t>
      </w:r>
      <w:r w:rsidRPr="00252AC4">
        <w:t>.</w:t>
      </w:r>
    </w:p>
    <w:p w14:paraId="629DC3EC" w14:textId="6528AFA0" w:rsidR="00132799" w:rsidRPr="00252AC4" w:rsidRDefault="00132799" w:rsidP="009D34B5">
      <w:pPr>
        <w:pStyle w:val="BulletedList"/>
      </w:pPr>
      <w:r w:rsidRPr="00CF4E7C">
        <w:rPr>
          <w:b/>
        </w:rPr>
        <w:t>Stronger links with sub-national stakeholders</w:t>
      </w:r>
      <w:r w:rsidRPr="00252AC4">
        <w:t xml:space="preserve"> would help IPAs better realise their missions to attract investment in the regions. This requires more co-operation processes, tools and mechanisms, such as informal or formal agreements (i.e. “codes of conduct”) and shared CRM systems.</w:t>
      </w:r>
    </w:p>
    <w:p w14:paraId="0451E7D1" w14:textId="0100F201" w:rsidR="00BD768B" w:rsidRPr="00252AC4" w:rsidRDefault="00BD768B" w:rsidP="00721182">
      <w:pPr>
        <w:pStyle w:val="Heading1"/>
        <w:numPr>
          <w:ilvl w:val="0"/>
          <w:numId w:val="0"/>
        </w:numPr>
        <w:rPr>
          <w:rFonts w:hint="eastAsia"/>
        </w:rPr>
      </w:pPr>
      <w:bookmarkStart w:id="12" w:name="_Toc31617774"/>
      <w:bookmarkStart w:id="13" w:name="_Toc31641303"/>
      <w:bookmarkStart w:id="14" w:name="_Toc31650301"/>
      <w:bookmarkStart w:id="15" w:name="_Toc32317002"/>
      <w:bookmarkStart w:id="16" w:name="_Toc32324661"/>
      <w:bookmarkStart w:id="17" w:name="_Toc40103017"/>
      <w:r w:rsidRPr="00CF4E7C">
        <w:lastRenderedPageBreak/>
        <w:t>Introduction</w:t>
      </w:r>
      <w:bookmarkEnd w:id="12"/>
      <w:bookmarkEnd w:id="13"/>
      <w:bookmarkEnd w:id="14"/>
      <w:bookmarkEnd w:id="15"/>
      <w:bookmarkEnd w:id="16"/>
      <w:bookmarkEnd w:id="17"/>
    </w:p>
    <w:p w14:paraId="7572A1E8" w14:textId="143B8432" w:rsidR="0090596B" w:rsidRPr="00C7647E" w:rsidRDefault="000605FB" w:rsidP="00C7647E">
      <w:pPr>
        <w:pStyle w:val="Abstract"/>
      </w:pPr>
      <w:r w:rsidRPr="00AB6DD7">
        <w:t xml:space="preserve">Eurasia </w:t>
      </w:r>
      <w:r w:rsidR="00247AC2" w:rsidRPr="00AB6DD7">
        <w:t>governments</w:t>
      </w:r>
      <w:r w:rsidR="00525941" w:rsidRPr="00AB6DD7">
        <w:t>, like virtually all governments around the world,</w:t>
      </w:r>
      <w:r w:rsidRPr="00403D72">
        <w:t xml:space="preserve"> </w:t>
      </w:r>
      <w:r w:rsidR="00247AC2" w:rsidRPr="00403D72">
        <w:t>deploy ranges of policies, measures and tools</w:t>
      </w:r>
      <w:r w:rsidRPr="00C7647E">
        <w:t xml:space="preserve"> </w:t>
      </w:r>
      <w:r w:rsidR="00247AC2" w:rsidRPr="00C7647E">
        <w:t>to attract</w:t>
      </w:r>
      <w:r w:rsidR="0090596B" w:rsidRPr="00C7647E">
        <w:t xml:space="preserve"> foreign direct investment (FDI). </w:t>
      </w:r>
      <w:r w:rsidR="00FE0FA7" w:rsidRPr="00C7647E">
        <w:t>In recent years</w:t>
      </w:r>
      <w:r w:rsidR="00247AC2" w:rsidRPr="00C7647E">
        <w:t>, they have been establishing Investment Promotion Agencies (</w:t>
      </w:r>
      <w:r w:rsidR="0090596B" w:rsidRPr="00C7647E">
        <w:t>IPAs</w:t>
      </w:r>
      <w:r w:rsidR="00247AC2" w:rsidRPr="00A0417B">
        <w:t>)</w:t>
      </w:r>
      <w:r w:rsidR="0090596B" w:rsidRPr="00A0417B">
        <w:t xml:space="preserve"> to </w:t>
      </w:r>
      <w:r w:rsidR="00247AC2" w:rsidRPr="00A0417B">
        <w:t xml:space="preserve">promote their countries as investment destinations, </w:t>
      </w:r>
      <w:r w:rsidR="0090596B" w:rsidRPr="00A0417B">
        <w:t>attract invest</w:t>
      </w:r>
      <w:r w:rsidR="00FE0FA7" w:rsidRPr="00A0417B">
        <w:t>ment</w:t>
      </w:r>
      <w:r w:rsidR="0090596B" w:rsidRPr="00A0417B">
        <w:t xml:space="preserve">, and facilitate </w:t>
      </w:r>
      <w:r w:rsidR="00FE0FA7" w:rsidRPr="00A0417B">
        <w:t xml:space="preserve">foreign investors’ </w:t>
      </w:r>
      <w:r w:rsidR="0090596B" w:rsidRPr="00A0417B">
        <w:t xml:space="preserve">establishment and expansion in the </w:t>
      </w:r>
      <w:r w:rsidR="00247AC2" w:rsidRPr="00A0417B">
        <w:t xml:space="preserve">domestic </w:t>
      </w:r>
      <w:r w:rsidR="0090596B" w:rsidRPr="00A0417B">
        <w:t xml:space="preserve">economy. </w:t>
      </w:r>
      <w:r w:rsidR="00247AC2" w:rsidRPr="00A0417B">
        <w:t>Exploring the roles and activities of these IPAs, and comparing them with international practices</w:t>
      </w:r>
      <w:r w:rsidR="00E77325" w:rsidRPr="00A0417B">
        <w:t>, based on surveys carried out between 2017 and 2019,</w:t>
      </w:r>
      <w:r w:rsidR="00247AC2" w:rsidRPr="00A0417B">
        <w:t xml:space="preserve"> is the purpose of this report.</w:t>
      </w:r>
      <w:r w:rsidR="0090596B" w:rsidRPr="00A0417B">
        <w:t xml:space="preserve"> </w:t>
      </w:r>
      <w:r w:rsidR="00E77325" w:rsidRPr="00A0417B">
        <w:t>As the COVID-19 pandemic is provoking a worldwide econo</w:t>
      </w:r>
      <w:r w:rsidR="00AB6DD7" w:rsidRPr="00AB6DD7">
        <w:t>mic crisis with repercussions for</w:t>
      </w:r>
      <w:r w:rsidR="00E77325" w:rsidRPr="00AB6DD7">
        <w:t xml:space="preserve"> capital flows and global value chains, the work of IPAs is likely to be affected in a number of ways, although long-term impac</w:t>
      </w:r>
      <w:r w:rsidR="00E77325" w:rsidRPr="00C7647E">
        <w:t>ts are impossible to predict at this point.</w:t>
      </w:r>
      <w:r w:rsidR="00BE5A07" w:rsidRPr="00C7647E">
        <w:t xml:space="preserve"> This report highlights</w:t>
      </w:r>
      <w:r w:rsidR="00BE5A07" w:rsidRPr="00A0417B">
        <w:t xml:space="preserve"> some early trends. </w:t>
      </w:r>
      <w:r w:rsidR="00E77325" w:rsidRPr="00A0417B">
        <w:t xml:space="preserve">The underlying principles of investment promotion, </w:t>
      </w:r>
      <w:r w:rsidR="00AB6DD7">
        <w:t>though</w:t>
      </w:r>
      <w:r w:rsidR="00E77325" w:rsidRPr="00AB6DD7">
        <w:t xml:space="preserve">, should remain </w:t>
      </w:r>
      <w:r w:rsidR="00AB6DD7">
        <w:t>relevant</w:t>
      </w:r>
      <w:r w:rsidR="00E77325" w:rsidRPr="00AB6DD7">
        <w:t xml:space="preserve">. </w:t>
      </w:r>
      <w:r w:rsidR="00247AC2" w:rsidRPr="00C7647E">
        <w:t>T</w:t>
      </w:r>
      <w:r w:rsidR="0090596B" w:rsidRPr="00C7647E">
        <w:t xml:space="preserve">his introductory chapter </w:t>
      </w:r>
      <w:r w:rsidR="00247AC2" w:rsidRPr="00C7647E">
        <w:t xml:space="preserve">sets the scene by providing </w:t>
      </w:r>
      <w:r w:rsidR="0090596B" w:rsidRPr="00C7647E">
        <w:t xml:space="preserve">insights on </w:t>
      </w:r>
      <w:r w:rsidR="00247AC2" w:rsidRPr="00C7647E">
        <w:t xml:space="preserve">the </w:t>
      </w:r>
      <w:r w:rsidR="00E77325" w:rsidRPr="00C7647E">
        <w:t xml:space="preserve">historical </w:t>
      </w:r>
      <w:r w:rsidR="00247AC2" w:rsidRPr="00A0417B">
        <w:t>importance</w:t>
      </w:r>
      <w:r w:rsidR="0090596B" w:rsidRPr="00A0417B">
        <w:t xml:space="preserve"> of FDI</w:t>
      </w:r>
      <w:r w:rsidR="00247AC2" w:rsidRPr="00A0417B">
        <w:t xml:space="preserve"> for growth and development in Eurasia</w:t>
      </w:r>
      <w:r w:rsidR="0090596B" w:rsidRPr="00A0417B">
        <w:t xml:space="preserve">, and </w:t>
      </w:r>
      <w:r w:rsidR="00247AC2" w:rsidRPr="00A0417B">
        <w:t xml:space="preserve">on </w:t>
      </w:r>
      <w:r w:rsidR="0090596B" w:rsidRPr="00A0417B">
        <w:t xml:space="preserve">the </w:t>
      </w:r>
      <w:r w:rsidR="00247AC2" w:rsidRPr="00A0417B">
        <w:t>overarching framework of</w:t>
      </w:r>
      <w:r w:rsidR="0090596B" w:rsidRPr="00A0417B">
        <w:t xml:space="preserve"> investment promotion. It then presents the purpose and methodology of </w:t>
      </w:r>
      <w:r w:rsidR="00DE5018" w:rsidRPr="00A0417B">
        <w:t>the</w:t>
      </w:r>
      <w:r w:rsidR="0090596B" w:rsidRPr="00A0417B">
        <w:t xml:space="preserve"> </w:t>
      </w:r>
      <w:r w:rsidR="00DE5018" w:rsidRPr="00A0417B">
        <w:t>comparative analysis at the heart of this report</w:t>
      </w:r>
      <w:r w:rsidR="0090596B" w:rsidRPr="00A0417B">
        <w:t>.</w:t>
      </w:r>
    </w:p>
    <w:p w14:paraId="05951015" w14:textId="605F8F50" w:rsidR="0090596B" w:rsidRPr="00252AC4" w:rsidRDefault="007D75DD" w:rsidP="00A014CF">
      <w:pPr>
        <w:pStyle w:val="Para0"/>
      </w:pPr>
      <w:r>
        <w:t>From</w:t>
      </w:r>
      <w:r w:rsidR="00344985">
        <w:t xml:space="preserve"> the early 1990s </w:t>
      </w:r>
      <w:r>
        <w:t>until</w:t>
      </w:r>
      <w:r w:rsidR="00344985">
        <w:t xml:space="preserve"> 2018, f</w:t>
      </w:r>
      <w:r w:rsidR="00344985" w:rsidRPr="00252AC4">
        <w:t xml:space="preserve">oreign </w:t>
      </w:r>
      <w:r w:rsidR="0090596B" w:rsidRPr="00252AC4">
        <w:t xml:space="preserve">direct investment (FDI) </w:t>
      </w:r>
      <w:r w:rsidR="00344985">
        <w:t>was</w:t>
      </w:r>
      <w:r w:rsidR="0090596B" w:rsidRPr="00252AC4">
        <w:t xml:space="preserve"> </w:t>
      </w:r>
      <w:r w:rsidR="00525941" w:rsidRPr="00252AC4">
        <w:t>a key driver</w:t>
      </w:r>
      <w:r w:rsidR="0090596B" w:rsidRPr="00252AC4">
        <w:t xml:space="preserve"> of economic </w:t>
      </w:r>
      <w:r w:rsidR="00525941" w:rsidRPr="00252AC4">
        <w:t>growth</w:t>
      </w:r>
      <w:r w:rsidR="0090596B" w:rsidRPr="00252AC4">
        <w:t xml:space="preserve"> and transformation in </w:t>
      </w:r>
      <w:r w:rsidR="00525941" w:rsidRPr="00252AC4">
        <w:t>Eurasia</w:t>
      </w:r>
      <w:r w:rsidR="0090596B" w:rsidRPr="00252AC4">
        <w:t xml:space="preserve">. It </w:t>
      </w:r>
      <w:r>
        <w:t>was</w:t>
      </w:r>
      <w:r w:rsidR="0090596B" w:rsidRPr="00252AC4">
        <w:t xml:space="preserve"> inst</w:t>
      </w:r>
      <w:r w:rsidR="00122134" w:rsidRPr="00252AC4">
        <w:t xml:space="preserve">rumental for both state-owned asset privatisation and </w:t>
      </w:r>
      <w:r w:rsidR="00FE0FA7" w:rsidRPr="00252AC4">
        <w:t xml:space="preserve">the </w:t>
      </w:r>
      <w:r w:rsidR="00122134" w:rsidRPr="00252AC4">
        <w:t>attraction of greenfield investments</w:t>
      </w:r>
      <w:r w:rsidR="00452C19" w:rsidRPr="00252AC4">
        <w:t xml:space="preserve"> </w:t>
      </w:r>
      <w:sdt>
        <w:sdtPr>
          <w:id w:val="-692296276"/>
          <w:citation/>
        </w:sdtPr>
        <w:sdtEndPr/>
        <w:sdtContent>
          <w:r w:rsidR="0090596B" w:rsidRPr="00252AC4">
            <w:fldChar w:fldCharType="begin"/>
          </w:r>
          <w:r w:rsidR="0090596B" w:rsidRPr="00252AC4">
            <w:rPr>
              <w:noProof/>
            </w:rPr>
            <w:instrText xml:space="preserve"> CITATION Mendeley_3Fpsy_u__NTem3DuBhbqNDw \l 2057 \m Mendeley_7XmXoNFGVz6blU6EqlZeqg </w:instrText>
          </w:r>
          <w:r w:rsidR="0090596B" w:rsidRPr="00252AC4">
            <w:fldChar w:fldCharType="separate"/>
          </w:r>
          <w:bookmarkStart w:id="18" w:name="Mendeley_3Fpsy_u__NTem3DuBhbqNDw_1"/>
          <w:bookmarkStart w:id="19" w:name="Mendeley_7XmXoNFGVz6blU6EqlZeqg_2"/>
          <w:r w:rsidR="00E259C6" w:rsidRPr="00252AC4">
            <w:rPr>
              <w:noProof/>
            </w:rPr>
            <w:t>(Deichmann et al., 2003</w:t>
          </w:r>
          <w:r w:rsidR="00E259C6" w:rsidRPr="00252AC4">
            <w:rPr>
              <w:noProof/>
              <w:vertAlign w:val="subscript"/>
            </w:rPr>
            <w:t>[1]</w:t>
          </w:r>
          <w:r w:rsidR="00E259C6" w:rsidRPr="00252AC4">
            <w:rPr>
              <w:noProof/>
            </w:rPr>
            <w:t>; Havlík, Hunya and Zaytsev, 2018</w:t>
          </w:r>
          <w:r w:rsidR="00E259C6" w:rsidRPr="00252AC4">
            <w:rPr>
              <w:noProof/>
              <w:vertAlign w:val="subscript"/>
            </w:rPr>
            <w:t>[2]</w:t>
          </w:r>
          <w:r w:rsidR="00E259C6" w:rsidRPr="00252AC4">
            <w:rPr>
              <w:noProof/>
            </w:rPr>
            <w:t>)</w:t>
          </w:r>
          <w:bookmarkEnd w:id="18"/>
          <w:bookmarkEnd w:id="19"/>
          <w:r w:rsidR="0090596B" w:rsidRPr="00252AC4">
            <w:fldChar w:fldCharType="end"/>
          </w:r>
        </w:sdtContent>
      </w:sdt>
      <w:r w:rsidR="0090596B" w:rsidRPr="00252AC4">
        <w:t xml:space="preserve">. While </w:t>
      </w:r>
      <w:r w:rsidR="00122134" w:rsidRPr="00252AC4">
        <w:t>Eurasia economies</w:t>
      </w:r>
      <w:r w:rsidR="0090596B" w:rsidRPr="00252AC4">
        <w:t xml:space="preserve"> started from very </w:t>
      </w:r>
      <w:r w:rsidR="00122134" w:rsidRPr="00252AC4">
        <w:t xml:space="preserve">low FDI stocks </w:t>
      </w:r>
      <w:r w:rsidR="0090596B" w:rsidRPr="00252AC4">
        <w:t xml:space="preserve">in the early 1990s, </w:t>
      </w:r>
      <w:r w:rsidR="00122134" w:rsidRPr="00252AC4">
        <w:t>FDI picked</w:t>
      </w:r>
      <w:r w:rsidR="00FE0FA7" w:rsidRPr="00252AC4">
        <w:t xml:space="preserve"> </w:t>
      </w:r>
      <w:r w:rsidR="00122134" w:rsidRPr="00252AC4">
        <w:t>up and accelerated after the end of the 1990s</w:t>
      </w:r>
      <w:r w:rsidR="0090596B" w:rsidRPr="00252AC4">
        <w:t xml:space="preserve">, </w:t>
      </w:r>
      <w:r w:rsidR="00122134" w:rsidRPr="00252AC4">
        <w:t>and eventually surpassed</w:t>
      </w:r>
      <w:r w:rsidR="0090596B" w:rsidRPr="00252AC4">
        <w:t xml:space="preserve"> OECD</w:t>
      </w:r>
      <w:r w:rsidR="00122134" w:rsidRPr="00252AC4">
        <w:t xml:space="preserve"> levels</w:t>
      </w:r>
      <w:r w:rsidR="00FE0FA7" w:rsidRPr="00252AC4">
        <w:t>, relative to GDP,</w:t>
      </w:r>
      <w:r w:rsidR="0090596B" w:rsidRPr="00252AC4">
        <w:t xml:space="preserve"> </w:t>
      </w:r>
      <w:r w:rsidR="00122134" w:rsidRPr="00252AC4">
        <w:t>at</w:t>
      </w:r>
      <w:r w:rsidR="0090596B" w:rsidRPr="00252AC4">
        <w:t xml:space="preserve"> the turn of the century </w:t>
      </w:r>
      <w:r w:rsidR="00A014CF" w:rsidRPr="00252AC4">
        <w:t>(</w:t>
      </w:r>
      <w:r w:rsidR="00A014CF" w:rsidRPr="00252AC4">
        <w:fldChar w:fldCharType="begin"/>
      </w:r>
      <w:r w:rsidR="00A014CF" w:rsidRPr="00252AC4">
        <w:instrText xml:space="preserve"> REF _Ref31615097 \h </w:instrText>
      </w:r>
      <w:r w:rsidR="00A014CF" w:rsidRPr="00252AC4">
        <w:fldChar w:fldCharType="separate"/>
      </w:r>
      <w:r w:rsidR="008914FE" w:rsidRPr="00252AC4">
        <w:t xml:space="preserve">Figure </w:t>
      </w:r>
      <w:r w:rsidR="008914FE">
        <w:rPr>
          <w:noProof/>
        </w:rPr>
        <w:t>1</w:t>
      </w:r>
      <w:r w:rsidR="00A014CF" w:rsidRPr="00252AC4">
        <w:fldChar w:fldCharType="end"/>
      </w:r>
      <w:r w:rsidR="0090596B" w:rsidRPr="00252AC4">
        <w:t xml:space="preserve">). </w:t>
      </w:r>
      <w:r w:rsidR="00FE0FA7" w:rsidRPr="00252AC4">
        <w:t>T</w:t>
      </w:r>
      <w:r w:rsidR="0090596B" w:rsidRPr="00252AC4">
        <w:t xml:space="preserve">he total </w:t>
      </w:r>
      <w:r w:rsidR="00FE0FA7" w:rsidRPr="00252AC4">
        <w:t xml:space="preserve">FDI </w:t>
      </w:r>
      <w:r w:rsidR="0090596B" w:rsidRPr="00252AC4">
        <w:t xml:space="preserve">stock in Eurasia </w:t>
      </w:r>
      <w:r w:rsidR="001E3059" w:rsidRPr="00252AC4">
        <w:t>represented</w:t>
      </w:r>
      <w:r w:rsidR="0090596B" w:rsidRPr="00252AC4">
        <w:t xml:space="preserve"> almost 60% of GDP</w:t>
      </w:r>
      <w:r w:rsidR="001E3059" w:rsidRPr="00252AC4">
        <w:t xml:space="preserve"> in 2018</w:t>
      </w:r>
      <w:r w:rsidR="0090596B" w:rsidRPr="00252AC4">
        <w:t xml:space="preserve">, </w:t>
      </w:r>
      <w:r w:rsidR="00FE0FA7" w:rsidRPr="00252AC4">
        <w:t>as opposed to</w:t>
      </w:r>
      <w:r w:rsidR="00122134" w:rsidRPr="00252AC4">
        <w:t xml:space="preserve"> around</w:t>
      </w:r>
      <w:r w:rsidR="0090596B" w:rsidRPr="00252AC4">
        <w:t xml:space="preserve"> 40% in the OECD.</w:t>
      </w:r>
    </w:p>
    <w:p w14:paraId="31013585" w14:textId="4275DF1C" w:rsidR="00C12418" w:rsidRPr="00252AC4" w:rsidRDefault="00C12418" w:rsidP="00C12418">
      <w:pPr>
        <w:pStyle w:val="Caption"/>
      </w:pPr>
      <w:bookmarkStart w:id="20" w:name="_Ref31615097"/>
      <w:bookmarkStart w:id="21" w:name="_Toc31617728"/>
      <w:bookmarkStart w:id="22" w:name="_Toc31641327"/>
      <w:bookmarkStart w:id="23" w:name="_Toc31650327"/>
      <w:bookmarkStart w:id="24" w:name="_Toc32317032"/>
      <w:bookmarkStart w:id="25" w:name="_Toc32324691"/>
      <w:bookmarkStart w:id="26" w:name="_Toc34647242"/>
      <w:bookmarkStart w:id="27" w:name="_Ref31352679"/>
      <w:r w:rsidRPr="00252AC4">
        <w:t>Figure</w:t>
      </w:r>
      <w:r w:rsidR="005E6C6A" w:rsidRPr="00252AC4">
        <w:t xml:space="preserve"> </w:t>
      </w:r>
      <w:r w:rsidR="009915F6">
        <w:fldChar w:fldCharType="begin"/>
      </w:r>
      <w:r w:rsidR="009915F6">
        <w:instrText xml:space="preserve"> SEQ Figure \* ARABIC \s 1 </w:instrText>
      </w:r>
      <w:r w:rsidR="009915F6">
        <w:fldChar w:fldCharType="separate"/>
      </w:r>
      <w:r w:rsidR="008914FE">
        <w:rPr>
          <w:noProof/>
        </w:rPr>
        <w:t>1</w:t>
      </w:r>
      <w:r w:rsidR="009915F6">
        <w:rPr>
          <w:noProof/>
        </w:rPr>
        <w:fldChar w:fldCharType="end"/>
      </w:r>
      <w:bookmarkEnd w:id="20"/>
      <w:r w:rsidRPr="00252AC4">
        <w:t xml:space="preserve">. </w:t>
      </w:r>
      <w:r w:rsidR="00C47889" w:rsidRPr="00252AC4">
        <w:t>Evolution of inward FDI stock</w:t>
      </w:r>
      <w:r w:rsidR="00FE0FA7" w:rsidRPr="00252AC4">
        <w:t xml:space="preserve"> as a % of GDP</w:t>
      </w:r>
      <w:bookmarkEnd w:id="21"/>
      <w:bookmarkEnd w:id="22"/>
      <w:bookmarkEnd w:id="23"/>
      <w:bookmarkEnd w:id="24"/>
      <w:bookmarkEnd w:id="25"/>
      <w:bookmarkEnd w:id="26"/>
    </w:p>
    <w:p w14:paraId="3A802F12" w14:textId="60436B7F" w:rsidR="00C12418" w:rsidRPr="00252AC4" w:rsidRDefault="00C47889" w:rsidP="00C12418">
      <w:pPr>
        <w:pStyle w:val="Figure"/>
        <w:rPr>
          <w:i/>
        </w:rPr>
      </w:pPr>
      <w:r w:rsidRPr="00252AC4">
        <w:rPr>
          <w:noProof/>
          <w:lang w:eastAsia="en-GB"/>
        </w:rPr>
        <w:drawing>
          <wp:inline distT="0" distB="0" distL="0" distR="0" wp14:anchorId="7049F27B" wp14:editId="5FE84DF2">
            <wp:extent cx="4801870" cy="22212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1870" cy="2221230"/>
                    </a:xfrm>
                    <a:prstGeom prst="rect">
                      <a:avLst/>
                    </a:prstGeom>
                    <a:noFill/>
                    <a:ln>
                      <a:noFill/>
                    </a:ln>
                  </pic:spPr>
                </pic:pic>
              </a:graphicData>
            </a:graphic>
          </wp:inline>
        </w:drawing>
      </w:r>
    </w:p>
    <w:p w14:paraId="629A8B25" w14:textId="27D9986E" w:rsidR="00C12418" w:rsidRPr="00252AC4" w:rsidRDefault="00C12418" w:rsidP="00C12418">
      <w:pPr>
        <w:pStyle w:val="Sourcenotes"/>
      </w:pPr>
      <w:r w:rsidRPr="00252AC4">
        <w:rPr>
          <w:i/>
        </w:rPr>
        <w:t>Note</w:t>
      </w:r>
      <w:r w:rsidRPr="00252AC4">
        <w:t xml:space="preserve">: </w:t>
      </w:r>
      <w:r w:rsidR="00C47889" w:rsidRPr="00252AC4">
        <w:t>Eurasia countries include Afghanistan, Azerbaijan, Armenia, Belarus, Georgia, Mongolia, Moldova, Kazakhstan, Kyrgyzstan, Tajikistan, Turkmenistan, Ukraine</w:t>
      </w:r>
      <w:r w:rsidR="00F32AD1" w:rsidRPr="00252AC4">
        <w:t xml:space="preserve"> and</w:t>
      </w:r>
      <w:r w:rsidR="00C47889" w:rsidRPr="00252AC4">
        <w:t xml:space="preserve"> Uzbekistan</w:t>
      </w:r>
      <w:r w:rsidR="00F32AD1" w:rsidRPr="00252AC4">
        <w:t>.</w:t>
      </w:r>
    </w:p>
    <w:p w14:paraId="5DD900D4" w14:textId="5358DDA1" w:rsidR="00C12418" w:rsidRPr="00252AC4" w:rsidRDefault="00C12418" w:rsidP="00C12418">
      <w:pPr>
        <w:pStyle w:val="Sourcenotes"/>
      </w:pPr>
      <w:r w:rsidRPr="00252AC4">
        <w:rPr>
          <w:i/>
        </w:rPr>
        <w:t>Source</w:t>
      </w:r>
      <w:r w:rsidRPr="00252AC4">
        <w:t xml:space="preserve">: </w:t>
      </w:r>
      <w:r w:rsidR="00C47889" w:rsidRPr="00252AC4">
        <w:t>Author’s elaboration based on UNCTAD Statistics (2020)</w:t>
      </w:r>
    </w:p>
    <w:bookmarkEnd w:id="27"/>
    <w:p w14:paraId="66524F1A" w14:textId="0873B650" w:rsidR="006D7C57" w:rsidRPr="00252AC4" w:rsidRDefault="00344985" w:rsidP="00344985">
      <w:pPr>
        <w:pStyle w:val="Para0"/>
      </w:pPr>
      <w:r>
        <w:lastRenderedPageBreak/>
        <w:t>In 2018</w:t>
      </w:r>
      <w:r w:rsidR="0090596B" w:rsidRPr="00252AC4">
        <w:t xml:space="preserve">, FDI </w:t>
      </w:r>
      <w:r w:rsidR="00D03262" w:rsidRPr="00252AC4">
        <w:t>in the region remain</w:t>
      </w:r>
      <w:r>
        <w:t>ed</w:t>
      </w:r>
      <w:r w:rsidR="00D03262" w:rsidRPr="00252AC4">
        <w:t xml:space="preserve"> highly concentrated in terms of sectors, destinations and</w:t>
      </w:r>
      <w:r w:rsidR="00E557E9" w:rsidRPr="00252AC4">
        <w:t>, for some economies,</w:t>
      </w:r>
      <w:r w:rsidR="00D03262" w:rsidRPr="00252AC4">
        <w:t xml:space="preserve"> countries of origin</w:t>
      </w:r>
      <w:r w:rsidR="0090596B" w:rsidRPr="00252AC4">
        <w:t>.</w:t>
      </w:r>
      <w:r w:rsidR="00013A88" w:rsidRPr="00252AC4">
        <w:t xml:space="preserve"> </w:t>
      </w:r>
      <w:r>
        <w:t>I</w:t>
      </w:r>
      <w:r w:rsidR="009D34B5" w:rsidRPr="00252AC4">
        <w:t xml:space="preserve">nvestments </w:t>
      </w:r>
      <w:r w:rsidR="00FE0FA7" w:rsidRPr="00252AC4">
        <w:t xml:space="preserve">in the extractive </w:t>
      </w:r>
      <w:r w:rsidR="00D03262" w:rsidRPr="00252AC4">
        <w:t>sector still represented 68% of total FDI stocks in countries of Central Asia and 80% in Azerbaijan, whereas in Chile and Canada</w:t>
      </w:r>
      <w:r w:rsidR="00FE77BC" w:rsidRPr="00252AC4">
        <w:t xml:space="preserve"> – </w:t>
      </w:r>
      <w:r w:rsidR="009D34B5" w:rsidRPr="00252AC4">
        <w:t>two OECD countries with strong resource-based sectors</w:t>
      </w:r>
      <w:r w:rsidR="00FE77BC" w:rsidRPr="00252AC4">
        <w:t xml:space="preserve"> – </w:t>
      </w:r>
      <w:r w:rsidR="00D03262" w:rsidRPr="00252AC4">
        <w:t>these shares were</w:t>
      </w:r>
      <w:r w:rsidR="00572D7E" w:rsidRPr="00252AC4">
        <w:t>,</w:t>
      </w:r>
      <w:r w:rsidR="00D03262" w:rsidRPr="00252AC4">
        <w:t xml:space="preserve"> respectively</w:t>
      </w:r>
      <w:r w:rsidR="00572D7E" w:rsidRPr="00252AC4">
        <w:t>,</w:t>
      </w:r>
      <w:r w:rsidR="00D03262" w:rsidRPr="00252AC4">
        <w:t xml:space="preserve"> 29% and 23%</w:t>
      </w:r>
      <w:r w:rsidR="00013A88" w:rsidRPr="00252AC4">
        <w:t>.</w:t>
      </w:r>
      <w:r w:rsidR="006D7C57" w:rsidRPr="00252AC4">
        <w:t xml:space="preserve"> </w:t>
      </w:r>
      <w:r w:rsidR="003A0894" w:rsidRPr="00252AC4">
        <w:t>In Ukraine, FDI is relatively concentrated in financial services, metallurgy and food processing.</w:t>
      </w:r>
      <w:r w:rsidR="00CC3DB2" w:rsidRPr="00252AC4">
        <w:t xml:space="preserve"> </w:t>
      </w:r>
      <w:r w:rsidR="003313E3" w:rsidRPr="00252AC4">
        <w:t>Kazakhstan is the main FDI recipient in the region</w:t>
      </w:r>
      <w:r w:rsidR="00912D61" w:rsidRPr="00252AC4">
        <w:t xml:space="preserve"> </w:t>
      </w:r>
      <w:r w:rsidR="00450DA5" w:rsidRPr="00252AC4">
        <w:t>as the country received</w:t>
      </w:r>
      <w:r w:rsidR="00912D61" w:rsidRPr="00252AC4">
        <w:t xml:space="preserve"> 31% </w:t>
      </w:r>
      <w:r w:rsidR="00450DA5" w:rsidRPr="00252AC4">
        <w:t xml:space="preserve">all </w:t>
      </w:r>
      <w:r w:rsidR="00912D61" w:rsidRPr="00252AC4">
        <w:t>of FDI</w:t>
      </w:r>
      <w:r w:rsidR="00B87D5B" w:rsidRPr="00252AC4">
        <w:t xml:space="preserve"> inflows</w:t>
      </w:r>
      <w:r w:rsidR="00450DA5" w:rsidRPr="00252AC4">
        <w:t xml:space="preserve"> between 2014 and 2018</w:t>
      </w:r>
      <w:r w:rsidR="00B87D5B" w:rsidRPr="00252AC4">
        <w:t xml:space="preserve">, </w:t>
      </w:r>
      <w:r w:rsidR="00450DA5" w:rsidRPr="00252AC4">
        <w:t>followed by</w:t>
      </w:r>
      <w:r w:rsidR="00B87D5B" w:rsidRPr="00252AC4">
        <w:t xml:space="preserve"> Azerbaijan</w:t>
      </w:r>
      <w:r w:rsidR="00450DA5" w:rsidRPr="00252AC4">
        <w:t xml:space="preserve"> (18%)</w:t>
      </w:r>
      <w:r w:rsidR="00B87D5B" w:rsidRPr="00252AC4">
        <w:t xml:space="preserve"> and Turkmenistan</w:t>
      </w:r>
      <w:r w:rsidR="00450DA5" w:rsidRPr="00252AC4">
        <w:t xml:space="preserve"> (14%)</w:t>
      </w:r>
      <w:r w:rsidR="00B87D5B" w:rsidRPr="00252AC4">
        <w:t xml:space="preserve">. Ukraine is the main non-oil </w:t>
      </w:r>
      <w:r w:rsidR="00450DA5" w:rsidRPr="00252AC4">
        <w:t>FDI</w:t>
      </w:r>
      <w:r w:rsidR="00B87D5B" w:rsidRPr="00252AC4">
        <w:t xml:space="preserve"> recipient</w:t>
      </w:r>
      <w:r w:rsidR="005E30FF" w:rsidRPr="00252AC4">
        <w:t>, receiving</w:t>
      </w:r>
      <w:r w:rsidR="00B87D5B" w:rsidRPr="00252AC4">
        <w:t xml:space="preserve"> 12%</w:t>
      </w:r>
      <w:r w:rsidR="005E30FF" w:rsidRPr="00252AC4">
        <w:t xml:space="preserve"> of total 2014-2018 FDI inflows</w:t>
      </w:r>
      <w:r w:rsidR="00450DA5" w:rsidRPr="00252AC4">
        <w:t>,</w:t>
      </w:r>
      <w:r w:rsidR="00B87D5B" w:rsidRPr="00252AC4">
        <w:t xml:space="preserve"> </w:t>
      </w:r>
      <w:r w:rsidR="00450DA5" w:rsidRPr="00252AC4">
        <w:t xml:space="preserve">along with </w:t>
      </w:r>
      <w:r w:rsidR="00B87D5B" w:rsidRPr="00252AC4">
        <w:t>Georgia (9%) and Belarus (8%).</w:t>
      </w:r>
      <w:r w:rsidR="00450DA5" w:rsidRPr="00252AC4">
        <w:t xml:space="preserve"> The Russian Federation is the main investing country in Belarus, Armenia and Moldova, and ranks among the top five investing countries in several other Eurasia economies. </w:t>
      </w:r>
      <w:r w:rsidR="00E557E9" w:rsidRPr="00252AC4">
        <w:t>China accounts for respectively 43% and 27% of Tajikistan and Kyrgyzstan’s FDI stocks, while the Netherlands account for 44% in Kazakhstan</w:t>
      </w:r>
      <w:r w:rsidR="00450DA5" w:rsidRPr="00252AC4">
        <w:t>.</w:t>
      </w:r>
      <w:r w:rsidR="003313E3" w:rsidRPr="00252AC4">
        <w:t xml:space="preserve"> </w:t>
      </w:r>
      <w:r w:rsidR="00CC3DB2" w:rsidRPr="00252AC4">
        <w:t xml:space="preserve">Diversifying FDI to support industry upgrades and </w:t>
      </w:r>
      <w:r w:rsidR="00572D7E" w:rsidRPr="00252AC4">
        <w:t xml:space="preserve">the </w:t>
      </w:r>
      <w:r w:rsidR="00CC3DB2" w:rsidRPr="00252AC4">
        <w:t xml:space="preserve">development of new sectors </w:t>
      </w:r>
      <w:r w:rsidR="00572D7E" w:rsidRPr="00252AC4">
        <w:t>and activities</w:t>
      </w:r>
      <w:r w:rsidR="00CC3DB2" w:rsidRPr="00252AC4">
        <w:t xml:space="preserve"> thus stands high on Eurasia countries’ agendas.</w:t>
      </w:r>
    </w:p>
    <w:p w14:paraId="17919F39" w14:textId="2623A959" w:rsidR="004F0FDC" w:rsidRDefault="00A72C7E" w:rsidP="00A72C7E">
      <w:pPr>
        <w:pStyle w:val="Para0"/>
      </w:pPr>
      <w:r>
        <w:t xml:space="preserve">The global COVID-19 crisis, which started in the first quarter of 2020, </w:t>
      </w:r>
      <w:r w:rsidR="009C1847">
        <w:t>may</w:t>
      </w:r>
      <w:r>
        <w:t xml:space="preserve"> hit Eurasia economies harder than the 2008 financial crisis did</w:t>
      </w:r>
      <w:r w:rsidR="009C1847">
        <w:t xml:space="preserve">. </w:t>
      </w:r>
      <w:r w:rsidR="00F34556">
        <w:t>Some</w:t>
      </w:r>
      <w:r w:rsidR="009C1847">
        <w:t xml:space="preserve"> of these economies have been following the trend of increasing global integration and are thus more exposed to the </w:t>
      </w:r>
      <w:r w:rsidR="00F34556">
        <w:t>systemic</w:t>
      </w:r>
      <w:r w:rsidR="009C1847">
        <w:t xml:space="preserve"> effects of the pandemic, which are already expected to be worse than during the 2008 crisis. Energy-exporting countries of the region are also </w:t>
      </w:r>
      <w:r w:rsidR="00AD35FD">
        <w:t>more vulnerable</w:t>
      </w:r>
      <w:r w:rsidR="00FB2BC3">
        <w:t xml:space="preserve"> than in 2008</w:t>
      </w:r>
      <w:r w:rsidR="00F34556">
        <w:t>,</w:t>
      </w:r>
      <w:r w:rsidR="009C1847">
        <w:t xml:space="preserve"> as the </w:t>
      </w:r>
      <w:r w:rsidR="00F34556">
        <w:t xml:space="preserve">situation </w:t>
      </w:r>
      <w:r w:rsidR="004F0FDC">
        <w:t>on</w:t>
      </w:r>
      <w:r w:rsidR="00CC66B0">
        <w:t xml:space="preserve"> oil markets</w:t>
      </w:r>
      <w:r w:rsidR="00F34556">
        <w:t xml:space="preserve"> is particularly difficult due to the compound effects of containment measures on demand</w:t>
      </w:r>
      <w:r w:rsidR="0055385D">
        <w:t xml:space="preserve"> </w:t>
      </w:r>
      <w:r w:rsidR="00F34556">
        <w:t>and oil price war</w:t>
      </w:r>
      <w:r w:rsidR="00E80301">
        <w:t xml:space="preserve"> </w:t>
      </w:r>
      <w:r w:rsidR="00C107D1">
        <w:t>before</w:t>
      </w:r>
      <w:r w:rsidR="00E80301">
        <w:t xml:space="preserve"> the </w:t>
      </w:r>
      <w:r w:rsidR="00C107D1">
        <w:t>start</w:t>
      </w:r>
      <w:r w:rsidR="00E80301">
        <w:t xml:space="preserve"> of the pandemic</w:t>
      </w:r>
      <w:r w:rsidR="009C1847">
        <w:t xml:space="preserve">. </w:t>
      </w:r>
    </w:p>
    <w:p w14:paraId="686EFFD2" w14:textId="73834098" w:rsidR="0090596B" w:rsidRPr="00252AC4" w:rsidRDefault="004F0FDC" w:rsidP="00A72C7E">
      <w:pPr>
        <w:pStyle w:val="Para0"/>
      </w:pPr>
      <w:r>
        <w:t>Even b</w:t>
      </w:r>
      <w:r w:rsidR="00A72C7E">
        <w:t xml:space="preserve">efore the </w:t>
      </w:r>
      <w:r w:rsidR="007462C5">
        <w:t xml:space="preserve">COVID-19 </w:t>
      </w:r>
      <w:r w:rsidR="00A72C7E">
        <w:t>crisis</w:t>
      </w:r>
      <w:r w:rsidR="00344985">
        <w:t xml:space="preserve">, </w:t>
      </w:r>
      <w:r w:rsidR="009C1847">
        <w:t xml:space="preserve">the Eurasia share of FDI, after </w:t>
      </w:r>
      <w:r w:rsidR="00C31EEE" w:rsidRPr="00252AC4">
        <w:t xml:space="preserve">reaching peaks in 2009 and 2011-12, </w:t>
      </w:r>
      <w:r w:rsidR="009C1847">
        <w:t>had</w:t>
      </w:r>
      <w:r w:rsidR="00C31EEE" w:rsidRPr="00252AC4">
        <w:t xml:space="preserve"> </w:t>
      </w:r>
      <w:r>
        <w:t>fallen</w:t>
      </w:r>
      <w:r w:rsidRPr="00252AC4">
        <w:t xml:space="preserve"> </w:t>
      </w:r>
      <w:r w:rsidR="00C31EEE" w:rsidRPr="00252AC4">
        <w:t>to 1% of global inflows in 2018</w:t>
      </w:r>
      <w:r w:rsidR="004315A0" w:rsidRPr="00252AC4">
        <w:t xml:space="preserve"> (</w:t>
      </w:r>
      <w:r w:rsidR="004A00F5" w:rsidRPr="00252AC4">
        <w:t>Figure</w:t>
      </w:r>
      <w:r w:rsidR="006448D3" w:rsidRPr="00252AC4">
        <w:t xml:space="preserve"> </w:t>
      </w:r>
      <w:r w:rsidR="004A00F5" w:rsidRPr="00252AC4">
        <w:t>2</w:t>
      </w:r>
      <w:r w:rsidR="004315A0" w:rsidRPr="00252AC4">
        <w:t>)</w:t>
      </w:r>
      <w:r w:rsidR="0090596B" w:rsidRPr="00252AC4">
        <w:t xml:space="preserve">. </w:t>
      </w:r>
      <w:r w:rsidR="00572D7E" w:rsidRPr="00252AC4">
        <w:t>O</w:t>
      </w:r>
      <w:r w:rsidR="0090596B" w:rsidRPr="00252AC4">
        <w:t>ther emerging economies, particular</w:t>
      </w:r>
      <w:r w:rsidR="00572D7E" w:rsidRPr="00252AC4">
        <w:t>ly</w:t>
      </w:r>
      <w:r w:rsidR="0090596B" w:rsidRPr="00252AC4">
        <w:t xml:space="preserve"> China</w:t>
      </w:r>
      <w:r>
        <w:t xml:space="preserve"> and</w:t>
      </w:r>
      <w:r w:rsidRPr="00252AC4">
        <w:t xml:space="preserve"> </w:t>
      </w:r>
      <w:r w:rsidR="0090596B" w:rsidRPr="00252AC4">
        <w:t xml:space="preserve">Brazil, </w:t>
      </w:r>
      <w:r w:rsidR="009C1847">
        <w:t>had</w:t>
      </w:r>
      <w:r w:rsidR="009C1847" w:rsidRPr="00252AC4">
        <w:t xml:space="preserve"> </w:t>
      </w:r>
      <w:r w:rsidR="0090596B" w:rsidRPr="00252AC4">
        <w:t>increasingly attracted the attention of international investors</w:t>
      </w:r>
      <w:r w:rsidR="003D04E7" w:rsidRPr="00252AC4">
        <w:t xml:space="preserve"> </w:t>
      </w:r>
      <w:sdt>
        <w:sdtPr>
          <w:id w:val="-1157219293"/>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003D04E7" w:rsidRPr="00252AC4">
            <w:fldChar w:fldCharType="end"/>
          </w:r>
        </w:sdtContent>
      </w:sdt>
      <w:r w:rsidR="0090596B" w:rsidRPr="00252AC4">
        <w:t xml:space="preserve">. </w:t>
      </w:r>
      <w:r w:rsidR="009C1847">
        <w:t>F</w:t>
      </w:r>
      <w:r w:rsidR="00DE5534" w:rsidRPr="00252AC4">
        <w:t xml:space="preserve">alling </w:t>
      </w:r>
      <w:r w:rsidR="0090596B" w:rsidRPr="00252AC4">
        <w:t xml:space="preserve">oil prices and liquidity constraints in the domestic financial sector </w:t>
      </w:r>
      <w:r w:rsidR="009C1847">
        <w:t>had</w:t>
      </w:r>
      <w:r w:rsidR="009C1847" w:rsidRPr="00252AC4">
        <w:t xml:space="preserve"> </w:t>
      </w:r>
      <w:r w:rsidR="0090596B" w:rsidRPr="00252AC4">
        <w:t xml:space="preserve">had </w:t>
      </w:r>
      <w:r w:rsidR="00C31EEE" w:rsidRPr="00252AC4">
        <w:t xml:space="preserve">further </w:t>
      </w:r>
      <w:r w:rsidR="0090596B" w:rsidRPr="00252AC4">
        <w:t>negative repercussions f</w:t>
      </w:r>
      <w:r w:rsidR="00C31EEE" w:rsidRPr="00252AC4">
        <w:t>or some Central Asian economies</w:t>
      </w:r>
      <w:r w:rsidR="00572D7E" w:rsidRPr="00252AC4">
        <w:t>,</w:t>
      </w:r>
      <w:r w:rsidR="0090596B" w:rsidRPr="00252AC4">
        <w:t xml:space="preserve"> including Kazakhstan, while Ukraine</w:t>
      </w:r>
      <w:r w:rsidR="00C31EEE" w:rsidRPr="00252AC4">
        <w:t xml:space="preserve"> </w:t>
      </w:r>
      <w:r w:rsidR="00DE5534" w:rsidRPr="00252AC4">
        <w:t>face</w:t>
      </w:r>
      <w:r w:rsidR="00DE5534">
        <w:t>d</w:t>
      </w:r>
      <w:r w:rsidR="00DE5534" w:rsidRPr="00252AC4">
        <w:t xml:space="preserve"> </w:t>
      </w:r>
      <w:r w:rsidR="00C31EEE" w:rsidRPr="00252AC4">
        <w:t xml:space="preserve">security </w:t>
      </w:r>
      <w:r w:rsidR="00572D7E" w:rsidRPr="00252AC4">
        <w:t>challenges and resistance from powerful domestic interests to many</w:t>
      </w:r>
      <w:r w:rsidR="0090596B" w:rsidRPr="00252AC4">
        <w:t xml:space="preserve"> reforms </w:t>
      </w:r>
      <w:r w:rsidR="00572D7E" w:rsidRPr="00252AC4">
        <w:t>aimed at improving</w:t>
      </w:r>
      <w:r w:rsidR="0090596B" w:rsidRPr="00252AC4">
        <w:t xml:space="preserve"> business and investment environment</w:t>
      </w:r>
      <w:r w:rsidR="00C31EEE" w:rsidRPr="00252AC4">
        <w:t>s</w:t>
      </w:r>
      <w:r w:rsidR="0090596B" w:rsidRPr="00252AC4">
        <w:t xml:space="preserve"> </w:t>
      </w:r>
      <w:sdt>
        <w:sdtPr>
          <w:id w:val="-1742636194"/>
          <w:citation/>
        </w:sdtPr>
        <w:sdtEndPr/>
        <w:sdtContent>
          <w:r w:rsidR="0090596B" w:rsidRPr="00252AC4">
            <w:fldChar w:fldCharType="begin"/>
          </w:r>
          <w:r w:rsidR="0090596B" w:rsidRPr="00252AC4">
            <w:instrText xml:space="preserve"> CITATION Mendeley_hVKuhB_z4jaq61zHzqzaHA \l 2057 </w:instrText>
          </w:r>
          <w:r w:rsidR="0090596B" w:rsidRPr="00252AC4">
            <w:fldChar w:fldCharType="separate"/>
          </w:r>
          <w:bookmarkStart w:id="28" w:name="Mendeley_hVKuhB_z4jaq61zHzqzaHA_4"/>
          <w:r w:rsidR="00E259C6" w:rsidRPr="00252AC4">
            <w:rPr>
              <w:noProof/>
            </w:rPr>
            <w:t>(Balás et al., 2018</w:t>
          </w:r>
          <w:r w:rsidR="00E259C6" w:rsidRPr="00252AC4">
            <w:rPr>
              <w:noProof/>
              <w:vertAlign w:val="subscript"/>
            </w:rPr>
            <w:t>[4]</w:t>
          </w:r>
          <w:r w:rsidR="00E259C6" w:rsidRPr="00252AC4">
            <w:rPr>
              <w:noProof/>
            </w:rPr>
            <w:t>)</w:t>
          </w:r>
          <w:bookmarkEnd w:id="28"/>
          <w:r w:rsidR="0090596B" w:rsidRPr="00252AC4">
            <w:fldChar w:fldCharType="end"/>
          </w:r>
        </w:sdtContent>
      </w:sdt>
      <w:r w:rsidR="0090596B" w:rsidRPr="00252AC4">
        <w:t>.</w:t>
      </w:r>
      <w:bookmarkStart w:id="29" w:name="_Ref31383099"/>
      <w:r w:rsidR="00CC66B0">
        <w:t xml:space="preserve"> The COVID-19 crisis will bring more challenges.</w:t>
      </w:r>
      <w:r w:rsidR="00DE5534">
        <w:t xml:space="preserve"> </w:t>
      </w:r>
      <w:r w:rsidR="00CC66B0">
        <w:t>Even if</w:t>
      </w:r>
      <w:r w:rsidR="00CF71E0">
        <w:t xml:space="preserve"> effects on FDI will </w:t>
      </w:r>
      <w:r w:rsidR="00E1004D">
        <w:t xml:space="preserve">likely </w:t>
      </w:r>
      <w:r w:rsidR="00CF71E0">
        <w:t xml:space="preserve">depend on the duration and </w:t>
      </w:r>
      <w:r>
        <w:t>impact</w:t>
      </w:r>
      <w:r w:rsidR="00CF71E0">
        <w:t xml:space="preserve"> of the pandemic across countries and regions, </w:t>
      </w:r>
      <w:r w:rsidR="00C107D1">
        <w:t xml:space="preserve">the OECD forecasts </w:t>
      </w:r>
      <w:r w:rsidR="00CF71E0">
        <w:t>a sharp decline</w:t>
      </w:r>
      <w:r w:rsidR="00C107D1">
        <w:t xml:space="preserve">. Under the most optimistic scenario, </w:t>
      </w:r>
      <w:r w:rsidR="007E7354">
        <w:t xml:space="preserve">global </w:t>
      </w:r>
      <w:r w:rsidR="00CF71E0">
        <w:t>FDI</w:t>
      </w:r>
      <w:r w:rsidR="007E7354">
        <w:t xml:space="preserve"> </w:t>
      </w:r>
      <w:r w:rsidR="00C7647E">
        <w:t xml:space="preserve">flows </w:t>
      </w:r>
      <w:r w:rsidR="00C107D1">
        <w:t xml:space="preserve">should </w:t>
      </w:r>
      <w:r w:rsidR="00C7647E">
        <w:t>drop</w:t>
      </w:r>
      <w:r w:rsidR="00C107D1">
        <w:t xml:space="preserve"> by</w:t>
      </w:r>
      <w:r w:rsidR="00CF71E0">
        <w:t xml:space="preserve"> -30% in 2020</w:t>
      </w:r>
      <w:r w:rsidR="00C107D1">
        <w:t xml:space="preserve"> </w:t>
      </w:r>
      <w:sdt>
        <w:sdtPr>
          <w:id w:val="2140449360"/>
          <w:citation/>
        </w:sdtPr>
        <w:sdtEndPr/>
        <w:sdtContent>
          <w:r w:rsidR="00C107D1">
            <w:fldChar w:fldCharType="begin"/>
          </w:r>
          <w:r w:rsidR="00C107D1" w:rsidRPr="00A0417B">
            <w:instrText xml:space="preserve"> CITATION OEC20 \l 1036 </w:instrText>
          </w:r>
          <w:r w:rsidR="00C107D1">
            <w:fldChar w:fldCharType="separate"/>
          </w:r>
          <w:r w:rsidR="00C107D1" w:rsidRPr="00A0417B">
            <w:rPr>
              <w:noProof/>
            </w:rPr>
            <w:t xml:space="preserve"> (</w:t>
          </w:r>
          <w:bookmarkStart w:id="30" w:name="OEC20_5"/>
          <w:r w:rsidR="00C107D1" w:rsidRPr="00A0417B">
            <w:rPr>
              <w:noProof/>
            </w:rPr>
            <w:t>OECD, 2020</w:t>
          </w:r>
          <w:r w:rsidR="00C107D1" w:rsidRPr="00A0417B">
            <w:rPr>
              <w:noProof/>
              <w:vertAlign w:val="subscript"/>
            </w:rPr>
            <w:t>[5]</w:t>
          </w:r>
          <w:r w:rsidR="00C107D1" w:rsidRPr="00A0417B">
            <w:rPr>
              <w:noProof/>
            </w:rPr>
            <w:t>)</w:t>
          </w:r>
          <w:bookmarkEnd w:id="30"/>
          <w:r w:rsidR="00C107D1">
            <w:fldChar w:fldCharType="end"/>
          </w:r>
        </w:sdtContent>
      </w:sdt>
      <w:r w:rsidR="00CF71E0">
        <w:t>.</w:t>
      </w:r>
      <w:r w:rsidR="007E7354">
        <w:t xml:space="preserve"> </w:t>
      </w:r>
      <w:r w:rsidR="000E4950">
        <w:t>Furthermore, primary sectors are expected to be particularly affected.</w:t>
      </w:r>
    </w:p>
    <w:p w14:paraId="10D6820D" w14:textId="37A9A7D0" w:rsidR="0084113A" w:rsidRDefault="0084113A" w:rsidP="005A3D5C">
      <w:pPr>
        <w:pStyle w:val="Caption"/>
      </w:pPr>
      <w:bookmarkStart w:id="31" w:name="_Toc34647243"/>
      <w:bookmarkStart w:id="32" w:name="_Ref31615290"/>
      <w:bookmarkStart w:id="33" w:name="_Toc31617729"/>
      <w:bookmarkStart w:id="34" w:name="_Toc31641328"/>
      <w:bookmarkStart w:id="35" w:name="_Toc31650328"/>
      <w:bookmarkStart w:id="36" w:name="_Toc32317033"/>
      <w:bookmarkStart w:id="37" w:name="_Toc32324692"/>
      <w:r>
        <w:lastRenderedPageBreak/>
        <w:t xml:space="preserve">Figure </w:t>
      </w:r>
      <w:r>
        <w:rPr>
          <w:noProof/>
        </w:rPr>
        <w:fldChar w:fldCharType="begin"/>
      </w:r>
      <w:r>
        <w:rPr>
          <w:noProof/>
        </w:rPr>
        <w:instrText xml:space="preserve"> SEQ Figure \* ARABIC \s 1 </w:instrText>
      </w:r>
      <w:r>
        <w:rPr>
          <w:noProof/>
        </w:rPr>
        <w:fldChar w:fldCharType="separate"/>
      </w:r>
      <w:r w:rsidR="008914FE">
        <w:rPr>
          <w:noProof/>
        </w:rPr>
        <w:t>2</w:t>
      </w:r>
      <w:r>
        <w:rPr>
          <w:noProof/>
        </w:rPr>
        <w:fldChar w:fldCharType="end"/>
      </w:r>
      <w:r>
        <w:t xml:space="preserve">. </w:t>
      </w:r>
      <w:r w:rsidRPr="00252AC4">
        <w:t>FDI inflows in Eurasia as a share of global FDI inflows</w:t>
      </w:r>
    </w:p>
    <w:p w14:paraId="474A9A70" w14:textId="6F889DC3" w:rsidR="0084113A" w:rsidRDefault="0088282C" w:rsidP="0084113A">
      <w:pPr>
        <w:pStyle w:val="Figure"/>
        <w:rPr>
          <w:noProof/>
          <w:lang w:eastAsia="en-GB"/>
        </w:rPr>
      </w:pPr>
      <w:r>
        <w:rPr>
          <w:noProof/>
          <w:lang w:eastAsia="en-GB"/>
        </w:rPr>
        <w:object w:dxaOrig="9553" w:dyaOrig="5017" w14:anchorId="782E1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65pt;height:202.9pt" o:ole="">
            <v:imagedata r:id="rId21" o:title=""/>
          </v:shape>
          <o:OLEObject Type="Link" ProgID="Excel.Sheet.12" ShapeID="_x0000_i1025" DrawAspect="Content" r:id="rId22" UpdateMode="Always">
            <o:LinkType>EnhancedMetaFile</o:LinkType>
            <o:LockedField>false</o:LockedField>
          </o:OLEObject>
        </w:object>
      </w:r>
    </w:p>
    <w:p w14:paraId="21F423C0" w14:textId="77777777" w:rsidR="0088282C" w:rsidRPr="00252AC4" w:rsidRDefault="0088282C" w:rsidP="0088282C">
      <w:pPr>
        <w:pStyle w:val="Sourcenotes"/>
      </w:pPr>
      <w:r w:rsidRPr="00252AC4">
        <w:rPr>
          <w:i/>
        </w:rPr>
        <w:t>Source</w:t>
      </w:r>
      <w:r w:rsidRPr="00252AC4">
        <w:t>: Author’s elaboration based on UNCTAD Statistics (2020)</w:t>
      </w:r>
    </w:p>
    <w:p w14:paraId="5B037AB1" w14:textId="3C9EB001" w:rsidR="0090596B" w:rsidRPr="00252AC4" w:rsidRDefault="0090596B" w:rsidP="00BF3254">
      <w:pPr>
        <w:pStyle w:val="Heading2"/>
        <w:rPr>
          <w:rFonts w:hint="eastAsia"/>
        </w:rPr>
      </w:pPr>
      <w:bookmarkStart w:id="38" w:name="_Toc31617776"/>
      <w:bookmarkStart w:id="39" w:name="_Toc31641305"/>
      <w:bookmarkStart w:id="40" w:name="_Toc31650303"/>
      <w:bookmarkStart w:id="41" w:name="_Toc32317004"/>
      <w:bookmarkStart w:id="42" w:name="_Toc32324663"/>
      <w:bookmarkStart w:id="43" w:name="_Toc40103018"/>
      <w:bookmarkEnd w:id="31"/>
      <w:bookmarkEnd w:id="29"/>
      <w:bookmarkEnd w:id="32"/>
      <w:bookmarkEnd w:id="33"/>
      <w:bookmarkEnd w:id="34"/>
      <w:bookmarkEnd w:id="35"/>
      <w:bookmarkEnd w:id="36"/>
      <w:bookmarkEnd w:id="37"/>
      <w:r w:rsidRPr="00252AC4">
        <w:t>Investment promotion and facilitation</w:t>
      </w:r>
      <w:bookmarkEnd w:id="38"/>
      <w:r w:rsidR="007A5623" w:rsidRPr="00252AC4">
        <w:t xml:space="preserve"> efforts and the role of IPAs</w:t>
      </w:r>
      <w:bookmarkEnd w:id="39"/>
      <w:bookmarkEnd w:id="40"/>
      <w:bookmarkEnd w:id="41"/>
      <w:bookmarkEnd w:id="42"/>
      <w:bookmarkEnd w:id="43"/>
    </w:p>
    <w:p w14:paraId="644D8001" w14:textId="427A675E" w:rsidR="007A5623" w:rsidRPr="00252AC4" w:rsidRDefault="007A5623" w:rsidP="0090596B">
      <w:pPr>
        <w:pStyle w:val="Para0"/>
      </w:pPr>
      <w:r w:rsidRPr="00252AC4">
        <w:t xml:space="preserve">Eurasia countries have been building institutional capabilities and </w:t>
      </w:r>
      <w:r w:rsidR="00572D7E" w:rsidRPr="00252AC4">
        <w:t>taking steps</w:t>
      </w:r>
      <w:r w:rsidRPr="00252AC4">
        <w:t xml:space="preserve"> to </w:t>
      </w:r>
      <w:r w:rsidR="00572D7E" w:rsidRPr="00252AC4">
        <w:t>improve their investment</w:t>
      </w:r>
      <w:r w:rsidRPr="00252AC4">
        <w:t xml:space="preserve"> environments. All of them</w:t>
      </w:r>
      <w:r w:rsidR="00572D7E" w:rsidRPr="00252AC4">
        <w:t xml:space="preserve"> </w:t>
      </w:r>
      <w:r w:rsidRPr="00252AC4">
        <w:t xml:space="preserve">have </w:t>
      </w:r>
      <w:r w:rsidR="00572D7E" w:rsidRPr="00252AC4">
        <w:t xml:space="preserve">– albeit to varying degrees – </w:t>
      </w:r>
      <w:r w:rsidRPr="00252AC4">
        <w:t>undertaken reforms to</w:t>
      </w:r>
      <w:r w:rsidR="00572D7E" w:rsidRPr="00252AC4">
        <w:t xml:space="preserve"> create</w:t>
      </w:r>
      <w:r w:rsidR="000071CF" w:rsidRPr="00252AC4">
        <w:t xml:space="preserve"> more transparent and predictable frameworks for investment</w:t>
      </w:r>
      <w:r w:rsidR="00572D7E" w:rsidRPr="00252AC4">
        <w:t xml:space="preserve">. </w:t>
      </w:r>
      <w:r w:rsidR="00CD3EBA" w:rsidRPr="00252AC4">
        <w:t>These reforms include the signature of agreements with the EU that include fundamental rules of investor protection in Eastern Partnership countries, privatisation programmes and liberalisation measures in some Central Asia</w:t>
      </w:r>
      <w:r w:rsidR="00501DB4" w:rsidRPr="00252AC4">
        <w:t>n</w:t>
      </w:r>
      <w:r w:rsidR="00CD3EBA" w:rsidRPr="00252AC4">
        <w:t xml:space="preserve"> countries, and efforts from most governments to progress on </w:t>
      </w:r>
      <w:r w:rsidR="00EB410D" w:rsidRPr="00252AC4">
        <w:t xml:space="preserve">indicators </w:t>
      </w:r>
      <w:r w:rsidR="00CD3EBA" w:rsidRPr="00252AC4">
        <w:t>of the World Bank Doing Business ranking.</w:t>
      </w:r>
      <w:r w:rsidR="00572D7E" w:rsidRPr="00252AC4">
        <w:t xml:space="preserve"> Eurasia governments have also created dedicated investment promotion agencies (IPAs) to attract FDI, in particular. </w:t>
      </w:r>
      <w:r w:rsidR="00FF5F4C" w:rsidRPr="00252AC4">
        <w:t xml:space="preserve"> </w:t>
      </w:r>
    </w:p>
    <w:p w14:paraId="5FCB6576" w14:textId="6327C495" w:rsidR="0090596B" w:rsidRPr="00252AC4" w:rsidRDefault="00862611" w:rsidP="00046A2E">
      <w:pPr>
        <w:pStyle w:val="Para0"/>
      </w:pPr>
      <w:r w:rsidRPr="00252AC4">
        <w:t xml:space="preserve">As highlighted in the Policy </w:t>
      </w:r>
      <w:r w:rsidR="00F32AD1" w:rsidRPr="00252AC4">
        <w:t>F</w:t>
      </w:r>
      <w:r w:rsidRPr="00252AC4">
        <w:t>ramework for Investment</w:t>
      </w:r>
      <w:sdt>
        <w:sdtPr>
          <w:id w:val="1783531127"/>
          <w:citation/>
        </w:sdtPr>
        <w:sdtEndPr/>
        <w:sdtContent>
          <w:r w:rsidR="00572976" w:rsidRPr="00252AC4">
            <w:fldChar w:fldCharType="begin"/>
          </w:r>
          <w:r w:rsidR="00572976" w:rsidRPr="00252AC4">
            <w:instrText xml:space="preserve">CITATION Kappa_g2g3e67f \n  \l 1036 </w:instrText>
          </w:r>
          <w:r w:rsidR="00572976" w:rsidRPr="00252AC4">
            <w:fldChar w:fldCharType="separate"/>
          </w:r>
          <w:r w:rsidR="00E259C6" w:rsidRPr="00252AC4">
            <w:rPr>
              <w:noProof/>
            </w:rPr>
            <w:t xml:space="preserve"> (2015</w:t>
          </w:r>
          <w:r w:rsidR="00E259C6" w:rsidRPr="00252AC4">
            <w:rPr>
              <w:noProof/>
              <w:vertAlign w:val="subscript"/>
            </w:rPr>
            <w:t>[5]</w:t>
          </w:r>
          <w:r w:rsidR="00E259C6" w:rsidRPr="00252AC4">
            <w:rPr>
              <w:noProof/>
            </w:rPr>
            <w:t>)</w:t>
          </w:r>
          <w:r w:rsidR="00572976" w:rsidRPr="00252AC4">
            <w:fldChar w:fldCharType="end"/>
          </w:r>
        </w:sdtContent>
      </w:sdt>
      <w:r w:rsidR="00572976" w:rsidRPr="00252AC4">
        <w:t>, i</w:t>
      </w:r>
      <w:r w:rsidR="0090596B" w:rsidRPr="00252AC4">
        <w:t xml:space="preserve">nvestment promotion and facilitation </w:t>
      </w:r>
      <w:r w:rsidR="00572976" w:rsidRPr="00252AC4">
        <w:t>can be</w:t>
      </w:r>
      <w:r w:rsidR="0090596B" w:rsidRPr="00252AC4">
        <w:t xml:space="preserve"> a powerful means to attract FDI and maximise its benefits</w:t>
      </w:r>
      <w:r w:rsidR="00572976" w:rsidRPr="00252AC4">
        <w:t xml:space="preserve">, in the context of </w:t>
      </w:r>
      <w:r w:rsidR="00572D7E" w:rsidRPr="00252AC4">
        <w:t>broadly sound</w:t>
      </w:r>
      <w:r w:rsidR="00572976" w:rsidRPr="00252AC4">
        <w:t xml:space="preserve"> investment climates. Investment promotion </w:t>
      </w:r>
      <w:r w:rsidR="0096717A" w:rsidRPr="00252AC4">
        <w:t>consists in</w:t>
      </w:r>
      <w:r w:rsidR="0090596B" w:rsidRPr="00252AC4">
        <w:t xml:space="preserve"> leveraging the strong points of a country’s investment climate, highlighting profitable investment opportunities and identifying local partners. The rationale for investment promotion finds its roots in the need to correct or mitigate market imperfections, particularly to overcome information asymmetries </w:t>
      </w:r>
      <w:sdt>
        <w:sdtPr>
          <w:id w:val="-675574631"/>
          <w:citation/>
        </w:sdtPr>
        <w:sdtEndPr/>
        <w:sdtContent>
          <w:r w:rsidR="00DA06F1" w:rsidRPr="00252AC4">
            <w:fldChar w:fldCharType="begin"/>
          </w:r>
          <w:r w:rsidR="00DA06F1" w:rsidRPr="00252AC4">
            <w:instrText xml:space="preserve"> CITATION Mendeley_rgKZfw02pTicXWcBCt1aAQ \l 2057  \m Mendeley_tcEPOjatsz__e7ShMwPpBNQ</w:instrText>
          </w:r>
          <w:r w:rsidR="00DA06F1" w:rsidRPr="00252AC4">
            <w:fldChar w:fldCharType="separate"/>
          </w:r>
          <w:r w:rsidR="00E259C6" w:rsidRPr="00252AC4">
            <w:rPr>
              <w:noProof/>
            </w:rPr>
            <w:t>(Wells and Wint, 1990</w:t>
          </w:r>
          <w:r w:rsidR="00E259C6" w:rsidRPr="00252AC4">
            <w:rPr>
              <w:noProof/>
              <w:vertAlign w:val="subscript"/>
            </w:rPr>
            <w:t>[6]</w:t>
          </w:r>
          <w:r w:rsidR="00E259C6" w:rsidRPr="00252AC4">
            <w:rPr>
              <w:noProof/>
            </w:rPr>
            <w:t>; Loewendahl, 2001</w:t>
          </w:r>
          <w:r w:rsidR="00E259C6" w:rsidRPr="00252AC4">
            <w:rPr>
              <w:noProof/>
              <w:vertAlign w:val="subscript"/>
            </w:rPr>
            <w:t>[7]</w:t>
          </w:r>
          <w:r w:rsidR="00E259C6" w:rsidRPr="00252AC4">
            <w:rPr>
              <w:noProof/>
            </w:rPr>
            <w:t>)</w:t>
          </w:r>
          <w:r w:rsidR="00DA06F1" w:rsidRPr="00252AC4">
            <w:fldChar w:fldCharType="end"/>
          </w:r>
        </w:sdtContent>
      </w:sdt>
      <w:r w:rsidR="00DA06F1" w:rsidRPr="00252AC4">
        <w:t xml:space="preserve">. </w:t>
      </w:r>
      <w:r w:rsidR="006F43E1" w:rsidRPr="00252AC4">
        <w:t>Many countries have chosen to set</w:t>
      </w:r>
      <w:r w:rsidR="00046A2E" w:rsidRPr="00252AC4">
        <w:t>-up dedicated IPA</w:t>
      </w:r>
      <w:r w:rsidR="00AD2679" w:rsidRPr="00252AC4">
        <w:t>s</w:t>
      </w:r>
      <w:r w:rsidR="00046A2E" w:rsidRPr="00252AC4">
        <w:t xml:space="preserve"> </w:t>
      </w:r>
      <w:r w:rsidR="0090596B" w:rsidRPr="00252AC4">
        <w:t xml:space="preserve">to </w:t>
      </w:r>
      <w:r w:rsidR="006F43E1" w:rsidRPr="00252AC4">
        <w:t>a</w:t>
      </w:r>
      <w:r w:rsidR="00634051" w:rsidRPr="00252AC4">
        <w:t>ct as</w:t>
      </w:r>
      <w:r w:rsidR="006F43E1" w:rsidRPr="00252AC4">
        <w:t xml:space="preserve"> focal point</w:t>
      </w:r>
      <w:r w:rsidR="00634051" w:rsidRPr="00252AC4">
        <w:t>s</w:t>
      </w:r>
      <w:r w:rsidR="006F43E1" w:rsidRPr="00252AC4">
        <w:t xml:space="preserve"> in the institutional effort to attract foreign investment</w:t>
      </w:r>
      <w:r w:rsidR="0090596B" w:rsidRPr="00252AC4">
        <w:t xml:space="preserve">. The role of IPAs is to </w:t>
      </w:r>
      <w:r w:rsidR="00AD2679" w:rsidRPr="00252AC4">
        <w:t xml:space="preserve">promote </w:t>
      </w:r>
      <w:r w:rsidR="00501DB4" w:rsidRPr="00252AC4">
        <w:t xml:space="preserve">their </w:t>
      </w:r>
      <w:r w:rsidR="00AD2679" w:rsidRPr="00252AC4">
        <w:t>countries as attractive investment destinations</w:t>
      </w:r>
      <w:r w:rsidR="0090596B" w:rsidRPr="00252AC4">
        <w:t xml:space="preserve">, </w:t>
      </w:r>
      <w:r w:rsidR="00AD2679" w:rsidRPr="00252AC4">
        <w:t>bring new investors to the country</w:t>
      </w:r>
      <w:r w:rsidR="00B003FC">
        <w:t>,</w:t>
      </w:r>
      <w:r w:rsidR="0090596B" w:rsidRPr="00252AC4">
        <w:t xml:space="preserve"> facilitate their establishment</w:t>
      </w:r>
      <w:r w:rsidR="00F61C5C">
        <w:t>,</w:t>
      </w:r>
      <w:r w:rsidR="0090596B" w:rsidRPr="00252AC4">
        <w:t xml:space="preserve"> and</w:t>
      </w:r>
      <w:r w:rsidR="00E80301">
        <w:t xml:space="preserve"> help existing investors</w:t>
      </w:r>
      <w:r w:rsidR="00AD2679" w:rsidRPr="00252AC4">
        <w:t xml:space="preserve"> </w:t>
      </w:r>
      <w:r w:rsidR="00E80301">
        <w:t>expand</w:t>
      </w:r>
      <w:r w:rsidR="00E80301" w:rsidRPr="00252AC4">
        <w:t xml:space="preserve"> </w:t>
      </w:r>
      <w:r w:rsidR="00AD2679" w:rsidRPr="00252AC4">
        <w:t>in the economy. IPAs</w:t>
      </w:r>
      <w:r w:rsidR="0090596B" w:rsidRPr="00252AC4">
        <w:t xml:space="preserve"> </w:t>
      </w:r>
      <w:r w:rsidR="00AD2679" w:rsidRPr="00252AC4">
        <w:t xml:space="preserve">can also play a key role in the investment policy </w:t>
      </w:r>
      <w:r w:rsidR="00501DB4" w:rsidRPr="00252AC4">
        <w:t xml:space="preserve">design </w:t>
      </w:r>
      <w:r w:rsidR="00AD2679" w:rsidRPr="00252AC4">
        <w:t>through their</w:t>
      </w:r>
      <w:r w:rsidR="0090596B" w:rsidRPr="00252AC4">
        <w:t xml:space="preserve"> policy advocacy functions, providing feedback to the government </w:t>
      </w:r>
      <w:r w:rsidR="00AD2679" w:rsidRPr="00252AC4">
        <w:t>based on their field experience with MNE projects.</w:t>
      </w:r>
    </w:p>
    <w:p w14:paraId="79FF47CF" w14:textId="77777777" w:rsidR="004F0FDC" w:rsidRDefault="0090596B" w:rsidP="0090596B">
      <w:pPr>
        <w:pStyle w:val="Para0"/>
      </w:pPr>
      <w:r w:rsidRPr="00252AC4">
        <w:t xml:space="preserve">In Eurasia, investment promotion efforts are relatively recent. </w:t>
      </w:r>
      <w:r w:rsidR="007C4037" w:rsidRPr="00252AC4">
        <w:t>Governments have set up IPAs</w:t>
      </w:r>
      <w:r w:rsidRPr="00252AC4">
        <w:t xml:space="preserve"> in the last decade</w:t>
      </w:r>
      <w:r w:rsidR="009773B0" w:rsidRPr="00252AC4">
        <w:t>s</w:t>
      </w:r>
      <w:r w:rsidRPr="00252AC4">
        <w:t xml:space="preserve">, </w:t>
      </w:r>
      <w:r w:rsidR="007C4037" w:rsidRPr="00252AC4">
        <w:t xml:space="preserve">along with ongoing </w:t>
      </w:r>
      <w:r w:rsidRPr="00252AC4">
        <w:t>efforts to structure i</w:t>
      </w:r>
      <w:r w:rsidR="007C4037" w:rsidRPr="00252AC4">
        <w:t>nvestment promotion strategies. These trends</w:t>
      </w:r>
      <w:r w:rsidRPr="00252AC4">
        <w:t xml:space="preserve"> </w:t>
      </w:r>
      <w:r w:rsidR="007C4037" w:rsidRPr="00252AC4">
        <w:t>reflect the region’s increasing</w:t>
      </w:r>
      <w:r w:rsidRPr="00252AC4">
        <w:t xml:space="preserve"> interest in private sector development as a means to bring new capital and innovation capabilities</w:t>
      </w:r>
      <w:r w:rsidR="007C4037" w:rsidRPr="00252AC4">
        <w:t>,</w:t>
      </w:r>
      <w:r w:rsidRPr="00252AC4">
        <w:t xml:space="preserve"> in a context of increasing connectivity with the rest of the world.</w:t>
      </w:r>
      <w:r w:rsidR="00157600">
        <w:t xml:space="preserve"> </w:t>
      </w:r>
    </w:p>
    <w:p w14:paraId="19004612" w14:textId="42DFEAEC" w:rsidR="0090596B" w:rsidRPr="00252AC4" w:rsidRDefault="00157600" w:rsidP="0090596B">
      <w:pPr>
        <w:pStyle w:val="Para0"/>
      </w:pPr>
      <w:r>
        <w:lastRenderedPageBreak/>
        <w:t xml:space="preserve">Governments and IPAs will need, however, to </w:t>
      </w:r>
      <w:r w:rsidR="00F80611">
        <w:t>re</w:t>
      </w:r>
      <w:r>
        <w:t xml:space="preserve">double their efforts to avoid a </w:t>
      </w:r>
      <w:r w:rsidR="004F0FDC">
        <w:t>reversal of</w:t>
      </w:r>
      <w:r>
        <w:t xml:space="preserve"> steps already taken to attract diversified FDI. Beyond the measures already undertaken to mitigate the </w:t>
      </w:r>
      <w:r w:rsidR="00415365">
        <w:t xml:space="preserve">immediate </w:t>
      </w:r>
      <w:r>
        <w:t xml:space="preserve">economic </w:t>
      </w:r>
      <w:r w:rsidR="00415365">
        <w:t>costs</w:t>
      </w:r>
      <w:r>
        <w:t xml:space="preserve"> of the pandemic, governments will need to reflect on the longer-term effects of the crisis</w:t>
      </w:r>
      <w:r w:rsidR="00415365">
        <w:t xml:space="preserve"> on investment</w:t>
      </w:r>
      <w:r>
        <w:t xml:space="preserve"> and the </w:t>
      </w:r>
      <w:r w:rsidR="00415365">
        <w:t xml:space="preserve">best </w:t>
      </w:r>
      <w:r>
        <w:t>way to adjust their approach</w:t>
      </w:r>
      <w:r w:rsidR="00415365">
        <w:t>es</w:t>
      </w:r>
      <w:r>
        <w:t xml:space="preserve"> </w:t>
      </w:r>
      <w:r w:rsidR="00415365">
        <w:t>in this</w:t>
      </w:r>
      <w:r>
        <w:t xml:space="preserve"> particularly challenging context. Stiffer competition with other economies for FDI attra</w:t>
      </w:r>
      <w:r w:rsidR="00415365">
        <w:t>ction and greater risk-aversion</w:t>
      </w:r>
      <w:r>
        <w:t xml:space="preserve"> from MNEs, in particular, will </w:t>
      </w:r>
      <w:r w:rsidR="008253A5">
        <w:t xml:space="preserve">more than ever </w:t>
      </w:r>
      <w:r>
        <w:t>require</w:t>
      </w:r>
      <w:r w:rsidR="00415365">
        <w:t xml:space="preserve"> </w:t>
      </w:r>
      <w:r>
        <w:t>decisive</w:t>
      </w:r>
      <w:r w:rsidR="008253A5">
        <w:t xml:space="preserve"> </w:t>
      </w:r>
      <w:r>
        <w:t>action to address structural weaknesses</w:t>
      </w:r>
      <w:r w:rsidR="008253A5">
        <w:t xml:space="preserve"> and </w:t>
      </w:r>
      <w:r w:rsidR="008253A5" w:rsidRPr="008253A5">
        <w:t>ensure favourable business climates</w:t>
      </w:r>
      <w:sdt>
        <w:sdtPr>
          <w:id w:val="1183398373"/>
          <w:citation/>
        </w:sdtPr>
        <w:sdtEndPr/>
        <w:sdtContent>
          <w:r w:rsidR="008253A5">
            <w:fldChar w:fldCharType="begin"/>
          </w:r>
          <w:r w:rsidR="008253A5" w:rsidRPr="006E0CE5">
            <w:instrText xml:space="preserve"> CITATION OEC \l 1036 </w:instrText>
          </w:r>
          <w:r w:rsidR="008253A5">
            <w:fldChar w:fldCharType="separate"/>
          </w:r>
          <w:r w:rsidR="008253A5" w:rsidRPr="006E0CE5">
            <w:rPr>
              <w:noProof/>
            </w:rPr>
            <w:t xml:space="preserve"> (</w:t>
          </w:r>
          <w:bookmarkStart w:id="44" w:name="OEC_9"/>
          <w:r w:rsidR="008253A5" w:rsidRPr="006E0CE5">
            <w:rPr>
              <w:noProof/>
            </w:rPr>
            <w:t>OECD, forthcoming</w:t>
          </w:r>
          <w:r w:rsidR="008253A5" w:rsidRPr="006E0CE5">
            <w:rPr>
              <w:noProof/>
              <w:vertAlign w:val="subscript"/>
            </w:rPr>
            <w:t>[9]</w:t>
          </w:r>
          <w:r w:rsidR="008253A5" w:rsidRPr="006E0CE5">
            <w:rPr>
              <w:noProof/>
            </w:rPr>
            <w:t>)</w:t>
          </w:r>
          <w:bookmarkEnd w:id="44"/>
          <w:r w:rsidR="008253A5">
            <w:fldChar w:fldCharType="end"/>
          </w:r>
        </w:sdtContent>
      </w:sdt>
      <w:r>
        <w:t>.</w:t>
      </w:r>
      <w:r w:rsidR="00893DDA">
        <w:t xml:space="preserve"> The role of IPAs in </w:t>
      </w:r>
      <w:r w:rsidR="003A59D6">
        <w:t>communicating</w:t>
      </w:r>
      <w:r w:rsidR="00893DDA">
        <w:t xml:space="preserve"> adequately with foreign investors, and their contributions to the necessary policy reforms, will be an important part of this effort.</w:t>
      </w:r>
    </w:p>
    <w:p w14:paraId="3A8CF116" w14:textId="77777777" w:rsidR="0090596B" w:rsidRPr="00252AC4" w:rsidRDefault="0090596B" w:rsidP="00BF3254">
      <w:pPr>
        <w:pStyle w:val="Heading2"/>
        <w:rPr>
          <w:rFonts w:hint="eastAsia"/>
        </w:rPr>
      </w:pPr>
      <w:bookmarkStart w:id="45" w:name="_Toc31617777"/>
      <w:bookmarkStart w:id="46" w:name="_Toc31641306"/>
      <w:bookmarkStart w:id="47" w:name="_Toc31650304"/>
      <w:bookmarkStart w:id="48" w:name="_Toc32317005"/>
      <w:bookmarkStart w:id="49" w:name="_Toc32324664"/>
      <w:bookmarkStart w:id="50" w:name="_Toc40103019"/>
      <w:r w:rsidRPr="00252AC4">
        <w:t>Purpose of the OECD-IDB IPA mapping and report</w:t>
      </w:r>
      <w:bookmarkEnd w:id="45"/>
      <w:bookmarkEnd w:id="46"/>
      <w:bookmarkEnd w:id="47"/>
      <w:bookmarkEnd w:id="48"/>
      <w:bookmarkEnd w:id="49"/>
      <w:bookmarkEnd w:id="50"/>
    </w:p>
    <w:p w14:paraId="4C09BCF2" w14:textId="540F10DB" w:rsidR="0090596B" w:rsidRPr="00252AC4" w:rsidRDefault="0090596B" w:rsidP="0090596B">
      <w:pPr>
        <w:pStyle w:val="Para0"/>
      </w:pPr>
      <w:r w:rsidRPr="00252AC4">
        <w:t xml:space="preserve">This report builds on previous work done by the OECD and IDB on investment promotion agencies </w:t>
      </w:r>
      <w:sdt>
        <w:sdtPr>
          <w:id w:val="-1990850779"/>
          <w:citation/>
        </w:sdtPr>
        <w:sdtEndPr/>
        <w:sdtContent>
          <w:r w:rsidR="00D72781" w:rsidRPr="00252AC4">
            <w:fldChar w:fldCharType="begin"/>
          </w:r>
          <w:r w:rsidR="00D72781" w:rsidRPr="00252AC4">
            <w:rPr>
              <w:noProof/>
              <w:vertAlign w:val="subscript"/>
            </w:rPr>
            <w:instrText xml:space="preserve"> CITATION OEC18 \l 2057  \m Placeholder1 \m Mendeley_6C7B1fKp7Tm7ZDYVh25ZDQ </w:instrText>
          </w:r>
          <w:r w:rsidR="00D72781" w:rsidRPr="00252AC4">
            <w:fldChar w:fldCharType="separate"/>
          </w:r>
          <w:bookmarkStart w:id="51" w:name="Mendeley_6C7B1fKp7Tm7ZDYVh25ZDQ_9"/>
          <w:bookmarkStart w:id="52" w:name="Placeholder1_8"/>
          <w:r w:rsidR="00E259C6" w:rsidRPr="00252AC4">
            <w:rPr>
              <w:noProof/>
            </w:rPr>
            <w:t>(OECD, 2018</w:t>
          </w:r>
          <w:r w:rsidR="00E259C6" w:rsidRPr="00252AC4">
            <w:rPr>
              <w:noProof/>
              <w:vertAlign w:val="subscript"/>
            </w:rPr>
            <w:t>[3]</w:t>
          </w:r>
          <w:r w:rsidR="00E259C6" w:rsidRPr="00252AC4">
            <w:rPr>
              <w:noProof/>
            </w:rPr>
            <w:t>; OECD, 2019</w:t>
          </w:r>
          <w:r w:rsidR="00E259C6" w:rsidRPr="00252AC4">
            <w:rPr>
              <w:noProof/>
              <w:vertAlign w:val="subscript"/>
            </w:rPr>
            <w:t>[8]</w:t>
          </w:r>
          <w:r w:rsidR="00E259C6" w:rsidRPr="00252AC4">
            <w:rPr>
              <w:noProof/>
            </w:rPr>
            <w:t>; Volpe Martincus and Sztajerowska, 2019</w:t>
          </w:r>
          <w:r w:rsidR="00E259C6" w:rsidRPr="00252AC4">
            <w:rPr>
              <w:noProof/>
              <w:vertAlign w:val="subscript"/>
            </w:rPr>
            <w:t>[9]</w:t>
          </w:r>
          <w:r w:rsidR="00E259C6" w:rsidRPr="00252AC4">
            <w:rPr>
              <w:noProof/>
            </w:rPr>
            <w:t>)</w:t>
          </w:r>
          <w:bookmarkEnd w:id="51"/>
          <w:bookmarkEnd w:id="52"/>
          <w:r w:rsidR="00D72781" w:rsidRPr="00252AC4">
            <w:fldChar w:fldCharType="end"/>
          </w:r>
        </w:sdtContent>
      </w:sdt>
      <w:r w:rsidRPr="00252AC4">
        <w:t xml:space="preserve">. It expands the existing knowledge with a regional focus on </w:t>
      </w:r>
      <w:r w:rsidR="000D5AA0" w:rsidRPr="00252AC4">
        <w:t xml:space="preserve">Eurasia </w:t>
      </w:r>
      <w:r w:rsidRPr="00252AC4">
        <w:t xml:space="preserve">countries by providing a comprehensive and comparative mapping of current investment promotion practices of IPAs in the region (see Box 1 for details). Its objective is to </w:t>
      </w:r>
      <w:r w:rsidR="000D5AA0" w:rsidRPr="00252AC4">
        <w:t>identify key</w:t>
      </w:r>
      <w:r w:rsidRPr="00252AC4">
        <w:t xml:space="preserve"> trends across agencies and provide comparisons across regions using a database of IPAs in 69 </w:t>
      </w:r>
      <w:r w:rsidR="002969A0" w:rsidRPr="00252AC4">
        <w:t>economies</w:t>
      </w:r>
      <w:r w:rsidRPr="00252AC4">
        <w:t xml:space="preserve">, including 32 from the OECD, 19 from Latin America and the Caribbean (LAC), and 8 from </w:t>
      </w:r>
      <w:r w:rsidR="002969A0" w:rsidRPr="00252AC4">
        <w:t xml:space="preserve">the </w:t>
      </w:r>
      <w:r w:rsidRPr="00252AC4">
        <w:t xml:space="preserve">Middle East and North Africa (MENA). While region-wide comparisons </w:t>
      </w:r>
      <w:r w:rsidR="000D5AA0" w:rsidRPr="00252AC4">
        <w:t>are helpful for identifying</w:t>
      </w:r>
      <w:r w:rsidRPr="00252AC4">
        <w:t xml:space="preserve"> trends, </w:t>
      </w:r>
      <w:r w:rsidR="000D5AA0" w:rsidRPr="00252AC4">
        <w:t>they should not be construed as systematic</w:t>
      </w:r>
      <w:r w:rsidRPr="00252AC4">
        <w:t xml:space="preserve"> assessment </w:t>
      </w:r>
      <w:r w:rsidR="000D5AA0" w:rsidRPr="00252AC4">
        <w:t>against a “gold standard”. The aim is</w:t>
      </w:r>
      <w:r w:rsidRPr="00252AC4">
        <w:t xml:space="preserve"> to </w:t>
      </w:r>
      <w:r w:rsidR="00C47769" w:rsidRPr="00252AC4">
        <w:t xml:space="preserve">foster peer </w:t>
      </w:r>
      <w:r w:rsidRPr="00252AC4">
        <w:t>learning among IPA practitioners and policymakers, allowing them to better understand what drives differences and similarities across agencies, and to reflect on future strategic orientations</w:t>
      </w:r>
      <w:r w:rsidR="00CB58DE" w:rsidRPr="00252AC4">
        <w:t xml:space="preserve"> with new insights and ideas</w:t>
      </w:r>
      <w:r w:rsidRPr="00252AC4">
        <w:t>.</w:t>
      </w:r>
      <w:r w:rsidR="000A5F9F" w:rsidRPr="00252AC4">
        <w:t xml:space="preserve"> The report thus suggests avenues for Eurasia governments and</w:t>
      </w:r>
      <w:r w:rsidR="002969A0" w:rsidRPr="00252AC4">
        <w:t xml:space="preserve"> their</w:t>
      </w:r>
      <w:r w:rsidR="000A5F9F" w:rsidRPr="00252AC4">
        <w:t xml:space="preserve"> IPAs to consider in the future development of their investment promotion efforts.</w:t>
      </w:r>
    </w:p>
    <w:tbl>
      <w:tblPr>
        <w:tblStyle w:val="TableGrid"/>
        <w:tblpPr w:leftFromText="180" w:rightFromText="180" w:vertAnchor="text" w:horzAnchor="margin" w:tblpY="-35"/>
        <w:tblW w:w="9309" w:type="dxa"/>
        <w:shd w:val="clear" w:color="auto" w:fill="E1E6EB"/>
        <w:tblCellMar>
          <w:left w:w="0" w:type="dxa"/>
          <w:bottom w:w="142" w:type="dxa"/>
          <w:right w:w="0" w:type="dxa"/>
        </w:tblCellMar>
        <w:tblLook w:val="04A0" w:firstRow="1" w:lastRow="0" w:firstColumn="1" w:lastColumn="0" w:noHBand="0" w:noVBand="1"/>
      </w:tblPr>
      <w:tblGrid>
        <w:gridCol w:w="9309"/>
      </w:tblGrid>
      <w:tr w:rsidR="001230C2" w:rsidRPr="00252AC4" w14:paraId="6B09941B" w14:textId="77777777" w:rsidTr="00B83DE9">
        <w:tc>
          <w:tcPr>
            <w:tcW w:w="9309" w:type="dxa"/>
            <w:shd w:val="clear" w:color="auto" w:fill="E1E6EB"/>
          </w:tcPr>
          <w:p w14:paraId="653C666E" w14:textId="029AA83F" w:rsidR="001230C2" w:rsidRPr="00252AC4" w:rsidRDefault="001230C2" w:rsidP="00B83DE9">
            <w:pPr>
              <w:pStyle w:val="Caption"/>
            </w:pPr>
            <w:bookmarkStart w:id="53" w:name="_Toc31617723"/>
            <w:bookmarkStart w:id="54" w:name="_Toc31650364"/>
            <w:bookmarkStart w:id="55" w:name="_Toc32317068"/>
            <w:bookmarkStart w:id="56" w:name="_Toc32324727"/>
            <w:bookmarkStart w:id="57" w:name="_Toc34647278"/>
            <w:r w:rsidRPr="00252AC4">
              <w:lastRenderedPageBreak/>
              <w:t>Box </w:t>
            </w:r>
            <w:r w:rsidRPr="00252AC4">
              <w:rPr>
                <w:noProof/>
              </w:rPr>
              <w:fldChar w:fldCharType="begin"/>
            </w:r>
            <w:r w:rsidRPr="00252AC4">
              <w:rPr>
                <w:noProof/>
              </w:rPr>
              <w:instrText xml:space="preserve"> SEQ Box \* ARABIC \s 1 </w:instrText>
            </w:r>
            <w:r w:rsidRPr="00252AC4">
              <w:rPr>
                <w:noProof/>
              </w:rPr>
              <w:fldChar w:fldCharType="separate"/>
            </w:r>
            <w:r w:rsidR="008914FE">
              <w:rPr>
                <w:noProof/>
              </w:rPr>
              <w:t>1</w:t>
            </w:r>
            <w:r w:rsidRPr="00252AC4">
              <w:rPr>
                <w:noProof/>
              </w:rPr>
              <w:fldChar w:fldCharType="end"/>
            </w:r>
            <w:r w:rsidRPr="00252AC4">
              <w:t>. The OECD-IDB Survey of Investment Promotion Agencies</w:t>
            </w:r>
            <w:bookmarkEnd w:id="53"/>
            <w:bookmarkEnd w:id="54"/>
            <w:bookmarkEnd w:id="55"/>
            <w:bookmarkEnd w:id="56"/>
            <w:bookmarkEnd w:id="57"/>
          </w:p>
          <w:p w14:paraId="59326692" w14:textId="0CEE105B" w:rsidR="001230C2" w:rsidRPr="00252AC4" w:rsidRDefault="001230C2" w:rsidP="00B83DE9">
            <w:pPr>
              <w:pStyle w:val="Para0"/>
            </w:pPr>
            <w:r w:rsidRPr="00252AC4">
              <w:rPr>
                <w:sz w:val="20"/>
              </w:rPr>
              <w:t xml:space="preserve">The OECD and Inter-American Development Bank (IDB) jointly designed a comprehensive survey of IPAs, which </w:t>
            </w:r>
            <w:r w:rsidR="000F6514" w:rsidRPr="00252AC4">
              <w:rPr>
                <w:sz w:val="20"/>
              </w:rPr>
              <w:t xml:space="preserve">was rolled out in </w:t>
            </w:r>
            <w:r w:rsidRPr="00252AC4">
              <w:rPr>
                <w:sz w:val="20"/>
              </w:rPr>
              <w:t xml:space="preserve">three </w:t>
            </w:r>
            <w:r w:rsidR="00CA3831" w:rsidRPr="00252AC4">
              <w:rPr>
                <w:sz w:val="20"/>
              </w:rPr>
              <w:t>group</w:t>
            </w:r>
            <w:r w:rsidR="0064213B" w:rsidRPr="00252AC4">
              <w:rPr>
                <w:sz w:val="20"/>
              </w:rPr>
              <w:t>s</w:t>
            </w:r>
            <w:r w:rsidR="00CA3831" w:rsidRPr="00252AC4">
              <w:rPr>
                <w:sz w:val="20"/>
              </w:rPr>
              <w:t xml:space="preserve"> of countries </w:t>
            </w:r>
            <w:r w:rsidR="000F6514" w:rsidRPr="00252AC4">
              <w:rPr>
                <w:sz w:val="20"/>
              </w:rPr>
              <w:t>(OECD, LAC and MENA) between 2017 and 2019, before being conducted in countries of the OECD Eurasia Competitiveness Programme (ECP)</w:t>
            </w:r>
            <w:r w:rsidRPr="00252AC4">
              <w:rPr>
                <w:sz w:val="20"/>
              </w:rPr>
              <w:t xml:space="preserve">. </w:t>
            </w:r>
            <w:r w:rsidR="000F6514" w:rsidRPr="00252AC4">
              <w:rPr>
                <w:sz w:val="20"/>
              </w:rPr>
              <w:t>Based on the</w:t>
            </w:r>
            <w:r w:rsidRPr="00252AC4">
              <w:rPr>
                <w:sz w:val="20"/>
              </w:rPr>
              <w:t xml:space="preserve"> survey</w:t>
            </w:r>
            <w:r w:rsidR="000F6514" w:rsidRPr="00252AC4">
              <w:rPr>
                <w:sz w:val="20"/>
              </w:rPr>
              <w:t xml:space="preserve"> results</w:t>
            </w:r>
            <w:r w:rsidRPr="00252AC4">
              <w:rPr>
                <w:sz w:val="20"/>
              </w:rPr>
              <w:t xml:space="preserve">, this report provides </w:t>
            </w:r>
            <w:r w:rsidR="000F6514" w:rsidRPr="00252AC4">
              <w:rPr>
                <w:sz w:val="20"/>
              </w:rPr>
              <w:t>insights and trends of current</w:t>
            </w:r>
            <w:r w:rsidRPr="00252AC4">
              <w:rPr>
                <w:sz w:val="20"/>
              </w:rPr>
              <w:t xml:space="preserve"> </w:t>
            </w:r>
            <w:r w:rsidR="000F6514" w:rsidRPr="00252AC4">
              <w:rPr>
                <w:sz w:val="20"/>
              </w:rPr>
              <w:t>organisations and</w:t>
            </w:r>
            <w:r w:rsidRPr="00252AC4">
              <w:rPr>
                <w:sz w:val="20"/>
              </w:rPr>
              <w:t xml:space="preserve"> practices </w:t>
            </w:r>
            <w:r w:rsidR="000F6514" w:rsidRPr="00252AC4">
              <w:rPr>
                <w:sz w:val="20"/>
              </w:rPr>
              <w:t>of</w:t>
            </w:r>
            <w:r w:rsidRPr="00252AC4">
              <w:rPr>
                <w:sz w:val="20"/>
              </w:rPr>
              <w:t xml:space="preserve"> 10 I</w:t>
            </w:r>
            <w:r w:rsidR="000F6514" w:rsidRPr="00252AC4">
              <w:rPr>
                <w:sz w:val="20"/>
              </w:rPr>
              <w:t xml:space="preserve">nvestment </w:t>
            </w:r>
            <w:r w:rsidRPr="00252AC4">
              <w:rPr>
                <w:sz w:val="20"/>
              </w:rPr>
              <w:t>P</w:t>
            </w:r>
            <w:r w:rsidR="000F6514" w:rsidRPr="00252AC4">
              <w:rPr>
                <w:sz w:val="20"/>
              </w:rPr>
              <w:t xml:space="preserve">romotion </w:t>
            </w:r>
            <w:r w:rsidRPr="00252AC4">
              <w:rPr>
                <w:sz w:val="20"/>
              </w:rPr>
              <w:t>A</w:t>
            </w:r>
            <w:r w:rsidR="000F6514" w:rsidRPr="00252AC4">
              <w:rPr>
                <w:sz w:val="20"/>
              </w:rPr>
              <w:t>gencie</w:t>
            </w:r>
            <w:r w:rsidRPr="00252AC4">
              <w:rPr>
                <w:sz w:val="20"/>
              </w:rPr>
              <w:t>s</w:t>
            </w:r>
            <w:r w:rsidR="000F6514" w:rsidRPr="00252AC4">
              <w:rPr>
                <w:sz w:val="20"/>
              </w:rPr>
              <w:t xml:space="preserve"> (</w:t>
            </w:r>
            <w:r w:rsidRPr="00252AC4">
              <w:rPr>
                <w:sz w:val="20"/>
              </w:rPr>
              <w:t>IPAs</w:t>
            </w:r>
            <w:r w:rsidR="000F6514" w:rsidRPr="00252AC4">
              <w:rPr>
                <w:sz w:val="20"/>
              </w:rPr>
              <w:t>)</w:t>
            </w:r>
            <w:r w:rsidRPr="00252AC4">
              <w:rPr>
                <w:sz w:val="20"/>
              </w:rPr>
              <w:t xml:space="preserve"> from countries of Eastern Europe, the South Caucasus and Central Asia</w:t>
            </w:r>
            <w:r w:rsidR="00795EEC" w:rsidRPr="00252AC4">
              <w:rPr>
                <w:sz w:val="20"/>
              </w:rPr>
              <w:t>, here grouped under “Eurasia”</w:t>
            </w:r>
            <w:r w:rsidR="000F6514" w:rsidRPr="00252AC4">
              <w:rPr>
                <w:sz w:val="20"/>
              </w:rPr>
              <w:t>. Participating countries are</w:t>
            </w:r>
            <w:r w:rsidR="00795EEC" w:rsidRPr="00252AC4">
              <w:rPr>
                <w:sz w:val="20"/>
              </w:rPr>
              <w:t xml:space="preserve"> </w:t>
            </w:r>
            <w:r w:rsidRPr="00252AC4">
              <w:rPr>
                <w:sz w:val="20"/>
              </w:rPr>
              <w:t xml:space="preserve">Afghanistan, Azerbaijan, Belarus, Georgia, Kazakhstan, Kyrgyzstan, Mongolia, Tajikistan, Ukraine and Uzbekistan. </w:t>
            </w:r>
            <w:r w:rsidR="00795EEC" w:rsidRPr="00252AC4">
              <w:rPr>
                <w:sz w:val="20"/>
              </w:rPr>
              <w:t xml:space="preserve">Armenia and Moldova have not yet participated in the exercise, as their agencies </w:t>
            </w:r>
            <w:r w:rsidR="000F6514" w:rsidRPr="00252AC4">
              <w:rPr>
                <w:sz w:val="20"/>
              </w:rPr>
              <w:t>were</w:t>
            </w:r>
            <w:r w:rsidR="00795EEC" w:rsidRPr="00252AC4">
              <w:rPr>
                <w:sz w:val="20"/>
              </w:rPr>
              <w:t xml:space="preserve"> going </w:t>
            </w:r>
            <w:r w:rsidR="000F6514" w:rsidRPr="00252AC4">
              <w:rPr>
                <w:sz w:val="20"/>
              </w:rPr>
              <w:t>through</w:t>
            </w:r>
            <w:r w:rsidR="00795EEC" w:rsidRPr="00252AC4">
              <w:rPr>
                <w:sz w:val="20"/>
              </w:rPr>
              <w:t xml:space="preserve"> major changes and restructurings</w:t>
            </w:r>
            <w:r w:rsidR="00BE08D7" w:rsidRPr="00252AC4">
              <w:rPr>
                <w:sz w:val="20"/>
              </w:rPr>
              <w:t xml:space="preserve"> at the time the survey was carried out</w:t>
            </w:r>
            <w:r w:rsidR="00795EEC" w:rsidRPr="00252AC4">
              <w:rPr>
                <w:sz w:val="20"/>
              </w:rPr>
              <w:t xml:space="preserve">. </w:t>
            </w:r>
          </w:p>
          <w:p w14:paraId="7D95DC5B" w14:textId="76CCA826" w:rsidR="001230C2" w:rsidRPr="00252AC4" w:rsidRDefault="001230C2" w:rsidP="00B83DE9">
            <w:pPr>
              <w:pStyle w:val="Para0"/>
              <w:rPr>
                <w:sz w:val="20"/>
              </w:rPr>
            </w:pPr>
            <w:r w:rsidRPr="00252AC4">
              <w:rPr>
                <w:sz w:val="20"/>
              </w:rPr>
              <w:t xml:space="preserve">The survey </w:t>
            </w:r>
            <w:r w:rsidR="00A10AB5" w:rsidRPr="00252AC4">
              <w:rPr>
                <w:sz w:val="20"/>
              </w:rPr>
              <w:t>is</w:t>
            </w:r>
            <w:r w:rsidRPr="00252AC4">
              <w:rPr>
                <w:sz w:val="20"/>
              </w:rPr>
              <w:t xml:space="preserve"> divided into nine parts:</w:t>
            </w:r>
          </w:p>
          <w:p w14:paraId="79338FC8"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Basic profile;</w:t>
            </w:r>
          </w:p>
          <w:p w14:paraId="4A1FEE42"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Budget;</w:t>
            </w:r>
          </w:p>
          <w:p w14:paraId="46042488"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Personnel;</w:t>
            </w:r>
          </w:p>
          <w:p w14:paraId="27FA44FB"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Offices (home and abroad);</w:t>
            </w:r>
          </w:p>
          <w:p w14:paraId="47352747"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Activities;</w:t>
            </w:r>
          </w:p>
          <w:p w14:paraId="5D309D51"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Prioritisation;</w:t>
            </w:r>
          </w:p>
          <w:p w14:paraId="2D10140E"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Monitoring and evaluation;</w:t>
            </w:r>
          </w:p>
          <w:p w14:paraId="5CDE1894"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Institutional interactions; and</w:t>
            </w:r>
          </w:p>
          <w:p w14:paraId="4F61C825" w14:textId="77777777" w:rsidR="001230C2" w:rsidRPr="00252AC4" w:rsidRDefault="001230C2" w:rsidP="001230C2">
            <w:pPr>
              <w:pStyle w:val="Para0"/>
              <w:numPr>
                <w:ilvl w:val="0"/>
                <w:numId w:val="13"/>
              </w:numPr>
              <w:spacing w:before="0" w:after="0" w:line="260" w:lineRule="atLeast"/>
              <w:ind w:right="0"/>
              <w:rPr>
                <w:sz w:val="20"/>
              </w:rPr>
            </w:pPr>
            <w:r w:rsidRPr="00252AC4">
              <w:rPr>
                <w:sz w:val="20"/>
              </w:rPr>
              <w:t>IPA perceptions on FDI.</w:t>
            </w:r>
          </w:p>
          <w:p w14:paraId="7548203C" w14:textId="77777777" w:rsidR="001230C2" w:rsidRPr="00252AC4" w:rsidRDefault="001230C2" w:rsidP="00B83DE9">
            <w:pPr>
              <w:pStyle w:val="Para0"/>
            </w:pPr>
            <w:r w:rsidRPr="00252AC4">
              <w:rPr>
                <w:sz w:val="20"/>
              </w:rPr>
              <w:t>IPA respondents completed the questionnaire between March and July 2019. The preliminary results of the survey were presented and discussed at an OECD workshop on investment promotion and facilitation on 22 October 2019.</w:t>
            </w:r>
          </w:p>
        </w:tc>
      </w:tr>
    </w:tbl>
    <w:p w14:paraId="612807C5" w14:textId="7A224AA3" w:rsidR="00BD768B" w:rsidRPr="00252AC4" w:rsidRDefault="000A5F9F" w:rsidP="00BF459D">
      <w:pPr>
        <w:pStyle w:val="Para0"/>
      </w:pPr>
      <w:r w:rsidRPr="00252AC4">
        <w:t>This</w:t>
      </w:r>
      <w:r w:rsidR="0090596B" w:rsidRPr="00252AC4">
        <w:t xml:space="preserve"> report </w:t>
      </w:r>
      <w:r w:rsidR="00C47769" w:rsidRPr="00252AC4">
        <w:t xml:space="preserve">is </w:t>
      </w:r>
      <w:r w:rsidRPr="00252AC4">
        <w:t>divided into</w:t>
      </w:r>
      <w:r w:rsidR="00C47769" w:rsidRPr="00252AC4">
        <w:t xml:space="preserve"> three chapters. The first explores</w:t>
      </w:r>
      <w:r w:rsidR="0090596B" w:rsidRPr="00252AC4">
        <w:t xml:space="preserve"> IPAs’ institutional and organisational characteristics, including mandates, resources and strategic planning, followed by a discussion on IPAs’ </w:t>
      </w:r>
      <w:r w:rsidR="00595771" w:rsidRPr="00252AC4">
        <w:t>role in</w:t>
      </w:r>
      <w:r w:rsidR="0090596B" w:rsidRPr="00252AC4">
        <w:t xml:space="preserve"> the wider institutional framework of investment promotion and economic development. </w:t>
      </w:r>
      <w:r w:rsidR="009773B0" w:rsidRPr="00252AC4">
        <w:t>C</w:t>
      </w:r>
      <w:r w:rsidR="0090596B" w:rsidRPr="00252AC4">
        <w:t>hapter</w:t>
      </w:r>
      <w:r w:rsidR="009773B0" w:rsidRPr="00252AC4">
        <w:t> 2</w:t>
      </w:r>
      <w:r w:rsidR="0090596B" w:rsidRPr="00252AC4">
        <w:t xml:space="preserve"> looks at how IPAs realise their mandates to attract FDI. It </w:t>
      </w:r>
      <w:r w:rsidR="00595771" w:rsidRPr="00252AC4">
        <w:t xml:space="preserve">examines </w:t>
      </w:r>
      <w:r w:rsidR="0090596B" w:rsidRPr="00252AC4">
        <w:t xml:space="preserve">IPAs’ specific activities performed within each core function, and presents different </w:t>
      </w:r>
      <w:r w:rsidRPr="00252AC4">
        <w:t xml:space="preserve">FDI </w:t>
      </w:r>
      <w:r w:rsidR="00C47769" w:rsidRPr="00252AC4">
        <w:t xml:space="preserve">prioritisation </w:t>
      </w:r>
      <w:r w:rsidR="0090596B" w:rsidRPr="00252AC4">
        <w:t xml:space="preserve">approaches, outlining methods, criteria and tools used across agencies and regions. </w:t>
      </w:r>
      <w:r w:rsidR="009773B0" w:rsidRPr="00252AC4">
        <w:t xml:space="preserve">Finally, the </w:t>
      </w:r>
      <w:r w:rsidR="0090596B" w:rsidRPr="00252AC4">
        <w:t xml:space="preserve">third chapter focuses on IPAs’ monitoring and evaluation systems. It analyses their overall engagement in this area, </w:t>
      </w:r>
      <w:r w:rsidR="00A97C1D" w:rsidRPr="00252AC4">
        <w:t xml:space="preserve">and </w:t>
      </w:r>
      <w:r w:rsidR="0090596B" w:rsidRPr="00252AC4">
        <w:t>discusses their methodologies and indicators used.</w:t>
      </w:r>
      <w:bookmarkStart w:id="58" w:name="_Toc31641364"/>
    </w:p>
    <w:p w14:paraId="36BBDC9D" w14:textId="72B78DCC" w:rsidR="00755338" w:rsidRPr="00252AC4" w:rsidRDefault="00A959C6" w:rsidP="00AE24CD">
      <w:pPr>
        <w:pStyle w:val="Heading1"/>
        <w:rPr>
          <w:rFonts w:hint="eastAsia"/>
        </w:rPr>
      </w:pPr>
      <w:bookmarkStart w:id="59" w:name="_Toc31617778"/>
      <w:bookmarkStart w:id="60" w:name="_Toc31641307"/>
      <w:bookmarkStart w:id="61" w:name="_Toc31650305"/>
      <w:bookmarkStart w:id="62" w:name="_Toc32324665"/>
      <w:bookmarkStart w:id="63" w:name="_Toc40103020"/>
      <w:bookmarkEnd w:id="58"/>
      <w:r w:rsidRPr="00252AC4">
        <w:lastRenderedPageBreak/>
        <w:t>I</w:t>
      </w:r>
      <w:r w:rsidR="00820F39" w:rsidRPr="00252AC4">
        <w:t xml:space="preserve">nstitutional </w:t>
      </w:r>
      <w:bookmarkStart w:id="64" w:name="_Toc32317006"/>
      <w:r w:rsidR="00820F39" w:rsidRPr="00252AC4">
        <w:t xml:space="preserve">settings and </w:t>
      </w:r>
      <w:r w:rsidR="00826149" w:rsidRPr="00252AC4">
        <w:t xml:space="preserve">IPA </w:t>
      </w:r>
      <w:r w:rsidR="00820F39" w:rsidRPr="00252AC4">
        <w:t>roles</w:t>
      </w:r>
      <w:bookmarkEnd w:id="59"/>
      <w:bookmarkEnd w:id="60"/>
      <w:bookmarkEnd w:id="61"/>
      <w:bookmarkEnd w:id="62"/>
      <w:bookmarkEnd w:id="64"/>
      <w:bookmarkEnd w:id="63"/>
    </w:p>
    <w:p w14:paraId="6C063268" w14:textId="2D9A798B" w:rsidR="009B4CF3" w:rsidRPr="00252AC4" w:rsidRDefault="003D0F65" w:rsidP="002C75F3">
      <w:pPr>
        <w:pStyle w:val="Abstract"/>
      </w:pPr>
      <w:r w:rsidRPr="00252AC4">
        <w:t xml:space="preserve">Although most </w:t>
      </w:r>
      <w:r w:rsidR="00581EDD" w:rsidRPr="00252AC4">
        <w:t xml:space="preserve">Eurasia IPAs </w:t>
      </w:r>
      <w:r w:rsidRPr="00252AC4">
        <w:t xml:space="preserve">were created in the last decade, they </w:t>
      </w:r>
      <w:r w:rsidR="00581EDD" w:rsidRPr="00252AC4">
        <w:t xml:space="preserve">have </w:t>
      </w:r>
      <w:r w:rsidRPr="00252AC4">
        <w:t xml:space="preserve">already </w:t>
      </w:r>
      <w:r w:rsidR="00581EDD" w:rsidRPr="00252AC4">
        <w:t>u</w:t>
      </w:r>
      <w:r w:rsidR="00FF0C1F" w:rsidRPr="00252AC4">
        <w:t>ndergone important restructuring,</w:t>
      </w:r>
      <w:r w:rsidR="00354A21" w:rsidRPr="00252AC4">
        <w:t xml:space="preserve"> </w:t>
      </w:r>
      <w:r w:rsidR="00FF0C1F" w:rsidRPr="00252AC4">
        <w:t xml:space="preserve">which </w:t>
      </w:r>
      <w:r w:rsidR="00581EDD" w:rsidRPr="00252AC4">
        <w:t>pose</w:t>
      </w:r>
      <w:r w:rsidR="00FF0C1F" w:rsidRPr="00252AC4">
        <w:t>s</w:t>
      </w:r>
      <w:r w:rsidR="00581EDD" w:rsidRPr="00252AC4">
        <w:t xml:space="preserve"> challenges </w:t>
      </w:r>
      <w:r w:rsidRPr="00252AC4">
        <w:t>such as</w:t>
      </w:r>
      <w:r w:rsidR="00581EDD" w:rsidRPr="00252AC4">
        <w:t xml:space="preserve"> instability of mandates and high staff turnover. </w:t>
      </w:r>
      <w:r w:rsidRPr="00252AC4">
        <w:t>Their overall level of institutional independence is relatively low, compared to IPA</w:t>
      </w:r>
      <w:r w:rsidR="00200355" w:rsidRPr="00252AC4">
        <w:t>s</w:t>
      </w:r>
      <w:r w:rsidRPr="00252AC4">
        <w:t xml:space="preserve"> in other regions. </w:t>
      </w:r>
      <w:r w:rsidR="00767B01" w:rsidRPr="00252AC4">
        <w:t>Gradually granting</w:t>
      </w:r>
      <w:r w:rsidRPr="00252AC4">
        <w:t xml:space="preserve"> </w:t>
      </w:r>
      <w:r w:rsidR="0094522D" w:rsidRPr="00252AC4">
        <w:t>Eurasia IPAs</w:t>
      </w:r>
      <w:r w:rsidR="00767B01" w:rsidRPr="00252AC4">
        <w:t xml:space="preserve"> more independence</w:t>
      </w:r>
      <w:r w:rsidRPr="00252AC4">
        <w:t xml:space="preserve"> could help them establish themselves as go-to partners of foreign investors and policy influencers. Shorter and adequate reporting lines, in particular, are essential in this regard</w:t>
      </w:r>
      <w:r w:rsidR="0094522D" w:rsidRPr="00252AC4">
        <w:t>, in addition to being a key enabling factor of a whole-of-government approach to investment attraction</w:t>
      </w:r>
      <w:r w:rsidRPr="00252AC4">
        <w:t>.</w:t>
      </w:r>
      <w:r w:rsidR="0094522D" w:rsidRPr="00252AC4">
        <w:t xml:space="preserve"> Most Eurasia IPAs operate with limited resources, which requires strategic focus. </w:t>
      </w:r>
      <w:r w:rsidRPr="00252AC4">
        <w:t xml:space="preserve">In </w:t>
      </w:r>
      <w:r w:rsidR="00303855" w:rsidRPr="00252AC4">
        <w:t>Eurasia</w:t>
      </w:r>
      <w:r w:rsidRPr="00252AC4">
        <w:t>, more than in other regions,</w:t>
      </w:r>
      <w:r w:rsidR="00303855" w:rsidRPr="00252AC4">
        <w:t xml:space="preserve"> investment promotion mandate</w:t>
      </w:r>
      <w:r w:rsidRPr="00252AC4">
        <w:t xml:space="preserve">s </w:t>
      </w:r>
      <w:r w:rsidR="00BE5A07">
        <w:t>have been</w:t>
      </w:r>
      <w:r w:rsidR="00BE5A07" w:rsidRPr="00252AC4">
        <w:t xml:space="preserve"> </w:t>
      </w:r>
      <w:r w:rsidRPr="00252AC4">
        <w:t>associated with</w:t>
      </w:r>
      <w:r w:rsidR="00303855" w:rsidRPr="00252AC4">
        <w:t xml:space="preserve"> regional development</w:t>
      </w:r>
      <w:r w:rsidR="0094522D" w:rsidRPr="00252AC4">
        <w:t>, although IPAs’ relationships with sub-national entities are not as formalised as they are in the OECD</w:t>
      </w:r>
      <w:r w:rsidR="00303855" w:rsidRPr="00252AC4">
        <w:t xml:space="preserve">. </w:t>
      </w:r>
      <w:r w:rsidR="00BE5A07">
        <w:t>As the COVID-19 crisis compels them to adjust their investment attraction strategies, governments can take the opportunity to strengthen their strategic frameworks and tools for implementation</w:t>
      </w:r>
      <w:r w:rsidR="005E2C3D">
        <w:t xml:space="preserve"> of investment promotion activities</w:t>
      </w:r>
      <w:r w:rsidR="00BE5A07">
        <w:t>.</w:t>
      </w:r>
    </w:p>
    <w:p w14:paraId="600B3C9D" w14:textId="5AFDD7DC" w:rsidR="00025F53" w:rsidRPr="00252AC4" w:rsidRDefault="0010525F" w:rsidP="00025F53">
      <w:pPr>
        <w:pStyle w:val="Para0"/>
      </w:pPr>
      <w:r w:rsidRPr="00252AC4">
        <w:t>Governments assign n</w:t>
      </w:r>
      <w:r w:rsidR="00025F53" w:rsidRPr="00252AC4">
        <w:t>ational IPAs different roles</w:t>
      </w:r>
      <w:r w:rsidR="00331ACA" w:rsidRPr="00252AC4">
        <w:t xml:space="preserve"> </w:t>
      </w:r>
      <w:r w:rsidR="009773B0" w:rsidRPr="00252AC4">
        <w:t>with respect to</w:t>
      </w:r>
      <w:r w:rsidR="00331ACA" w:rsidRPr="00252AC4">
        <w:t xml:space="preserve"> investment promotion</w:t>
      </w:r>
      <w:r w:rsidR="00025F53" w:rsidRPr="00252AC4">
        <w:t xml:space="preserve">. The common denominator is </w:t>
      </w:r>
      <w:r w:rsidRPr="00252AC4">
        <w:t xml:space="preserve">that all IPAs </w:t>
      </w:r>
      <w:r w:rsidR="005F6559" w:rsidRPr="00252AC4">
        <w:t>have an</w:t>
      </w:r>
      <w:r w:rsidR="00025F53" w:rsidRPr="00252AC4">
        <w:t xml:space="preserve"> objective to contribute to the location of multinational companies’ investment projects in </w:t>
      </w:r>
      <w:r w:rsidR="005F6559" w:rsidRPr="00252AC4">
        <w:t xml:space="preserve">their </w:t>
      </w:r>
      <w:r w:rsidR="00025F53" w:rsidRPr="00252AC4">
        <w:t>d</w:t>
      </w:r>
      <w:r w:rsidRPr="00252AC4">
        <w:t>omestic economies</w:t>
      </w:r>
      <w:r w:rsidR="00025F53" w:rsidRPr="00252AC4">
        <w:t xml:space="preserve">. Their positioning in the wider national investment promotion </w:t>
      </w:r>
      <w:r w:rsidR="005F6559" w:rsidRPr="00252AC4">
        <w:t>framework</w:t>
      </w:r>
      <w:r w:rsidR="00025F53" w:rsidRPr="00252AC4">
        <w:t>, however, can vary</w:t>
      </w:r>
      <w:r w:rsidR="009773B0" w:rsidRPr="00252AC4">
        <w:t>. Some are</w:t>
      </w:r>
      <w:r w:rsidR="00331ACA" w:rsidRPr="00252AC4">
        <w:t xml:space="preserve"> small</w:t>
      </w:r>
      <w:r w:rsidR="00025F53" w:rsidRPr="00252AC4">
        <w:t xml:space="preserve"> </w:t>
      </w:r>
      <w:r w:rsidR="009773B0" w:rsidRPr="00252AC4">
        <w:t xml:space="preserve">agencies </w:t>
      </w:r>
      <w:r w:rsidR="00025F53" w:rsidRPr="00252AC4">
        <w:t xml:space="preserve">dedicated </w:t>
      </w:r>
      <w:r w:rsidR="009773B0" w:rsidRPr="00252AC4">
        <w:t xml:space="preserve">solely </w:t>
      </w:r>
      <w:r w:rsidR="00025F53" w:rsidRPr="00252AC4">
        <w:t xml:space="preserve">to the national branding of </w:t>
      </w:r>
      <w:r w:rsidR="009773B0" w:rsidRPr="00252AC4">
        <w:t xml:space="preserve">the </w:t>
      </w:r>
      <w:r w:rsidR="00331ACA" w:rsidRPr="00252AC4">
        <w:t>country</w:t>
      </w:r>
      <w:r w:rsidR="00025F53" w:rsidRPr="00252AC4">
        <w:t xml:space="preserve"> as an attractive investment destination, </w:t>
      </w:r>
      <w:r w:rsidR="009773B0" w:rsidRPr="00252AC4">
        <w:t>while others are</w:t>
      </w:r>
      <w:r w:rsidR="00331ACA" w:rsidRPr="00252AC4">
        <w:t xml:space="preserve"> </w:t>
      </w:r>
      <w:r w:rsidR="009773B0" w:rsidRPr="00252AC4">
        <w:t xml:space="preserve">entities </w:t>
      </w:r>
      <w:r w:rsidR="00331ACA" w:rsidRPr="00252AC4">
        <w:t xml:space="preserve">within a larger organisation with an all-encompassing mandate to develop the domestic economy. </w:t>
      </w:r>
      <w:r w:rsidRPr="00252AC4">
        <w:t xml:space="preserve">This is important to keep in mind when comparing IPAs, their resources and </w:t>
      </w:r>
      <w:r w:rsidR="009773B0" w:rsidRPr="00252AC4">
        <w:t xml:space="preserve">their </w:t>
      </w:r>
      <w:r w:rsidRPr="00252AC4">
        <w:t xml:space="preserve">overall approaches: </w:t>
      </w:r>
      <w:r w:rsidR="009773B0" w:rsidRPr="00252AC4">
        <w:t xml:space="preserve">any </w:t>
      </w:r>
      <w:r w:rsidR="001E7FE4" w:rsidRPr="00252AC4">
        <w:t>benchmarking</w:t>
      </w:r>
      <w:r w:rsidR="00820C1C" w:rsidRPr="00252AC4">
        <w:t xml:space="preserve"> </w:t>
      </w:r>
      <w:r w:rsidR="001E7FE4" w:rsidRPr="00252AC4">
        <w:t xml:space="preserve">of </w:t>
      </w:r>
      <w:r w:rsidR="00820C1C" w:rsidRPr="00252AC4">
        <w:t>individual agencies</w:t>
      </w:r>
      <w:r w:rsidR="001E7FE4" w:rsidRPr="00252AC4">
        <w:t xml:space="preserve"> should account for the wider institutional </w:t>
      </w:r>
      <w:r w:rsidR="009773B0" w:rsidRPr="00252AC4">
        <w:t>context</w:t>
      </w:r>
      <w:r w:rsidR="001E7FE4" w:rsidRPr="00252AC4">
        <w:t>.</w:t>
      </w:r>
    </w:p>
    <w:p w14:paraId="7D1F90A2" w14:textId="5075AB4F" w:rsidR="000F0DDE" w:rsidRPr="00252AC4" w:rsidRDefault="000F0DDE" w:rsidP="00025F53">
      <w:pPr>
        <w:pStyle w:val="Para0"/>
      </w:pPr>
      <w:r w:rsidRPr="00252AC4">
        <w:t>IPAs</w:t>
      </w:r>
      <w:r w:rsidR="009773B0" w:rsidRPr="00252AC4">
        <w:t>’ structures</w:t>
      </w:r>
      <w:r w:rsidRPr="00252AC4">
        <w:t xml:space="preserve"> and resources inevitably affect the way they conduct their missions and their ability to contribute to the wider effort of investment attraction and economic development. Their level</w:t>
      </w:r>
      <w:r w:rsidR="009773B0" w:rsidRPr="00252AC4">
        <w:t>s</w:t>
      </w:r>
      <w:r w:rsidRPr="00252AC4">
        <w:t xml:space="preserve"> of institutional independence, available resources, and ability to co</w:t>
      </w:r>
      <w:r w:rsidR="009773B0" w:rsidRPr="00252AC4">
        <w:t>-</w:t>
      </w:r>
      <w:r w:rsidRPr="00252AC4">
        <w:t>ordinate and co</w:t>
      </w:r>
      <w:r w:rsidR="009773B0" w:rsidRPr="00252AC4">
        <w:t>-</w:t>
      </w:r>
      <w:r w:rsidRPr="00252AC4">
        <w:t>operate with a large range of stakeholders can determine their effectiveness. In particular, it is important that their mandates, strategies and resources are aligned, especially as some IPAs operate with limited resources.</w:t>
      </w:r>
    </w:p>
    <w:p w14:paraId="57E58679" w14:textId="26BCEA6D" w:rsidR="007A17A2" w:rsidRPr="00252AC4" w:rsidRDefault="007A17A2" w:rsidP="00C532A3">
      <w:pPr>
        <w:pStyle w:val="Para0"/>
      </w:pPr>
      <w:r w:rsidRPr="00252AC4">
        <w:t xml:space="preserve">This chapter </w:t>
      </w:r>
      <w:r w:rsidR="00F77BB9" w:rsidRPr="00252AC4">
        <w:t>focuses on institutional and organisation</w:t>
      </w:r>
      <w:r w:rsidR="009773B0" w:rsidRPr="00252AC4">
        <w:t>al</w:t>
      </w:r>
      <w:r w:rsidR="00F77BB9" w:rsidRPr="00252AC4">
        <w:t xml:space="preserve"> characteristics of IPAs in Eurasia. It first looks at their </w:t>
      </w:r>
      <w:r w:rsidR="00A33CD3" w:rsidRPr="00252AC4">
        <w:t>legal statuses and governance models</w:t>
      </w:r>
      <w:r w:rsidR="00F77BB9" w:rsidRPr="00252AC4">
        <w:t>, and then studies their mandates, resources and strategic planning. It finally provides insights on the way that Eurasia IPAs interact with the wider institutional framework of investment promotion and economic development.</w:t>
      </w:r>
    </w:p>
    <w:p w14:paraId="1B64BFFA" w14:textId="03B8AEFF" w:rsidR="00B764E6" w:rsidRPr="00252AC4" w:rsidRDefault="003A3086" w:rsidP="00606268">
      <w:pPr>
        <w:pStyle w:val="Heading2"/>
        <w:numPr>
          <w:ilvl w:val="0"/>
          <w:numId w:val="16"/>
        </w:numPr>
        <w:rPr>
          <w:rFonts w:hint="eastAsia"/>
        </w:rPr>
      </w:pPr>
      <w:bookmarkStart w:id="65" w:name="_Toc31617779"/>
      <w:bookmarkStart w:id="66" w:name="_Toc31641308"/>
      <w:bookmarkStart w:id="67" w:name="_Toc31650306"/>
      <w:bookmarkStart w:id="68" w:name="_Toc32317007"/>
      <w:bookmarkStart w:id="69" w:name="_Toc32324666"/>
      <w:bookmarkStart w:id="70" w:name="_Toc40103021"/>
      <w:r w:rsidRPr="00252AC4">
        <w:t>Organisational settings</w:t>
      </w:r>
      <w:bookmarkEnd w:id="65"/>
      <w:bookmarkEnd w:id="66"/>
      <w:bookmarkEnd w:id="67"/>
      <w:bookmarkEnd w:id="68"/>
      <w:bookmarkEnd w:id="69"/>
      <w:bookmarkEnd w:id="70"/>
    </w:p>
    <w:p w14:paraId="5F1E0CEE" w14:textId="2B47364A" w:rsidR="002A4007" w:rsidRPr="00252AC4" w:rsidRDefault="001C5239" w:rsidP="00280A29">
      <w:pPr>
        <w:pStyle w:val="Para0"/>
      </w:pPr>
      <w:r w:rsidRPr="00252AC4">
        <w:t xml:space="preserve">Although different contexts call for different solutions and settings, the literature suggests that some conditions can contribute to IPAs’ effectiveness. </w:t>
      </w:r>
      <w:r w:rsidR="00FD2B92" w:rsidRPr="00252AC4">
        <w:t>Their governance system</w:t>
      </w:r>
      <w:r w:rsidR="009773B0" w:rsidRPr="00252AC4">
        <w:t>s</w:t>
      </w:r>
      <w:r w:rsidR="00FD2B92" w:rsidRPr="00252AC4">
        <w:t xml:space="preserve"> and reporting lines, in particular, can play a key role in their ability to fulfil their mandate</w:t>
      </w:r>
      <w:r w:rsidR="009773B0" w:rsidRPr="00252AC4">
        <w:t>s</w:t>
      </w:r>
      <w:r w:rsidR="00FD2B92" w:rsidRPr="00252AC4">
        <w:t xml:space="preserve">. Their degree of institutional independence also seems to be a factor for effectiveness, especially in </w:t>
      </w:r>
      <w:r w:rsidR="009773B0" w:rsidRPr="00252AC4">
        <w:t>difficult</w:t>
      </w:r>
      <w:r w:rsidR="00FD2B92" w:rsidRPr="00252AC4">
        <w:t xml:space="preserve"> institutional contexts</w:t>
      </w:r>
      <w:r w:rsidR="000631AF" w:rsidRPr="00252AC4">
        <w:t xml:space="preserve"> </w:t>
      </w:r>
      <w:sdt>
        <w:sdtPr>
          <w:id w:val="158435325"/>
          <w:citation/>
        </w:sdtPr>
        <w:sdtEndPr/>
        <w:sdtContent>
          <w:r w:rsidR="004E1183" w:rsidRPr="00252AC4">
            <w:fldChar w:fldCharType="begin"/>
          </w:r>
          <w:r w:rsidR="004E1183" w:rsidRPr="00252AC4">
            <w:instrText xml:space="preserve"> CITATION Mendeley_6C7B1fKp7Tm7ZDYVh25ZDQ \l 2057 </w:instrText>
          </w:r>
          <w:r w:rsidR="004E1183" w:rsidRPr="00252AC4">
            <w:fldChar w:fldCharType="separate"/>
          </w:r>
          <w:r w:rsidR="00E259C6" w:rsidRPr="00252AC4">
            <w:rPr>
              <w:noProof/>
            </w:rPr>
            <w:t>(Volpe Martincus and Sztajerowska, 2019</w:t>
          </w:r>
          <w:r w:rsidR="00E259C6" w:rsidRPr="00252AC4">
            <w:rPr>
              <w:noProof/>
              <w:vertAlign w:val="subscript"/>
            </w:rPr>
            <w:t>[9]</w:t>
          </w:r>
          <w:r w:rsidR="00E259C6" w:rsidRPr="00252AC4">
            <w:rPr>
              <w:noProof/>
            </w:rPr>
            <w:t>)</w:t>
          </w:r>
          <w:r w:rsidR="004E1183" w:rsidRPr="00252AC4">
            <w:fldChar w:fldCharType="end"/>
          </w:r>
        </w:sdtContent>
      </w:sdt>
      <w:r w:rsidR="009B4CF3" w:rsidRPr="00252AC4">
        <w:t>.</w:t>
      </w:r>
    </w:p>
    <w:p w14:paraId="0325A281" w14:textId="70571C88" w:rsidR="006E1F73" w:rsidRPr="00252AC4" w:rsidRDefault="006E1F73" w:rsidP="00804C4D">
      <w:pPr>
        <w:pStyle w:val="Heading3"/>
      </w:pPr>
      <w:r w:rsidRPr="00252AC4">
        <w:lastRenderedPageBreak/>
        <w:t xml:space="preserve">Eurasia IPAs are </w:t>
      </w:r>
      <w:r w:rsidR="00D97DE9" w:rsidRPr="00252AC4">
        <w:t xml:space="preserve">relatively </w:t>
      </w:r>
      <w:r w:rsidRPr="00252AC4">
        <w:t>young</w:t>
      </w:r>
      <w:r w:rsidR="00D97DE9" w:rsidRPr="00252AC4">
        <w:t xml:space="preserve">, but they undergo organisational reforms </w:t>
      </w:r>
      <w:r w:rsidR="003A179A" w:rsidRPr="00252AC4">
        <w:t xml:space="preserve">as frequently </w:t>
      </w:r>
      <w:r w:rsidR="00D97DE9" w:rsidRPr="00252AC4">
        <w:t xml:space="preserve">as their peers from other </w:t>
      </w:r>
      <w:r w:rsidR="003A179A" w:rsidRPr="00252AC4">
        <w:t>regions</w:t>
      </w:r>
      <w:r w:rsidR="00B76F54" w:rsidRPr="00252AC4">
        <w:t xml:space="preserve">, which </w:t>
      </w:r>
      <w:r w:rsidR="007322D5" w:rsidRPr="00252AC4">
        <w:t>can be</w:t>
      </w:r>
      <w:r w:rsidR="00B76F54" w:rsidRPr="00252AC4">
        <w:t xml:space="preserve"> a challenge</w:t>
      </w:r>
    </w:p>
    <w:p w14:paraId="55D7E9AE" w14:textId="12B4A8C0" w:rsidR="00280A29" w:rsidRPr="00252AC4" w:rsidRDefault="003561E3" w:rsidP="00280A29">
      <w:pPr>
        <w:pStyle w:val="Para0"/>
      </w:pPr>
      <w:r w:rsidRPr="00252AC4">
        <w:t>IPAs</w:t>
      </w:r>
      <w:r w:rsidR="00665AE0" w:rsidRPr="00252AC4">
        <w:t xml:space="preserve"> </w:t>
      </w:r>
      <w:r w:rsidR="004706AE" w:rsidRPr="00252AC4">
        <w:t xml:space="preserve">are </w:t>
      </w:r>
      <w:r w:rsidR="00665AE0" w:rsidRPr="00252AC4">
        <w:t xml:space="preserve">a </w:t>
      </w:r>
      <w:r w:rsidR="004706AE" w:rsidRPr="00252AC4">
        <w:t xml:space="preserve">relatively </w:t>
      </w:r>
      <w:r w:rsidR="009773B0" w:rsidRPr="00252AC4">
        <w:t xml:space="preserve">recent </w:t>
      </w:r>
      <w:r w:rsidR="00665AE0" w:rsidRPr="00252AC4">
        <w:t>phenomenon in Eurasia, compared with other regions</w:t>
      </w:r>
      <w:r w:rsidRPr="00252AC4">
        <w:t xml:space="preserve"> (</w:t>
      </w:r>
      <w:r w:rsidR="008A1547" w:rsidRPr="00252AC4">
        <w:t>Figure 1.1</w:t>
      </w:r>
      <w:r w:rsidRPr="00252AC4">
        <w:t xml:space="preserve">). All the governments </w:t>
      </w:r>
      <w:r w:rsidR="009773B0" w:rsidRPr="00252AC4">
        <w:t>in</w:t>
      </w:r>
      <w:r w:rsidRPr="00252AC4">
        <w:t xml:space="preserve"> the region</w:t>
      </w:r>
      <w:r w:rsidR="009773B0" w:rsidRPr="00252AC4">
        <w:t xml:space="preserve"> have</w:t>
      </w:r>
      <w:r w:rsidRPr="00252AC4">
        <w:t xml:space="preserve"> set up IPAs</w:t>
      </w:r>
      <w:r w:rsidR="00665AE0" w:rsidRPr="00252AC4">
        <w:t xml:space="preserve"> in the last 2</w:t>
      </w:r>
      <w:r w:rsidRPr="00252AC4">
        <w:t>3</w:t>
      </w:r>
      <w:r w:rsidR="00665AE0" w:rsidRPr="00252AC4">
        <w:t xml:space="preserve"> years,</w:t>
      </w:r>
      <w:r w:rsidRPr="00252AC4">
        <w:t xml:space="preserve"> in the context of </w:t>
      </w:r>
      <w:r w:rsidR="009773B0" w:rsidRPr="00252AC4">
        <w:t>their</w:t>
      </w:r>
      <w:r w:rsidRPr="00252AC4">
        <w:t xml:space="preserve"> transition</w:t>
      </w:r>
      <w:r w:rsidR="009773B0" w:rsidRPr="00252AC4">
        <w:t xml:space="preserve"> </w:t>
      </w:r>
      <w:r w:rsidRPr="00252AC4">
        <w:t xml:space="preserve">to more open economies relying on market mechanisms. </w:t>
      </w:r>
      <w:r w:rsidR="009773B0" w:rsidRPr="00252AC4">
        <w:t>By contrast</w:t>
      </w:r>
      <w:r w:rsidR="006E1F73" w:rsidRPr="00252AC4">
        <w:t xml:space="preserve">, most OECD countries established their IPAs in the </w:t>
      </w:r>
      <w:r w:rsidR="00614453" w:rsidRPr="00252AC4">
        <w:t xml:space="preserve">1980s, </w:t>
      </w:r>
      <w:r w:rsidR="006E1F73" w:rsidRPr="00252AC4">
        <w:t xml:space="preserve">1990s </w:t>
      </w:r>
      <w:r w:rsidR="009773B0" w:rsidRPr="00252AC4">
        <w:t>or</w:t>
      </w:r>
      <w:r w:rsidR="006E1F73" w:rsidRPr="00252AC4">
        <w:t xml:space="preserve"> 2000</w:t>
      </w:r>
      <w:r w:rsidR="009773B0" w:rsidRPr="00252AC4">
        <w:t>s</w:t>
      </w:r>
      <w:r w:rsidR="006E1F73" w:rsidRPr="00252AC4">
        <w:t xml:space="preserve"> – although some date back to as far as the 1950s</w:t>
      </w:r>
      <w:sdt>
        <w:sdtPr>
          <w:id w:val="1851292156"/>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006E1F73" w:rsidRPr="00252AC4">
        <w:t>. In Eurasia, t</w:t>
      </w:r>
      <w:r w:rsidRPr="00252AC4">
        <w:t xml:space="preserve">he most recent </w:t>
      </w:r>
      <w:r w:rsidR="006E1F73" w:rsidRPr="00252AC4">
        <w:t>IPA</w:t>
      </w:r>
      <w:r w:rsidRPr="00252AC4">
        <w:t xml:space="preserve"> is Uzbekistan</w:t>
      </w:r>
      <w:r w:rsidR="006E1F73" w:rsidRPr="00252AC4">
        <w:t>’s</w:t>
      </w:r>
      <w:r w:rsidRPr="00252AC4">
        <w:t xml:space="preserve">, created by Presidential decree on 28 January 2019. </w:t>
      </w:r>
      <w:r w:rsidR="009773B0" w:rsidRPr="00252AC4">
        <w:t xml:space="preserve">Its </w:t>
      </w:r>
      <w:r w:rsidR="00DC1BF8" w:rsidRPr="00252AC4">
        <w:t xml:space="preserve">creation </w:t>
      </w:r>
      <w:r w:rsidR="00A54E13" w:rsidRPr="00252AC4">
        <w:t xml:space="preserve">is </w:t>
      </w:r>
      <w:r w:rsidRPr="00252AC4">
        <w:t xml:space="preserve">one </w:t>
      </w:r>
      <w:r w:rsidR="00A54E13" w:rsidRPr="00252AC4">
        <w:t xml:space="preserve">more step in the implementation of market-oriented reforms to develop </w:t>
      </w:r>
      <w:r w:rsidR="00DC1BF8" w:rsidRPr="00252AC4">
        <w:t>Uzbek</w:t>
      </w:r>
      <w:r w:rsidR="009773B0" w:rsidRPr="00252AC4">
        <w:t>istan’s</w:t>
      </w:r>
      <w:r w:rsidR="00A54E13" w:rsidRPr="00252AC4">
        <w:t xml:space="preserve"> economy. </w:t>
      </w:r>
      <w:r w:rsidR="00296A2F" w:rsidRPr="00252AC4">
        <w:t xml:space="preserve">Tajikistan, on the other hand, </w:t>
      </w:r>
      <w:r w:rsidR="006E1F73" w:rsidRPr="00252AC4">
        <w:t>reports</w:t>
      </w:r>
      <w:r w:rsidR="00296A2F" w:rsidRPr="00252AC4">
        <w:t xml:space="preserve"> that the first agency in charge of promoting investment in the country </w:t>
      </w:r>
      <w:r w:rsidR="006E1F73" w:rsidRPr="00252AC4">
        <w:t>dates back</w:t>
      </w:r>
      <w:r w:rsidR="00296A2F" w:rsidRPr="00252AC4">
        <w:t xml:space="preserve"> </w:t>
      </w:r>
      <w:r w:rsidR="006E1F73" w:rsidRPr="00252AC4">
        <w:t xml:space="preserve">to </w:t>
      </w:r>
      <w:r w:rsidR="00296A2F" w:rsidRPr="00252AC4">
        <w:t xml:space="preserve">1997. </w:t>
      </w:r>
      <w:r w:rsidR="009773B0" w:rsidRPr="00252AC4">
        <w:t xml:space="preserve">However, its </w:t>
      </w:r>
      <w:r w:rsidR="00296A2F" w:rsidRPr="00252AC4">
        <w:t>current agency</w:t>
      </w:r>
      <w:r w:rsidR="009773B0" w:rsidRPr="00252AC4">
        <w:t>,</w:t>
      </w:r>
      <w:r w:rsidR="00296A2F" w:rsidRPr="00252AC4">
        <w:t xml:space="preserve"> Tajinvest, was created in 2010</w:t>
      </w:r>
      <w:sdt>
        <w:sdtPr>
          <w:id w:val="-1072119094"/>
          <w:citation/>
        </w:sdtPr>
        <w:sdtEndPr/>
        <w:sdtContent>
          <w:r w:rsidR="00296A2F" w:rsidRPr="00252AC4">
            <w:fldChar w:fldCharType="begin"/>
          </w:r>
          <w:r w:rsidR="00296A2F" w:rsidRPr="00252AC4">
            <w:instrText xml:space="preserve"> CITATION UNC16 \l 1036 </w:instrText>
          </w:r>
          <w:r w:rsidR="00296A2F" w:rsidRPr="00252AC4">
            <w:fldChar w:fldCharType="separate"/>
          </w:r>
          <w:bookmarkStart w:id="71" w:name="UNC16_9"/>
          <w:r w:rsidR="00E259C6" w:rsidRPr="00252AC4">
            <w:rPr>
              <w:noProof/>
            </w:rPr>
            <w:t xml:space="preserve"> (UNCTAD, 2016</w:t>
          </w:r>
          <w:r w:rsidR="00E259C6" w:rsidRPr="00252AC4">
            <w:rPr>
              <w:noProof/>
              <w:vertAlign w:val="subscript"/>
            </w:rPr>
            <w:t>[10]</w:t>
          </w:r>
          <w:r w:rsidR="00E259C6" w:rsidRPr="00252AC4">
            <w:rPr>
              <w:noProof/>
            </w:rPr>
            <w:t>)</w:t>
          </w:r>
          <w:bookmarkEnd w:id="71"/>
          <w:r w:rsidR="00296A2F" w:rsidRPr="00252AC4">
            <w:fldChar w:fldCharType="end"/>
          </w:r>
        </w:sdtContent>
      </w:sdt>
      <w:r w:rsidR="00296A2F" w:rsidRPr="00252AC4">
        <w:t>.</w:t>
      </w:r>
      <w:r w:rsidR="00287D8C" w:rsidRPr="00252AC4">
        <w:t xml:space="preserve"> A number of countries </w:t>
      </w:r>
      <w:r w:rsidR="009773B0" w:rsidRPr="00252AC4">
        <w:t xml:space="preserve">have </w:t>
      </w:r>
      <w:r w:rsidR="00287D8C" w:rsidRPr="00252AC4">
        <w:t>benefited from the assistance of international organisations when creating or reforming their IPAs, including Belarus, Georgia and Kazakhstan.</w:t>
      </w:r>
    </w:p>
    <w:p w14:paraId="10D3F76F" w14:textId="321D85CB" w:rsidR="00DD0A69" w:rsidRPr="00252AC4" w:rsidRDefault="00DD0A69" w:rsidP="0051394F">
      <w:pPr>
        <w:pStyle w:val="Caption"/>
      </w:pPr>
      <w:bookmarkStart w:id="72" w:name="_Toc34647244"/>
      <w:bookmarkStart w:id="73" w:name="_Ref31625721"/>
      <w:bookmarkStart w:id="74" w:name="_Toc31617730"/>
      <w:bookmarkStart w:id="75" w:name="_Toc31641329"/>
      <w:bookmarkStart w:id="76" w:name="_Toc31650329"/>
      <w:bookmarkStart w:id="77" w:name="_Toc32317034"/>
      <w:bookmarkStart w:id="78" w:name="_Toc32324693"/>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w:t>
      </w:r>
      <w:r w:rsidRPr="00252AC4">
        <w:rPr>
          <w:noProof/>
        </w:rPr>
        <w:fldChar w:fldCharType="end"/>
      </w:r>
      <w:r w:rsidRPr="00252AC4">
        <w:t xml:space="preserve">. </w:t>
      </w:r>
      <w:r w:rsidR="003007E8" w:rsidRPr="00252AC4">
        <w:t xml:space="preserve">Yearly evolution of the number of IPAs in regions </w:t>
      </w:r>
      <w:r w:rsidR="003007E8" w:rsidRPr="00252AC4">
        <w:br/>
        <w:t>covered by the OECD-IDB survey</w:t>
      </w:r>
      <w:bookmarkEnd w:id="72"/>
    </w:p>
    <w:p w14:paraId="0560078F" w14:textId="63E423B4" w:rsidR="00DD0A69" w:rsidRPr="00252AC4" w:rsidRDefault="007D75DD" w:rsidP="00DD0A69">
      <w:pPr>
        <w:pStyle w:val="Figure"/>
        <w:rPr>
          <w:noProof/>
          <w:lang w:eastAsia="en-GB"/>
        </w:rPr>
      </w:pPr>
      <w:r w:rsidRPr="00252AC4">
        <w:rPr>
          <w:noProof/>
          <w:lang w:eastAsia="en-GB"/>
        </w:rPr>
        <w:object w:dxaOrig="13670" w:dyaOrig="6900" w14:anchorId="693C0930">
          <v:shape id="_x0000_i1026" type="#_x0000_t75" style="width:470.75pt;height:237.25pt" o:ole="">
            <v:imagedata r:id="rId23" o:title=""/>
          </v:shape>
          <o:OLEObject Type="Link" ProgID="Excel.Sheet.12" ShapeID="_x0000_i1026" DrawAspect="Content" r:id="rId24" UpdateMode="Always">
            <o:LinkType>EnhancedMetaFile</o:LinkType>
            <o:LockedField>false</o:LockedField>
          </o:OLEObject>
        </w:object>
      </w:r>
    </w:p>
    <w:p w14:paraId="24D60D5E" w14:textId="77777777" w:rsidR="003007E8" w:rsidRPr="00252AC4" w:rsidRDefault="003007E8" w:rsidP="003007E8">
      <w:pPr>
        <w:pStyle w:val="Sourcenotes"/>
        <w:rPr>
          <w:i/>
        </w:rPr>
      </w:pPr>
      <w:r w:rsidRPr="00252AC4">
        <w:rPr>
          <w:i/>
        </w:rPr>
        <w:t>Note</w:t>
      </w:r>
      <w:r w:rsidRPr="00252AC4">
        <w:t>: The regions covered by the OECD-IPA survey are OECD, LAC, MENA and Eurasia</w:t>
      </w:r>
      <w:r w:rsidRPr="00252AC4">
        <w:rPr>
          <w:i/>
        </w:rPr>
        <w:t>.</w:t>
      </w:r>
    </w:p>
    <w:p w14:paraId="42CBA34B" w14:textId="7DCA4B09" w:rsidR="003007E8" w:rsidRPr="00252AC4" w:rsidRDefault="003007E8" w:rsidP="003007E8">
      <w:pPr>
        <w:pStyle w:val="Sourcenotes"/>
      </w:pPr>
      <w:r w:rsidRPr="00252AC4">
        <w:rPr>
          <w:i/>
        </w:rPr>
        <w:t>Source</w:t>
      </w:r>
      <w:r w:rsidRPr="00252AC4">
        <w:t>: OECD-IDB survey of inves</w:t>
      </w:r>
      <w:r w:rsidR="000B01CE" w:rsidRPr="00252AC4">
        <w:t>tment promotion agencies (2020)</w:t>
      </w:r>
    </w:p>
    <w:bookmarkEnd w:id="73"/>
    <w:bookmarkEnd w:id="74"/>
    <w:bookmarkEnd w:id="75"/>
    <w:bookmarkEnd w:id="76"/>
    <w:bookmarkEnd w:id="77"/>
    <w:bookmarkEnd w:id="78"/>
    <w:p w14:paraId="7A3C2EA0" w14:textId="78306758" w:rsidR="002B16AD" w:rsidRPr="00252AC4" w:rsidRDefault="009773B0" w:rsidP="00254452">
      <w:pPr>
        <w:pStyle w:val="Para0"/>
      </w:pPr>
      <w:r w:rsidRPr="00252AC4">
        <w:t xml:space="preserve">As </w:t>
      </w:r>
      <w:r w:rsidR="009C2732" w:rsidRPr="00252AC4">
        <w:t xml:space="preserve">in other regions, most Eurasia IPAs regularly undergo organisational reforms. </w:t>
      </w:r>
      <w:r w:rsidR="0090596B" w:rsidRPr="00252AC4">
        <w:t xml:space="preserve">IPA </w:t>
      </w:r>
      <w:r w:rsidR="009C2732" w:rsidRPr="00252AC4">
        <w:t>reforms are very frequent and often reflect changes</w:t>
      </w:r>
      <w:r w:rsidR="00614453" w:rsidRPr="00252AC4">
        <w:t xml:space="preserve"> </w:t>
      </w:r>
      <w:r w:rsidRPr="00252AC4">
        <w:t>of</w:t>
      </w:r>
      <w:r w:rsidR="00614453" w:rsidRPr="00252AC4">
        <w:t xml:space="preserve"> government</w:t>
      </w:r>
      <w:r w:rsidR="00A518E9" w:rsidRPr="00252AC4">
        <w:t>,</w:t>
      </w:r>
      <w:r w:rsidR="009C2732" w:rsidRPr="00252AC4">
        <w:t xml:space="preserve"> as well as the need to adapt to new economic conditions and challenges. In OECD countries, 81% of IPAs </w:t>
      </w:r>
      <w:r w:rsidRPr="00252AC4">
        <w:t xml:space="preserve">have undergone </w:t>
      </w:r>
      <w:r w:rsidR="009C2732" w:rsidRPr="00252AC4">
        <w:t>organisational reforms in recent years</w:t>
      </w:r>
      <w:r w:rsidR="00420DCC" w:rsidRPr="00252AC4">
        <w:t xml:space="preserve"> </w:t>
      </w:r>
      <w:sdt>
        <w:sdtPr>
          <w:id w:val="955449981"/>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003D04E7" w:rsidRPr="00252AC4">
            <w:fldChar w:fldCharType="end"/>
          </w:r>
        </w:sdtContent>
      </w:sdt>
      <w:r w:rsidR="003D04E7" w:rsidRPr="00252AC4">
        <w:t>.</w:t>
      </w:r>
      <w:r w:rsidR="009C2732" w:rsidRPr="00252AC4">
        <w:t xml:space="preserve"> Eurasia follows the </w:t>
      </w:r>
      <w:r w:rsidR="007915BB" w:rsidRPr="00252AC4">
        <w:t>trend</w:t>
      </w:r>
      <w:r w:rsidR="009C2732" w:rsidRPr="00252AC4">
        <w:t xml:space="preserve">, and apart from Azerbaijan and Belarus, all </w:t>
      </w:r>
      <w:r w:rsidR="00254452" w:rsidRPr="00252AC4">
        <w:t xml:space="preserve">surveyed </w:t>
      </w:r>
      <w:r w:rsidR="009C2732" w:rsidRPr="00252AC4">
        <w:t xml:space="preserve">IPAs in the regions either </w:t>
      </w:r>
      <w:r w:rsidR="00254452" w:rsidRPr="00252AC4">
        <w:t xml:space="preserve">were </w:t>
      </w:r>
      <w:r w:rsidR="009C2732" w:rsidRPr="00252AC4">
        <w:t xml:space="preserve">created </w:t>
      </w:r>
      <w:r w:rsidR="004D0B6B" w:rsidRPr="00252AC4">
        <w:t xml:space="preserve">(or re-created) </w:t>
      </w:r>
      <w:r w:rsidR="009C2732" w:rsidRPr="00252AC4">
        <w:t>or underwent major reform</w:t>
      </w:r>
      <w:r w:rsidR="004D0B6B" w:rsidRPr="00252AC4">
        <w:t>s</w:t>
      </w:r>
      <w:r w:rsidR="009C2732" w:rsidRPr="00252AC4">
        <w:t xml:space="preserve"> in the past 5 years.</w:t>
      </w:r>
      <w:r w:rsidR="002B16AD" w:rsidRPr="00252AC4">
        <w:t xml:space="preserve"> </w:t>
      </w:r>
      <w:r w:rsidR="00F82A4C" w:rsidRPr="00252AC4">
        <w:t>These reforms entail changes in governance and status, mergers and separation of mandates (notably the export mandate), and changes in organisational structures.</w:t>
      </w:r>
      <w:r w:rsidR="003814C8" w:rsidRPr="00252AC4">
        <w:t xml:space="preserve"> Ukraine completed </w:t>
      </w:r>
      <w:r w:rsidR="006876A4" w:rsidRPr="00252AC4">
        <w:t>the transformation of its IPA from</w:t>
      </w:r>
      <w:r w:rsidR="003814C8" w:rsidRPr="00252AC4">
        <w:t xml:space="preserve"> a consultative body into a</w:t>
      </w:r>
      <w:r w:rsidR="006876A4" w:rsidRPr="00252AC4">
        <w:t>n independent</w:t>
      </w:r>
      <w:r w:rsidR="003814C8" w:rsidRPr="00252AC4">
        <w:t xml:space="preserve"> state body </w:t>
      </w:r>
      <w:r w:rsidR="00450D88" w:rsidRPr="00252AC4">
        <w:t>in 2018. Kazakhstan</w:t>
      </w:r>
      <w:r w:rsidR="003814C8" w:rsidRPr="00252AC4">
        <w:t xml:space="preserve"> </w:t>
      </w:r>
      <w:r w:rsidR="006876A4" w:rsidRPr="00252AC4">
        <w:t xml:space="preserve">completely revamped its IPA Kazakh Invest in 2018 and separated </w:t>
      </w:r>
      <w:r w:rsidR="007915BB" w:rsidRPr="00252AC4">
        <w:t xml:space="preserve">its </w:t>
      </w:r>
      <w:r w:rsidR="006876A4" w:rsidRPr="00252AC4">
        <w:t>invest</w:t>
      </w:r>
      <w:r w:rsidR="00A518E9" w:rsidRPr="00252AC4">
        <w:t>ment</w:t>
      </w:r>
      <w:r w:rsidR="006876A4" w:rsidRPr="00252AC4">
        <w:t xml:space="preserve"> and </w:t>
      </w:r>
      <w:r w:rsidR="006876A4" w:rsidRPr="00252AC4">
        <w:lastRenderedPageBreak/>
        <w:t>export</w:t>
      </w:r>
      <w:r w:rsidR="00A518E9" w:rsidRPr="00252AC4">
        <w:t xml:space="preserve"> promotion</w:t>
      </w:r>
      <w:r w:rsidR="006876A4" w:rsidRPr="00252AC4">
        <w:t xml:space="preserve"> mandates</w:t>
      </w:r>
      <w:r w:rsidR="00450D88" w:rsidRPr="00252AC4">
        <w:t>.</w:t>
      </w:r>
      <w:r w:rsidR="006876A4" w:rsidRPr="00252AC4">
        <w:t xml:space="preserve"> </w:t>
      </w:r>
      <w:r w:rsidR="00450D88" w:rsidRPr="00252AC4">
        <w:t>Georgia</w:t>
      </w:r>
      <w:r w:rsidR="006876A4" w:rsidRPr="00252AC4">
        <w:t xml:space="preserve"> merged its IPA Invest in Georgia with Enterprise Georgia, a large agency with a broad mandate to foster domestic economic development</w:t>
      </w:r>
      <w:r w:rsidR="00450D88" w:rsidRPr="00252AC4">
        <w:t>, in 2017</w:t>
      </w:r>
      <w:r w:rsidR="006876A4" w:rsidRPr="00252AC4">
        <w:t>.</w:t>
      </w:r>
      <w:r w:rsidR="00450D88" w:rsidRPr="00252AC4">
        <w:t xml:space="preserve"> The same year, Kyrgyzstan merged its “export” and “invest” agencies</w:t>
      </w:r>
      <w:r w:rsidR="00A518E9" w:rsidRPr="00252AC4">
        <w:t>,</w:t>
      </w:r>
      <w:r w:rsidR="00450D88" w:rsidRPr="00252AC4">
        <w:t xml:space="preserve"> and put the newly formed </w:t>
      </w:r>
      <w:r w:rsidR="00A518E9" w:rsidRPr="00252AC4">
        <w:t>IPA</w:t>
      </w:r>
      <w:r w:rsidR="00450D88" w:rsidRPr="00252AC4">
        <w:t xml:space="preserve"> under the authority of the Prime Minister.</w:t>
      </w:r>
      <w:r w:rsidR="00E203A1" w:rsidRPr="00252AC4">
        <w:t xml:space="preserve"> At the time this report was produced (early 2020), Azerbaijan was creating a new export and investment promotion agency</w:t>
      </w:r>
      <w:r w:rsidR="00310048" w:rsidRPr="00252AC4">
        <w:t xml:space="preserve"> to replace its IPA Azpromo.</w:t>
      </w:r>
    </w:p>
    <w:p w14:paraId="71D5A83B" w14:textId="1A5216D4" w:rsidR="00544A84" w:rsidRPr="00252AC4" w:rsidRDefault="002B16AD" w:rsidP="00254452">
      <w:pPr>
        <w:pStyle w:val="Para0"/>
      </w:pPr>
      <w:r w:rsidRPr="00252AC4">
        <w:t xml:space="preserve">Even if </w:t>
      </w:r>
      <w:r w:rsidR="00CB2360" w:rsidRPr="00252AC4">
        <w:t xml:space="preserve">very </w:t>
      </w:r>
      <w:r w:rsidR="00614453" w:rsidRPr="00252AC4">
        <w:t>good reasons underlie</w:t>
      </w:r>
      <w:r w:rsidRPr="00252AC4">
        <w:t xml:space="preserve"> reforms, t</w:t>
      </w:r>
      <w:r w:rsidR="00CB2360" w:rsidRPr="00252AC4">
        <w:t>hey</w:t>
      </w:r>
      <w:r w:rsidRPr="00252AC4">
        <w:t xml:space="preserve"> often </w:t>
      </w:r>
      <w:r w:rsidR="00E9020E" w:rsidRPr="00252AC4">
        <w:t>confront IPAs with</w:t>
      </w:r>
      <w:r w:rsidRPr="00252AC4">
        <w:t xml:space="preserve"> the usual challenges of </w:t>
      </w:r>
      <w:r w:rsidR="00BF67F8" w:rsidRPr="00252AC4">
        <w:t xml:space="preserve">organisational </w:t>
      </w:r>
      <w:r w:rsidRPr="00252AC4">
        <w:t xml:space="preserve">change, including </w:t>
      </w:r>
      <w:r w:rsidR="00BF67F8" w:rsidRPr="00252AC4">
        <w:t>resource</w:t>
      </w:r>
      <w:r w:rsidR="007915BB" w:rsidRPr="00252AC4">
        <w:t>s</w:t>
      </w:r>
      <w:r w:rsidR="00BF67F8" w:rsidRPr="00252AC4">
        <w:t xml:space="preserve"> spent</w:t>
      </w:r>
      <w:r w:rsidRPr="00252AC4">
        <w:t xml:space="preserve"> </w:t>
      </w:r>
      <w:r w:rsidR="00D2531B" w:rsidRPr="00252AC4">
        <w:t xml:space="preserve">to </w:t>
      </w:r>
      <w:r w:rsidR="00BF67F8" w:rsidRPr="00252AC4">
        <w:t xml:space="preserve">adapt and </w:t>
      </w:r>
      <w:r w:rsidRPr="00252AC4">
        <w:t xml:space="preserve">adjust to new structures, </w:t>
      </w:r>
      <w:r w:rsidR="00BF67F8" w:rsidRPr="00252AC4">
        <w:t>governance</w:t>
      </w:r>
      <w:r w:rsidRPr="00252AC4">
        <w:t xml:space="preserve"> and processes, and poten</w:t>
      </w:r>
      <w:r w:rsidR="00AB0582" w:rsidRPr="00252AC4">
        <w:t>tial higher staff turnover</w:t>
      </w:r>
      <w:r w:rsidRPr="00252AC4">
        <w:t xml:space="preserve"> than usual. </w:t>
      </w:r>
      <w:r w:rsidR="00A518E9" w:rsidRPr="00252AC4">
        <w:t xml:space="preserve">This is especially true of wide reforms. </w:t>
      </w:r>
      <w:r w:rsidR="005009C3" w:rsidRPr="00252AC4">
        <w:t>R</w:t>
      </w:r>
      <w:r w:rsidRPr="00252AC4">
        <w:t xml:space="preserve">ecent examples </w:t>
      </w:r>
      <w:r w:rsidR="005009C3" w:rsidRPr="00252AC4">
        <w:t xml:space="preserve">in the OECD </w:t>
      </w:r>
      <w:r w:rsidRPr="00252AC4">
        <w:t xml:space="preserve">include Business France, which merged its </w:t>
      </w:r>
      <w:r w:rsidR="00614453" w:rsidRPr="00252AC4">
        <w:t>“</w:t>
      </w:r>
      <w:r w:rsidRPr="00252AC4">
        <w:t>export</w:t>
      </w:r>
      <w:r w:rsidR="00614453" w:rsidRPr="00252AC4">
        <w:t>”</w:t>
      </w:r>
      <w:r w:rsidRPr="00252AC4">
        <w:t xml:space="preserve"> and </w:t>
      </w:r>
      <w:r w:rsidR="00614453" w:rsidRPr="00252AC4">
        <w:t>“</w:t>
      </w:r>
      <w:r w:rsidRPr="00252AC4">
        <w:t>invest</w:t>
      </w:r>
      <w:r w:rsidR="00614453" w:rsidRPr="00252AC4">
        <w:t>”</w:t>
      </w:r>
      <w:r w:rsidRPr="00252AC4">
        <w:t xml:space="preserve"> entities</w:t>
      </w:r>
      <w:r w:rsidR="000E4244" w:rsidRPr="00252AC4">
        <w:t xml:space="preserve"> </w:t>
      </w:r>
      <w:r w:rsidR="000E2B28" w:rsidRPr="00252AC4">
        <w:t>in 2015</w:t>
      </w:r>
      <w:r w:rsidR="000E4244" w:rsidRPr="00252AC4">
        <w:t>.</w:t>
      </w:r>
      <w:r w:rsidR="000E2B28" w:rsidRPr="00252AC4">
        <w:t xml:space="preserve"> This merger required a planning phase of one year, an implementation phase of one year and a stabilisation phase of two years, </w:t>
      </w:r>
      <w:r w:rsidR="00E9020E" w:rsidRPr="00252AC4">
        <w:t xml:space="preserve">with </w:t>
      </w:r>
      <w:r w:rsidR="00D2531B" w:rsidRPr="00252AC4">
        <w:t>the whole process</w:t>
      </w:r>
      <w:r w:rsidR="000E2B28" w:rsidRPr="00252AC4">
        <w:t xml:space="preserve"> spanning between 2014 and 2017</w:t>
      </w:r>
      <w:sdt>
        <w:sdtPr>
          <w:id w:val="357937465"/>
          <w:citation/>
        </w:sdtPr>
        <w:sdtEndPr/>
        <w:sdtContent>
          <w:r w:rsidR="00D2531B" w:rsidRPr="00252AC4">
            <w:fldChar w:fldCharType="begin"/>
          </w:r>
          <w:r w:rsidR="00D2531B" w:rsidRPr="00252AC4">
            <w:instrText xml:space="preserve"> CITATION OEC183 \l 1036 </w:instrText>
          </w:r>
          <w:r w:rsidR="00D2531B" w:rsidRPr="00252AC4">
            <w:fldChar w:fldCharType="separate"/>
          </w:r>
          <w:bookmarkStart w:id="79" w:name="OEC183_10"/>
          <w:r w:rsidR="00E259C6" w:rsidRPr="00252AC4">
            <w:rPr>
              <w:noProof/>
            </w:rPr>
            <w:t xml:space="preserve"> (OECD and Business France, 2018</w:t>
          </w:r>
          <w:r w:rsidR="00E259C6" w:rsidRPr="00252AC4">
            <w:rPr>
              <w:noProof/>
              <w:vertAlign w:val="subscript"/>
            </w:rPr>
            <w:t>[11]</w:t>
          </w:r>
          <w:r w:rsidR="00E259C6" w:rsidRPr="00252AC4">
            <w:rPr>
              <w:noProof/>
            </w:rPr>
            <w:t>)</w:t>
          </w:r>
          <w:bookmarkEnd w:id="79"/>
          <w:r w:rsidR="00D2531B" w:rsidRPr="00252AC4">
            <w:fldChar w:fldCharType="end"/>
          </w:r>
        </w:sdtContent>
      </w:sdt>
      <w:r w:rsidR="000E2B28" w:rsidRPr="00252AC4">
        <w:t xml:space="preserve">. This example illustrates </w:t>
      </w:r>
      <w:r w:rsidR="00D2531B" w:rsidRPr="00252AC4">
        <w:t xml:space="preserve">well </w:t>
      </w:r>
      <w:r w:rsidR="000E2B28" w:rsidRPr="00252AC4">
        <w:t xml:space="preserve">the </w:t>
      </w:r>
      <w:r w:rsidR="00D2531B" w:rsidRPr="00252AC4">
        <w:t xml:space="preserve">need to assess </w:t>
      </w:r>
      <w:r w:rsidR="00B33678" w:rsidRPr="00252AC4">
        <w:t xml:space="preserve">the </w:t>
      </w:r>
      <w:r w:rsidR="00D2531B" w:rsidRPr="00252AC4">
        <w:t>costs and benefits when undertaking IPA reforms</w:t>
      </w:r>
      <w:r w:rsidR="006876A4" w:rsidRPr="00252AC4">
        <w:t xml:space="preserve">, </w:t>
      </w:r>
      <w:r w:rsidR="0009073D" w:rsidRPr="00252AC4">
        <w:t xml:space="preserve">and </w:t>
      </w:r>
      <w:r w:rsidR="006876A4" w:rsidRPr="00252AC4">
        <w:t xml:space="preserve">not </w:t>
      </w:r>
      <w:r w:rsidR="0009073D" w:rsidRPr="00252AC4">
        <w:t xml:space="preserve">to </w:t>
      </w:r>
      <w:r w:rsidR="006876A4" w:rsidRPr="00252AC4">
        <w:t>underestimate the resources needed to implement them</w:t>
      </w:r>
      <w:r w:rsidR="005374F4" w:rsidRPr="00252AC4">
        <w:t xml:space="preserve">, </w:t>
      </w:r>
      <w:r w:rsidR="0009073D" w:rsidRPr="00252AC4">
        <w:t>as well as</w:t>
      </w:r>
      <w:r w:rsidR="005374F4" w:rsidRPr="00252AC4">
        <w:t xml:space="preserve"> their potentially disruptive</w:t>
      </w:r>
      <w:r w:rsidR="003A179A" w:rsidRPr="00252AC4">
        <w:t xml:space="preserve"> nature</w:t>
      </w:r>
      <w:r w:rsidR="006876A4" w:rsidRPr="00252AC4">
        <w:t>.</w:t>
      </w:r>
      <w:r w:rsidR="00544A84" w:rsidRPr="00252AC4">
        <w:t xml:space="preserve"> The merger of </w:t>
      </w:r>
      <w:r w:rsidR="00A518E9" w:rsidRPr="00252AC4">
        <w:t>mandates, in particular export and investment promotion</w:t>
      </w:r>
      <w:r w:rsidR="00614453" w:rsidRPr="00252AC4">
        <w:t>, is a recurring question</w:t>
      </w:r>
      <w:r w:rsidR="00544A84" w:rsidRPr="00252AC4">
        <w:t xml:space="preserve"> among authorities in charge of economic development</w:t>
      </w:r>
      <w:r w:rsidR="00401088" w:rsidRPr="00252AC4">
        <w:t xml:space="preserve"> and accounts for a large share of organisational reforms, although </w:t>
      </w:r>
      <w:r w:rsidR="00ED20C2" w:rsidRPr="00252AC4">
        <w:t>reforms</w:t>
      </w:r>
      <w:r w:rsidR="00401088" w:rsidRPr="00252AC4">
        <w:t xml:space="preserve"> can also be driven by </w:t>
      </w:r>
      <w:r w:rsidR="00ED20C2" w:rsidRPr="00252AC4">
        <w:t>ministry</w:t>
      </w:r>
      <w:r w:rsidR="00401088" w:rsidRPr="00252AC4">
        <w:t xml:space="preserve"> portfolio reshuffling and changes in reporting lines, </w:t>
      </w:r>
      <w:r w:rsidR="00ED20C2" w:rsidRPr="00252AC4">
        <w:t>among others</w:t>
      </w:r>
      <w:r w:rsidR="00544A84" w:rsidRPr="00252AC4">
        <w:t>.</w:t>
      </w:r>
      <w:r w:rsidR="00401088" w:rsidRPr="00252AC4">
        <w:t xml:space="preserve"> The rationale for merging mandates is explored further in the next section of this report.</w:t>
      </w:r>
    </w:p>
    <w:p w14:paraId="39C5A8DB" w14:textId="7D4EF8E7" w:rsidR="005009C3" w:rsidRPr="00252AC4" w:rsidRDefault="00E41C56" w:rsidP="005009C3">
      <w:pPr>
        <w:pStyle w:val="Para0"/>
      </w:pPr>
      <w:r w:rsidRPr="00252AC4">
        <w:t>In Eurasia, more than in other</w:t>
      </w:r>
      <w:r w:rsidR="00AB0582" w:rsidRPr="00252AC4">
        <w:t xml:space="preserve"> regions, frequent reforms seem</w:t>
      </w:r>
      <w:r w:rsidRPr="00252AC4">
        <w:t xml:space="preserve"> to be perceived as a major issue, as </w:t>
      </w:r>
      <w:r w:rsidR="005009C3" w:rsidRPr="00252AC4">
        <w:t xml:space="preserve">IPAs consider that the instability </w:t>
      </w:r>
      <w:r w:rsidRPr="00252AC4">
        <w:t xml:space="preserve">or inadequacy </w:t>
      </w:r>
      <w:r w:rsidR="005009C3" w:rsidRPr="00252AC4">
        <w:t xml:space="preserve">of their mandates </w:t>
      </w:r>
      <w:r w:rsidRPr="00252AC4">
        <w:t xml:space="preserve">is their </w:t>
      </w:r>
      <w:r w:rsidR="0090596B" w:rsidRPr="00252AC4">
        <w:t>number one</w:t>
      </w:r>
      <w:r w:rsidRPr="00252AC4">
        <w:t xml:space="preserve"> challenge</w:t>
      </w:r>
      <w:r w:rsidR="009158E9" w:rsidRPr="00252AC4">
        <w:t xml:space="preserve"> (</w:t>
      </w:r>
      <w:r w:rsidR="009158E9" w:rsidRPr="00252AC4">
        <w:fldChar w:fldCharType="begin"/>
      </w:r>
      <w:r w:rsidR="009158E9" w:rsidRPr="00252AC4">
        <w:instrText xml:space="preserve"> REF _Ref32324807 \h </w:instrText>
      </w:r>
      <w:r w:rsidR="009158E9" w:rsidRPr="00252AC4">
        <w:fldChar w:fldCharType="separate"/>
      </w:r>
      <w:r w:rsidR="008914FE" w:rsidRPr="00252AC4">
        <w:t xml:space="preserve">Table </w:t>
      </w:r>
      <w:r w:rsidR="008914FE">
        <w:rPr>
          <w:noProof/>
        </w:rPr>
        <w:t>1</w:t>
      </w:r>
      <w:r w:rsidR="008914FE" w:rsidRPr="00252AC4">
        <w:t>.</w:t>
      </w:r>
      <w:r w:rsidR="008914FE">
        <w:rPr>
          <w:noProof/>
        </w:rPr>
        <w:t>1</w:t>
      </w:r>
      <w:r w:rsidR="009158E9" w:rsidRPr="00252AC4">
        <w:fldChar w:fldCharType="end"/>
      </w:r>
      <w:r w:rsidR="009158E9" w:rsidRPr="00252AC4">
        <w:t>).</w:t>
      </w:r>
      <w:r w:rsidRPr="00252AC4">
        <w:t xml:space="preserve"> Their second biggest challenge concerns the lack of skilled and experienced staff, a difficulty that organisational changes </w:t>
      </w:r>
      <w:r w:rsidR="0090596B" w:rsidRPr="00252AC4">
        <w:t xml:space="preserve">typically </w:t>
      </w:r>
      <w:r w:rsidRPr="00252AC4">
        <w:t>tend to aggravate. In Georgia, for example, the IPA lost a large share of its staff during the merger with Enterprise Georgia, leaving it understaffed</w:t>
      </w:r>
      <w:r w:rsidR="00AB0582" w:rsidRPr="00252AC4">
        <w:t xml:space="preserve"> and need</w:t>
      </w:r>
      <w:r w:rsidR="008E6A3B" w:rsidRPr="00252AC4">
        <w:t>ing</w:t>
      </w:r>
      <w:r w:rsidR="00AB0582" w:rsidRPr="00252AC4">
        <w:t xml:space="preserve"> to recruit new profiles</w:t>
      </w:r>
      <w:r w:rsidRPr="00252AC4">
        <w:t>.</w:t>
      </w:r>
    </w:p>
    <w:p w14:paraId="36B95824" w14:textId="63461E2A" w:rsidR="00F60DCC" w:rsidRPr="00252AC4" w:rsidRDefault="00F60DCC" w:rsidP="008A1547">
      <w:pPr>
        <w:pStyle w:val="Caption"/>
      </w:pPr>
      <w:bookmarkStart w:id="80" w:name="_Ref32324807"/>
      <w:bookmarkStart w:id="81" w:name="_Toc31641318"/>
      <w:bookmarkStart w:id="82" w:name="_Toc31650318"/>
      <w:bookmarkStart w:id="83" w:name="_Toc32317023"/>
      <w:bookmarkStart w:id="84" w:name="_Toc32324682"/>
      <w:bookmarkStart w:id="85" w:name="_Toc34647233"/>
      <w:bookmarkStart w:id="86" w:name="_Toc31617764"/>
      <w:r w:rsidRPr="00252AC4">
        <w:t xml:space="preserve">Table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009915F6">
        <w:fldChar w:fldCharType="begin"/>
      </w:r>
      <w:r w:rsidR="009915F6">
        <w:instrText xml:space="preserve"> SEQ Table \* ARABIC \s 1 </w:instrText>
      </w:r>
      <w:r w:rsidR="009915F6">
        <w:fldChar w:fldCharType="separate"/>
      </w:r>
      <w:r w:rsidR="008914FE">
        <w:rPr>
          <w:noProof/>
        </w:rPr>
        <w:t>1</w:t>
      </w:r>
      <w:r w:rsidR="009915F6">
        <w:rPr>
          <w:noProof/>
        </w:rPr>
        <w:fldChar w:fldCharType="end"/>
      </w:r>
      <w:bookmarkEnd w:id="80"/>
      <w:r w:rsidRPr="00252AC4">
        <w:t>. IPAs’ top three challenges: regional rankings</w:t>
      </w:r>
      <w:bookmarkEnd w:id="81"/>
      <w:bookmarkEnd w:id="82"/>
      <w:bookmarkEnd w:id="83"/>
      <w:bookmarkEnd w:id="84"/>
      <w:bookmarkEnd w:id="85"/>
    </w:p>
    <w:p w14:paraId="7F774048" w14:textId="69E7AD06" w:rsidR="00F60DCC" w:rsidRPr="00252AC4" w:rsidRDefault="00F60DCC" w:rsidP="009E39EB">
      <w:pPr>
        <w:pStyle w:val="CaptionSubtitle"/>
      </w:pPr>
      <w:r w:rsidRPr="00252AC4">
        <w:t>Top three IPA challenges by region, ranked within a list of seven propositions.</w:t>
      </w:r>
    </w:p>
    <w:tbl>
      <w:tblPr>
        <w:tblStyle w:val="OECD"/>
        <w:tblW w:w="7938" w:type="dxa"/>
        <w:tblLook w:val="0420" w:firstRow="1" w:lastRow="0" w:firstColumn="0" w:lastColumn="0" w:noHBand="0" w:noVBand="1"/>
      </w:tblPr>
      <w:tblGrid>
        <w:gridCol w:w="1587"/>
        <w:gridCol w:w="1588"/>
        <w:gridCol w:w="1587"/>
        <w:gridCol w:w="1588"/>
        <w:gridCol w:w="1588"/>
      </w:tblGrid>
      <w:tr w:rsidR="00B40EA4" w:rsidRPr="00252AC4" w14:paraId="40331384" w14:textId="77777777" w:rsidTr="009E39EB">
        <w:trPr>
          <w:cnfStyle w:val="100000000000" w:firstRow="1" w:lastRow="0" w:firstColumn="0" w:lastColumn="0" w:oddVBand="0" w:evenVBand="0" w:oddHBand="0" w:evenHBand="0" w:firstRowFirstColumn="0" w:firstRowLastColumn="0" w:lastRowFirstColumn="0" w:lastRowLastColumn="0"/>
        </w:trPr>
        <w:tc>
          <w:tcPr>
            <w:tcW w:w="1587" w:type="dxa"/>
          </w:tcPr>
          <w:p w14:paraId="1CEA0DE2" w14:textId="77777777" w:rsidR="00B40EA4" w:rsidRPr="00252AC4" w:rsidRDefault="00B40EA4" w:rsidP="00B40EA4">
            <w:pPr>
              <w:pStyle w:val="TableColumn"/>
              <w:rPr>
                <w:lang w:val="en-GB"/>
              </w:rPr>
            </w:pPr>
          </w:p>
        </w:tc>
        <w:tc>
          <w:tcPr>
            <w:tcW w:w="1588" w:type="dxa"/>
            <w:tcBorders>
              <w:bottom w:val="single" w:sz="4" w:space="0" w:color="auto"/>
            </w:tcBorders>
          </w:tcPr>
          <w:p w14:paraId="5A23572A" w14:textId="2B0F6B8C" w:rsidR="00B40EA4" w:rsidRPr="00252AC4" w:rsidRDefault="00B40EA4" w:rsidP="00B40EA4">
            <w:pPr>
              <w:pStyle w:val="TableColumn"/>
              <w:rPr>
                <w:lang w:val="en-GB"/>
              </w:rPr>
            </w:pPr>
            <w:r w:rsidRPr="00252AC4">
              <w:rPr>
                <w:b/>
                <w:lang w:val="en-GB"/>
              </w:rPr>
              <w:t>Eurasia</w:t>
            </w:r>
          </w:p>
        </w:tc>
        <w:tc>
          <w:tcPr>
            <w:tcW w:w="1587" w:type="dxa"/>
            <w:tcBorders>
              <w:bottom w:val="single" w:sz="4" w:space="0" w:color="auto"/>
            </w:tcBorders>
          </w:tcPr>
          <w:p w14:paraId="18D3CBB7" w14:textId="099D9967" w:rsidR="00B40EA4" w:rsidRPr="00252AC4" w:rsidRDefault="00B40EA4" w:rsidP="00B40EA4">
            <w:pPr>
              <w:pStyle w:val="TableColumn"/>
              <w:rPr>
                <w:lang w:val="en-GB"/>
              </w:rPr>
            </w:pPr>
            <w:r w:rsidRPr="00252AC4">
              <w:rPr>
                <w:b/>
                <w:lang w:val="en-GB"/>
              </w:rPr>
              <w:t>OECD</w:t>
            </w:r>
          </w:p>
        </w:tc>
        <w:tc>
          <w:tcPr>
            <w:tcW w:w="1588" w:type="dxa"/>
            <w:tcBorders>
              <w:bottom w:val="single" w:sz="4" w:space="0" w:color="auto"/>
            </w:tcBorders>
          </w:tcPr>
          <w:p w14:paraId="103ADCB6" w14:textId="7E12B917" w:rsidR="00B40EA4" w:rsidRPr="00252AC4" w:rsidRDefault="00B40EA4" w:rsidP="00B40EA4">
            <w:pPr>
              <w:pStyle w:val="TableColumn"/>
              <w:rPr>
                <w:lang w:val="en-GB"/>
              </w:rPr>
            </w:pPr>
            <w:r w:rsidRPr="00252AC4">
              <w:rPr>
                <w:b/>
                <w:lang w:val="en-GB"/>
              </w:rPr>
              <w:t>MENA</w:t>
            </w:r>
          </w:p>
        </w:tc>
        <w:tc>
          <w:tcPr>
            <w:tcW w:w="1588" w:type="dxa"/>
            <w:tcBorders>
              <w:bottom w:val="single" w:sz="4" w:space="0" w:color="auto"/>
            </w:tcBorders>
          </w:tcPr>
          <w:p w14:paraId="3D31F28E" w14:textId="2F539BCC" w:rsidR="00B40EA4" w:rsidRPr="00252AC4" w:rsidRDefault="00B40EA4" w:rsidP="00B40EA4">
            <w:pPr>
              <w:pStyle w:val="TableColumn"/>
              <w:rPr>
                <w:lang w:val="en-GB"/>
              </w:rPr>
            </w:pPr>
            <w:r w:rsidRPr="00252AC4">
              <w:rPr>
                <w:b/>
                <w:lang w:val="en-GB"/>
              </w:rPr>
              <w:t>LAC</w:t>
            </w:r>
          </w:p>
        </w:tc>
      </w:tr>
      <w:tr w:rsidR="00F60DCC" w:rsidRPr="00252AC4" w14:paraId="2947E24B" w14:textId="77777777" w:rsidTr="009E39EB">
        <w:trPr>
          <w:cnfStyle w:val="000000100000" w:firstRow="0" w:lastRow="0" w:firstColumn="0" w:lastColumn="0" w:oddVBand="0" w:evenVBand="0" w:oddHBand="1" w:evenHBand="0" w:firstRowFirstColumn="0" w:firstRowLastColumn="0" w:lastRowFirstColumn="0" w:lastRowLastColumn="0"/>
        </w:trPr>
        <w:tc>
          <w:tcPr>
            <w:tcW w:w="1587" w:type="dxa"/>
            <w:vAlign w:val="center"/>
          </w:tcPr>
          <w:p w14:paraId="1A5FAAA6" w14:textId="74B6CCEB" w:rsidR="00F60DCC" w:rsidRPr="00252AC4" w:rsidRDefault="00F60DCC" w:rsidP="00F60DCC">
            <w:pPr>
              <w:pStyle w:val="TableRow"/>
              <w:rPr>
                <w:lang w:val="en-GB"/>
              </w:rPr>
            </w:pPr>
            <w:r w:rsidRPr="00252AC4">
              <w:rPr>
                <w:b/>
                <w:lang w:val="en-GB"/>
              </w:rPr>
              <w:t>Challenge n°1</w:t>
            </w:r>
          </w:p>
        </w:tc>
        <w:tc>
          <w:tcPr>
            <w:tcW w:w="1588" w:type="dxa"/>
            <w:tcBorders>
              <w:top w:val="single" w:sz="4" w:space="0" w:color="auto"/>
            </w:tcBorders>
          </w:tcPr>
          <w:p w14:paraId="632272A1" w14:textId="706BBAB7" w:rsidR="00F60DCC" w:rsidRPr="00252AC4" w:rsidRDefault="00F60DCC" w:rsidP="00B40EA4">
            <w:pPr>
              <w:pStyle w:val="TableCell"/>
              <w:jc w:val="left"/>
              <w:rPr>
                <w:lang w:val="en-GB"/>
              </w:rPr>
            </w:pPr>
            <w:r w:rsidRPr="00252AC4">
              <w:rPr>
                <w:lang w:val="en-GB"/>
              </w:rPr>
              <w:t>Inadequacy or instability of the mandate</w:t>
            </w:r>
          </w:p>
        </w:tc>
        <w:tc>
          <w:tcPr>
            <w:tcW w:w="1587" w:type="dxa"/>
            <w:tcBorders>
              <w:top w:val="single" w:sz="4" w:space="0" w:color="auto"/>
            </w:tcBorders>
          </w:tcPr>
          <w:p w14:paraId="3B94708B" w14:textId="6FE6F191" w:rsidR="00F60DCC" w:rsidRPr="00252AC4" w:rsidRDefault="00F60DCC" w:rsidP="00B40EA4">
            <w:pPr>
              <w:pStyle w:val="TableCell"/>
              <w:jc w:val="left"/>
              <w:rPr>
                <w:lang w:val="en-GB"/>
              </w:rPr>
            </w:pPr>
            <w:r w:rsidRPr="00252AC4">
              <w:rPr>
                <w:lang w:val="en-GB"/>
              </w:rPr>
              <w:t>Inadequate resources</w:t>
            </w:r>
          </w:p>
        </w:tc>
        <w:tc>
          <w:tcPr>
            <w:tcW w:w="1588" w:type="dxa"/>
            <w:tcBorders>
              <w:top w:val="single" w:sz="4" w:space="0" w:color="auto"/>
            </w:tcBorders>
          </w:tcPr>
          <w:p w14:paraId="48AE471B" w14:textId="09CE47E2" w:rsidR="00F60DCC" w:rsidRPr="00252AC4" w:rsidRDefault="00F60DCC" w:rsidP="00B40EA4">
            <w:pPr>
              <w:pStyle w:val="TableCell"/>
              <w:jc w:val="left"/>
              <w:rPr>
                <w:lang w:val="en-GB"/>
              </w:rPr>
            </w:pPr>
            <w:r w:rsidRPr="00252AC4">
              <w:rPr>
                <w:lang w:val="en-GB"/>
              </w:rPr>
              <w:t>Inadequate resources</w:t>
            </w:r>
          </w:p>
        </w:tc>
        <w:tc>
          <w:tcPr>
            <w:tcW w:w="1588" w:type="dxa"/>
            <w:tcBorders>
              <w:top w:val="single" w:sz="4" w:space="0" w:color="auto"/>
            </w:tcBorders>
          </w:tcPr>
          <w:p w14:paraId="60EAC301" w14:textId="49A8547C" w:rsidR="00F60DCC" w:rsidRPr="00252AC4" w:rsidRDefault="00F60DCC" w:rsidP="00B40EA4">
            <w:pPr>
              <w:pStyle w:val="TableCell"/>
              <w:jc w:val="left"/>
              <w:rPr>
                <w:lang w:val="en-GB"/>
              </w:rPr>
            </w:pPr>
            <w:r w:rsidRPr="00252AC4">
              <w:rPr>
                <w:lang w:val="en-GB"/>
              </w:rPr>
              <w:t>Wider business climate or regulatory reform</w:t>
            </w:r>
          </w:p>
        </w:tc>
      </w:tr>
      <w:tr w:rsidR="00F60DCC" w:rsidRPr="00252AC4" w14:paraId="78B74320" w14:textId="77777777" w:rsidTr="009E39EB">
        <w:trPr>
          <w:cnfStyle w:val="000000010000" w:firstRow="0" w:lastRow="0" w:firstColumn="0" w:lastColumn="0" w:oddVBand="0" w:evenVBand="0" w:oddHBand="0" w:evenHBand="1" w:firstRowFirstColumn="0" w:firstRowLastColumn="0" w:lastRowFirstColumn="0" w:lastRowLastColumn="0"/>
        </w:trPr>
        <w:tc>
          <w:tcPr>
            <w:tcW w:w="1587" w:type="dxa"/>
            <w:vAlign w:val="center"/>
          </w:tcPr>
          <w:p w14:paraId="45C1246C" w14:textId="59BDF967" w:rsidR="00F60DCC" w:rsidRPr="00252AC4" w:rsidRDefault="00F60DCC" w:rsidP="00F60DCC">
            <w:pPr>
              <w:pStyle w:val="TableRow"/>
              <w:rPr>
                <w:lang w:val="en-GB"/>
              </w:rPr>
            </w:pPr>
            <w:r w:rsidRPr="00252AC4">
              <w:rPr>
                <w:b/>
                <w:lang w:val="en-GB"/>
              </w:rPr>
              <w:t>Challenge n°2</w:t>
            </w:r>
          </w:p>
        </w:tc>
        <w:tc>
          <w:tcPr>
            <w:tcW w:w="1588" w:type="dxa"/>
          </w:tcPr>
          <w:p w14:paraId="1D9F2086" w14:textId="6815D4E2" w:rsidR="00F60DCC" w:rsidRPr="00252AC4" w:rsidRDefault="00F60DCC" w:rsidP="00B40EA4">
            <w:pPr>
              <w:pStyle w:val="TableCell"/>
              <w:jc w:val="left"/>
              <w:rPr>
                <w:lang w:val="en-GB"/>
              </w:rPr>
            </w:pPr>
            <w:r w:rsidRPr="00252AC4">
              <w:rPr>
                <w:lang w:val="en-GB"/>
              </w:rPr>
              <w:t>Inadequate staff</w:t>
            </w:r>
          </w:p>
        </w:tc>
        <w:tc>
          <w:tcPr>
            <w:tcW w:w="1587" w:type="dxa"/>
          </w:tcPr>
          <w:p w14:paraId="7CAF6D9F" w14:textId="2894D498" w:rsidR="00F60DCC" w:rsidRPr="00252AC4" w:rsidRDefault="00F60DCC" w:rsidP="00B40EA4">
            <w:pPr>
              <w:pStyle w:val="TableCell"/>
              <w:jc w:val="left"/>
              <w:rPr>
                <w:lang w:val="en-GB"/>
              </w:rPr>
            </w:pPr>
            <w:r w:rsidRPr="00252AC4">
              <w:rPr>
                <w:lang w:val="en-GB"/>
              </w:rPr>
              <w:t>Inadequate staff</w:t>
            </w:r>
          </w:p>
        </w:tc>
        <w:tc>
          <w:tcPr>
            <w:tcW w:w="1588" w:type="dxa"/>
          </w:tcPr>
          <w:p w14:paraId="710D6EC2" w14:textId="70AC93AC" w:rsidR="00F60DCC" w:rsidRPr="00252AC4" w:rsidRDefault="00F60DCC" w:rsidP="00B40EA4">
            <w:pPr>
              <w:pStyle w:val="TableCell"/>
              <w:jc w:val="left"/>
              <w:rPr>
                <w:lang w:val="en-GB"/>
              </w:rPr>
            </w:pPr>
            <w:r w:rsidRPr="00252AC4">
              <w:rPr>
                <w:lang w:val="en-GB"/>
              </w:rPr>
              <w:t>Emergence of new players in the market</w:t>
            </w:r>
            <w:r w:rsidRPr="00252AC4">
              <w:rPr>
                <w:vertAlign w:val="superscript"/>
                <w:lang w:val="en-GB"/>
              </w:rPr>
              <w:t>*</w:t>
            </w:r>
          </w:p>
        </w:tc>
        <w:tc>
          <w:tcPr>
            <w:tcW w:w="1588" w:type="dxa"/>
          </w:tcPr>
          <w:p w14:paraId="2B5F0E60" w14:textId="27AA2020" w:rsidR="00F60DCC" w:rsidRPr="00252AC4" w:rsidRDefault="00F60DCC" w:rsidP="00B40EA4">
            <w:pPr>
              <w:pStyle w:val="TableCell"/>
              <w:jc w:val="left"/>
              <w:rPr>
                <w:lang w:val="en-GB"/>
              </w:rPr>
            </w:pPr>
            <w:r w:rsidRPr="00252AC4">
              <w:rPr>
                <w:lang w:val="en-GB"/>
              </w:rPr>
              <w:t>Inadequate resources</w:t>
            </w:r>
          </w:p>
        </w:tc>
      </w:tr>
      <w:tr w:rsidR="00F60DCC" w:rsidRPr="00252AC4" w14:paraId="426A3A99" w14:textId="77777777" w:rsidTr="009E39EB">
        <w:trPr>
          <w:cnfStyle w:val="000000100000" w:firstRow="0" w:lastRow="0" w:firstColumn="0" w:lastColumn="0" w:oddVBand="0" w:evenVBand="0" w:oddHBand="1" w:evenHBand="0" w:firstRowFirstColumn="0" w:firstRowLastColumn="0" w:lastRowFirstColumn="0" w:lastRowLastColumn="0"/>
        </w:trPr>
        <w:tc>
          <w:tcPr>
            <w:tcW w:w="1587" w:type="dxa"/>
            <w:vAlign w:val="center"/>
          </w:tcPr>
          <w:p w14:paraId="2997230E" w14:textId="449F422B" w:rsidR="00F60DCC" w:rsidRPr="00252AC4" w:rsidRDefault="00F60DCC" w:rsidP="00F60DCC">
            <w:pPr>
              <w:pStyle w:val="TableRow"/>
              <w:rPr>
                <w:lang w:val="en-GB"/>
              </w:rPr>
            </w:pPr>
            <w:r w:rsidRPr="00252AC4">
              <w:rPr>
                <w:b/>
                <w:lang w:val="en-GB"/>
              </w:rPr>
              <w:t>Challenge n°3</w:t>
            </w:r>
          </w:p>
        </w:tc>
        <w:tc>
          <w:tcPr>
            <w:tcW w:w="1588" w:type="dxa"/>
          </w:tcPr>
          <w:p w14:paraId="26289074" w14:textId="2CBA3D98" w:rsidR="00F60DCC" w:rsidRPr="00252AC4" w:rsidRDefault="00F60DCC" w:rsidP="00B40EA4">
            <w:pPr>
              <w:pStyle w:val="TableCell"/>
              <w:jc w:val="left"/>
              <w:rPr>
                <w:lang w:val="en-GB"/>
              </w:rPr>
            </w:pPr>
            <w:r w:rsidRPr="00252AC4">
              <w:rPr>
                <w:lang w:val="en-GB"/>
              </w:rPr>
              <w:t>Wider business climate or regulatory reform</w:t>
            </w:r>
          </w:p>
        </w:tc>
        <w:tc>
          <w:tcPr>
            <w:tcW w:w="1587" w:type="dxa"/>
          </w:tcPr>
          <w:p w14:paraId="7D3A66BD" w14:textId="7FD9BF1D" w:rsidR="00F60DCC" w:rsidRPr="00252AC4" w:rsidRDefault="00F60DCC" w:rsidP="00B40EA4">
            <w:pPr>
              <w:pStyle w:val="TableCell"/>
              <w:jc w:val="left"/>
              <w:rPr>
                <w:lang w:val="en-GB"/>
              </w:rPr>
            </w:pPr>
            <w:r w:rsidRPr="00252AC4">
              <w:rPr>
                <w:lang w:val="en-GB"/>
              </w:rPr>
              <w:t>Wider business climate or regulatory reform</w:t>
            </w:r>
          </w:p>
        </w:tc>
        <w:tc>
          <w:tcPr>
            <w:tcW w:w="1588" w:type="dxa"/>
          </w:tcPr>
          <w:p w14:paraId="44844E21" w14:textId="5F85C600" w:rsidR="00F60DCC" w:rsidRPr="00252AC4" w:rsidRDefault="00F60DCC" w:rsidP="00B40EA4">
            <w:pPr>
              <w:pStyle w:val="TableCell"/>
              <w:jc w:val="left"/>
              <w:rPr>
                <w:lang w:val="en-GB"/>
              </w:rPr>
            </w:pPr>
            <w:r w:rsidRPr="00252AC4">
              <w:rPr>
                <w:lang w:val="en-GB"/>
              </w:rPr>
              <w:t>Inadequacy or instability of the mandate</w:t>
            </w:r>
          </w:p>
        </w:tc>
        <w:tc>
          <w:tcPr>
            <w:tcW w:w="1588" w:type="dxa"/>
          </w:tcPr>
          <w:p w14:paraId="2A09E19E" w14:textId="77777777" w:rsidR="00F60DCC" w:rsidRPr="00252AC4" w:rsidRDefault="00F60DCC" w:rsidP="00B40EA4">
            <w:pPr>
              <w:pStyle w:val="TableCell"/>
              <w:jc w:val="left"/>
              <w:rPr>
                <w:lang w:val="en-GB"/>
              </w:rPr>
            </w:pPr>
            <w:r w:rsidRPr="00252AC4">
              <w:rPr>
                <w:lang w:val="en-GB"/>
              </w:rPr>
              <w:t xml:space="preserve">Lack of political support for the IPA </w:t>
            </w:r>
          </w:p>
          <w:p w14:paraId="22B6305E" w14:textId="77777777" w:rsidR="00F60DCC" w:rsidRPr="00252AC4" w:rsidRDefault="00F60DCC" w:rsidP="00B40EA4">
            <w:pPr>
              <w:pStyle w:val="TableCell"/>
              <w:jc w:val="left"/>
              <w:rPr>
                <w:lang w:val="en-GB"/>
              </w:rPr>
            </w:pPr>
          </w:p>
        </w:tc>
      </w:tr>
    </w:tbl>
    <w:p w14:paraId="3AECB1A3" w14:textId="5D9D4227" w:rsidR="00F60DCC" w:rsidRPr="00252AC4" w:rsidRDefault="00F60DCC" w:rsidP="009E39EB">
      <w:pPr>
        <w:pStyle w:val="Sourcenotes"/>
      </w:pPr>
      <w:r w:rsidRPr="00252AC4">
        <w:rPr>
          <w:i/>
        </w:rPr>
        <w:t>Note</w:t>
      </w:r>
      <w:r w:rsidRPr="00252AC4">
        <w:t>: (*) e.g. new countries, new investors.</w:t>
      </w:r>
    </w:p>
    <w:p w14:paraId="2567818C" w14:textId="7C97544F" w:rsidR="00F60DCC" w:rsidRPr="00252AC4" w:rsidRDefault="00F60DCC" w:rsidP="009E39EB">
      <w:pPr>
        <w:pStyle w:val="Sourcenotes"/>
      </w:pPr>
      <w:r w:rsidRPr="00252AC4">
        <w:rPr>
          <w:i/>
        </w:rPr>
        <w:t>Source</w:t>
      </w:r>
      <w:r w:rsidRPr="00252AC4">
        <w:t>: OECD-IDB survey of investment promotion agencies</w:t>
      </w:r>
      <w:r w:rsidR="000B01CE" w:rsidRPr="00252AC4">
        <w:t xml:space="preserve"> (2020)</w:t>
      </w:r>
    </w:p>
    <w:bookmarkEnd w:id="86"/>
    <w:p w14:paraId="561C9F32" w14:textId="59EDDCF0" w:rsidR="00C64C23" w:rsidRPr="00252AC4" w:rsidRDefault="00374677" w:rsidP="00F60DCC">
      <w:pPr>
        <w:pStyle w:val="Heading3"/>
      </w:pPr>
      <w:r w:rsidRPr="00252AC4">
        <w:t xml:space="preserve">Granting </w:t>
      </w:r>
      <w:r w:rsidR="003F3653" w:rsidRPr="00252AC4">
        <w:t xml:space="preserve">IPAs </w:t>
      </w:r>
      <w:r w:rsidRPr="00252AC4">
        <w:t>more independence and</w:t>
      </w:r>
      <w:r w:rsidR="003F3653" w:rsidRPr="00252AC4">
        <w:t xml:space="preserve"> authority</w:t>
      </w:r>
      <w:r w:rsidR="00C64C23" w:rsidRPr="00252AC4">
        <w:t xml:space="preserve"> </w:t>
      </w:r>
      <w:r w:rsidRPr="00252AC4">
        <w:t xml:space="preserve">could </w:t>
      </w:r>
      <w:r w:rsidR="003F3653" w:rsidRPr="00252AC4">
        <w:t>give</w:t>
      </w:r>
      <w:r w:rsidRPr="00252AC4">
        <w:t xml:space="preserve"> them more visibility and influence, and help them become true go-to partners of foreign investors</w:t>
      </w:r>
    </w:p>
    <w:p w14:paraId="55CB8270" w14:textId="68A18B76" w:rsidR="001462A2" w:rsidRPr="00252AC4" w:rsidRDefault="001462A2" w:rsidP="001462A2">
      <w:pPr>
        <w:pStyle w:val="Para0"/>
      </w:pPr>
      <w:r w:rsidRPr="00252AC4">
        <w:t xml:space="preserve">Overall, increased institutional independence could enable </w:t>
      </w:r>
      <w:r w:rsidR="00437913" w:rsidRPr="00252AC4">
        <w:t xml:space="preserve">Eurasia </w:t>
      </w:r>
      <w:r w:rsidRPr="00252AC4">
        <w:t xml:space="preserve">IPAs to be more pro-active and focused on their efforts </w:t>
      </w:r>
      <w:r w:rsidR="003F3653" w:rsidRPr="00252AC4">
        <w:t>on</w:t>
      </w:r>
      <w:r w:rsidRPr="00252AC4">
        <w:t xml:space="preserve"> attract</w:t>
      </w:r>
      <w:r w:rsidR="003F3653" w:rsidRPr="00252AC4">
        <w:t>ing</w:t>
      </w:r>
      <w:r w:rsidRPr="00252AC4">
        <w:t xml:space="preserve"> foreign investors and </w:t>
      </w:r>
      <w:r w:rsidR="003F3653" w:rsidRPr="00252AC4">
        <w:t xml:space="preserve">enhancing </w:t>
      </w:r>
      <w:r w:rsidRPr="00252AC4">
        <w:t xml:space="preserve">investment promotion overall. </w:t>
      </w:r>
      <w:r w:rsidR="004F50EC" w:rsidRPr="00252AC4">
        <w:t xml:space="preserve">Empirical research suggests that autonomous settings, private sector representation in governance and strong links with central decision-making authorities can </w:t>
      </w:r>
      <w:r w:rsidR="004F50EC" w:rsidRPr="00252AC4">
        <w:lastRenderedPageBreak/>
        <w:t>contribute to greater IPA success</w:t>
      </w:r>
      <w:sdt>
        <w:sdtPr>
          <w:id w:val="1048337925"/>
          <w:citation/>
        </w:sdtPr>
        <w:sdtEndPr/>
        <w:sdtContent>
          <w:r w:rsidR="004F50EC" w:rsidRPr="00252AC4">
            <w:fldChar w:fldCharType="begin"/>
          </w:r>
          <w:r w:rsidR="004F50EC" w:rsidRPr="00252AC4">
            <w:instrText xml:space="preserve"> CITATION Mor04 \l 1036 </w:instrText>
          </w:r>
          <w:r w:rsidR="004F50EC" w:rsidRPr="00252AC4">
            <w:fldChar w:fldCharType="separate"/>
          </w:r>
          <w:r w:rsidR="00E259C6" w:rsidRPr="00252AC4">
            <w:rPr>
              <w:noProof/>
            </w:rPr>
            <w:t xml:space="preserve"> (Morisset and Andrews-Johnson, 2004</w:t>
          </w:r>
          <w:r w:rsidR="00E259C6" w:rsidRPr="00252AC4">
            <w:rPr>
              <w:noProof/>
              <w:vertAlign w:val="subscript"/>
            </w:rPr>
            <w:t>[12]</w:t>
          </w:r>
          <w:r w:rsidR="00E259C6" w:rsidRPr="00252AC4">
            <w:rPr>
              <w:noProof/>
            </w:rPr>
            <w:t>)</w:t>
          </w:r>
          <w:r w:rsidR="004F50EC" w:rsidRPr="00252AC4">
            <w:fldChar w:fldCharType="end"/>
          </w:r>
        </w:sdtContent>
      </w:sdt>
      <w:r w:rsidR="004F50EC" w:rsidRPr="00252AC4">
        <w:t xml:space="preserve">. Eurasia </w:t>
      </w:r>
      <w:r w:rsidR="00437913" w:rsidRPr="00252AC4">
        <w:t xml:space="preserve">IPAs </w:t>
      </w:r>
      <w:r w:rsidR="003F3653" w:rsidRPr="00252AC4">
        <w:t xml:space="preserve">generally </w:t>
      </w:r>
      <w:r w:rsidR="00437913" w:rsidRPr="00252AC4">
        <w:t>have low level</w:t>
      </w:r>
      <w:r w:rsidR="004F50EC" w:rsidRPr="00252AC4">
        <w:t>s</w:t>
      </w:r>
      <w:r w:rsidR="00437913" w:rsidRPr="00252AC4">
        <w:t xml:space="preserve"> of institutional independence</w:t>
      </w:r>
      <w:r w:rsidR="003E0C20" w:rsidRPr="00252AC4">
        <w:t xml:space="preserve">, which </w:t>
      </w:r>
      <w:r w:rsidR="00252AC4">
        <w:t>may reflect</w:t>
      </w:r>
      <w:r w:rsidR="003E0C20" w:rsidRPr="00252AC4">
        <w:t xml:space="preserve"> the centralised nature of </w:t>
      </w:r>
      <w:r w:rsidR="00252AC4">
        <w:t xml:space="preserve">most </w:t>
      </w:r>
      <w:r w:rsidR="003E0C20" w:rsidRPr="00252AC4">
        <w:t xml:space="preserve">former </w:t>
      </w:r>
      <w:r w:rsidR="00252AC4">
        <w:t>S</w:t>
      </w:r>
      <w:r w:rsidR="003E0C20" w:rsidRPr="00252AC4">
        <w:t>oviet states, a common feature of countries in the region</w:t>
      </w:r>
      <w:r w:rsidR="00437913" w:rsidRPr="00252AC4">
        <w:t xml:space="preserve">. This </w:t>
      </w:r>
      <w:r w:rsidR="003F3653" w:rsidRPr="00252AC4">
        <w:t>can be seen in</w:t>
      </w:r>
      <w:r w:rsidR="00437913" w:rsidRPr="00252AC4">
        <w:t xml:space="preserve"> the prevalence of government agencies and relatively high frequency of reporting, compared with other regions. </w:t>
      </w:r>
      <w:r w:rsidR="003F3653" w:rsidRPr="00252AC4">
        <w:t xml:space="preserve">Many representatives of </w:t>
      </w:r>
      <w:r w:rsidR="00437913" w:rsidRPr="00252AC4">
        <w:t xml:space="preserve">Eurasia IPAs </w:t>
      </w:r>
      <w:r w:rsidR="003F3653" w:rsidRPr="00252AC4">
        <w:t xml:space="preserve">express the view </w:t>
      </w:r>
      <w:r w:rsidR="00437913" w:rsidRPr="00252AC4">
        <w:t>that short</w:t>
      </w:r>
      <w:r w:rsidR="003F3653" w:rsidRPr="00252AC4">
        <w:t>er</w:t>
      </w:r>
      <w:r w:rsidRPr="00252AC4">
        <w:t xml:space="preserve"> decision-making channels, increased flexibility and </w:t>
      </w:r>
      <w:r w:rsidR="003F3653" w:rsidRPr="00252AC4">
        <w:t xml:space="preserve">greater </w:t>
      </w:r>
      <w:r w:rsidRPr="00252AC4">
        <w:t xml:space="preserve">autonomy </w:t>
      </w:r>
      <w:r w:rsidR="003F3653" w:rsidRPr="00252AC4">
        <w:t xml:space="preserve">could </w:t>
      </w:r>
      <w:r w:rsidRPr="00252AC4">
        <w:t>enable better performance</w:t>
      </w:r>
      <w:r w:rsidR="00437913" w:rsidRPr="00252AC4">
        <w:rPr>
          <w:rStyle w:val="FootnoteReference"/>
        </w:rPr>
        <w:footnoteReference w:id="2"/>
      </w:r>
      <w:r w:rsidRPr="00252AC4">
        <w:t xml:space="preserve">. Striking a balance between the need for supervision and control, and the benefits of granting autonomy is always a challenge. In Eurasia however, </w:t>
      </w:r>
      <w:r w:rsidR="006D5452" w:rsidRPr="00252AC4">
        <w:t xml:space="preserve">the </w:t>
      </w:r>
      <w:r w:rsidRPr="00252AC4">
        <w:t xml:space="preserve">trends </w:t>
      </w:r>
      <w:r w:rsidR="006D5452" w:rsidRPr="00252AC4">
        <w:t xml:space="preserve">revealed by the survey suggest </w:t>
      </w:r>
      <w:r w:rsidRPr="00252AC4">
        <w:t>that governments could provide IPAs with greater autonomy as they become more experienced in the delivery of their mandates.</w:t>
      </w:r>
    </w:p>
    <w:p w14:paraId="23143528" w14:textId="32995FA6" w:rsidR="00C30694" w:rsidRPr="00252AC4" w:rsidRDefault="00B707EA" w:rsidP="003E0C20">
      <w:pPr>
        <w:pStyle w:val="Para0"/>
      </w:pPr>
      <w:r w:rsidRPr="00252AC4">
        <w:t xml:space="preserve">The links between Eurasia IPAs and their governments are strong. </w:t>
      </w:r>
      <w:r w:rsidR="003F3653" w:rsidRPr="00252AC4">
        <w:t xml:space="preserve">In contrast </w:t>
      </w:r>
      <w:r w:rsidR="00C30694" w:rsidRPr="00252AC4">
        <w:t>to other regions covered by the survey</w:t>
      </w:r>
      <w:r w:rsidR="006850F7" w:rsidRPr="00252AC4">
        <w:t>,</w:t>
      </w:r>
      <w:r w:rsidR="003B7141" w:rsidRPr="00252AC4">
        <w:t xml:space="preserve"> where </w:t>
      </w:r>
      <w:r w:rsidR="006850F7" w:rsidRPr="00252AC4">
        <w:t>autonomous</w:t>
      </w:r>
      <w:r w:rsidR="003B7141" w:rsidRPr="00252AC4">
        <w:t xml:space="preserve"> public agencies are the norm</w:t>
      </w:r>
      <w:r w:rsidR="00C30694" w:rsidRPr="00252AC4">
        <w:t xml:space="preserve">, </w:t>
      </w:r>
      <w:r w:rsidR="003B7141" w:rsidRPr="00252AC4">
        <w:t xml:space="preserve">most </w:t>
      </w:r>
      <w:r w:rsidR="00C30694" w:rsidRPr="00252AC4">
        <w:t xml:space="preserve">Eurasia IPAs </w:t>
      </w:r>
      <w:r w:rsidR="00E72220" w:rsidRPr="00252AC4">
        <w:t>(6 out of 10 in our sample</w:t>
      </w:r>
      <w:r w:rsidR="003B7141" w:rsidRPr="00252AC4">
        <w:t xml:space="preserve">) </w:t>
      </w:r>
      <w:r w:rsidR="00C30694" w:rsidRPr="00252AC4">
        <w:t>are</w:t>
      </w:r>
      <w:r w:rsidR="00D32D4A" w:rsidRPr="00252AC4">
        <w:t xml:space="preserve"> government agencies (</w:t>
      </w:r>
      <w:r w:rsidR="003D00F8" w:rsidRPr="00252AC4">
        <w:t>Figure 1.2</w:t>
      </w:r>
      <w:r w:rsidR="00C30694" w:rsidRPr="00252AC4">
        <w:t>).</w:t>
      </w:r>
      <w:r w:rsidR="00323CA7" w:rsidRPr="00252AC4">
        <w:t xml:space="preserve"> </w:t>
      </w:r>
      <w:r w:rsidR="003E0C20" w:rsidRPr="00252AC4">
        <w:t>T</w:t>
      </w:r>
      <w:r w:rsidR="00FB2870" w:rsidRPr="00252AC4">
        <w:t>he size of the agency (</w:t>
      </w:r>
      <w:r w:rsidR="00EA1A12" w:rsidRPr="00252AC4">
        <w:t>considering all its mandates</w:t>
      </w:r>
      <w:r w:rsidR="00FB2870" w:rsidRPr="00252AC4">
        <w:t>)</w:t>
      </w:r>
      <w:r w:rsidR="003E0C20" w:rsidRPr="00252AC4">
        <w:t xml:space="preserve"> can partly explain this trend</w:t>
      </w:r>
      <w:r w:rsidR="00FB2870" w:rsidRPr="00252AC4">
        <w:t>. In the Eurasia sample, the difference in average budget size</w:t>
      </w:r>
      <w:r w:rsidR="009233E2" w:rsidRPr="00252AC4">
        <w:t>s</w:t>
      </w:r>
      <w:r w:rsidR="00FB2870" w:rsidRPr="00252AC4">
        <w:t xml:space="preserve"> between autonomous and governmental agencies is very large (</w:t>
      </w:r>
      <w:r w:rsidR="009233E2" w:rsidRPr="00252AC4">
        <w:t>autonomous agencies’ average budget is 4.7</w:t>
      </w:r>
      <w:r w:rsidR="00EA1A12" w:rsidRPr="00252AC4">
        <w:t>6</w:t>
      </w:r>
      <w:r w:rsidR="009233E2" w:rsidRPr="00252AC4">
        <w:t xml:space="preserve"> times that of governmental agencies</w:t>
      </w:r>
      <w:r w:rsidR="00574FF7" w:rsidRPr="00252AC4">
        <w:t>, excluding Kazakhstan</w:t>
      </w:r>
      <w:r w:rsidR="003F3653" w:rsidRPr="00252AC4">
        <w:t>,</w:t>
      </w:r>
      <w:r w:rsidR="00574FF7" w:rsidRPr="00252AC4">
        <w:t xml:space="preserve"> which is an outlier</w:t>
      </w:r>
      <w:r w:rsidR="009233E2" w:rsidRPr="00252AC4">
        <w:t>).</w:t>
      </w:r>
      <w:r w:rsidR="00783691" w:rsidRPr="00252AC4">
        <w:t xml:space="preserve"> There is a possibility that new </w:t>
      </w:r>
      <w:r w:rsidR="003F3653" w:rsidRPr="00252AC4">
        <w:t xml:space="preserve">investment promotion </w:t>
      </w:r>
      <w:r w:rsidR="00783691" w:rsidRPr="00252AC4">
        <w:t xml:space="preserve">functions tend to be created </w:t>
      </w:r>
      <w:r w:rsidR="00637CF8" w:rsidRPr="00252AC4">
        <w:t>within ministries</w:t>
      </w:r>
      <w:r w:rsidR="00783691" w:rsidRPr="00252AC4">
        <w:t xml:space="preserve">, and that </w:t>
      </w:r>
      <w:r w:rsidR="00637CF8" w:rsidRPr="00252AC4">
        <w:t>their</w:t>
      </w:r>
      <w:r w:rsidR="00783691" w:rsidRPr="00252AC4">
        <w:t xml:space="preserve"> chance of becoming an autonomous agency grows as the team</w:t>
      </w:r>
      <w:r w:rsidR="00637CF8" w:rsidRPr="00252AC4">
        <w:t>s become</w:t>
      </w:r>
      <w:r w:rsidR="00783691" w:rsidRPr="00252AC4">
        <w:t xml:space="preserve"> larger and more experienced.</w:t>
      </w:r>
      <w:r w:rsidR="009233E2" w:rsidRPr="00252AC4">
        <w:t xml:space="preserve"> </w:t>
      </w:r>
      <w:r w:rsidR="003F3653" w:rsidRPr="00252AC4">
        <w:t>O</w:t>
      </w:r>
      <w:r w:rsidR="009233E2" w:rsidRPr="00252AC4">
        <w:t>f the</w:t>
      </w:r>
      <w:r w:rsidR="003F3653" w:rsidRPr="00252AC4">
        <w:t xml:space="preserve"> </w:t>
      </w:r>
      <w:r w:rsidR="00325EE1" w:rsidRPr="00252AC4">
        <w:t>69</w:t>
      </w:r>
      <w:r w:rsidR="003F3653" w:rsidRPr="00252AC4">
        <w:t xml:space="preserve"> countries in</w:t>
      </w:r>
      <w:r w:rsidR="009233E2" w:rsidRPr="00252AC4">
        <w:t xml:space="preserve"> the OECD-IDB database</w:t>
      </w:r>
      <w:r w:rsidR="003F3653" w:rsidRPr="00252AC4">
        <w:t>,</w:t>
      </w:r>
      <w:r w:rsidR="009233E2" w:rsidRPr="00252AC4">
        <w:t xml:space="preserve"> however, the difference </w:t>
      </w:r>
      <w:r w:rsidR="00783691" w:rsidRPr="00252AC4">
        <w:t xml:space="preserve">in budgets between the autonomous and the governmental samples </w:t>
      </w:r>
      <w:r w:rsidR="009233E2" w:rsidRPr="00252AC4">
        <w:t>is much smaller (</w:t>
      </w:r>
      <w:r w:rsidR="00EA1A12" w:rsidRPr="00252AC4">
        <w:t xml:space="preserve">with </w:t>
      </w:r>
      <w:r w:rsidR="00167D02" w:rsidRPr="00252AC4">
        <w:t xml:space="preserve">only </w:t>
      </w:r>
      <w:r w:rsidR="00EA1A12" w:rsidRPr="00252AC4">
        <w:t xml:space="preserve">a </w:t>
      </w:r>
      <w:r w:rsidR="009233E2" w:rsidRPr="00252AC4">
        <w:t>1.2</w:t>
      </w:r>
      <w:r w:rsidR="00EA1A12" w:rsidRPr="00252AC4">
        <w:t>7 ratio</w:t>
      </w:r>
      <w:r w:rsidR="00167D02" w:rsidRPr="00252AC4">
        <w:t xml:space="preserve"> vs the 4.76 calculated above</w:t>
      </w:r>
      <w:r w:rsidR="009233E2" w:rsidRPr="00252AC4">
        <w:t>)</w:t>
      </w:r>
      <w:r w:rsidR="00637CF8" w:rsidRPr="00252AC4">
        <w:t>, so size cannot be considered the only factor</w:t>
      </w:r>
      <w:r w:rsidR="009233E2" w:rsidRPr="00252AC4">
        <w:t>.</w:t>
      </w:r>
    </w:p>
    <w:p w14:paraId="775A41F5" w14:textId="3FC3871C" w:rsidR="00AF2C26" w:rsidRPr="00252AC4" w:rsidRDefault="00AF2C26" w:rsidP="0051394F">
      <w:pPr>
        <w:pStyle w:val="Caption"/>
      </w:pPr>
      <w:bookmarkStart w:id="87" w:name="_Toc34647245"/>
      <w:bookmarkStart w:id="88" w:name="_Ref31625741"/>
      <w:bookmarkStart w:id="89" w:name="_Toc31617731"/>
      <w:bookmarkStart w:id="90" w:name="_Toc31641330"/>
      <w:bookmarkStart w:id="91" w:name="_Toc31650330"/>
      <w:bookmarkStart w:id="92" w:name="_Toc32317035"/>
      <w:bookmarkStart w:id="93" w:name="_Toc32324694"/>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2</w:t>
      </w:r>
      <w:r w:rsidRPr="00252AC4">
        <w:rPr>
          <w:noProof/>
        </w:rPr>
        <w:fldChar w:fldCharType="end"/>
      </w:r>
      <w:r w:rsidRPr="00252AC4">
        <w:t>. Legal statuses of investment promotion agencies</w:t>
      </w:r>
      <w:bookmarkEnd w:id="87"/>
    </w:p>
    <w:p w14:paraId="43E968B2" w14:textId="77777777" w:rsidR="00BD0163" w:rsidRPr="00252AC4" w:rsidRDefault="00AF2C26" w:rsidP="00AF2C26">
      <w:pPr>
        <w:pStyle w:val="CaptionSubtitle"/>
        <w:rPr>
          <w:noProof/>
          <w:lang w:eastAsia="en-GB"/>
        </w:rPr>
      </w:pPr>
      <w:r w:rsidRPr="00252AC4">
        <w:t>Comparisons across regions (%).</w:t>
      </w:r>
      <w:r w:rsidRPr="00252AC4">
        <w:rPr>
          <w:noProof/>
          <w:lang w:eastAsia="en-GB"/>
        </w:rPr>
        <w:t xml:space="preserve"> </w:t>
      </w:r>
    </w:p>
    <w:p w14:paraId="34FCC37F" w14:textId="01541D77" w:rsidR="00AF2C26" w:rsidRPr="00252AC4" w:rsidRDefault="007D75DD" w:rsidP="00AF2C26">
      <w:pPr>
        <w:pStyle w:val="CaptionSubtitle"/>
      </w:pPr>
      <w:r w:rsidRPr="00252AC4">
        <w:rPr>
          <w:noProof/>
          <w:lang w:eastAsia="en-GB"/>
        </w:rPr>
        <w:object w:dxaOrig="9410" w:dyaOrig="4360" w14:anchorId="152FF738">
          <v:shape id="_x0000_i1027" type="#_x0000_t75" style="width:392.2pt;height:182.75pt" o:ole="">
            <v:imagedata r:id="rId25" o:title=""/>
          </v:shape>
          <o:OLEObject Type="Link" ProgID="Excel.Sheet.12" ShapeID="_x0000_i1027" DrawAspect="Content" r:id="rId26" UpdateMode="Always">
            <o:LinkType>EnhancedMetaFile</o:LinkType>
            <o:LockedField>false</o:LockedField>
          </o:OLEObject>
        </w:object>
      </w:r>
    </w:p>
    <w:p w14:paraId="73459BE2" w14:textId="136B0AD9" w:rsidR="00AF2C26" w:rsidRPr="00252AC4" w:rsidRDefault="00AF2C26" w:rsidP="00AF2C26">
      <w:pPr>
        <w:pStyle w:val="Sourcenotes"/>
      </w:pPr>
      <w:r w:rsidRPr="00252AC4">
        <w:rPr>
          <w:i/>
        </w:rPr>
        <w:t>Source</w:t>
      </w:r>
      <w:r w:rsidRPr="00252AC4">
        <w:t>: OECD-IDB survey of inves</w:t>
      </w:r>
      <w:r w:rsidR="00BD0163" w:rsidRPr="00252AC4">
        <w:t>tment promotion agencies (2020)</w:t>
      </w:r>
    </w:p>
    <w:bookmarkEnd w:id="88"/>
    <w:bookmarkEnd w:id="89"/>
    <w:bookmarkEnd w:id="90"/>
    <w:bookmarkEnd w:id="91"/>
    <w:bookmarkEnd w:id="92"/>
    <w:bookmarkEnd w:id="93"/>
    <w:p w14:paraId="5CC72D8F" w14:textId="6B057349" w:rsidR="006E1F73" w:rsidRPr="00252AC4" w:rsidRDefault="00E00CC0" w:rsidP="006E1754">
      <w:pPr>
        <w:pStyle w:val="Para0"/>
      </w:pPr>
      <w:r w:rsidRPr="00252AC4">
        <w:t>R</w:t>
      </w:r>
      <w:r w:rsidR="003A179A" w:rsidRPr="00252AC4">
        <w:t xml:space="preserve">eporting </w:t>
      </w:r>
      <w:r w:rsidRPr="00252AC4">
        <w:t>trends also illustrate</w:t>
      </w:r>
      <w:r w:rsidR="003A179A" w:rsidRPr="00252AC4">
        <w:t xml:space="preserve"> the relatively low level of Eurasia IPAs’ independence</w:t>
      </w:r>
      <w:r w:rsidR="003F3653" w:rsidRPr="00252AC4">
        <w:t>.</w:t>
      </w:r>
      <w:r w:rsidR="00A442E6" w:rsidRPr="00252AC4">
        <w:t xml:space="preserve"> </w:t>
      </w:r>
      <w:r w:rsidR="003F3653" w:rsidRPr="00252AC4">
        <w:t>On average, they</w:t>
      </w:r>
      <w:r w:rsidR="003A179A" w:rsidRPr="00252AC4">
        <w:t xml:space="preserve"> report</w:t>
      </w:r>
      <w:r w:rsidR="00574FF7" w:rsidRPr="00252AC4">
        <w:t xml:space="preserve"> </w:t>
      </w:r>
      <w:r w:rsidR="004A7987" w:rsidRPr="00252AC4">
        <w:t xml:space="preserve">to their sponsors </w:t>
      </w:r>
      <w:r w:rsidR="003F3653" w:rsidRPr="00252AC4">
        <w:t xml:space="preserve">more frequently </w:t>
      </w:r>
      <w:r w:rsidR="004A7987" w:rsidRPr="00252AC4">
        <w:t xml:space="preserve">than </w:t>
      </w:r>
      <w:r w:rsidR="00637CF8" w:rsidRPr="00252AC4">
        <w:t xml:space="preserve">their </w:t>
      </w:r>
      <w:r w:rsidR="004A7987" w:rsidRPr="00252AC4">
        <w:t xml:space="preserve">OECD </w:t>
      </w:r>
      <w:r w:rsidR="00637CF8" w:rsidRPr="00252AC4">
        <w:t>peers</w:t>
      </w:r>
      <w:r w:rsidR="00D32D4A" w:rsidRPr="00252AC4">
        <w:t xml:space="preserve"> (</w:t>
      </w:r>
      <w:r w:rsidR="003D00F8" w:rsidRPr="00252AC4">
        <w:t>Figure 1.3</w:t>
      </w:r>
      <w:r w:rsidR="004A7987" w:rsidRPr="00252AC4">
        <w:t>).</w:t>
      </w:r>
      <w:r w:rsidR="00A442E6" w:rsidRPr="00252AC4">
        <w:t xml:space="preserve"> </w:t>
      </w:r>
      <w:r w:rsidRPr="00252AC4">
        <w:t>Half of Eurasia IPAs report more than quarterly.</w:t>
      </w:r>
      <w:r w:rsidR="004A7987" w:rsidRPr="00252AC4">
        <w:t xml:space="preserve"> </w:t>
      </w:r>
      <w:r w:rsidR="005A1369" w:rsidRPr="00252AC4">
        <w:t>Reporting documents include activity reports (100% of the sample), and, to a lesser extent, financial report</w:t>
      </w:r>
      <w:r w:rsidRPr="00252AC4">
        <w:t>s</w:t>
      </w:r>
      <w:r w:rsidR="005A1369" w:rsidRPr="00252AC4">
        <w:t xml:space="preserve"> (60%). </w:t>
      </w:r>
      <w:r w:rsidR="003F3653" w:rsidRPr="00252AC4">
        <w:t>As</w:t>
      </w:r>
      <w:r w:rsidR="005A1369" w:rsidRPr="00252AC4">
        <w:t xml:space="preserve"> in the </w:t>
      </w:r>
      <w:r w:rsidR="005A1369" w:rsidRPr="00252AC4">
        <w:lastRenderedPageBreak/>
        <w:t xml:space="preserve">OECD, most IPAs in Eurasia </w:t>
      </w:r>
      <w:r w:rsidR="00E71DF0" w:rsidRPr="00252AC4">
        <w:t>(6</w:t>
      </w:r>
      <w:r w:rsidR="003F3653" w:rsidRPr="00252AC4">
        <w:t>0%</w:t>
      </w:r>
      <w:r w:rsidR="00E71DF0" w:rsidRPr="00252AC4">
        <w:t xml:space="preserve">) </w:t>
      </w:r>
      <w:r w:rsidR="005A1369" w:rsidRPr="00252AC4">
        <w:t xml:space="preserve">report to a </w:t>
      </w:r>
      <w:r w:rsidR="003F3653" w:rsidRPr="00252AC4">
        <w:t>minister</w:t>
      </w:r>
      <w:r w:rsidR="006E1754" w:rsidRPr="00252AC4">
        <w:t>, either the Minister of Economy, the Minister of Trade or the Minister of Foreign Affairs</w:t>
      </w:r>
      <w:r w:rsidR="005A1369" w:rsidRPr="00252AC4">
        <w:t xml:space="preserve">. </w:t>
      </w:r>
      <w:r w:rsidR="00E71DF0" w:rsidRPr="00252AC4">
        <w:t xml:space="preserve">Five </w:t>
      </w:r>
      <w:r w:rsidR="00F77BB9" w:rsidRPr="00252AC4">
        <w:t>report to the Head of G</w:t>
      </w:r>
      <w:r w:rsidR="005A1369" w:rsidRPr="00252AC4">
        <w:t>overnment</w:t>
      </w:r>
      <w:r w:rsidR="003F3653" w:rsidRPr="00252AC4">
        <w:t>; only</w:t>
      </w:r>
      <w:r w:rsidR="005A1369" w:rsidRPr="00252AC4">
        <w:t xml:space="preserve"> one reports </w:t>
      </w:r>
      <w:r w:rsidR="00E71DF0" w:rsidRPr="00252AC4">
        <w:t>at</w:t>
      </w:r>
      <w:r w:rsidR="005A1369" w:rsidRPr="00252AC4">
        <w:t xml:space="preserve"> sub-ministerial</w:t>
      </w:r>
      <w:r w:rsidR="00E71DF0" w:rsidRPr="00252AC4">
        <w:t xml:space="preserve"> level.</w:t>
      </w:r>
      <w:r w:rsidR="00741E6A" w:rsidRPr="00252AC4">
        <w:t xml:space="preserve"> </w:t>
      </w:r>
      <w:r w:rsidR="00B30810" w:rsidRPr="00252AC4">
        <w:t xml:space="preserve">In Central Asia in particular, most </w:t>
      </w:r>
      <w:r w:rsidR="00741E6A" w:rsidRPr="00252AC4">
        <w:t xml:space="preserve">IPAs </w:t>
      </w:r>
      <w:r w:rsidR="00B30810" w:rsidRPr="00252AC4">
        <w:t>report to an investment committee within a ministry</w:t>
      </w:r>
      <w:r w:rsidR="00527BE2" w:rsidRPr="00252AC4">
        <w:t>, including Kazakh</w:t>
      </w:r>
      <w:r w:rsidR="00544394" w:rsidRPr="00252AC4">
        <w:t>stan, Tajikistan and Uzbekistan</w:t>
      </w:r>
      <w:r w:rsidR="00741E6A" w:rsidRPr="00252AC4">
        <w:t xml:space="preserve">. </w:t>
      </w:r>
      <w:r w:rsidR="00527BE2" w:rsidRPr="00252AC4">
        <w:t xml:space="preserve">In Tajikistan, when answering </w:t>
      </w:r>
      <w:r w:rsidR="003F3653" w:rsidRPr="00252AC4">
        <w:t xml:space="preserve">the </w:t>
      </w:r>
      <w:r w:rsidR="00527BE2" w:rsidRPr="00252AC4">
        <w:t xml:space="preserve">survey, </w:t>
      </w:r>
      <w:r w:rsidR="00BB4D89" w:rsidRPr="00252AC4">
        <w:t xml:space="preserve">the </w:t>
      </w:r>
      <w:r w:rsidR="00527BE2" w:rsidRPr="00252AC4">
        <w:t xml:space="preserve">authorities </w:t>
      </w:r>
      <w:r w:rsidR="00B3144A" w:rsidRPr="00252AC4">
        <w:t>provided</w:t>
      </w:r>
      <w:r w:rsidR="00527BE2" w:rsidRPr="00252AC4">
        <w:t xml:space="preserve"> aggregate</w:t>
      </w:r>
      <w:r w:rsidR="00BB4D89" w:rsidRPr="00252AC4">
        <w:t>d</w:t>
      </w:r>
      <w:r w:rsidR="00527BE2" w:rsidRPr="00252AC4">
        <w:t xml:space="preserve"> </w:t>
      </w:r>
      <w:r w:rsidR="00BB4D89" w:rsidRPr="00252AC4">
        <w:t>information</w:t>
      </w:r>
      <w:r w:rsidR="00527BE2" w:rsidRPr="00252AC4">
        <w:t xml:space="preserve"> </w:t>
      </w:r>
      <w:r w:rsidR="003F3653" w:rsidRPr="00252AC4">
        <w:t>on</w:t>
      </w:r>
      <w:r w:rsidR="00527BE2" w:rsidRPr="00252AC4">
        <w:t xml:space="preserve"> the State Committee on Investment and State Property Management</w:t>
      </w:r>
      <w:r w:rsidR="00E64E52" w:rsidRPr="00252AC4">
        <w:t xml:space="preserve"> (SCISPM)</w:t>
      </w:r>
      <w:r w:rsidR="00527BE2" w:rsidRPr="00252AC4">
        <w:t xml:space="preserve"> and Tajinvest, the official agency in charge of investment promotion.</w:t>
      </w:r>
    </w:p>
    <w:p w14:paraId="502ED5A1" w14:textId="5294362E" w:rsidR="003D00F8" w:rsidRPr="00252AC4" w:rsidRDefault="003D00F8" w:rsidP="0051394F">
      <w:pPr>
        <w:pStyle w:val="Caption"/>
      </w:pPr>
      <w:bookmarkStart w:id="94" w:name="_Toc34647246"/>
      <w:bookmarkStart w:id="95" w:name="_Ref31625757"/>
      <w:bookmarkStart w:id="96" w:name="_Toc31617732"/>
      <w:bookmarkStart w:id="97" w:name="_Toc31641331"/>
      <w:bookmarkStart w:id="98" w:name="_Toc31650331"/>
      <w:bookmarkStart w:id="99" w:name="_Toc32317036"/>
      <w:bookmarkStart w:id="100" w:name="_Toc32324695"/>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3</w:t>
      </w:r>
      <w:r w:rsidRPr="00252AC4">
        <w:rPr>
          <w:noProof/>
        </w:rPr>
        <w:fldChar w:fldCharType="end"/>
      </w:r>
      <w:r w:rsidRPr="00252AC4">
        <w:t>. Average reporting frequencies of IPAs in Eurasia and in the OECD</w:t>
      </w:r>
      <w:bookmarkEnd w:id="94"/>
    </w:p>
    <w:p w14:paraId="2593EEFF" w14:textId="427A9CD2" w:rsidR="003D00F8" w:rsidRPr="00252AC4" w:rsidRDefault="007D75DD" w:rsidP="003D00F8">
      <w:pPr>
        <w:pStyle w:val="Figure"/>
        <w:rPr>
          <w:noProof/>
          <w:lang w:eastAsia="en-GB"/>
        </w:rPr>
      </w:pPr>
      <w:r w:rsidRPr="00252AC4">
        <w:rPr>
          <w:noProof/>
          <w:lang w:eastAsia="en-GB"/>
        </w:rPr>
        <w:object w:dxaOrig="7740" w:dyaOrig="4920" w14:anchorId="41BA700E">
          <v:shape id="_x0000_i1028" type="#_x0000_t75" style="width:292.9pt;height:183.8pt" o:ole="">
            <v:imagedata r:id="rId27" o:title=""/>
          </v:shape>
          <o:OLEObject Type="Link" ProgID="Excel.Sheet.12" ShapeID="_x0000_i1028" DrawAspect="Content" r:id="rId28" UpdateMode="Always">
            <o:LinkType>EnhancedMetaFile</o:LinkType>
            <o:LockedField>false</o:LockedField>
          </o:OLEObject>
        </w:object>
      </w:r>
    </w:p>
    <w:p w14:paraId="54B691F6" w14:textId="5933A4E4" w:rsidR="003D00F8" w:rsidRPr="00252AC4" w:rsidRDefault="003D00F8" w:rsidP="003D00F8">
      <w:pPr>
        <w:pStyle w:val="Sourcenotes"/>
      </w:pPr>
      <w:r w:rsidRPr="00252AC4">
        <w:rPr>
          <w:i/>
        </w:rPr>
        <w:t>Source</w:t>
      </w:r>
      <w:r w:rsidRPr="00252AC4">
        <w:t>: OECD-IDB survey of inves</w:t>
      </w:r>
      <w:r w:rsidR="00BD0163" w:rsidRPr="00252AC4">
        <w:t>tment promotion agencies (2020)</w:t>
      </w:r>
    </w:p>
    <w:bookmarkEnd w:id="95"/>
    <w:bookmarkEnd w:id="96"/>
    <w:bookmarkEnd w:id="97"/>
    <w:bookmarkEnd w:id="98"/>
    <w:bookmarkEnd w:id="99"/>
    <w:bookmarkEnd w:id="100"/>
    <w:p w14:paraId="7BD07203" w14:textId="48D1B953" w:rsidR="009A6BA1" w:rsidRPr="00252AC4" w:rsidRDefault="009A6BA1" w:rsidP="008620F8">
      <w:pPr>
        <w:pStyle w:val="Para0"/>
      </w:pPr>
      <w:r w:rsidRPr="00252AC4">
        <w:t>The reporting line is a particularly important aspect of investment promotion,</w:t>
      </w:r>
      <w:r w:rsidR="004B7D75" w:rsidRPr="00252AC4">
        <w:t xml:space="preserve"> especially in countries where powers are concentrated</w:t>
      </w:r>
      <w:r w:rsidR="00401275" w:rsidRPr="00252AC4">
        <w:t xml:space="preserve"> and institutions </w:t>
      </w:r>
      <w:r w:rsidR="00FC6F2C" w:rsidRPr="00252AC4">
        <w:t>are</w:t>
      </w:r>
      <w:r w:rsidR="00401275" w:rsidRPr="00252AC4">
        <w:t xml:space="preserve"> weak.</w:t>
      </w:r>
      <w:r w:rsidRPr="00252AC4">
        <w:t xml:space="preserve"> </w:t>
      </w:r>
      <w:r w:rsidR="00401275" w:rsidRPr="00252AC4">
        <w:t xml:space="preserve">This is partly </w:t>
      </w:r>
      <w:r w:rsidRPr="00252AC4">
        <w:t xml:space="preserve">because the </w:t>
      </w:r>
      <w:r w:rsidR="00143D9C" w:rsidRPr="00252AC4">
        <w:t>level</w:t>
      </w:r>
      <w:r w:rsidRPr="00252AC4">
        <w:t xml:space="preserve"> of </w:t>
      </w:r>
      <w:r w:rsidR="00143D9C" w:rsidRPr="00252AC4">
        <w:t xml:space="preserve">an agency’s </w:t>
      </w:r>
      <w:r w:rsidR="00F04088" w:rsidRPr="00252AC4">
        <w:t xml:space="preserve">direct </w:t>
      </w:r>
      <w:r w:rsidRPr="00252AC4">
        <w:t xml:space="preserve">reporting authority </w:t>
      </w:r>
      <w:r w:rsidR="00F04088" w:rsidRPr="00252AC4">
        <w:t xml:space="preserve">can </w:t>
      </w:r>
      <w:r w:rsidRPr="00252AC4">
        <w:t xml:space="preserve">greatly </w:t>
      </w:r>
      <w:r w:rsidR="00564515" w:rsidRPr="00252AC4">
        <w:t>d</w:t>
      </w:r>
      <w:r w:rsidR="00F04088" w:rsidRPr="00252AC4">
        <w:t>etermine</w:t>
      </w:r>
      <w:r w:rsidRPr="00252AC4">
        <w:t xml:space="preserve"> </w:t>
      </w:r>
      <w:r w:rsidR="00564515" w:rsidRPr="00252AC4">
        <w:t xml:space="preserve">its </w:t>
      </w:r>
      <w:r w:rsidR="00401275" w:rsidRPr="00252AC4">
        <w:t xml:space="preserve">ability to </w:t>
      </w:r>
      <w:r w:rsidR="00564515" w:rsidRPr="00252AC4">
        <w:t xml:space="preserve">influence and </w:t>
      </w:r>
      <w:r w:rsidR="00401275" w:rsidRPr="00252AC4">
        <w:t>co</w:t>
      </w:r>
      <w:r w:rsidR="00FC6F2C" w:rsidRPr="00252AC4">
        <w:t>-</w:t>
      </w:r>
      <w:r w:rsidR="00401275" w:rsidRPr="00252AC4">
        <w:t xml:space="preserve">ordinate </w:t>
      </w:r>
      <w:r w:rsidRPr="00252AC4">
        <w:t>horizontal</w:t>
      </w:r>
      <w:r w:rsidR="00401275" w:rsidRPr="00252AC4">
        <w:t>ly</w:t>
      </w:r>
      <w:r w:rsidRPr="00252AC4">
        <w:t xml:space="preserve"> and vertical</w:t>
      </w:r>
      <w:r w:rsidR="00401275" w:rsidRPr="00252AC4">
        <w:t>ly</w:t>
      </w:r>
      <w:r w:rsidRPr="00252AC4">
        <w:t xml:space="preserve"> </w:t>
      </w:r>
      <w:r w:rsidR="00C33813" w:rsidRPr="00252AC4">
        <w:t>with other</w:t>
      </w:r>
      <w:r w:rsidRPr="00252AC4">
        <w:t xml:space="preserve"> i</w:t>
      </w:r>
      <w:r w:rsidR="00637CF8" w:rsidRPr="00252AC4">
        <w:t>nstitutions.</w:t>
      </w:r>
      <w:r w:rsidR="006C369E" w:rsidRPr="00252AC4">
        <w:t xml:space="preserve"> </w:t>
      </w:r>
      <w:r w:rsidR="00564515" w:rsidRPr="00252AC4">
        <w:t>Resolving problems and removing institutional barriers to investment projects often require inter-ministerial coordination, and s</w:t>
      </w:r>
      <w:r w:rsidR="006C369E" w:rsidRPr="00252AC4">
        <w:t xml:space="preserve">uccessful countries in FDI attraction typically have mastered a whole-of-government approach </w:t>
      </w:r>
      <w:sdt>
        <w:sdtPr>
          <w:id w:val="1735121263"/>
          <w:citation/>
        </w:sdtPr>
        <w:sdtEndPr/>
        <w:sdtContent>
          <w:r w:rsidR="006C369E" w:rsidRPr="00252AC4">
            <w:fldChar w:fldCharType="begin"/>
          </w:r>
          <w:r w:rsidR="006C369E" w:rsidRPr="00252AC4">
            <w:instrText xml:space="preserve"> CITATION Kappa_g2g3e67f \l 2057 </w:instrText>
          </w:r>
          <w:r w:rsidR="006C369E" w:rsidRPr="00252AC4">
            <w:fldChar w:fldCharType="separate"/>
          </w:r>
          <w:r w:rsidR="00E259C6" w:rsidRPr="00252AC4">
            <w:rPr>
              <w:noProof/>
            </w:rPr>
            <w:t>(OECD, 2015</w:t>
          </w:r>
          <w:r w:rsidR="00E259C6" w:rsidRPr="00252AC4">
            <w:rPr>
              <w:noProof/>
              <w:vertAlign w:val="subscript"/>
            </w:rPr>
            <w:t>[5]</w:t>
          </w:r>
          <w:r w:rsidR="00E259C6" w:rsidRPr="00252AC4">
            <w:rPr>
              <w:noProof/>
            </w:rPr>
            <w:t>)</w:t>
          </w:r>
          <w:r w:rsidR="006C369E" w:rsidRPr="00252AC4">
            <w:fldChar w:fldCharType="end"/>
          </w:r>
        </w:sdtContent>
      </w:sdt>
      <w:r w:rsidR="006C369E" w:rsidRPr="00252AC4">
        <w:t>.</w:t>
      </w:r>
      <w:r w:rsidR="00C33813" w:rsidRPr="00252AC4">
        <w:t xml:space="preserve"> </w:t>
      </w:r>
      <w:r w:rsidR="00FC6F2C" w:rsidRPr="00252AC4">
        <w:t>F</w:t>
      </w:r>
      <w:r w:rsidR="001C4C36" w:rsidRPr="00252AC4">
        <w:t>oreign investors</w:t>
      </w:r>
      <w:r w:rsidR="00FC6F2C" w:rsidRPr="00252AC4">
        <w:t xml:space="preserve"> talking to the OECD</w:t>
      </w:r>
      <w:r w:rsidR="001C4C36" w:rsidRPr="00252AC4">
        <w:t xml:space="preserve"> </w:t>
      </w:r>
      <w:r w:rsidR="00401275" w:rsidRPr="00252AC4">
        <w:t xml:space="preserve">also </w:t>
      </w:r>
      <w:r w:rsidR="001C4C36" w:rsidRPr="00252AC4">
        <w:t>suggest that</w:t>
      </w:r>
      <w:r w:rsidR="006C369E" w:rsidRPr="00252AC4">
        <w:t xml:space="preserve"> </w:t>
      </w:r>
      <w:r w:rsidR="001C4C36" w:rsidRPr="00252AC4">
        <w:t xml:space="preserve">investors are sensitive to </w:t>
      </w:r>
      <w:r w:rsidR="006C369E" w:rsidRPr="00252AC4">
        <w:t xml:space="preserve">the level of representation of IPAs, </w:t>
      </w:r>
      <w:r w:rsidR="000F092C" w:rsidRPr="00252AC4">
        <w:t xml:space="preserve">especially </w:t>
      </w:r>
      <w:r w:rsidR="00564515" w:rsidRPr="00252AC4">
        <w:t>in</w:t>
      </w:r>
      <w:r w:rsidR="001C4C36" w:rsidRPr="00252AC4">
        <w:t xml:space="preserve"> countries</w:t>
      </w:r>
      <w:r w:rsidR="00440B40" w:rsidRPr="00252AC4">
        <w:t xml:space="preserve"> </w:t>
      </w:r>
      <w:r w:rsidR="00564515" w:rsidRPr="00252AC4">
        <w:t>with</w:t>
      </w:r>
      <w:r w:rsidR="00440B40" w:rsidRPr="00252AC4">
        <w:t xml:space="preserve"> strongly hierarchical </w:t>
      </w:r>
      <w:r w:rsidR="00FC6F2C" w:rsidRPr="00252AC4">
        <w:t>systems</w:t>
      </w:r>
      <w:r w:rsidR="00440B40" w:rsidRPr="00252AC4">
        <w:t>.</w:t>
      </w:r>
      <w:r w:rsidR="001C4C36" w:rsidRPr="00252AC4">
        <w:t xml:space="preserve"> If they perceive the IPA as </w:t>
      </w:r>
      <w:r w:rsidR="00401275" w:rsidRPr="00252AC4">
        <w:t xml:space="preserve">being </w:t>
      </w:r>
      <w:r w:rsidR="001C4C36" w:rsidRPr="00252AC4">
        <w:t xml:space="preserve">far from </w:t>
      </w:r>
      <w:r w:rsidR="00545453" w:rsidRPr="00252AC4">
        <w:t xml:space="preserve">where “true </w:t>
      </w:r>
      <w:r w:rsidR="001C4C36" w:rsidRPr="00252AC4">
        <w:t>power”</w:t>
      </w:r>
      <w:r w:rsidR="00545453" w:rsidRPr="00252AC4">
        <w:t xml:space="preserve"> lies</w:t>
      </w:r>
      <w:r w:rsidR="001C4C36" w:rsidRPr="00252AC4">
        <w:t xml:space="preserve">, they tend </w:t>
      </w:r>
      <w:r w:rsidR="00545453" w:rsidRPr="00252AC4">
        <w:t xml:space="preserve">not to </w:t>
      </w:r>
      <w:r w:rsidR="001C4C36" w:rsidRPr="00252AC4">
        <w:t xml:space="preserve">consider </w:t>
      </w:r>
      <w:r w:rsidR="00401275" w:rsidRPr="00252AC4">
        <w:t>it</w:t>
      </w:r>
      <w:r w:rsidR="001C4C36" w:rsidRPr="00252AC4">
        <w:t xml:space="preserve"> as a </w:t>
      </w:r>
      <w:r w:rsidR="00401275" w:rsidRPr="00252AC4">
        <w:t>credible</w:t>
      </w:r>
      <w:r w:rsidR="00545453" w:rsidRPr="00252AC4">
        <w:t xml:space="preserve"> partner</w:t>
      </w:r>
      <w:r w:rsidR="00401275" w:rsidRPr="00252AC4">
        <w:t>, especially for large investment projects</w:t>
      </w:r>
      <w:r w:rsidR="001C4C36" w:rsidRPr="00252AC4">
        <w:t>.</w:t>
      </w:r>
      <w:r w:rsidR="00401275" w:rsidRPr="00252AC4">
        <w:t xml:space="preserve"> </w:t>
      </w:r>
      <w:r w:rsidR="000F092C" w:rsidRPr="00252AC4">
        <w:t>This is why governments</w:t>
      </w:r>
      <w:r w:rsidR="00334CF5" w:rsidRPr="00252AC4">
        <w:t xml:space="preserve"> need to align </w:t>
      </w:r>
      <w:r w:rsidR="000F092C" w:rsidRPr="00252AC4">
        <w:t xml:space="preserve">their institutional choices with their objectives </w:t>
      </w:r>
      <w:r w:rsidR="00334CF5" w:rsidRPr="00252AC4">
        <w:t>when</w:t>
      </w:r>
      <w:r w:rsidR="000F092C" w:rsidRPr="00252AC4">
        <w:t xml:space="preserve"> establishing </w:t>
      </w:r>
      <w:r w:rsidR="00334CF5" w:rsidRPr="00252AC4">
        <w:t xml:space="preserve">and reforming </w:t>
      </w:r>
      <w:r w:rsidR="000F092C" w:rsidRPr="00252AC4">
        <w:t>the</w:t>
      </w:r>
      <w:r w:rsidR="00334CF5" w:rsidRPr="00252AC4">
        <w:t>ir</w:t>
      </w:r>
      <w:r w:rsidR="000F092C" w:rsidRPr="00252AC4">
        <w:t xml:space="preserve"> IPA</w:t>
      </w:r>
      <w:r w:rsidR="00334CF5" w:rsidRPr="00252AC4">
        <w:t>s</w:t>
      </w:r>
      <w:r w:rsidR="000F092C" w:rsidRPr="00252AC4">
        <w:t>.</w:t>
      </w:r>
    </w:p>
    <w:p w14:paraId="669759A3" w14:textId="0A7236B6" w:rsidR="004D7361" w:rsidRPr="00252AC4" w:rsidRDefault="004D7361" w:rsidP="00A959C6">
      <w:pPr>
        <w:pStyle w:val="Para0"/>
      </w:pPr>
      <w:r w:rsidRPr="00252AC4">
        <w:t xml:space="preserve">Among Eurasia IPAs, </w:t>
      </w:r>
      <w:r w:rsidR="00143D9C" w:rsidRPr="00252AC4">
        <w:t xml:space="preserve">only </w:t>
      </w:r>
      <w:r w:rsidRPr="00252AC4">
        <w:t>Kazakh Invest</w:t>
      </w:r>
      <w:r w:rsidR="00143D9C" w:rsidRPr="00252AC4">
        <w:t xml:space="preserve"> and Ukraine Invest </w:t>
      </w:r>
      <w:r w:rsidR="00DD621B" w:rsidRPr="00252AC4">
        <w:t>(</w:t>
      </w:r>
      <w:r w:rsidR="00143D9C" w:rsidRPr="00252AC4">
        <w:t>the two largest agencies</w:t>
      </w:r>
      <w:r w:rsidR="00DD621B" w:rsidRPr="00252AC4">
        <w:t xml:space="preserve"> of the sample</w:t>
      </w:r>
      <w:r w:rsidR="00AA7758" w:rsidRPr="00252AC4">
        <w:t xml:space="preserve"> in terms of budget</w:t>
      </w:r>
      <w:r w:rsidR="00143D9C" w:rsidRPr="00252AC4">
        <w:t>) have supervisory board</w:t>
      </w:r>
      <w:r w:rsidR="00FC6F2C" w:rsidRPr="00252AC4">
        <w:t>s</w:t>
      </w:r>
      <w:r w:rsidR="00564515" w:rsidRPr="00252AC4">
        <w:t>, but only Kazakhstan’s has a large share of representatives from the private sector</w:t>
      </w:r>
      <w:r w:rsidR="00544394" w:rsidRPr="00252AC4">
        <w:t xml:space="preserve"> (Figure 1.4)</w:t>
      </w:r>
      <w:r w:rsidR="00A518E9" w:rsidRPr="00252AC4">
        <w:t xml:space="preserve">. </w:t>
      </w:r>
      <w:r w:rsidR="00564515" w:rsidRPr="00252AC4">
        <w:t>In general, s</w:t>
      </w:r>
      <w:r w:rsidR="00A518E9" w:rsidRPr="00252AC4">
        <w:t xml:space="preserve">upervisory boards </w:t>
      </w:r>
      <w:r w:rsidR="00564515" w:rsidRPr="00252AC4">
        <w:t xml:space="preserve">can be a useful way to provide IPAs with strategic guidance from high-level </w:t>
      </w:r>
      <w:r w:rsidR="003B3535" w:rsidRPr="00252AC4">
        <w:t xml:space="preserve">representatives of different sectors with an interest in investment attraction. Boards are typically found more often in autonomous IPAs than in governmental ones </w:t>
      </w:r>
      <w:sdt>
        <w:sdtPr>
          <w:id w:val="552816506"/>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003D04E7" w:rsidRPr="00252AC4">
            <w:fldChar w:fldCharType="end"/>
          </w:r>
        </w:sdtContent>
      </w:sdt>
      <w:r w:rsidR="003B3535" w:rsidRPr="00252AC4">
        <w:t xml:space="preserve">. </w:t>
      </w:r>
      <w:r w:rsidR="00583CBA" w:rsidRPr="00252AC4">
        <w:t>M</w:t>
      </w:r>
      <w:r w:rsidR="00B23A4D" w:rsidRPr="00252AC4">
        <w:t>any Eurasia countries s</w:t>
      </w:r>
      <w:r w:rsidR="00FD7943" w:rsidRPr="00252AC4">
        <w:t xml:space="preserve">et </w:t>
      </w:r>
      <w:r w:rsidR="00B23A4D" w:rsidRPr="00252AC4">
        <w:t xml:space="preserve">up councils that bring together government representatives and </w:t>
      </w:r>
      <w:r w:rsidR="005255E8" w:rsidRPr="00252AC4">
        <w:t xml:space="preserve">foreign investors to </w:t>
      </w:r>
      <w:r w:rsidR="00FD7943" w:rsidRPr="00252AC4">
        <w:t>work on</w:t>
      </w:r>
      <w:r w:rsidR="005255E8" w:rsidRPr="00252AC4">
        <w:t xml:space="preserve"> foreign investment</w:t>
      </w:r>
      <w:r w:rsidR="001D7C7D" w:rsidRPr="00252AC4">
        <w:t>-related issues and challenges, and IPAs sometimes sit in these councils, or participate in some of their activities. The benefits of having private sector representatives in IPAs’ steering instances, however, should not be neglected</w:t>
      </w:r>
      <w:r w:rsidR="00FC6F2C" w:rsidRPr="00252AC4">
        <w:t xml:space="preserve">. Such </w:t>
      </w:r>
      <w:r w:rsidR="00FC6F2C" w:rsidRPr="00252AC4">
        <w:lastRenderedPageBreak/>
        <w:t>representation</w:t>
      </w:r>
      <w:r w:rsidR="001D7C7D" w:rsidRPr="00252AC4">
        <w:t xml:space="preserve"> could help Eurasia </w:t>
      </w:r>
      <w:r w:rsidR="000D6B83" w:rsidRPr="00252AC4">
        <w:t xml:space="preserve">governments and </w:t>
      </w:r>
      <w:r w:rsidR="001D7C7D" w:rsidRPr="00252AC4">
        <w:t xml:space="preserve">IPAs </w:t>
      </w:r>
      <w:r w:rsidR="00045707" w:rsidRPr="00252AC4">
        <w:t>align</w:t>
      </w:r>
      <w:r w:rsidR="001D7C7D" w:rsidRPr="00252AC4">
        <w:t xml:space="preserve"> investment promotion strategies</w:t>
      </w:r>
      <w:r w:rsidR="00045707" w:rsidRPr="00252AC4">
        <w:t xml:space="preserve"> with the private sector’s needs and expectations</w:t>
      </w:r>
      <w:r w:rsidR="001D7C7D" w:rsidRPr="00252AC4">
        <w:t>.</w:t>
      </w:r>
    </w:p>
    <w:p w14:paraId="2E3F73D4" w14:textId="7606A17E" w:rsidR="00202D3C" w:rsidRPr="00252AC4" w:rsidRDefault="00202D3C" w:rsidP="0051394F">
      <w:pPr>
        <w:pStyle w:val="Caption"/>
      </w:pPr>
      <w:bookmarkStart w:id="101" w:name="_Toc34647247"/>
      <w:bookmarkStart w:id="102" w:name="_Toc31617733"/>
      <w:bookmarkStart w:id="103" w:name="_Toc31641332"/>
      <w:bookmarkStart w:id="104" w:name="_Toc31650332"/>
      <w:bookmarkStart w:id="105" w:name="_Toc32317037"/>
      <w:bookmarkStart w:id="106" w:name="_Toc32324696"/>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4</w:t>
      </w:r>
      <w:r w:rsidRPr="00252AC4">
        <w:rPr>
          <w:noProof/>
        </w:rPr>
        <w:fldChar w:fldCharType="end"/>
      </w:r>
      <w:r w:rsidRPr="00252AC4">
        <w:t>. Board compositions</w:t>
      </w:r>
      <w:bookmarkEnd w:id="101"/>
    </w:p>
    <w:p w14:paraId="135CB7EA" w14:textId="321F0AB7" w:rsidR="00202D3C" w:rsidRPr="00252AC4" w:rsidRDefault="00202D3C" w:rsidP="00202D3C">
      <w:pPr>
        <w:pStyle w:val="CaptionSubtitle"/>
      </w:pPr>
      <w:r w:rsidRPr="00252AC4">
        <w:t>Composition of the supervisory board in Kazakhstan and Ukraine and comparison with regional averages</w:t>
      </w:r>
      <w:r w:rsidR="00BD0163" w:rsidRPr="00252AC4">
        <w:t>.</w:t>
      </w:r>
    </w:p>
    <w:p w14:paraId="4E9C0C1B" w14:textId="2CD0C1D9" w:rsidR="00202D3C" w:rsidRPr="00252AC4" w:rsidRDefault="007D75DD" w:rsidP="00202D3C">
      <w:pPr>
        <w:pStyle w:val="Figure"/>
        <w:rPr>
          <w:noProof/>
          <w:lang w:eastAsia="en-GB"/>
        </w:rPr>
      </w:pPr>
      <w:r w:rsidRPr="00252AC4">
        <w:rPr>
          <w:noProof/>
          <w:lang w:eastAsia="en-GB"/>
        </w:rPr>
        <w:object w:dxaOrig="9570" w:dyaOrig="6150" w14:anchorId="062CFE5B">
          <v:shape id="_x0000_i1029" type="#_x0000_t75" style="width:397.65pt;height:256.35pt" o:ole="">
            <v:imagedata r:id="rId29" o:title=""/>
          </v:shape>
          <o:OLEObject Type="Link" ProgID="Excel.Sheet.12" ShapeID="_x0000_i1029" DrawAspect="Content" r:id="rId30" UpdateMode="Always">
            <o:LinkType>EnhancedMetaFile</o:LinkType>
            <o:LockedField>false</o:LockedField>
          </o:OLEObject>
        </w:object>
      </w:r>
    </w:p>
    <w:p w14:paraId="538BDA93" w14:textId="5B173003" w:rsidR="00202D3C" w:rsidRPr="00252AC4" w:rsidRDefault="00202D3C" w:rsidP="00202D3C">
      <w:pPr>
        <w:pStyle w:val="Sourcenotes"/>
      </w:pPr>
      <w:r w:rsidRPr="00252AC4">
        <w:rPr>
          <w:i/>
        </w:rPr>
        <w:t>Source</w:t>
      </w:r>
      <w:r w:rsidRPr="00252AC4">
        <w:t>: OECD-IDB survey of inves</w:t>
      </w:r>
      <w:r w:rsidR="00BD0163" w:rsidRPr="00252AC4">
        <w:t>tment promotion agencies (2020)</w:t>
      </w:r>
    </w:p>
    <w:p w14:paraId="15B986C4" w14:textId="471C92AC" w:rsidR="003A3086" w:rsidRPr="00252AC4" w:rsidRDefault="003A3086" w:rsidP="002F604E">
      <w:pPr>
        <w:pStyle w:val="Heading2"/>
        <w:rPr>
          <w:rFonts w:hint="eastAsia"/>
        </w:rPr>
      </w:pPr>
      <w:bookmarkStart w:id="107" w:name="_Toc31617780"/>
      <w:bookmarkStart w:id="108" w:name="_Toc31641309"/>
      <w:bookmarkStart w:id="109" w:name="_Toc31650307"/>
      <w:bookmarkStart w:id="110" w:name="_Toc32317008"/>
      <w:bookmarkStart w:id="111" w:name="_Toc32324667"/>
      <w:bookmarkStart w:id="112" w:name="_Toc40103022"/>
      <w:bookmarkEnd w:id="102"/>
      <w:bookmarkEnd w:id="103"/>
      <w:bookmarkEnd w:id="104"/>
      <w:bookmarkEnd w:id="105"/>
      <w:bookmarkEnd w:id="106"/>
      <w:r w:rsidRPr="00252AC4">
        <w:t>Mandates</w:t>
      </w:r>
      <w:r w:rsidR="00C10280" w:rsidRPr="00252AC4">
        <w:t xml:space="preserve">, </w:t>
      </w:r>
      <w:r w:rsidRPr="00252AC4">
        <w:t>resources</w:t>
      </w:r>
      <w:r w:rsidR="00B30672" w:rsidRPr="00252AC4">
        <w:t xml:space="preserve"> </w:t>
      </w:r>
      <w:r w:rsidR="00820F39" w:rsidRPr="00252AC4">
        <w:t>and strategic planning</w:t>
      </w:r>
      <w:bookmarkEnd w:id="107"/>
      <w:bookmarkEnd w:id="108"/>
      <w:bookmarkEnd w:id="109"/>
      <w:bookmarkEnd w:id="110"/>
      <w:bookmarkEnd w:id="111"/>
      <w:bookmarkEnd w:id="112"/>
    </w:p>
    <w:p w14:paraId="3A504D57" w14:textId="6A4F9841" w:rsidR="00DD28FA" w:rsidRPr="00252AC4" w:rsidRDefault="00DD28FA" w:rsidP="00DD28FA">
      <w:pPr>
        <w:pStyle w:val="Para0"/>
      </w:pPr>
      <w:r w:rsidRPr="00252AC4">
        <w:t xml:space="preserve">Governments assign different roles to IPAs, depending on the wider institutional environment and the policy objectives associated with </w:t>
      </w:r>
      <w:r w:rsidR="00D96EFA" w:rsidRPr="00252AC4">
        <w:t>FDI</w:t>
      </w:r>
      <w:r w:rsidRPr="00252AC4">
        <w:t xml:space="preserve"> attraction. The allocation of financial resources, on the other hand, is more the product of available public budgets than political choice. Mandate and budgets largely contribute to defining an IPA’s identity, as it will greatly </w:t>
      </w:r>
      <w:r w:rsidR="00F1153C" w:rsidRPr="00252AC4">
        <w:t>affect</w:t>
      </w:r>
      <w:r w:rsidRPr="00252AC4">
        <w:t xml:space="preserve"> </w:t>
      </w:r>
      <w:r w:rsidR="00F1153C" w:rsidRPr="00252AC4">
        <w:t xml:space="preserve">the way that it conducts its operations. </w:t>
      </w:r>
      <w:r w:rsidR="00D96EFA" w:rsidRPr="00252AC4">
        <w:t>S</w:t>
      </w:r>
      <w:r w:rsidR="00F1153C" w:rsidRPr="00252AC4">
        <w:t xml:space="preserve">taff </w:t>
      </w:r>
      <w:r w:rsidR="00A531BC" w:rsidRPr="00252AC4">
        <w:t xml:space="preserve">are </w:t>
      </w:r>
      <w:r w:rsidR="00F1153C" w:rsidRPr="00252AC4">
        <w:t>IPA</w:t>
      </w:r>
      <w:r w:rsidR="00A531BC" w:rsidRPr="00252AC4">
        <w:t>s’ most strategic assets</w:t>
      </w:r>
      <w:r w:rsidR="00F1153C" w:rsidRPr="00252AC4">
        <w:t xml:space="preserve"> and </w:t>
      </w:r>
      <w:r w:rsidR="00A531BC" w:rsidRPr="00252AC4">
        <w:t>should represent</w:t>
      </w:r>
      <w:r w:rsidR="00F1153C" w:rsidRPr="00252AC4">
        <w:t xml:space="preserve"> a mix of public and private sector skills. Ideally,</w:t>
      </w:r>
      <w:r w:rsidR="00A531BC" w:rsidRPr="00252AC4">
        <w:t xml:space="preserve"> governments should make sure that IPAs’</w:t>
      </w:r>
      <w:r w:rsidR="00F1153C" w:rsidRPr="00252AC4">
        <w:t xml:space="preserve"> mandates, strategy and resources </w:t>
      </w:r>
      <w:r w:rsidR="00A531BC" w:rsidRPr="00252AC4">
        <w:t>are</w:t>
      </w:r>
      <w:r w:rsidR="00F1153C" w:rsidRPr="00252AC4">
        <w:t xml:space="preserve"> aligned, but experience shows that this is more difficult to do when agencies are financially constrained.</w:t>
      </w:r>
    </w:p>
    <w:p w14:paraId="0973CBEC" w14:textId="5833F0DB" w:rsidR="003A3086" w:rsidRPr="00252AC4" w:rsidRDefault="00BA4148" w:rsidP="002F604E">
      <w:pPr>
        <w:pStyle w:val="Heading3"/>
      </w:pPr>
      <w:r w:rsidRPr="00252AC4">
        <w:t xml:space="preserve">IPAs have multiple mandates in Eurasia </w:t>
      </w:r>
    </w:p>
    <w:p w14:paraId="16D967A6" w14:textId="2D4E2516" w:rsidR="001F24F4" w:rsidRPr="00252AC4" w:rsidRDefault="001F24F4" w:rsidP="001F24F4">
      <w:pPr>
        <w:pStyle w:val="Para0"/>
      </w:pPr>
      <w:r w:rsidRPr="00252AC4">
        <w:t>After MENA, Eurasia is the region where IPAs have the hig</w:t>
      </w:r>
      <w:r w:rsidR="009D256E" w:rsidRPr="00252AC4">
        <w:t>hest average number of mandates</w:t>
      </w:r>
      <w:r w:rsidRPr="00252AC4">
        <w:t>.</w:t>
      </w:r>
      <w:r w:rsidR="009D256E" w:rsidRPr="00252AC4">
        <w:t xml:space="preserve"> The average Eurasia IPA has 6.5 mandates, whereas its OECD peer has only 5.7. In </w:t>
      </w:r>
      <w:r w:rsidR="003216E3" w:rsidRPr="00252AC4">
        <w:t>LAC</w:t>
      </w:r>
      <w:r w:rsidR="009D256E" w:rsidRPr="00252AC4">
        <w:t>, this figure is 5.9, and it is 8.6 in MENA. T</w:t>
      </w:r>
      <w:r w:rsidR="003216E3" w:rsidRPr="00252AC4">
        <w:t>he Eurasia</w:t>
      </w:r>
      <w:r w:rsidR="009D256E" w:rsidRPr="00252AC4">
        <w:t xml:space="preserve"> average masks disparities,</w:t>
      </w:r>
      <w:r w:rsidR="00057C95" w:rsidRPr="00252AC4">
        <w:t xml:space="preserve"> however: Tajikistan reports 12 mandates and Mongolia 11, whereas </w:t>
      </w:r>
      <w:r w:rsidR="003216E3" w:rsidRPr="00252AC4">
        <w:t>Uzbekistan only has three</w:t>
      </w:r>
      <w:r w:rsidR="00057C95" w:rsidRPr="00252AC4">
        <w:t xml:space="preserve"> mandates. Compared to OECD</w:t>
      </w:r>
      <w:r w:rsidR="003216E3" w:rsidRPr="00252AC4">
        <w:t xml:space="preserve"> practices</w:t>
      </w:r>
      <w:r w:rsidR="00057C95" w:rsidRPr="00252AC4">
        <w:t xml:space="preserve">, Eurasia </w:t>
      </w:r>
      <w:r w:rsidR="003216E3" w:rsidRPr="00252AC4">
        <w:t xml:space="preserve">governments </w:t>
      </w:r>
      <w:r w:rsidR="00D96EFA" w:rsidRPr="00252AC4">
        <w:t xml:space="preserve">typically </w:t>
      </w:r>
      <w:r w:rsidR="003216E3" w:rsidRPr="00252AC4">
        <w:t xml:space="preserve">combine more </w:t>
      </w:r>
      <w:r w:rsidR="00057C95" w:rsidRPr="00252AC4">
        <w:t xml:space="preserve">investment promotion mandates </w:t>
      </w:r>
      <w:r w:rsidR="00883628" w:rsidRPr="00252AC4">
        <w:t xml:space="preserve">with regional development promotion, and less with export and </w:t>
      </w:r>
      <w:r w:rsidR="00B71FBE" w:rsidRPr="00252AC4">
        <w:t>innovation</w:t>
      </w:r>
      <w:r w:rsidR="00D96EFA" w:rsidRPr="00252AC4">
        <w:t xml:space="preserve"> promotion</w:t>
      </w:r>
      <w:r w:rsidR="00B71FBE" w:rsidRPr="00252AC4">
        <w:t xml:space="preserve"> (</w:t>
      </w:r>
      <w:r w:rsidR="00DC1765" w:rsidRPr="00252AC4">
        <w:t>Figure 1.5</w:t>
      </w:r>
      <w:r w:rsidR="00883628" w:rsidRPr="00252AC4">
        <w:t>).</w:t>
      </w:r>
      <w:r w:rsidR="003216E3" w:rsidRPr="00252AC4">
        <w:t xml:space="preserve"> Moreover, Eurasia IPAs are more involved in</w:t>
      </w:r>
      <w:r w:rsidR="007E1D7E" w:rsidRPr="00252AC4">
        <w:t xml:space="preserve"> international</w:t>
      </w:r>
      <w:r w:rsidR="003216E3" w:rsidRPr="00252AC4">
        <w:t xml:space="preserve"> agreement negotiations and investment screening and approval, as well as </w:t>
      </w:r>
      <w:r w:rsidR="007E1D7E" w:rsidRPr="00252AC4">
        <w:t>in public-private partnership (</w:t>
      </w:r>
      <w:r w:rsidR="003216E3" w:rsidRPr="00252AC4">
        <w:t>PPP</w:t>
      </w:r>
      <w:r w:rsidR="007E1D7E" w:rsidRPr="00252AC4">
        <w:t>)</w:t>
      </w:r>
      <w:r w:rsidR="003216E3" w:rsidRPr="00252AC4">
        <w:t xml:space="preserve"> projects, public concessions and privatisation </w:t>
      </w:r>
      <w:r w:rsidR="003216E3" w:rsidRPr="00252AC4">
        <w:lastRenderedPageBreak/>
        <w:t xml:space="preserve">programmes. </w:t>
      </w:r>
      <w:r w:rsidR="00D121AF" w:rsidRPr="00252AC4">
        <w:t xml:space="preserve">On the other hand, among the surveyed IPAs, none </w:t>
      </w:r>
      <w:r w:rsidR="000210C1" w:rsidRPr="00252AC4">
        <w:t>has</w:t>
      </w:r>
      <w:r w:rsidR="00D121AF" w:rsidRPr="00252AC4">
        <w:t xml:space="preserve"> an official mandate to attract green investment.</w:t>
      </w:r>
    </w:p>
    <w:p w14:paraId="1D4BE528" w14:textId="2CB760DF" w:rsidR="00DC1765" w:rsidRPr="00252AC4" w:rsidRDefault="00DC1765" w:rsidP="0051394F">
      <w:pPr>
        <w:pStyle w:val="Caption"/>
      </w:pPr>
      <w:bookmarkStart w:id="113" w:name="_Toc34647248"/>
      <w:bookmarkStart w:id="114" w:name="_Ref31625802"/>
      <w:bookmarkStart w:id="115" w:name="_Toc31617734"/>
      <w:bookmarkStart w:id="116" w:name="_Toc31641333"/>
      <w:bookmarkStart w:id="117" w:name="_Toc31650333"/>
      <w:bookmarkStart w:id="118" w:name="_Toc32317038"/>
      <w:bookmarkStart w:id="119" w:name="_Toc32324697"/>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5</w:t>
      </w:r>
      <w:r w:rsidRPr="00252AC4">
        <w:rPr>
          <w:noProof/>
        </w:rPr>
        <w:fldChar w:fldCharType="end"/>
      </w:r>
      <w:r w:rsidRPr="00252AC4">
        <w:t>. IPA additional mandates in Eurasia and in the OECD</w:t>
      </w:r>
      <w:bookmarkEnd w:id="113"/>
    </w:p>
    <w:p w14:paraId="3AD10299" w14:textId="10E9DC2E" w:rsidR="00DC1765" w:rsidRPr="00252AC4" w:rsidRDefault="00DC1765" w:rsidP="00DC1765">
      <w:pPr>
        <w:pStyle w:val="CaptionSubtitle"/>
      </w:pPr>
      <w:r w:rsidRPr="00252AC4">
        <w:t>In % of respondents</w:t>
      </w:r>
      <w:r w:rsidR="00AA06A1" w:rsidRPr="00252AC4">
        <w:t>.</w:t>
      </w:r>
    </w:p>
    <w:p w14:paraId="40A39533" w14:textId="6E2C5BF9" w:rsidR="00DC1765" w:rsidRPr="00252AC4" w:rsidRDefault="007D75DD" w:rsidP="00DC1765">
      <w:pPr>
        <w:pStyle w:val="Figure"/>
        <w:rPr>
          <w:noProof/>
          <w:lang w:eastAsia="en-GB"/>
        </w:rPr>
      </w:pPr>
      <w:r w:rsidRPr="00252AC4">
        <w:rPr>
          <w:noProof/>
          <w:lang w:eastAsia="en-GB"/>
        </w:rPr>
        <w:object w:dxaOrig="10900" w:dyaOrig="5310" w14:anchorId="35EBC820">
          <v:shape id="_x0000_i1030" type="#_x0000_t75" style="width:481.65pt;height:232.35pt" o:ole="">
            <v:imagedata r:id="rId31" o:title=""/>
          </v:shape>
          <o:OLEObject Type="Link" ProgID="Excel.Sheet.12" ShapeID="_x0000_i1030" DrawAspect="Content" r:id="rId32" UpdateMode="Always">
            <o:LinkType>EnhancedMetaFile</o:LinkType>
            <o:LockedField>false</o:LockedField>
          </o:OLEObject>
        </w:object>
      </w:r>
    </w:p>
    <w:p w14:paraId="0F93DAD5" w14:textId="77777777" w:rsidR="00DC1765" w:rsidRPr="00252AC4" w:rsidRDefault="00DC1765" w:rsidP="00DC1765">
      <w:pPr>
        <w:pStyle w:val="Sourcenotes"/>
      </w:pPr>
      <w:r w:rsidRPr="00252AC4">
        <w:rPr>
          <w:i/>
        </w:rPr>
        <w:t>Note</w:t>
      </w:r>
      <w:r w:rsidRPr="00252AC4">
        <w:t>: IA = international agreement.</w:t>
      </w:r>
    </w:p>
    <w:p w14:paraId="363EC46B" w14:textId="140B19F7" w:rsidR="00DC1765" w:rsidRPr="00252AC4" w:rsidRDefault="00DC1765" w:rsidP="00DC1765">
      <w:pPr>
        <w:pStyle w:val="Sourcenotes"/>
      </w:pPr>
      <w:r w:rsidRPr="00252AC4">
        <w:rPr>
          <w:i/>
        </w:rPr>
        <w:t>Source</w:t>
      </w:r>
      <w:r w:rsidRPr="00252AC4">
        <w:t>: OECD-IDB survey of inves</w:t>
      </w:r>
      <w:r w:rsidR="00AE5166" w:rsidRPr="00252AC4">
        <w:t>tment promotion agencies (2020)</w:t>
      </w:r>
    </w:p>
    <w:bookmarkEnd w:id="114"/>
    <w:bookmarkEnd w:id="115"/>
    <w:bookmarkEnd w:id="116"/>
    <w:bookmarkEnd w:id="117"/>
    <w:bookmarkEnd w:id="118"/>
    <w:bookmarkEnd w:id="119"/>
    <w:p w14:paraId="592138DB" w14:textId="116DFFD6" w:rsidR="00401088" w:rsidRPr="00252AC4" w:rsidRDefault="00401088" w:rsidP="00401088">
      <w:pPr>
        <w:pStyle w:val="Para0"/>
      </w:pPr>
      <w:r w:rsidRPr="00252AC4">
        <w:t xml:space="preserve">As mentioned </w:t>
      </w:r>
      <w:r w:rsidR="00ED20C2" w:rsidRPr="00252AC4">
        <w:t>above</w:t>
      </w:r>
      <w:r w:rsidRPr="00252AC4">
        <w:t>,</w:t>
      </w:r>
      <w:r w:rsidR="00ED20C2" w:rsidRPr="00252AC4">
        <w:t xml:space="preserve"> the merging of mandates is a recurring discussion among authorities in charge of economic development. These mergers (and, sometimes, mandate splits) are responsible for a number of large organisational reforms. The merger of export and investment promotion, in particular, are frequent. R</w:t>
      </w:r>
      <w:r w:rsidRPr="00252AC4">
        <w:t>ecent examples of IPAs in the OECD that merged their export and investment promotion mandates include Australia (2008), Switzerland (2008), Germany (2009), Spain (2012), Sweden (2013), Greece (2014), France (2015) and Poland (2017).</w:t>
      </w:r>
      <w:r w:rsidR="00ED20C2" w:rsidRPr="00252AC4">
        <w:t>The rationales for such mergers often include synergies and cost-savings, although achieving them can prove</w:t>
      </w:r>
      <w:r w:rsidR="00DA0303" w:rsidRPr="00252AC4">
        <w:t xml:space="preserve"> challenging (</w:t>
      </w:r>
      <w:r w:rsidR="00417981" w:rsidRPr="00252AC4">
        <w:t>Box 1.1</w:t>
      </w:r>
      <w:r w:rsidR="00DA0303" w:rsidRPr="00252AC4">
        <w:t>).</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ED20C2" w:rsidRPr="00252AC4" w14:paraId="1C3D9359" w14:textId="77777777" w:rsidTr="00DA0303">
        <w:trPr>
          <w:jc w:val="center"/>
        </w:trPr>
        <w:tc>
          <w:tcPr>
            <w:tcW w:w="9309" w:type="dxa"/>
            <w:shd w:val="clear" w:color="auto" w:fill="E1E6EB"/>
          </w:tcPr>
          <w:p w14:paraId="66B28DBD" w14:textId="049B7C1D" w:rsidR="00ED20C2" w:rsidRPr="00252AC4" w:rsidRDefault="00ED20C2" w:rsidP="00DA0303">
            <w:pPr>
              <w:pStyle w:val="Caption"/>
              <w:keepNext w:val="0"/>
            </w:pPr>
            <w:bookmarkStart w:id="120" w:name="_Ref32328698"/>
            <w:bookmarkStart w:id="121" w:name="_Toc32317070"/>
            <w:bookmarkStart w:id="122" w:name="_Toc32324729"/>
            <w:bookmarkStart w:id="123" w:name="_Toc34647279"/>
            <w:r w:rsidRPr="00252AC4">
              <w:t xml:space="preserve">Box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Box \* ARABIC \s 1 </w:instrText>
            </w:r>
            <w:r w:rsidRPr="00252AC4">
              <w:rPr>
                <w:noProof/>
              </w:rPr>
              <w:fldChar w:fldCharType="separate"/>
            </w:r>
            <w:r w:rsidR="008914FE">
              <w:rPr>
                <w:noProof/>
              </w:rPr>
              <w:t>1</w:t>
            </w:r>
            <w:r w:rsidRPr="00252AC4">
              <w:rPr>
                <w:noProof/>
              </w:rPr>
              <w:fldChar w:fldCharType="end"/>
            </w:r>
            <w:bookmarkEnd w:id="120"/>
            <w:r w:rsidRPr="00252AC4">
              <w:t>. The combination of export and investment promotion mandates: trends and strategic considerations</w:t>
            </w:r>
            <w:bookmarkEnd w:id="121"/>
            <w:bookmarkEnd w:id="122"/>
            <w:bookmarkEnd w:id="123"/>
          </w:p>
          <w:p w14:paraId="5409CFD6" w14:textId="29A8E8ED" w:rsidR="00ED20C2" w:rsidRPr="00252AC4" w:rsidRDefault="00ED20C2" w:rsidP="00ED20C2">
            <w:pPr>
              <w:pStyle w:val="Para0"/>
            </w:pPr>
            <w:r w:rsidRPr="00252AC4">
              <w:t>Fifteen percent of all reported reforms between 2013 and 2019 in the OECD-IDB IPA database mention the addition or withdrawal of the export promotion mandate. That is eight reforms in total, including two in Eurasia (merger in Kyrgyzstan and “split” in Kazakhstan). In OECD countries, France, Germany, Greece, Poland, Spain and Sweden merged their two “invest” and “export” entities in the recent past. Hungary and Lithuania, on the other hand, have split their agencies into two to separate the mandates, mainly due to problems relating to governance and coordination with multiple ministries.</w:t>
            </w:r>
          </w:p>
          <w:p w14:paraId="177735D0" w14:textId="77777777" w:rsidR="00ED20C2" w:rsidRPr="00252AC4" w:rsidRDefault="00ED20C2" w:rsidP="00ED20C2">
            <w:pPr>
              <w:pStyle w:val="Para0"/>
            </w:pPr>
            <w:r w:rsidRPr="00252AC4">
              <w:t xml:space="preserve">The potential costs and benefits of combining export and investment promotion mandates have been discussed in a number of fora and meetings on investment promotion practices, </w:t>
            </w:r>
            <w:r w:rsidRPr="00252AC4">
              <w:lastRenderedPageBreak/>
              <w:t>including at recent OECD seminars. These discussions provided useful insights that can also apply to other mandate combinations, involving for example innovation and SME promotion.</w:t>
            </w:r>
          </w:p>
          <w:p w14:paraId="535823B5" w14:textId="77777777" w:rsidR="00ED20C2" w:rsidRPr="00252AC4" w:rsidRDefault="00ED20C2" w:rsidP="00ED20C2">
            <w:pPr>
              <w:pStyle w:val="Para0"/>
            </w:pPr>
            <w:r w:rsidRPr="00252AC4">
              <w:t>Potential costs and pitfalls:</w:t>
            </w:r>
          </w:p>
          <w:p w14:paraId="775ECAF7" w14:textId="77777777" w:rsidR="00ED20C2" w:rsidRPr="00252AC4" w:rsidRDefault="00ED20C2" w:rsidP="00ED20C2">
            <w:pPr>
              <w:pStyle w:val="Para0"/>
              <w:numPr>
                <w:ilvl w:val="0"/>
                <w:numId w:val="8"/>
              </w:numPr>
            </w:pPr>
            <w:r w:rsidRPr="00252AC4">
              <w:t>Export and investment promotion entail very different activities, tools and competences, and target different audiences (domestic SMEs vs foreign investors). Synergies are therefore limited;</w:t>
            </w:r>
          </w:p>
          <w:p w14:paraId="0A9D5B5F" w14:textId="77777777" w:rsidR="00ED20C2" w:rsidRPr="00252AC4" w:rsidRDefault="00ED20C2" w:rsidP="00ED20C2">
            <w:pPr>
              <w:pStyle w:val="Para0"/>
              <w:numPr>
                <w:ilvl w:val="0"/>
                <w:numId w:val="8"/>
              </w:numPr>
            </w:pPr>
            <w:r w:rsidRPr="00252AC4">
              <w:t>The cost of merging (organisational change) results in a delay before the effect of potential organisational savings through shared means and functions (which are themselves not guaranteed) can take effect;</w:t>
            </w:r>
          </w:p>
          <w:p w14:paraId="51C705E1" w14:textId="77777777" w:rsidR="00ED20C2" w:rsidRPr="00252AC4" w:rsidRDefault="00ED20C2" w:rsidP="00ED20C2">
            <w:pPr>
              <w:pStyle w:val="Para0"/>
              <w:numPr>
                <w:ilvl w:val="0"/>
                <w:numId w:val="8"/>
              </w:numPr>
            </w:pPr>
            <w:r w:rsidRPr="00252AC4">
              <w:t>Governments should ideally undertake such mergers in wider contexts of reforms, involving the creation of unified economic development strategies that clearly articulate the different mandates, their complementarities and synergies. Such a process is long and requires a true vision, as well as strong coordination within governments.</w:t>
            </w:r>
          </w:p>
          <w:p w14:paraId="5B3975AF" w14:textId="77777777" w:rsidR="00ED20C2" w:rsidRPr="00252AC4" w:rsidRDefault="00ED20C2" w:rsidP="00ED20C2">
            <w:pPr>
              <w:pStyle w:val="Para0"/>
            </w:pPr>
            <w:r w:rsidRPr="00252AC4">
              <w:t>Potential benefits:</w:t>
            </w:r>
          </w:p>
          <w:p w14:paraId="46649876" w14:textId="77777777" w:rsidR="00ED20C2" w:rsidRPr="00252AC4" w:rsidRDefault="00ED20C2" w:rsidP="00ED20C2">
            <w:pPr>
              <w:pStyle w:val="Para0"/>
              <w:numPr>
                <w:ilvl w:val="0"/>
                <w:numId w:val="9"/>
              </w:numPr>
            </w:pPr>
            <w:r w:rsidRPr="00252AC4">
              <w:t>Mergers can simplify and clarify public policies in favour of investment and trade, contributing to an integrated vision (e.g. export-led development strategy);</w:t>
            </w:r>
          </w:p>
          <w:p w14:paraId="1C39B133" w14:textId="77777777" w:rsidR="00ED20C2" w:rsidRPr="00252AC4" w:rsidRDefault="00ED20C2" w:rsidP="00ED20C2">
            <w:pPr>
              <w:pStyle w:val="Para0"/>
              <w:numPr>
                <w:ilvl w:val="0"/>
                <w:numId w:val="9"/>
              </w:numPr>
            </w:pPr>
            <w:r w:rsidRPr="00252AC4">
              <w:t>They can help pinpoint potential synergies, for example in the context of global value chains (e.g. FDI-SME linkages and emergence of new economic activities);</w:t>
            </w:r>
          </w:p>
          <w:p w14:paraId="6C4FAC32" w14:textId="77777777" w:rsidR="00ED20C2" w:rsidRPr="00252AC4" w:rsidRDefault="00ED20C2" w:rsidP="00ED20C2">
            <w:pPr>
              <w:pStyle w:val="Para0"/>
              <w:numPr>
                <w:ilvl w:val="0"/>
                <w:numId w:val="9"/>
              </w:numPr>
            </w:pPr>
            <w:r w:rsidRPr="00252AC4">
              <w:t>They can enable savings through resource sharing. This is particularly true when large networks of local and foreign offices can be shared;</w:t>
            </w:r>
          </w:p>
          <w:p w14:paraId="478DDC9F" w14:textId="77777777" w:rsidR="00ED20C2" w:rsidRPr="00252AC4" w:rsidRDefault="00ED20C2" w:rsidP="00ED20C2">
            <w:pPr>
              <w:pStyle w:val="Para0"/>
              <w:numPr>
                <w:ilvl w:val="0"/>
                <w:numId w:val="9"/>
              </w:numPr>
            </w:pPr>
            <w:r w:rsidRPr="00252AC4">
              <w:t>They can increase agencies’ visibility and influence, notably for policy advocacy.</w:t>
            </w:r>
          </w:p>
          <w:p w14:paraId="3F117836" w14:textId="40B06A0C" w:rsidR="00ED20C2" w:rsidRPr="00252AC4" w:rsidRDefault="00ED20C2" w:rsidP="002C75F3">
            <w:pPr>
              <w:pStyle w:val="Sourcenotes"/>
            </w:pPr>
            <w:r w:rsidRPr="00252AC4">
              <w:rPr>
                <w:i/>
              </w:rPr>
              <w:t>Sources:</w:t>
            </w:r>
            <w:r w:rsidRPr="00252AC4">
              <w:t xml:space="preserve"> OECD and Business France, “Institutional Reforms of IPAs”, report of the OECD seminar in Rabat in January 2018, </w:t>
            </w:r>
            <w:hyperlink r:id="rId33" w:history="1">
              <w:r w:rsidRPr="00252AC4">
                <w:rPr>
                  <w:rStyle w:val="Hyperlink"/>
                </w:rPr>
                <w:t>https://www.oecd.org/mena/competitiveness/REPORT-Institutional-Reforms-Investment-Promotion-Agencies-20180130.pdf</w:t>
              </w:r>
            </w:hyperlink>
            <w:r w:rsidRPr="00252AC4">
              <w:t>; OECD-IDB survey of investment promotion agencies (2020).</w:t>
            </w:r>
          </w:p>
        </w:tc>
      </w:tr>
    </w:tbl>
    <w:p w14:paraId="25C684EC" w14:textId="2E059831" w:rsidR="00522C21" w:rsidRPr="00252AC4" w:rsidRDefault="00647178" w:rsidP="00A959C6">
      <w:pPr>
        <w:pStyle w:val="Para0"/>
      </w:pPr>
      <w:r w:rsidRPr="00252AC4">
        <w:lastRenderedPageBreak/>
        <w:t xml:space="preserve">In Eurasia, </w:t>
      </w:r>
      <w:r w:rsidR="00522C21" w:rsidRPr="00252AC4">
        <w:t>60% of IPAs have a mandate to operate as one-stop-shops</w:t>
      </w:r>
      <w:r w:rsidR="008472CF" w:rsidRPr="00252AC4">
        <w:t xml:space="preserve"> (OSSs)</w:t>
      </w:r>
      <w:r w:rsidR="00522C21" w:rsidRPr="00252AC4">
        <w:t xml:space="preserve">. This share is close to MENA (80%), and much higher than in the OECD (13%) or LAC (12%). </w:t>
      </w:r>
      <w:r w:rsidR="00C8523F" w:rsidRPr="00252AC4">
        <w:t xml:space="preserve">One-stop-shops can have varying definitions, and comparisons </w:t>
      </w:r>
      <w:r w:rsidR="00E203A1" w:rsidRPr="00252AC4">
        <w:t>can be</w:t>
      </w:r>
      <w:r w:rsidR="00C8523F" w:rsidRPr="00252AC4">
        <w:t xml:space="preserve"> difficult.</w:t>
      </w:r>
      <w:r w:rsidR="00E71D23" w:rsidRPr="00252AC4">
        <w:t xml:space="preserve"> </w:t>
      </w:r>
      <w:r w:rsidR="00C8523F" w:rsidRPr="00252AC4">
        <w:t xml:space="preserve">In Eurasia, the term “one-stop-shop” often designates a service consisting of information provision in a single </w:t>
      </w:r>
      <w:r w:rsidR="00E203A1" w:rsidRPr="00252AC4">
        <w:t>location</w:t>
      </w:r>
      <w:r w:rsidR="00C8523F" w:rsidRPr="00252AC4">
        <w:t>.</w:t>
      </w:r>
      <w:r w:rsidR="00E203A1" w:rsidRPr="00252AC4">
        <w:t xml:space="preserve"> They usually are rooms with two or three desks and </w:t>
      </w:r>
      <w:r w:rsidR="008472CF" w:rsidRPr="00252AC4">
        <w:t xml:space="preserve">counsellors </w:t>
      </w:r>
      <w:r w:rsidR="00E203A1" w:rsidRPr="00252AC4">
        <w:t>who provide leaflets and information about administrative procedures.</w:t>
      </w:r>
      <w:r w:rsidR="00C8523F" w:rsidRPr="00252AC4">
        <w:t xml:space="preserve"> This service aims to simplify access to information</w:t>
      </w:r>
      <w:r w:rsidR="00E203A1" w:rsidRPr="00252AC4">
        <w:t xml:space="preserve"> by offering a single-entry point</w:t>
      </w:r>
      <w:r w:rsidR="00C8523F" w:rsidRPr="00252AC4">
        <w:t xml:space="preserve">, and to </w:t>
      </w:r>
      <w:r w:rsidR="00E203A1" w:rsidRPr="00252AC4">
        <w:t>help investors navigate administrative procedures by addressing them to the relevant</w:t>
      </w:r>
      <w:r w:rsidR="00C8523F" w:rsidRPr="00252AC4">
        <w:t xml:space="preserve"> </w:t>
      </w:r>
      <w:r w:rsidR="00E203A1" w:rsidRPr="00252AC4">
        <w:t>offices</w:t>
      </w:r>
      <w:r w:rsidR="000914AF" w:rsidRPr="00252AC4">
        <w:t>, sometimes centralising some of the procedures</w:t>
      </w:r>
      <w:r w:rsidR="00C8523F" w:rsidRPr="00252AC4">
        <w:t xml:space="preserve">. </w:t>
      </w:r>
      <w:r w:rsidR="008472CF" w:rsidRPr="00252AC4">
        <w:t>As of end-2019</w:t>
      </w:r>
      <w:r w:rsidR="001138C1" w:rsidRPr="00252AC4">
        <w:t>, n</w:t>
      </w:r>
      <w:r w:rsidR="00C8523F" w:rsidRPr="00252AC4">
        <w:t xml:space="preserve">one of the </w:t>
      </w:r>
      <w:r w:rsidR="00FC3061" w:rsidRPr="00252AC4">
        <w:t xml:space="preserve">investors’ </w:t>
      </w:r>
      <w:r w:rsidR="00C8523F" w:rsidRPr="00252AC4">
        <w:t>one-stop-shops in Eurasia consist</w:t>
      </w:r>
      <w:r w:rsidR="001138C1" w:rsidRPr="00252AC4">
        <w:t>ed</w:t>
      </w:r>
      <w:r w:rsidR="00C8523F" w:rsidRPr="00252AC4">
        <w:t xml:space="preserve"> in </w:t>
      </w:r>
      <w:r w:rsidR="00FC3061" w:rsidRPr="00252AC4">
        <w:t>bringing representatives</w:t>
      </w:r>
      <w:r w:rsidR="001138C1" w:rsidRPr="00252AC4">
        <w:t xml:space="preserve"> of different</w:t>
      </w:r>
      <w:r w:rsidR="00FC3061" w:rsidRPr="00252AC4">
        <w:t xml:space="preserve"> agencies under one roof</w:t>
      </w:r>
      <w:r w:rsidR="007E1D7E" w:rsidRPr="00252AC4">
        <w:t xml:space="preserve">, </w:t>
      </w:r>
      <w:r w:rsidR="00E71D23" w:rsidRPr="00252AC4">
        <w:t>which</w:t>
      </w:r>
      <w:r w:rsidR="007E1D7E" w:rsidRPr="00252AC4">
        <w:t xml:space="preserve"> is how</w:t>
      </w:r>
      <w:r w:rsidR="00E71D23" w:rsidRPr="00252AC4">
        <w:t xml:space="preserve"> OECD and LAC IPAs, notably, tend to define</w:t>
      </w:r>
      <w:r w:rsidR="007E1D7E" w:rsidRPr="00252AC4">
        <w:t xml:space="preserve"> OSSs</w:t>
      </w:r>
      <w:r w:rsidR="000914AF" w:rsidRPr="00252AC4">
        <w:t>. Some respondents</w:t>
      </w:r>
      <w:r w:rsidR="00893204" w:rsidRPr="00252AC4">
        <w:t xml:space="preserve"> </w:t>
      </w:r>
      <w:r w:rsidR="000914AF" w:rsidRPr="00252AC4">
        <w:t xml:space="preserve">have </w:t>
      </w:r>
      <w:r w:rsidR="00893204" w:rsidRPr="00252AC4">
        <w:t>stress</w:t>
      </w:r>
      <w:r w:rsidR="000914AF" w:rsidRPr="00252AC4">
        <w:t>ed</w:t>
      </w:r>
      <w:r w:rsidR="00893204" w:rsidRPr="00252AC4">
        <w:t xml:space="preserve"> that bringing together representatives of different ministries could be a challenge</w:t>
      </w:r>
      <w:r w:rsidR="00FC3061" w:rsidRPr="00252AC4">
        <w:t>.</w:t>
      </w:r>
      <w:r w:rsidR="00893204" w:rsidRPr="00252AC4">
        <w:t xml:space="preserve"> </w:t>
      </w:r>
      <w:r w:rsidR="000914AF" w:rsidRPr="00252AC4">
        <w:t xml:space="preserve">In the context of investment promotion in Eurasia, the </w:t>
      </w:r>
      <w:r w:rsidR="008472CF" w:rsidRPr="00252AC4">
        <w:t>OSS</w:t>
      </w:r>
      <w:r w:rsidR="000914AF" w:rsidRPr="00252AC4">
        <w:t xml:space="preserve"> role of IPAs</w:t>
      </w:r>
      <w:r w:rsidR="0055039B" w:rsidRPr="00252AC4">
        <w:t xml:space="preserve"> </w:t>
      </w:r>
      <w:r w:rsidR="000914AF" w:rsidRPr="00252AC4">
        <w:t xml:space="preserve">are meant to address information asymmetries, as national and local administrative procedures can often be complex, and information is not </w:t>
      </w:r>
      <w:r w:rsidR="00C41FFA" w:rsidRPr="00252AC4">
        <w:t xml:space="preserve">always </w:t>
      </w:r>
      <w:r w:rsidR="000914AF" w:rsidRPr="00252AC4">
        <w:t>easily accessible.</w:t>
      </w:r>
    </w:p>
    <w:p w14:paraId="47B3886C" w14:textId="34022D53" w:rsidR="00F22395" w:rsidRPr="00252AC4" w:rsidRDefault="001C3ED1" w:rsidP="002F604E">
      <w:pPr>
        <w:pStyle w:val="Heading3"/>
      </w:pPr>
      <w:r w:rsidRPr="00252AC4">
        <w:lastRenderedPageBreak/>
        <w:t>On average,</w:t>
      </w:r>
      <w:r w:rsidR="00BA4148" w:rsidRPr="00252AC4">
        <w:t xml:space="preserve"> Eurasia IPAs have constrained resources</w:t>
      </w:r>
    </w:p>
    <w:p w14:paraId="51CD9197" w14:textId="04D26DCF" w:rsidR="00BD7EC1" w:rsidRPr="00252AC4" w:rsidRDefault="00F00790" w:rsidP="00F00790">
      <w:pPr>
        <w:pStyle w:val="Para0"/>
      </w:pPr>
      <w:r w:rsidRPr="00252AC4">
        <w:t>Most Eurasia IPAs operate with limited financial, human and organisational resources compared with IPAs in other regions</w:t>
      </w:r>
      <w:r w:rsidR="00396E4C" w:rsidRPr="00252AC4">
        <w:t xml:space="preserve"> (Figure 1.6)</w:t>
      </w:r>
      <w:r w:rsidR="001C3ED1" w:rsidRPr="00252AC4">
        <w:t>.</w:t>
      </w:r>
      <w:r w:rsidR="00667E6B" w:rsidRPr="00252AC4">
        <w:t xml:space="preserve"> Kazakh Invest</w:t>
      </w:r>
      <w:r w:rsidR="001C3ED1" w:rsidRPr="00252AC4">
        <w:t xml:space="preserve"> is a notable exception</w:t>
      </w:r>
      <w:r w:rsidR="009B1D5C" w:rsidRPr="00252AC4">
        <w:t>,</w:t>
      </w:r>
      <w:r w:rsidR="00667E6B" w:rsidRPr="00252AC4">
        <w:t xml:space="preserve"> </w:t>
      </w:r>
      <w:r w:rsidR="001C3ED1" w:rsidRPr="00252AC4">
        <w:t>as it</w:t>
      </w:r>
      <w:r w:rsidR="00667E6B" w:rsidRPr="00252AC4">
        <w:t xml:space="preserve"> operates with a large team</w:t>
      </w:r>
      <w:r w:rsidR="009B1D5C" w:rsidRPr="00252AC4">
        <w:t xml:space="preserve"> and budget</w:t>
      </w:r>
      <w:r w:rsidR="00667E6B" w:rsidRPr="00252AC4">
        <w:t>, even by OECD standards</w:t>
      </w:r>
      <w:r w:rsidR="00135CFD" w:rsidRPr="00252AC4">
        <w:t xml:space="preserve">. </w:t>
      </w:r>
      <w:r w:rsidR="00812700" w:rsidRPr="00252AC4">
        <w:t>Data from the OECD-IDB survey show that</w:t>
      </w:r>
      <w:r w:rsidR="008472CF" w:rsidRPr="00252AC4">
        <w:t>,</w:t>
      </w:r>
      <w:r w:rsidR="00812700" w:rsidRPr="00252AC4">
        <w:t xml:space="preserve"> in general</w:t>
      </w:r>
      <w:r w:rsidR="00135CFD" w:rsidRPr="00252AC4">
        <w:t>, IPA budgets are highly correlated with countries’ levels of</w:t>
      </w:r>
      <w:r w:rsidR="008472CF" w:rsidRPr="00252AC4">
        <w:t xml:space="preserve"> </w:t>
      </w:r>
      <w:r w:rsidR="008472CF" w:rsidRPr="00252AC4">
        <w:rPr>
          <w:i/>
        </w:rPr>
        <w:t>per capita</w:t>
      </w:r>
      <w:r w:rsidR="00135CFD" w:rsidRPr="00252AC4">
        <w:t xml:space="preserve"> GDP</w:t>
      </w:r>
      <w:r w:rsidR="00C96B2E" w:rsidRPr="00252AC4">
        <w:t xml:space="preserve"> (Appendix 1)</w:t>
      </w:r>
      <w:r w:rsidR="00812700" w:rsidRPr="00252AC4">
        <w:t>, so this finding is hardly surprising</w:t>
      </w:r>
      <w:r w:rsidR="00135CFD" w:rsidRPr="00252AC4">
        <w:t>.</w:t>
      </w:r>
      <w:r w:rsidR="00812700" w:rsidRPr="00252AC4">
        <w:t xml:space="preserve"> </w:t>
      </w:r>
      <w:r w:rsidR="007B5983" w:rsidRPr="00252AC4">
        <w:t xml:space="preserve">In Eurasia countries, </w:t>
      </w:r>
      <w:r w:rsidR="008472CF" w:rsidRPr="00252AC4">
        <w:t xml:space="preserve">as </w:t>
      </w:r>
      <w:r w:rsidR="007B5983" w:rsidRPr="00252AC4">
        <w:t>in the OECD</w:t>
      </w:r>
      <w:r w:rsidR="0010290B" w:rsidRPr="00252AC4">
        <w:t>,</w:t>
      </w:r>
      <w:r w:rsidR="007B5983" w:rsidRPr="00252AC4">
        <w:t xml:space="preserve"> </w:t>
      </w:r>
      <w:r w:rsidR="00812700" w:rsidRPr="00252AC4">
        <w:t xml:space="preserve">IPAs are </w:t>
      </w:r>
      <w:r w:rsidR="0010290B" w:rsidRPr="00252AC4">
        <w:t>largely</w:t>
      </w:r>
      <w:r w:rsidR="00812700" w:rsidRPr="00252AC4">
        <w:t xml:space="preserve"> funded </w:t>
      </w:r>
      <w:r w:rsidR="008472CF" w:rsidRPr="00252AC4">
        <w:t xml:space="preserve">from </w:t>
      </w:r>
      <w:r w:rsidR="00812700" w:rsidRPr="00252AC4">
        <w:t>public budgets</w:t>
      </w:r>
      <w:r w:rsidR="0010290B" w:rsidRPr="00252AC4">
        <w:t xml:space="preserve"> (public funding accounting for respectively 98% and 97% of the total)</w:t>
      </w:r>
      <w:r w:rsidR="00812700" w:rsidRPr="00252AC4">
        <w:t xml:space="preserve">. In the </w:t>
      </w:r>
      <w:r w:rsidR="0010290B" w:rsidRPr="00252AC4">
        <w:t>ME</w:t>
      </w:r>
      <w:r w:rsidR="009E14B8" w:rsidRPr="00252AC4">
        <w:t>NA</w:t>
      </w:r>
      <w:r w:rsidR="0010290B" w:rsidRPr="00252AC4">
        <w:t xml:space="preserve"> </w:t>
      </w:r>
      <w:r w:rsidR="007B5983" w:rsidRPr="00252AC4">
        <w:t>and LAC</w:t>
      </w:r>
      <w:r w:rsidR="0010290B" w:rsidRPr="00252AC4">
        <w:t xml:space="preserve"> regions, this share is lower.</w:t>
      </w:r>
      <w:r w:rsidR="00812700" w:rsidRPr="00252AC4">
        <w:t xml:space="preserve"> </w:t>
      </w:r>
      <w:r w:rsidR="0010290B" w:rsidRPr="00252AC4">
        <w:t>S</w:t>
      </w:r>
      <w:r w:rsidR="00812700" w:rsidRPr="00252AC4">
        <w:t>ome IPAs</w:t>
      </w:r>
      <w:r w:rsidR="0010290B" w:rsidRPr="00252AC4">
        <w:t xml:space="preserve"> such as</w:t>
      </w:r>
      <w:r w:rsidR="008472CF" w:rsidRPr="00252AC4">
        <w:t xml:space="preserve"> those of</w:t>
      </w:r>
      <w:r w:rsidR="0010290B" w:rsidRPr="00252AC4">
        <w:t xml:space="preserve"> Honduras and Costa </w:t>
      </w:r>
      <w:r w:rsidR="00252AC4" w:rsidRPr="00252AC4">
        <w:t>Rica</w:t>
      </w:r>
      <w:r w:rsidR="0010290B" w:rsidRPr="00252AC4">
        <w:t xml:space="preserve"> have alternate sources of funding.</w:t>
      </w:r>
      <w:r w:rsidR="00812700" w:rsidRPr="00252AC4">
        <w:t xml:space="preserve"> </w:t>
      </w:r>
      <w:r w:rsidR="0010290B" w:rsidRPr="00252AC4">
        <w:t>These can be</w:t>
      </w:r>
      <w:r w:rsidR="00CA057F" w:rsidRPr="00252AC4">
        <w:t xml:space="preserve"> fund</w:t>
      </w:r>
      <w:r w:rsidR="00252AC4">
        <w:t>s</w:t>
      </w:r>
      <w:r w:rsidR="00CA057F" w:rsidRPr="00252AC4">
        <w:t xml:space="preserve"> from international organisations,</w:t>
      </w:r>
      <w:r w:rsidR="0010290B" w:rsidRPr="00252AC4">
        <w:t xml:space="preserve"> revenues from assets and endowment (Honduras),</w:t>
      </w:r>
      <w:r w:rsidR="00CA057F" w:rsidRPr="00252AC4">
        <w:t xml:space="preserve"> or</w:t>
      </w:r>
      <w:r w:rsidR="0010290B" w:rsidRPr="00252AC4">
        <w:t xml:space="preserve"> service fees</w:t>
      </w:r>
      <w:r w:rsidR="008472CF" w:rsidRPr="00252AC4">
        <w:t xml:space="preserve">. </w:t>
      </w:r>
      <w:r w:rsidR="0010290B" w:rsidRPr="00252AC4">
        <w:t xml:space="preserve">Costa Rica charges domestic companies to be part of their </w:t>
      </w:r>
      <w:r w:rsidR="00CA057F" w:rsidRPr="00252AC4">
        <w:t xml:space="preserve">domestic </w:t>
      </w:r>
      <w:r w:rsidR="0010290B" w:rsidRPr="00252AC4">
        <w:t xml:space="preserve">suppliers’ registries </w:t>
      </w:r>
      <w:sdt>
        <w:sdtPr>
          <w:id w:val="-2071420407"/>
          <w:citation/>
        </w:sdtPr>
        <w:sdtEndPr/>
        <w:sdtContent>
          <w:r w:rsidR="004E1183" w:rsidRPr="00252AC4">
            <w:fldChar w:fldCharType="begin"/>
          </w:r>
          <w:r w:rsidR="004E1183" w:rsidRPr="00252AC4">
            <w:instrText xml:space="preserve"> CITATION Mendeley_6C7B1fKp7Tm7ZDYVh25ZDQ \l 2057 </w:instrText>
          </w:r>
          <w:r w:rsidR="004E1183" w:rsidRPr="00252AC4">
            <w:fldChar w:fldCharType="separate"/>
          </w:r>
          <w:r w:rsidR="00E259C6" w:rsidRPr="00252AC4">
            <w:rPr>
              <w:noProof/>
            </w:rPr>
            <w:t>(Volpe Martincus and Sztajerowska, 2019</w:t>
          </w:r>
          <w:r w:rsidR="00E259C6" w:rsidRPr="00252AC4">
            <w:rPr>
              <w:noProof/>
              <w:vertAlign w:val="subscript"/>
            </w:rPr>
            <w:t>[9]</w:t>
          </w:r>
          <w:r w:rsidR="00E259C6" w:rsidRPr="00252AC4">
            <w:rPr>
              <w:noProof/>
            </w:rPr>
            <w:t>)</w:t>
          </w:r>
          <w:r w:rsidR="004E1183" w:rsidRPr="00252AC4">
            <w:fldChar w:fldCharType="end"/>
          </w:r>
        </w:sdtContent>
      </w:sdt>
      <w:r w:rsidR="000631AF" w:rsidRPr="00252AC4">
        <w:t>.</w:t>
      </w:r>
    </w:p>
    <w:p w14:paraId="7B6AA4F8" w14:textId="3053F608" w:rsidR="00055E06" w:rsidRPr="00252AC4" w:rsidRDefault="00055E06" w:rsidP="00BD0163">
      <w:pPr>
        <w:pStyle w:val="Caption"/>
      </w:pPr>
      <w:bookmarkStart w:id="124" w:name="_Toc34647249"/>
      <w:bookmarkStart w:id="125" w:name="_Ref31625835"/>
      <w:bookmarkStart w:id="126" w:name="_Toc31617736"/>
      <w:bookmarkStart w:id="127" w:name="_Toc31641335"/>
      <w:bookmarkStart w:id="128" w:name="_Toc31650335"/>
      <w:bookmarkStart w:id="129" w:name="_Toc32317039"/>
      <w:bookmarkStart w:id="130" w:name="_Toc32324698"/>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6</w:t>
      </w:r>
      <w:r w:rsidRPr="00252AC4">
        <w:rPr>
          <w:noProof/>
        </w:rPr>
        <w:fldChar w:fldCharType="end"/>
      </w:r>
      <w:r w:rsidRPr="00252AC4">
        <w:t>. Number of investment promotion staff in Eurasia and other regions</w:t>
      </w:r>
      <w:bookmarkEnd w:id="124"/>
    </w:p>
    <w:p w14:paraId="38A09154" w14:textId="291B1C2B" w:rsidR="00055E06" w:rsidRPr="00252AC4" w:rsidRDefault="00055E06" w:rsidP="00055E06">
      <w:pPr>
        <w:pStyle w:val="CaptionSubtitle"/>
      </w:pPr>
      <w:r w:rsidRPr="00252AC4">
        <w:t>Staff size by country and regional medians, in number of full-time equivalents (FTEs)</w:t>
      </w:r>
      <w:r w:rsidR="00AE5166" w:rsidRPr="00252AC4">
        <w:t>.</w:t>
      </w:r>
    </w:p>
    <w:p w14:paraId="2BE028B6" w14:textId="342A2C33" w:rsidR="00055E06" w:rsidRPr="00252AC4" w:rsidRDefault="007D75DD" w:rsidP="00055E06">
      <w:pPr>
        <w:pStyle w:val="Figure"/>
        <w:rPr>
          <w:noProof/>
          <w:lang w:eastAsia="en-GB"/>
        </w:rPr>
      </w:pPr>
      <w:r w:rsidRPr="00252AC4">
        <w:rPr>
          <w:noProof/>
          <w:lang w:eastAsia="en-GB"/>
        </w:rPr>
        <w:object w:dxaOrig="8180" w:dyaOrig="4200" w14:anchorId="22D4F7F2">
          <v:shape id="_x0000_i1031" type="#_x0000_t75" style="width:388.9pt;height:199.65pt" o:ole="">
            <v:imagedata r:id="rId34" o:title=""/>
          </v:shape>
          <o:OLEObject Type="Link" ProgID="Excel.Sheet.12" ShapeID="_x0000_i1031" DrawAspect="Content" r:id="rId35" UpdateMode="Always">
            <o:LinkType>EnhancedMetaFile</o:LinkType>
            <o:LockedField>false</o:LockedField>
          </o:OLEObject>
        </w:object>
      </w:r>
    </w:p>
    <w:p w14:paraId="1816453D" w14:textId="68AACEE3" w:rsidR="00055E06" w:rsidRPr="00252AC4" w:rsidRDefault="00055E06" w:rsidP="00BD0163">
      <w:pPr>
        <w:pStyle w:val="Sourcenotes"/>
      </w:pPr>
      <w:r w:rsidRPr="00252AC4">
        <w:rPr>
          <w:i/>
        </w:rPr>
        <w:t>Source</w:t>
      </w:r>
      <w:r w:rsidRPr="00252AC4">
        <w:t>: OECD-IDB survey of investment promotion agencies (2020)</w:t>
      </w:r>
    </w:p>
    <w:bookmarkEnd w:id="125"/>
    <w:bookmarkEnd w:id="126"/>
    <w:bookmarkEnd w:id="127"/>
    <w:bookmarkEnd w:id="128"/>
    <w:bookmarkEnd w:id="129"/>
    <w:bookmarkEnd w:id="130"/>
    <w:p w14:paraId="4C27C567" w14:textId="77777777" w:rsidR="005009C3" w:rsidRPr="00252AC4" w:rsidRDefault="008472CF" w:rsidP="00A959C6">
      <w:pPr>
        <w:pStyle w:val="Para0"/>
      </w:pPr>
      <w:r w:rsidRPr="00252AC4">
        <w:t xml:space="preserve">Eurasia IPAs typically have few – or no – </w:t>
      </w:r>
      <w:r w:rsidR="00A656E4" w:rsidRPr="00252AC4">
        <w:t>affiliated</w:t>
      </w:r>
      <w:r w:rsidR="003364D1" w:rsidRPr="00252AC4">
        <w:t xml:space="preserve"> offices.</w:t>
      </w:r>
      <w:r w:rsidR="00CE4D15" w:rsidRPr="00252AC4">
        <w:t xml:space="preserve"> </w:t>
      </w:r>
      <w:r w:rsidRPr="00252AC4">
        <w:t>O</w:t>
      </w:r>
      <w:r w:rsidR="007256E6" w:rsidRPr="00252AC4">
        <w:t xml:space="preserve">nly </w:t>
      </w:r>
      <w:r w:rsidRPr="00252AC4">
        <w:t xml:space="preserve">three </w:t>
      </w:r>
      <w:r w:rsidR="007256E6" w:rsidRPr="00252AC4">
        <w:t>out of</w:t>
      </w:r>
      <w:r w:rsidRPr="00252AC4">
        <w:t xml:space="preserve"> the</w:t>
      </w:r>
      <w:r w:rsidR="007256E6" w:rsidRPr="00252AC4">
        <w:t xml:space="preserve"> 10 Eurasia IPAs</w:t>
      </w:r>
      <w:r w:rsidRPr="00252AC4">
        <w:t xml:space="preserve"> surveyed</w:t>
      </w:r>
      <w:r w:rsidR="007256E6" w:rsidRPr="00252AC4">
        <w:t xml:space="preserve"> have affiliated </w:t>
      </w:r>
      <w:r w:rsidR="00CE4D15" w:rsidRPr="00252AC4">
        <w:t xml:space="preserve">sub-national </w:t>
      </w:r>
      <w:r w:rsidR="007256E6" w:rsidRPr="00252AC4">
        <w:t>offices. The difference between Eurasia and the OECD is even wider when comparing offices abroad</w:t>
      </w:r>
      <w:r w:rsidR="00CE4D15" w:rsidRPr="00252AC4">
        <w:t>, as only Kazakhstan reports having affiliated offices abroad, while 44% of OECD IPAs</w:t>
      </w:r>
      <w:r w:rsidR="008C35E0" w:rsidRPr="00252AC4">
        <w:t xml:space="preserve"> have such offices</w:t>
      </w:r>
      <w:r w:rsidR="007256E6" w:rsidRPr="00252AC4">
        <w:t xml:space="preserve">. </w:t>
      </w:r>
      <w:r w:rsidR="00AA2C35" w:rsidRPr="00252AC4">
        <w:t>Large networks abroad</w:t>
      </w:r>
      <w:r w:rsidR="0042582B" w:rsidRPr="00252AC4">
        <w:t xml:space="preserve"> </w:t>
      </w:r>
      <w:r w:rsidR="005E22CC" w:rsidRPr="00252AC4">
        <w:t>are a formidable tool to enhance a country’s visibility</w:t>
      </w:r>
      <w:r w:rsidR="0042582B" w:rsidRPr="00252AC4">
        <w:t xml:space="preserve"> toward foreign investors</w:t>
      </w:r>
      <w:r w:rsidR="00AA2C35" w:rsidRPr="00252AC4">
        <w:t>.</w:t>
      </w:r>
      <w:r w:rsidR="005E22CC" w:rsidRPr="00252AC4">
        <w:t xml:space="preserve"> As discussed </w:t>
      </w:r>
      <w:r w:rsidR="00F265DC" w:rsidRPr="00252AC4">
        <w:t>i</w:t>
      </w:r>
      <w:r w:rsidR="007256E6" w:rsidRPr="00252AC4">
        <w:t>n the next section</w:t>
      </w:r>
      <w:r w:rsidR="005E22CC" w:rsidRPr="00252AC4">
        <w:t>,</w:t>
      </w:r>
      <w:r w:rsidR="00F265DC" w:rsidRPr="00252AC4">
        <w:t xml:space="preserve"> </w:t>
      </w:r>
      <w:r w:rsidR="0045607D" w:rsidRPr="00252AC4">
        <w:t xml:space="preserve">Eurasia </w:t>
      </w:r>
      <w:r w:rsidR="00F265DC" w:rsidRPr="00252AC4">
        <w:t>IPAs largely</w:t>
      </w:r>
      <w:r w:rsidR="005E22CC" w:rsidRPr="00252AC4">
        <w:t xml:space="preserve"> </w:t>
      </w:r>
      <w:r w:rsidR="00F265DC" w:rsidRPr="00252AC4">
        <w:t xml:space="preserve">rely on </w:t>
      </w:r>
      <w:r w:rsidR="0042582B" w:rsidRPr="00252AC4">
        <w:t xml:space="preserve">consular networks </w:t>
      </w:r>
      <w:r w:rsidR="00F265DC" w:rsidRPr="00252AC4">
        <w:t>to advertise investment opportunities and reach foreign audiences abroad.</w:t>
      </w:r>
    </w:p>
    <w:p w14:paraId="0115B0CF" w14:textId="09F3011E" w:rsidR="00D459FD" w:rsidRPr="00252AC4" w:rsidRDefault="00C04E05" w:rsidP="002F604E">
      <w:pPr>
        <w:pStyle w:val="Heading3"/>
      </w:pPr>
      <w:r w:rsidRPr="00252AC4">
        <w:t xml:space="preserve">A great majority of </w:t>
      </w:r>
      <w:r w:rsidR="00D459FD" w:rsidRPr="00252AC4">
        <w:t>Eurasia IPAs</w:t>
      </w:r>
      <w:r w:rsidRPr="00252AC4">
        <w:t>’</w:t>
      </w:r>
      <w:r w:rsidR="00D459FD" w:rsidRPr="00252AC4">
        <w:t xml:space="preserve"> </w:t>
      </w:r>
      <w:r w:rsidRPr="00252AC4">
        <w:t>staff have very short tenures</w:t>
      </w:r>
      <w:r w:rsidR="00D459FD" w:rsidRPr="00252AC4">
        <w:t>, and some</w:t>
      </w:r>
      <w:r w:rsidR="00A92B8C" w:rsidRPr="00252AC4">
        <w:t xml:space="preserve"> could aim to</w:t>
      </w:r>
      <w:r w:rsidR="00D459FD" w:rsidRPr="00252AC4">
        <w:t xml:space="preserve"> </w:t>
      </w:r>
      <w:r w:rsidR="00A92B8C" w:rsidRPr="00252AC4">
        <w:t>recruit</w:t>
      </w:r>
      <w:r w:rsidR="00D459FD" w:rsidRPr="00252AC4">
        <w:t xml:space="preserve"> more p</w:t>
      </w:r>
      <w:r w:rsidR="009C3C98" w:rsidRPr="00252AC4">
        <w:t>rofiles from the private sector</w:t>
      </w:r>
    </w:p>
    <w:p w14:paraId="71B7DB07" w14:textId="7057BF94" w:rsidR="00253DE5" w:rsidRPr="00252AC4" w:rsidRDefault="00253DE5" w:rsidP="00253DE5">
      <w:pPr>
        <w:pStyle w:val="Para0"/>
      </w:pPr>
      <w:r w:rsidRPr="00252AC4">
        <w:t>Human capital is the most strategic asset of IPAs</w:t>
      </w:r>
      <w:r w:rsidR="00BB36C7" w:rsidRPr="00252AC4">
        <w:t xml:space="preserve">, which </w:t>
      </w:r>
      <w:r w:rsidR="008247A2" w:rsidRPr="00252AC4">
        <w:t>operations</w:t>
      </w:r>
      <w:r w:rsidR="00BB36C7" w:rsidRPr="00252AC4">
        <w:t xml:space="preserve"> revolve around marketing and the provision of services</w:t>
      </w:r>
      <w:sdt>
        <w:sdtPr>
          <w:id w:val="1415132284"/>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Pr="00252AC4">
        <w:t xml:space="preserve">. </w:t>
      </w:r>
      <w:r w:rsidR="00BB36C7" w:rsidRPr="00252AC4">
        <w:t>Considering their</w:t>
      </w:r>
      <w:r w:rsidRPr="00252AC4">
        <w:t xml:space="preserve"> broad range of </w:t>
      </w:r>
      <w:r w:rsidR="008247A2" w:rsidRPr="00252AC4">
        <w:t>activities</w:t>
      </w:r>
      <w:r w:rsidR="00BB36C7" w:rsidRPr="00252AC4">
        <w:t xml:space="preserve"> at the crossroads of diplomacy, marketing, </w:t>
      </w:r>
      <w:r w:rsidR="00292E0B" w:rsidRPr="00252AC4">
        <w:t>servicing</w:t>
      </w:r>
      <w:r w:rsidR="00EC34CB" w:rsidRPr="00252AC4">
        <w:t xml:space="preserve"> and policy influencing, IPAs typically need staff with diverse backgrounds and skill</w:t>
      </w:r>
      <w:r w:rsidR="00D110A3" w:rsidRPr="00252AC4">
        <w:t xml:space="preserve"> </w:t>
      </w:r>
      <w:r w:rsidR="00EC34CB" w:rsidRPr="00252AC4">
        <w:t>s</w:t>
      </w:r>
      <w:r w:rsidR="00D110A3" w:rsidRPr="00252AC4">
        <w:t>ets</w:t>
      </w:r>
      <w:r w:rsidR="00EC34CB" w:rsidRPr="00252AC4">
        <w:t xml:space="preserve">. </w:t>
      </w:r>
      <w:r w:rsidR="00292E0B" w:rsidRPr="00252AC4">
        <w:t xml:space="preserve">The literature on investment promotion agencies stresses the </w:t>
      </w:r>
      <w:r w:rsidR="001F4F36" w:rsidRPr="00252AC4">
        <w:t>need for IPAs to acquire skills from</w:t>
      </w:r>
      <w:r w:rsidR="00292E0B" w:rsidRPr="00252AC4">
        <w:t xml:space="preserve"> the private sector</w:t>
      </w:r>
      <w:r w:rsidR="001F4F36" w:rsidRPr="00252AC4">
        <w:t xml:space="preserve"> to </w:t>
      </w:r>
      <w:r w:rsidR="001F4F36" w:rsidRPr="00252AC4">
        <w:lastRenderedPageBreak/>
        <w:t>carry out their mission</w:t>
      </w:r>
      <w:sdt>
        <w:sdtPr>
          <w:id w:val="1514331774"/>
          <w:citation/>
        </w:sdtPr>
        <w:sdtEndPr/>
        <w:sdtContent>
          <w:r w:rsidR="003D04E7" w:rsidRPr="00252AC4">
            <w:fldChar w:fldCharType="begin"/>
          </w:r>
          <w:r w:rsidR="003D04E7" w:rsidRPr="00252AC4">
            <w:instrText xml:space="preserve"> CITATION Mendeley_y8Uz9Oej2TuI0Fkqob5EoA \l 2057 </w:instrText>
          </w:r>
          <w:r w:rsidR="003D04E7" w:rsidRPr="00252AC4">
            <w:fldChar w:fldCharType="separate"/>
          </w:r>
          <w:r w:rsidR="00E259C6" w:rsidRPr="00252AC4">
            <w:rPr>
              <w:noProof/>
            </w:rPr>
            <w:t xml:space="preserve"> (Wells and Wint, 2000</w:t>
          </w:r>
          <w:r w:rsidR="00E259C6" w:rsidRPr="00252AC4">
            <w:rPr>
              <w:noProof/>
              <w:vertAlign w:val="subscript"/>
            </w:rPr>
            <w:t>[13]</w:t>
          </w:r>
          <w:r w:rsidR="00E259C6" w:rsidRPr="00252AC4">
            <w:rPr>
              <w:noProof/>
            </w:rPr>
            <w:t>)</w:t>
          </w:r>
          <w:r w:rsidR="003D04E7" w:rsidRPr="00252AC4">
            <w:fldChar w:fldCharType="end"/>
          </w:r>
        </w:sdtContent>
      </w:sdt>
      <w:r w:rsidR="00292E0B" w:rsidRPr="00252AC4">
        <w:t>, including by having staff with private sector backgrounds</w:t>
      </w:r>
      <w:r w:rsidR="008247A2" w:rsidRPr="00252AC4">
        <w:t>, in particular in target sectors of the promotion effort</w:t>
      </w:r>
      <w:r w:rsidR="00292E0B" w:rsidRPr="00252AC4">
        <w:t xml:space="preserve">. </w:t>
      </w:r>
      <w:r w:rsidR="00C04E05" w:rsidRPr="00252AC4">
        <w:t>The level of experience and length of tenure</w:t>
      </w:r>
      <w:r w:rsidR="00292E0B" w:rsidRPr="00252AC4">
        <w:t xml:space="preserve"> </w:t>
      </w:r>
      <w:r w:rsidR="00C04E05" w:rsidRPr="00252AC4">
        <w:t xml:space="preserve">in IPAs’ staff mixes are also key indicators of agencies’ ability to recruit </w:t>
      </w:r>
      <w:r w:rsidR="00D110A3" w:rsidRPr="00252AC4">
        <w:t xml:space="preserve">the </w:t>
      </w:r>
      <w:r w:rsidR="00C04E05" w:rsidRPr="00252AC4">
        <w:t>profiles</w:t>
      </w:r>
      <w:r w:rsidR="00D110A3" w:rsidRPr="00252AC4">
        <w:t xml:space="preserve"> needed</w:t>
      </w:r>
      <w:r w:rsidR="00C04E05" w:rsidRPr="00252AC4">
        <w:t xml:space="preserve"> to attract FDI.</w:t>
      </w:r>
    </w:p>
    <w:p w14:paraId="08302F19" w14:textId="69F33DCF" w:rsidR="00103644" w:rsidRPr="00252AC4" w:rsidRDefault="00C04E05" w:rsidP="00103644">
      <w:pPr>
        <w:pStyle w:val="Para0"/>
      </w:pPr>
      <w:r w:rsidRPr="00252AC4">
        <w:t xml:space="preserve">Eurasia IPAs’ staffs </w:t>
      </w:r>
      <w:r w:rsidR="008247A2" w:rsidRPr="00252AC4">
        <w:t xml:space="preserve">have very </w:t>
      </w:r>
      <w:r w:rsidR="0007471E" w:rsidRPr="00252AC4">
        <w:t>short</w:t>
      </w:r>
      <w:r w:rsidR="008247A2" w:rsidRPr="00252AC4">
        <w:t xml:space="preserve"> tenure in their agencies</w:t>
      </w:r>
      <w:r w:rsidR="0007471E" w:rsidRPr="00252AC4">
        <w:t xml:space="preserve"> on average</w:t>
      </w:r>
      <w:r w:rsidR="008247A2" w:rsidRPr="00252AC4">
        <w:t>, compared with IPA s</w:t>
      </w:r>
      <w:r w:rsidR="00D32D4A" w:rsidRPr="00252AC4">
        <w:t>taffs in other regions (</w:t>
      </w:r>
      <w:r w:rsidR="00F00790" w:rsidRPr="00252AC4">
        <w:t>Figure 1.7</w:t>
      </w:r>
      <w:r w:rsidR="008247A2" w:rsidRPr="00252AC4">
        <w:t xml:space="preserve">). </w:t>
      </w:r>
      <w:r w:rsidR="00854363" w:rsidRPr="00252AC4">
        <w:t xml:space="preserve">In the region, </w:t>
      </w:r>
      <w:r w:rsidR="0007471E" w:rsidRPr="00252AC4">
        <w:t>89% of IPA staff has been working with their agencies for less than five years.</w:t>
      </w:r>
      <w:r w:rsidR="00BD7DDB" w:rsidRPr="00252AC4">
        <w:t xml:space="preserve"> This share does not get much lower when removing agencies created in the last two years from the sample. </w:t>
      </w:r>
      <w:r w:rsidR="009A7954" w:rsidRPr="00252AC4">
        <w:t>This figure is the result of a high share of staff turnover, which itself is likely the result of the pace of reforms</w:t>
      </w:r>
      <w:r w:rsidR="00E37A2C" w:rsidRPr="00252AC4">
        <w:t>,</w:t>
      </w:r>
      <w:r w:rsidR="009A7954" w:rsidRPr="00252AC4">
        <w:t xml:space="preserve"> as explained at the beginning of this chapter</w:t>
      </w:r>
      <w:r w:rsidR="008247A2" w:rsidRPr="00252AC4">
        <w:t>.</w:t>
      </w:r>
      <w:r w:rsidR="00975590" w:rsidRPr="00252AC4">
        <w:t xml:space="preserve"> </w:t>
      </w:r>
      <w:r w:rsidR="00E37A2C" w:rsidRPr="00252AC4">
        <w:t xml:space="preserve">Such high staff turnover must be challenging for </w:t>
      </w:r>
      <w:r w:rsidR="004F324E" w:rsidRPr="00252AC4">
        <w:t xml:space="preserve">Eurasia </w:t>
      </w:r>
      <w:r w:rsidR="00E37A2C" w:rsidRPr="00252AC4">
        <w:t>IPAs</w:t>
      </w:r>
      <w:r w:rsidR="004F324E" w:rsidRPr="00252AC4">
        <w:t>. It</w:t>
      </w:r>
      <w:r w:rsidR="00E37A2C" w:rsidRPr="00252AC4">
        <w:t xml:space="preserve"> </w:t>
      </w:r>
      <w:r w:rsidR="00A276AA" w:rsidRPr="00252AC4">
        <w:t xml:space="preserve">certainly </w:t>
      </w:r>
      <w:r w:rsidR="00E37A2C" w:rsidRPr="00252AC4">
        <w:t xml:space="preserve">is at least one of the reasons why IPAs </w:t>
      </w:r>
      <w:r w:rsidR="00FC43F3" w:rsidRPr="00252AC4">
        <w:t>rank</w:t>
      </w:r>
      <w:r w:rsidR="00E37A2C" w:rsidRPr="00252AC4">
        <w:t xml:space="preserve"> inadequate staff as their </w:t>
      </w:r>
      <w:r w:rsidR="00A276AA" w:rsidRPr="00252AC4">
        <w:t>second main</w:t>
      </w:r>
      <w:r w:rsidR="00E37A2C" w:rsidRPr="00252AC4">
        <w:t xml:space="preserve"> challenge </w:t>
      </w:r>
      <w:r w:rsidR="004F324E" w:rsidRPr="00252AC4">
        <w:t>(</w:t>
      </w:r>
      <w:r w:rsidR="00D110A3" w:rsidRPr="00252AC4">
        <w:t xml:space="preserve">Table </w:t>
      </w:r>
      <w:r w:rsidR="00E37A2C" w:rsidRPr="00252AC4">
        <w:t>1</w:t>
      </w:r>
      <w:r w:rsidR="00AE5166" w:rsidRPr="00252AC4">
        <w:t>.</w:t>
      </w:r>
      <w:r w:rsidR="008F1CB9" w:rsidRPr="00252AC4">
        <w:t>1</w:t>
      </w:r>
      <w:r w:rsidR="004F324E" w:rsidRPr="00252AC4">
        <w:t>)</w:t>
      </w:r>
      <w:r w:rsidR="00E37A2C" w:rsidRPr="00252AC4">
        <w:t>.</w:t>
      </w:r>
    </w:p>
    <w:p w14:paraId="1641155B" w14:textId="3965B09F" w:rsidR="00090D8E" w:rsidRPr="00252AC4" w:rsidRDefault="00090D8E" w:rsidP="0051394F">
      <w:pPr>
        <w:pStyle w:val="Caption"/>
      </w:pPr>
      <w:bookmarkStart w:id="131" w:name="_Toc34647250"/>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7</w:t>
      </w:r>
      <w:r w:rsidRPr="00252AC4">
        <w:rPr>
          <w:noProof/>
        </w:rPr>
        <w:fldChar w:fldCharType="end"/>
      </w:r>
      <w:r w:rsidRPr="00252AC4">
        <w:t>. IPA staff average tenure by region</w:t>
      </w:r>
      <w:bookmarkEnd w:id="131"/>
    </w:p>
    <w:p w14:paraId="102B6544" w14:textId="37977169" w:rsidR="00090D8E" w:rsidRPr="00252AC4" w:rsidRDefault="00090D8E" w:rsidP="00090D8E">
      <w:pPr>
        <w:pStyle w:val="CaptionSubtitle"/>
      </w:pPr>
      <w:r w:rsidRPr="00252AC4">
        <w:t>In % of FTEs</w:t>
      </w:r>
      <w:r w:rsidR="00AE5166" w:rsidRPr="00252AC4">
        <w:t>.</w:t>
      </w:r>
    </w:p>
    <w:p w14:paraId="5397FFA1" w14:textId="6D38B000" w:rsidR="00090D8E" w:rsidRPr="00252AC4" w:rsidRDefault="007D75DD" w:rsidP="00090D8E">
      <w:pPr>
        <w:pStyle w:val="Figure"/>
        <w:rPr>
          <w:noProof/>
          <w:lang w:eastAsia="en-GB"/>
        </w:rPr>
      </w:pPr>
      <w:r w:rsidRPr="00252AC4">
        <w:rPr>
          <w:noProof/>
          <w:lang w:eastAsia="en-GB"/>
        </w:rPr>
        <w:object w:dxaOrig="7490" w:dyaOrig="4390" w14:anchorId="5EF3AC74">
          <v:shape id="_x0000_i1032" type="#_x0000_t75" style="width:339.8pt;height:199.1pt" o:ole="">
            <v:imagedata r:id="rId36" o:title=""/>
          </v:shape>
          <o:OLEObject Type="Link" ProgID="Excel.Sheet.12" ShapeID="_x0000_i1032" DrawAspect="Content" r:id="rId37" UpdateMode="Always">
            <o:LinkType>EnhancedMetaFile</o:LinkType>
            <o:LockedField>false</o:LockedField>
          </o:OLEObject>
        </w:object>
      </w:r>
    </w:p>
    <w:p w14:paraId="04BC09C5" w14:textId="1BA9DD2B" w:rsidR="00090D8E" w:rsidRPr="00252AC4" w:rsidRDefault="00090D8E" w:rsidP="00090D8E">
      <w:pPr>
        <w:pStyle w:val="Sourcenotes"/>
      </w:pPr>
      <w:r w:rsidRPr="00252AC4">
        <w:rPr>
          <w:i/>
        </w:rPr>
        <w:t xml:space="preserve">Source: </w:t>
      </w:r>
      <w:r w:rsidRPr="00252AC4">
        <w:t>OECD-IDB survey of inves</w:t>
      </w:r>
      <w:r w:rsidR="00AE5166" w:rsidRPr="00252AC4">
        <w:t>tment promotion agencies (2020)</w:t>
      </w:r>
    </w:p>
    <w:p w14:paraId="4EE38A7D" w14:textId="3E1F7CEF" w:rsidR="009E14B8" w:rsidRPr="00252AC4" w:rsidRDefault="005915A1" w:rsidP="00B9791C">
      <w:pPr>
        <w:pStyle w:val="Para0"/>
      </w:pPr>
      <w:r w:rsidRPr="00252AC4">
        <w:t>Some Eurasia agencies, such as</w:t>
      </w:r>
      <w:r w:rsidR="00E64E52" w:rsidRPr="00252AC4">
        <w:t xml:space="preserve"> SCISPM</w:t>
      </w:r>
      <w:r w:rsidRPr="00252AC4">
        <w:t xml:space="preserve"> </w:t>
      </w:r>
      <w:r w:rsidR="00B30810" w:rsidRPr="00252AC4">
        <w:t xml:space="preserve">in </w:t>
      </w:r>
      <w:r w:rsidRPr="00252AC4">
        <w:t>Tajikistan</w:t>
      </w:r>
      <w:r w:rsidR="00A34197" w:rsidRPr="00252AC4">
        <w:t xml:space="preserve"> and </w:t>
      </w:r>
      <w:r w:rsidR="00B30810" w:rsidRPr="00252AC4">
        <w:t xml:space="preserve">the </w:t>
      </w:r>
      <w:r w:rsidR="00E64E52" w:rsidRPr="00252AC4">
        <w:t>Afghanistan Directorate of Investment Promotion and Support</w:t>
      </w:r>
      <w:r w:rsidRPr="00252AC4">
        <w:t xml:space="preserve">, could benefit from recruiting more staff with experience in the private sector. Staff with private sector backgrounds can be an asset </w:t>
      </w:r>
      <w:r w:rsidR="00907318" w:rsidRPr="00252AC4">
        <w:t>for certain IPA activities</w:t>
      </w:r>
      <w:r w:rsidRPr="00252AC4">
        <w:t>. The ability of IPAs to recruit experienced profiles in functions such a</w:t>
      </w:r>
      <w:r w:rsidR="009E14B8" w:rsidRPr="00252AC4">
        <w:t>s</w:t>
      </w:r>
      <w:r w:rsidRPr="00252AC4">
        <w:t xml:space="preserve"> marketing and prospecting activities, for example, can enable them to bring in useful skills to attract foreign investors. Staff with previous experience in </w:t>
      </w:r>
      <w:r w:rsidR="00D110A3" w:rsidRPr="00252AC4">
        <w:t xml:space="preserve">priority </w:t>
      </w:r>
      <w:r w:rsidRPr="00252AC4">
        <w:t xml:space="preserve">industries (prioritisation is discussed at length in the next chapter), can also bring valuable knowledge of </w:t>
      </w:r>
      <w:r w:rsidR="00B9791C" w:rsidRPr="00252AC4">
        <w:t>sector</w:t>
      </w:r>
      <w:r w:rsidRPr="00252AC4">
        <w:t xml:space="preserve"> business models and networks, which can help attract FDI projects</w:t>
      </w:r>
      <w:r w:rsidR="00B9791C" w:rsidRPr="00252AC4">
        <w:t xml:space="preserve"> and support foreign investors in the development of their projects</w:t>
      </w:r>
      <w:r w:rsidRPr="00252AC4">
        <w:t xml:space="preserve">. </w:t>
      </w:r>
    </w:p>
    <w:p w14:paraId="27C8623E" w14:textId="60603F30" w:rsidR="00B9791C" w:rsidRPr="00252AC4" w:rsidRDefault="005915A1" w:rsidP="00B9791C">
      <w:pPr>
        <w:pStyle w:val="Para0"/>
      </w:pPr>
      <w:r w:rsidRPr="00252AC4">
        <w:t xml:space="preserve">In </w:t>
      </w:r>
      <w:r w:rsidR="00B9791C" w:rsidRPr="00252AC4">
        <w:t xml:space="preserve">some </w:t>
      </w:r>
      <w:r w:rsidRPr="00252AC4">
        <w:t>Eurasia</w:t>
      </w:r>
      <w:r w:rsidR="00B9791C" w:rsidRPr="00252AC4">
        <w:t xml:space="preserve"> agencies however</w:t>
      </w:r>
      <w:r w:rsidRPr="00252AC4">
        <w:t xml:space="preserve">, </w:t>
      </w:r>
      <w:r w:rsidR="00B9791C" w:rsidRPr="00252AC4">
        <w:t>most staff come from the public sector</w:t>
      </w:r>
      <w:r w:rsidR="00D32D4A" w:rsidRPr="00252AC4">
        <w:t xml:space="preserve"> (</w:t>
      </w:r>
      <w:r w:rsidR="00773575" w:rsidRPr="00252AC4">
        <w:t>Figure 1.8</w:t>
      </w:r>
      <w:r w:rsidR="00B9791C" w:rsidRPr="00252AC4">
        <w:t>)</w:t>
      </w:r>
      <w:r w:rsidR="00A34197" w:rsidRPr="00252AC4">
        <w:t>, and in a number of them, the majority of staff have a mixed public and private background</w:t>
      </w:r>
      <w:r w:rsidR="00B9791C" w:rsidRPr="00252AC4">
        <w:t>.</w:t>
      </w:r>
      <w:r w:rsidR="004647A5" w:rsidRPr="00252AC4">
        <w:t xml:space="preserve"> For some agencies, recruiting profiles from the private sector can be challenging</w:t>
      </w:r>
      <w:r w:rsidR="00D110A3" w:rsidRPr="00252AC4">
        <w:t>,</w:t>
      </w:r>
      <w:r w:rsidR="004647A5" w:rsidRPr="00252AC4">
        <w:t xml:space="preserve"> because of remuneration gaps between the public and the pr</w:t>
      </w:r>
      <w:r w:rsidR="00A43116" w:rsidRPr="00252AC4">
        <w:t>ivate sector</w:t>
      </w:r>
      <w:r w:rsidR="004647A5" w:rsidRPr="00252AC4">
        <w:t xml:space="preserve"> in favour of the latter, especially at higher levels of management. OECD </w:t>
      </w:r>
      <w:r w:rsidR="00CD7AF5" w:rsidRPr="00252AC4">
        <w:t xml:space="preserve">findings </w:t>
      </w:r>
      <w:r w:rsidR="004647A5" w:rsidRPr="00252AC4">
        <w:t xml:space="preserve">suggest that IPAs with a higher level of institutional independence have more flexibility to align </w:t>
      </w:r>
      <w:r w:rsidR="00D110A3" w:rsidRPr="00252AC4">
        <w:t xml:space="preserve">with </w:t>
      </w:r>
      <w:r w:rsidR="004647A5" w:rsidRPr="00252AC4">
        <w:t xml:space="preserve">private sector </w:t>
      </w:r>
      <w:r w:rsidR="004647A5" w:rsidRPr="00252AC4">
        <w:lastRenderedPageBreak/>
        <w:t>remuneration levels, although exceptions exist</w:t>
      </w:r>
      <w:sdt>
        <w:sdtPr>
          <w:id w:val="-1054465225"/>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004647A5" w:rsidRPr="00252AC4">
        <w:t xml:space="preserve">. </w:t>
      </w:r>
      <w:r w:rsidR="00A43116" w:rsidRPr="00252AC4">
        <w:t>The limited available data collected in Eurasia tends to confirm this. Another challenge for Eurasia countries</w:t>
      </w:r>
      <w:r w:rsidR="001B08FA" w:rsidRPr="00252AC4">
        <w:t xml:space="preserve"> in this respect</w:t>
      </w:r>
      <w:r w:rsidR="00A43116" w:rsidRPr="00252AC4">
        <w:t xml:space="preserve"> is </w:t>
      </w:r>
      <w:r w:rsidR="001B08FA" w:rsidRPr="00252AC4">
        <w:t xml:space="preserve">their </w:t>
      </w:r>
      <w:r w:rsidR="00A43116" w:rsidRPr="00252AC4">
        <w:t>narrow private sector</w:t>
      </w:r>
      <w:r w:rsidR="00A34197" w:rsidRPr="00252AC4">
        <w:t>s</w:t>
      </w:r>
      <w:r w:rsidR="00A43116" w:rsidRPr="00252AC4">
        <w:t>, compared with OECD countries.</w:t>
      </w:r>
    </w:p>
    <w:p w14:paraId="3835FE11" w14:textId="647B980C" w:rsidR="00773575" w:rsidRPr="00252AC4" w:rsidRDefault="00773575" w:rsidP="0051394F">
      <w:pPr>
        <w:pStyle w:val="Caption"/>
      </w:pPr>
      <w:bookmarkStart w:id="132" w:name="_Toc34647251"/>
      <w:bookmarkStart w:id="133" w:name="_Ref31625872"/>
      <w:bookmarkStart w:id="134" w:name="_Toc31617738"/>
      <w:bookmarkStart w:id="135" w:name="_Toc31641337"/>
      <w:bookmarkStart w:id="136" w:name="_Toc31650337"/>
      <w:bookmarkStart w:id="137" w:name="_Toc32317041"/>
      <w:bookmarkStart w:id="138" w:name="_Toc32324700"/>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8</w:t>
      </w:r>
      <w:r w:rsidRPr="00252AC4">
        <w:rPr>
          <w:noProof/>
        </w:rPr>
        <w:fldChar w:fldCharType="end"/>
      </w:r>
      <w:r w:rsidRPr="00252AC4">
        <w:t>. IPA staff background in Eurasia and the OECD</w:t>
      </w:r>
      <w:bookmarkEnd w:id="132"/>
    </w:p>
    <w:p w14:paraId="4093DA89" w14:textId="3E19FF46" w:rsidR="00773575" w:rsidRPr="00252AC4" w:rsidRDefault="00773575" w:rsidP="00773575">
      <w:pPr>
        <w:pStyle w:val="CaptionSubtitle"/>
      </w:pPr>
      <w:r w:rsidRPr="00252AC4">
        <w:t>In % of FTEs</w:t>
      </w:r>
      <w:r w:rsidR="00AE5166" w:rsidRPr="00252AC4">
        <w:t>.</w:t>
      </w:r>
    </w:p>
    <w:p w14:paraId="5EB0AD83" w14:textId="6FA29778" w:rsidR="00773575" w:rsidRPr="00252AC4" w:rsidRDefault="007D75DD" w:rsidP="00773575">
      <w:pPr>
        <w:pStyle w:val="Figure"/>
        <w:rPr>
          <w:noProof/>
          <w:lang w:eastAsia="en-GB"/>
        </w:rPr>
      </w:pPr>
      <w:r w:rsidRPr="00252AC4">
        <w:rPr>
          <w:noProof/>
          <w:lang w:eastAsia="en-GB"/>
        </w:rPr>
        <w:object w:dxaOrig="10110" w:dyaOrig="4700" w14:anchorId="647ADA47">
          <v:shape id="_x0000_i1033" type="#_x0000_t75" style="width:427.65pt;height:198.55pt" o:ole="">
            <v:imagedata r:id="rId38" o:title=""/>
          </v:shape>
          <o:OLEObject Type="Link" ProgID="Excel.Sheet.12" ShapeID="_x0000_i1033" DrawAspect="Content" r:id="rId39" UpdateMode="Always">
            <o:LinkType>EnhancedMetaFile</o:LinkType>
            <o:LockedField>false</o:LockedField>
          </o:OLEObject>
        </w:object>
      </w:r>
    </w:p>
    <w:p w14:paraId="38987C6E" w14:textId="71514F96" w:rsidR="00773575" w:rsidRPr="00252AC4" w:rsidRDefault="00773575" w:rsidP="00773575">
      <w:pPr>
        <w:pStyle w:val="Sourcenotes"/>
      </w:pPr>
      <w:r w:rsidRPr="00252AC4">
        <w:rPr>
          <w:i/>
        </w:rPr>
        <w:t>Source</w:t>
      </w:r>
      <w:r w:rsidRPr="00252AC4">
        <w:t>: OECD-IDB survey of investment pr</w:t>
      </w:r>
      <w:r w:rsidR="00AE5166" w:rsidRPr="00252AC4">
        <w:t>omotion agencies (2020)</w:t>
      </w:r>
    </w:p>
    <w:bookmarkEnd w:id="133"/>
    <w:bookmarkEnd w:id="134"/>
    <w:bookmarkEnd w:id="135"/>
    <w:bookmarkEnd w:id="136"/>
    <w:bookmarkEnd w:id="137"/>
    <w:bookmarkEnd w:id="138"/>
    <w:p w14:paraId="63969327" w14:textId="56029E17" w:rsidR="00A61F47" w:rsidRPr="00252AC4" w:rsidRDefault="00A61F47" w:rsidP="002F604E">
      <w:pPr>
        <w:pStyle w:val="Heading3"/>
      </w:pPr>
      <w:r w:rsidRPr="00252AC4">
        <w:t>Strategic and business planning could help IPAs better</w:t>
      </w:r>
      <w:r w:rsidR="0051396F" w:rsidRPr="00252AC4">
        <w:t xml:space="preserve"> align mandates and resources by prioritising targets and allocating resources in consequence</w:t>
      </w:r>
    </w:p>
    <w:p w14:paraId="4FBF7126" w14:textId="08F81E86" w:rsidR="009A0D06" w:rsidRPr="00252AC4" w:rsidRDefault="00852993" w:rsidP="00852993">
      <w:pPr>
        <w:pStyle w:val="Para0"/>
      </w:pPr>
      <w:r w:rsidRPr="00252AC4">
        <w:t xml:space="preserve">IPAs </w:t>
      </w:r>
      <w:r w:rsidR="00A86A4F" w:rsidRPr="00252AC4">
        <w:t>in Eurasia rely less on strategic target definition and business planning than their peers in OECD countries</w:t>
      </w:r>
      <w:r w:rsidR="00D32D4A" w:rsidRPr="00252AC4">
        <w:t xml:space="preserve"> (</w:t>
      </w:r>
      <w:r w:rsidR="003A76F0" w:rsidRPr="00252AC4">
        <w:t>Figure 1.9</w:t>
      </w:r>
      <w:r w:rsidR="009D6E24" w:rsidRPr="00252AC4">
        <w:t>)</w:t>
      </w:r>
      <w:r w:rsidR="00A86A4F" w:rsidRPr="00252AC4">
        <w:t xml:space="preserve">. </w:t>
      </w:r>
      <w:r w:rsidR="009D6E24" w:rsidRPr="00252AC4">
        <w:t xml:space="preserve">Although most of them have broad guiding strategies, </w:t>
      </w:r>
      <w:r w:rsidR="00AC365F" w:rsidRPr="00252AC4">
        <w:t xml:space="preserve">40% do not have strategic targets. Business planning is also not a widespread practice in the region, as only 40% of IPAs do it. </w:t>
      </w:r>
      <w:r w:rsidR="00444B59" w:rsidRPr="00252AC4">
        <w:t xml:space="preserve">One explanation for this is that in some Eurasia countries, the budget </w:t>
      </w:r>
      <w:r w:rsidR="00D110A3" w:rsidRPr="00252AC4">
        <w:t xml:space="preserve">for </w:t>
      </w:r>
      <w:r w:rsidR="00444B59" w:rsidRPr="00252AC4">
        <w:t>investment promotion is not separated clearly from budgets for other activities. This was a challenge when collecting budget information for the OECD-IDB survey in the region.</w:t>
      </w:r>
    </w:p>
    <w:p w14:paraId="3D77BB7C" w14:textId="357582FE" w:rsidR="00852993" w:rsidRPr="00252AC4" w:rsidRDefault="009A0D06" w:rsidP="00852993">
      <w:pPr>
        <w:pStyle w:val="Para0"/>
      </w:pPr>
      <w:r w:rsidRPr="00252AC4">
        <w:t>Eurasia IPA</w:t>
      </w:r>
      <w:r w:rsidR="00D110A3" w:rsidRPr="00252AC4">
        <w:t>s</w:t>
      </w:r>
      <w:r w:rsidRPr="00252AC4">
        <w:t xml:space="preserve"> could benefit from having well identified budgets for their</w:t>
      </w:r>
      <w:r w:rsidR="00444B59" w:rsidRPr="00252AC4">
        <w:t xml:space="preserve"> </w:t>
      </w:r>
      <w:r w:rsidRPr="00252AC4">
        <w:t>investment promotion activities and establishing, together with their reporting authorities, clear strategic targets, on annual basis. Business planning is also a useful exercise to make sure that financial resources are aligned with target objectives, and to manage expectations.</w:t>
      </w:r>
      <w:r w:rsidR="00EB6E20" w:rsidRPr="00252AC4">
        <w:t xml:space="preserve"> This is all the more relevant in Eurasia, where IPAs have relatively limited resources.</w:t>
      </w:r>
      <w:r w:rsidRPr="00252AC4">
        <w:t xml:space="preserve"> A single task can be performed very differently depending on the level of staffing and financing that supports its realisation. Such </w:t>
      </w:r>
      <w:r w:rsidR="00EB6E20" w:rsidRPr="00252AC4">
        <w:t xml:space="preserve">strategic </w:t>
      </w:r>
      <w:r w:rsidRPr="00252AC4">
        <w:t xml:space="preserve">tools also have the virtues of enabling evidence-based reporting and discussions with the senior management, facilitating the monitoring and evaluation of activities, and setting learning curves for the staff. </w:t>
      </w:r>
    </w:p>
    <w:p w14:paraId="42F3128C" w14:textId="42F7E593" w:rsidR="00354788" w:rsidRPr="00252AC4" w:rsidRDefault="00354788" w:rsidP="00C362B4">
      <w:pPr>
        <w:pStyle w:val="Sourcenotes"/>
      </w:pPr>
    </w:p>
    <w:p w14:paraId="5E2C368D" w14:textId="746CA690" w:rsidR="003A76F0" w:rsidRPr="00252AC4" w:rsidRDefault="003A76F0" w:rsidP="0051394F">
      <w:pPr>
        <w:pStyle w:val="Caption"/>
      </w:pPr>
      <w:bookmarkStart w:id="139" w:name="_Toc34647252"/>
      <w:bookmarkStart w:id="140" w:name="_Ref31625887"/>
      <w:bookmarkStart w:id="141" w:name="_Toc31617739"/>
      <w:bookmarkStart w:id="142" w:name="_Toc31641338"/>
      <w:bookmarkStart w:id="143" w:name="_Toc31650338"/>
      <w:bookmarkStart w:id="144" w:name="_Toc32317042"/>
      <w:bookmarkStart w:id="145" w:name="_Toc32324701"/>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9</w:t>
      </w:r>
      <w:r w:rsidRPr="00252AC4">
        <w:rPr>
          <w:noProof/>
        </w:rPr>
        <w:fldChar w:fldCharType="end"/>
      </w:r>
      <w:r w:rsidRPr="00252AC4">
        <w:t>. Strategic planning and reporting in Eurasia and the OECD</w:t>
      </w:r>
      <w:bookmarkEnd w:id="139"/>
    </w:p>
    <w:p w14:paraId="23FB9E85" w14:textId="54247A94" w:rsidR="003A76F0" w:rsidRPr="00252AC4" w:rsidRDefault="003A76F0" w:rsidP="003A76F0">
      <w:pPr>
        <w:pStyle w:val="CaptionSubtitle"/>
      </w:pPr>
      <w:r w:rsidRPr="00252AC4">
        <w:t>In % of respondents</w:t>
      </w:r>
      <w:r w:rsidR="00AE5166" w:rsidRPr="00252AC4">
        <w:t>.</w:t>
      </w:r>
    </w:p>
    <w:p w14:paraId="59358D01" w14:textId="53A3343B" w:rsidR="003A76F0" w:rsidRPr="00252AC4" w:rsidRDefault="007D75DD" w:rsidP="003A76F0">
      <w:pPr>
        <w:pStyle w:val="Figure"/>
        <w:rPr>
          <w:noProof/>
          <w:lang w:eastAsia="en-GB"/>
        </w:rPr>
      </w:pPr>
      <w:r w:rsidRPr="00252AC4">
        <w:rPr>
          <w:noProof/>
          <w:lang w:eastAsia="en-GB"/>
        </w:rPr>
        <w:object w:dxaOrig="6620" w:dyaOrig="4360" w14:anchorId="6276E0EB">
          <v:shape id="_x0000_i1034" type="#_x0000_t75" style="width:314.75pt;height:206.2pt" o:ole="">
            <v:imagedata r:id="rId40" o:title=""/>
          </v:shape>
          <o:OLEObject Type="Link" ProgID="Excel.Sheet.12" ShapeID="_x0000_i1034" DrawAspect="Content" r:id="rId41" UpdateMode="Always">
            <o:LinkType>EnhancedMetaFile</o:LinkType>
            <o:LockedField>false</o:LockedField>
          </o:OLEObject>
        </w:object>
      </w:r>
    </w:p>
    <w:p w14:paraId="7E482266" w14:textId="6659A81C" w:rsidR="00E70E00" w:rsidRDefault="003A76F0">
      <w:pPr>
        <w:pStyle w:val="Sourcenotes"/>
      </w:pPr>
      <w:r w:rsidRPr="00252AC4">
        <w:rPr>
          <w:i/>
        </w:rPr>
        <w:t>Source</w:t>
      </w:r>
      <w:r w:rsidRPr="00252AC4">
        <w:t>: OECD-IDB survey of inves</w:t>
      </w:r>
      <w:r w:rsidR="00AE5166" w:rsidRPr="00252AC4">
        <w:t>tment promotion agencies (2020)</w:t>
      </w:r>
      <w:r w:rsidR="005E2C3D">
        <w:t>.</w:t>
      </w:r>
    </w:p>
    <w:p w14:paraId="4564A454" w14:textId="622CF4C7" w:rsidR="00E70E00" w:rsidRPr="00252AC4" w:rsidRDefault="00E70E00" w:rsidP="00A0417B">
      <w:pPr>
        <w:pStyle w:val="Para0"/>
      </w:pPr>
      <w:r>
        <w:t xml:space="preserve">The unfolding COVID-19 crisis </w:t>
      </w:r>
      <w:r w:rsidR="00520812">
        <w:t>can</w:t>
      </w:r>
      <w:r>
        <w:t xml:space="preserve"> provide an opportunity for governments in Eurasia to </w:t>
      </w:r>
      <w:r w:rsidR="00B502A3">
        <w:t>strengthen</w:t>
      </w:r>
      <w:r>
        <w:t xml:space="preserve"> </w:t>
      </w:r>
      <w:r w:rsidR="00B502A3">
        <w:t>their</w:t>
      </w:r>
      <w:r>
        <w:t xml:space="preserve"> </w:t>
      </w:r>
      <w:r w:rsidR="00B502A3">
        <w:t>strategic planning</w:t>
      </w:r>
      <w:r w:rsidR="005E2C3D">
        <w:t xml:space="preserve"> for investment attraction</w:t>
      </w:r>
      <w:r w:rsidR="00B502A3">
        <w:t>, as they integrate the new configuration of the global economy</w:t>
      </w:r>
      <w:r>
        <w:t xml:space="preserve">. OECD IPAs have already started to adjust their approaches to answer the short-term constraints of confinement measures and travel restrictions on the organisation of their work, </w:t>
      </w:r>
      <w:r w:rsidR="005E2C3D">
        <w:t xml:space="preserve">to </w:t>
      </w:r>
      <w:r>
        <w:t xml:space="preserve">address pandemic-related emergencies by </w:t>
      </w:r>
      <w:r w:rsidR="008F44DD">
        <w:t>contributing to</w:t>
      </w:r>
      <w:r>
        <w:t xml:space="preserve"> the mobilisation of productive capacities in the health sector, and </w:t>
      </w:r>
      <w:r w:rsidR="005E2C3D">
        <w:t xml:space="preserve">to </w:t>
      </w:r>
      <w:r>
        <w:t xml:space="preserve">provide support to ongoing </w:t>
      </w:r>
      <w:r w:rsidR="00B502A3">
        <w:t>investment projects</w:t>
      </w:r>
      <w:r>
        <w:t xml:space="preserve"> and already established investors.</w:t>
      </w:r>
      <w:r w:rsidR="00B502A3">
        <w:t xml:space="preserve"> O</w:t>
      </w:r>
      <w:r w:rsidR="005E2C3D">
        <w:t>ver</w:t>
      </w:r>
      <w:r w:rsidR="00B502A3">
        <w:t xml:space="preserve"> the medium</w:t>
      </w:r>
      <w:r w:rsidR="005E2C3D">
        <w:t>-</w:t>
      </w:r>
      <w:r w:rsidR="00B502A3">
        <w:t>to</w:t>
      </w:r>
      <w:r w:rsidR="005E2C3D">
        <w:t>-</w:t>
      </w:r>
      <w:r w:rsidR="00B502A3">
        <w:t>long</w:t>
      </w:r>
      <w:r w:rsidR="005E2C3D">
        <w:t xml:space="preserve"> </w:t>
      </w:r>
      <w:r w:rsidR="00B502A3">
        <w:t>term, strategic plans should include the acceleration of the digitalisation of investment promotion activities, with the implementation of new promotion and facilitation t</w:t>
      </w:r>
      <w:r w:rsidR="00BE5A07">
        <w:t xml:space="preserve">ools, </w:t>
      </w:r>
      <w:r w:rsidR="005E2C3D">
        <w:t xml:space="preserve">a </w:t>
      </w:r>
      <w:r w:rsidR="00BE5A07">
        <w:t>re-balancing of the activity</w:t>
      </w:r>
      <w:r w:rsidR="00B502A3">
        <w:t xml:space="preserve"> mix, and new priorities in terms of sectors and prospects.</w:t>
      </w:r>
      <w:r w:rsidR="0009255A">
        <w:t xml:space="preserve"> As Eurasia IPAs and their sponsors undert</w:t>
      </w:r>
      <w:r w:rsidR="008F44DD">
        <w:t>ake similar</w:t>
      </w:r>
      <w:r w:rsidR="0009255A">
        <w:t xml:space="preserve"> exercise</w:t>
      </w:r>
      <w:r w:rsidR="008F44DD">
        <w:t>s</w:t>
      </w:r>
      <w:r w:rsidR="0009255A">
        <w:t xml:space="preserve"> of strategic redesign, they should aim to </w:t>
      </w:r>
      <w:r w:rsidR="00BE5A07">
        <w:t xml:space="preserve">strengthen their approach and </w:t>
      </w:r>
      <w:r w:rsidR="0009255A">
        <w:t>develop further the tools for their plans’ implementation.</w:t>
      </w:r>
    </w:p>
    <w:p w14:paraId="6C981644" w14:textId="460E6930" w:rsidR="00FA1E3E" w:rsidRPr="00252AC4" w:rsidRDefault="00FA1E3E" w:rsidP="002F604E">
      <w:pPr>
        <w:pStyle w:val="Heading2"/>
        <w:rPr>
          <w:rFonts w:hint="eastAsia"/>
        </w:rPr>
      </w:pPr>
      <w:bookmarkStart w:id="146" w:name="_Toc31617781"/>
      <w:bookmarkStart w:id="147" w:name="_Toc31641310"/>
      <w:bookmarkStart w:id="148" w:name="_Toc31650308"/>
      <w:bookmarkStart w:id="149" w:name="_Toc32317009"/>
      <w:bookmarkStart w:id="150" w:name="_Toc32324668"/>
      <w:bookmarkStart w:id="151" w:name="_Toc40103023"/>
      <w:bookmarkEnd w:id="140"/>
      <w:bookmarkEnd w:id="141"/>
      <w:bookmarkEnd w:id="142"/>
      <w:bookmarkEnd w:id="143"/>
      <w:bookmarkEnd w:id="144"/>
      <w:bookmarkEnd w:id="145"/>
      <w:r w:rsidRPr="00252AC4">
        <w:t>Institutional relationships</w:t>
      </w:r>
      <w:bookmarkEnd w:id="146"/>
      <w:bookmarkEnd w:id="147"/>
      <w:bookmarkEnd w:id="148"/>
      <w:bookmarkEnd w:id="149"/>
      <w:bookmarkEnd w:id="150"/>
      <w:bookmarkEnd w:id="151"/>
    </w:p>
    <w:p w14:paraId="55B35070" w14:textId="41FD04D2" w:rsidR="00DD2E3A" w:rsidRPr="00252AC4" w:rsidRDefault="00442495" w:rsidP="00DD2E3A">
      <w:pPr>
        <w:pStyle w:val="Para0"/>
      </w:pPr>
      <w:r w:rsidRPr="00252AC4">
        <w:t xml:space="preserve">Most IPAs collaborate with a wide network of institutions involving </w:t>
      </w:r>
      <w:r w:rsidR="00AC7567" w:rsidRPr="00252AC4">
        <w:t xml:space="preserve">mainly </w:t>
      </w:r>
      <w:r w:rsidR="00DF6C6D" w:rsidRPr="00252AC4">
        <w:t xml:space="preserve">other </w:t>
      </w:r>
      <w:r w:rsidRPr="00252AC4">
        <w:t>governmental bodies</w:t>
      </w:r>
      <w:r w:rsidR="00AC7567" w:rsidRPr="00252AC4">
        <w:t xml:space="preserve"> and</w:t>
      </w:r>
      <w:r w:rsidRPr="00252AC4">
        <w:t xml:space="preserve"> the private sector. These relationships are important. </w:t>
      </w:r>
      <w:r w:rsidR="008F1CB9" w:rsidRPr="00252AC4">
        <w:t>T</w:t>
      </w:r>
      <w:r w:rsidRPr="00252AC4">
        <w:t xml:space="preserve">he whole-of-government approach </w:t>
      </w:r>
      <w:r w:rsidR="008F1CB9" w:rsidRPr="00252AC4">
        <w:t xml:space="preserve">needed </w:t>
      </w:r>
      <w:r w:rsidRPr="00252AC4">
        <w:t>to attract large investment projects in particular, or to solve problems, requires that IPAs have strong and efficient relationships with other ministries and public administrations. Co</w:t>
      </w:r>
      <w:r w:rsidR="008F1CB9" w:rsidRPr="00252AC4">
        <w:t>-</w:t>
      </w:r>
      <w:r w:rsidRPr="00252AC4">
        <w:t>ordination at the international and sub-national levels to promote the country as an attractive investment destination in a consistent fashion is also important.</w:t>
      </w:r>
      <w:r w:rsidR="007801E9" w:rsidRPr="00252AC4">
        <w:t xml:space="preserve"> Exchanges with the private sector, finally, are also crucial to understand</w:t>
      </w:r>
      <w:r w:rsidR="008F1CB9" w:rsidRPr="00252AC4">
        <w:t>ing</w:t>
      </w:r>
      <w:r w:rsidR="007801E9" w:rsidRPr="00252AC4">
        <w:t>, identify</w:t>
      </w:r>
      <w:r w:rsidR="008F1CB9" w:rsidRPr="00252AC4">
        <w:t>ing</w:t>
      </w:r>
      <w:r w:rsidR="007801E9" w:rsidRPr="00252AC4">
        <w:t xml:space="preserve"> and alleviat</w:t>
      </w:r>
      <w:r w:rsidR="008F1CB9" w:rsidRPr="00252AC4">
        <w:t>ing</w:t>
      </w:r>
      <w:r w:rsidR="007801E9" w:rsidRPr="00252AC4">
        <w:t xml:space="preserve"> potential barriers to foreign investment.</w:t>
      </w:r>
    </w:p>
    <w:p w14:paraId="14192876" w14:textId="042FE817" w:rsidR="00B30F5C" w:rsidRPr="00252AC4" w:rsidRDefault="00B30F5C" w:rsidP="002F604E">
      <w:pPr>
        <w:pStyle w:val="Heading3"/>
      </w:pPr>
      <w:r w:rsidRPr="00252AC4">
        <w:lastRenderedPageBreak/>
        <w:t>Eurasia IPAs evolve in dense institutional networks, which can be challenging given their limited resources</w:t>
      </w:r>
    </w:p>
    <w:p w14:paraId="712B6380" w14:textId="71828FC5" w:rsidR="002664ED" w:rsidRPr="00252AC4" w:rsidRDefault="00B30F5C" w:rsidP="002664ED">
      <w:pPr>
        <w:pStyle w:val="Para0"/>
      </w:pPr>
      <w:r w:rsidRPr="00252AC4">
        <w:t xml:space="preserve">The density and intensity of Eurasia IPAs’ institutional relationships </w:t>
      </w:r>
      <w:r w:rsidR="00174ADB" w:rsidRPr="00252AC4">
        <w:t xml:space="preserve">are at least as high as in other regions including the OECD, although most IPAs’ resources in Eurasia are </w:t>
      </w:r>
      <w:r w:rsidR="000015CA" w:rsidRPr="00252AC4">
        <w:t>more constrained. The</w:t>
      </w:r>
      <w:r w:rsidR="00C91E12" w:rsidRPr="00252AC4">
        <w:t>y</w:t>
      </w:r>
      <w:r w:rsidR="000015CA" w:rsidRPr="00252AC4">
        <w:t xml:space="preserve"> interact </w:t>
      </w:r>
      <w:r w:rsidR="00C91E12" w:rsidRPr="00252AC4">
        <w:t>with 28 other institutions</w:t>
      </w:r>
      <w:r w:rsidR="000015CA" w:rsidRPr="00252AC4">
        <w:t xml:space="preserve"> on average, in li</w:t>
      </w:r>
      <w:r w:rsidR="00D32D4A" w:rsidRPr="00252AC4">
        <w:t>ne with other regions (</w:t>
      </w:r>
      <w:r w:rsidR="00F401B5" w:rsidRPr="00252AC4">
        <w:t>Figure 1.10</w:t>
      </w:r>
      <w:r w:rsidR="000015CA" w:rsidRPr="00252AC4">
        <w:t xml:space="preserve">), but the mapping </w:t>
      </w:r>
      <w:r w:rsidR="00D32D4A" w:rsidRPr="00252AC4">
        <w:t>of these interactions (</w:t>
      </w:r>
      <w:r w:rsidR="00F401B5" w:rsidRPr="00252AC4">
        <w:t>Figure 1.11</w:t>
      </w:r>
      <w:r w:rsidR="000015CA" w:rsidRPr="00252AC4">
        <w:t>) shows that the</w:t>
      </w:r>
      <w:r w:rsidR="00C91E12" w:rsidRPr="00252AC4">
        <w:t>ir</w:t>
      </w:r>
      <w:r w:rsidR="000015CA" w:rsidRPr="00252AC4">
        <w:t xml:space="preserve"> intensity is, on average, higher than in the OECD</w:t>
      </w:r>
      <w:r w:rsidR="00C91E12" w:rsidRPr="00252AC4">
        <w:t>.</w:t>
      </w:r>
      <w:r w:rsidR="00540B39" w:rsidRPr="00252AC4">
        <w:t xml:space="preserve"> This is one more indication of the close relationships between IPAs and their i</w:t>
      </w:r>
      <w:r w:rsidR="000057EE" w:rsidRPr="00252AC4">
        <w:t>nstitutional environment</w:t>
      </w:r>
      <w:r w:rsidR="008F1CB9" w:rsidRPr="00252AC4">
        <w:t>s</w:t>
      </w:r>
      <w:r w:rsidR="00AA2A4C" w:rsidRPr="00252AC4">
        <w:t>, which are particularly strong</w:t>
      </w:r>
      <w:r w:rsidR="000057EE" w:rsidRPr="00252AC4">
        <w:t xml:space="preserve"> in </w:t>
      </w:r>
      <w:r w:rsidR="00AA2A4C" w:rsidRPr="00252AC4">
        <w:t>countries of the Eurasia region</w:t>
      </w:r>
      <w:r w:rsidR="000057EE" w:rsidRPr="00252AC4">
        <w:t>.</w:t>
      </w:r>
      <w:r w:rsidR="00C91E12" w:rsidRPr="00252AC4">
        <w:t xml:space="preserve"> Uzbekistan is the only exception, with </w:t>
      </w:r>
      <w:r w:rsidR="008F1CB9" w:rsidRPr="00252AC4">
        <w:t xml:space="preserve">the </w:t>
      </w:r>
      <w:r w:rsidR="00C91E12" w:rsidRPr="00252AC4">
        <w:t>number of institutional relationships</w:t>
      </w:r>
      <w:r w:rsidR="00304E26" w:rsidRPr="00252AC4">
        <w:t xml:space="preserve"> limited to six</w:t>
      </w:r>
      <w:r w:rsidR="00C91E12" w:rsidRPr="00252AC4">
        <w:t>.</w:t>
      </w:r>
    </w:p>
    <w:p w14:paraId="3F347DB9" w14:textId="4BD11BA6" w:rsidR="00A92F13" w:rsidRPr="00252AC4" w:rsidRDefault="00A92F13" w:rsidP="0051394F">
      <w:pPr>
        <w:pStyle w:val="Caption"/>
      </w:pPr>
      <w:bookmarkStart w:id="152" w:name="_Toc34647253"/>
      <w:bookmarkStart w:id="153" w:name="_Ref31625930"/>
      <w:bookmarkStart w:id="154" w:name="_Toc31617740"/>
      <w:bookmarkStart w:id="155" w:name="_Toc31641339"/>
      <w:bookmarkStart w:id="156" w:name="_Toc31650339"/>
      <w:bookmarkStart w:id="157" w:name="_Toc32317043"/>
      <w:bookmarkStart w:id="158" w:name="_Toc32324702"/>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10</w:t>
      </w:r>
      <w:r w:rsidRPr="00252AC4">
        <w:rPr>
          <w:noProof/>
        </w:rPr>
        <w:fldChar w:fldCharType="end"/>
      </w:r>
      <w:r w:rsidRPr="00252AC4">
        <w:t>. Number of organisations with which IPAs interact</w:t>
      </w:r>
      <w:bookmarkEnd w:id="152"/>
    </w:p>
    <w:p w14:paraId="40ED1E67" w14:textId="5BE16048" w:rsidR="00A92F13" w:rsidRPr="00252AC4" w:rsidRDefault="00A92F13" w:rsidP="00A92F13">
      <w:pPr>
        <w:pStyle w:val="CaptionSubtitle"/>
      </w:pPr>
      <w:r w:rsidRPr="00252AC4">
        <w:t>Eurasia countries and regional averages</w:t>
      </w:r>
      <w:r w:rsidR="00B0128E" w:rsidRPr="00252AC4">
        <w:t>.</w:t>
      </w:r>
    </w:p>
    <w:p w14:paraId="0D5C272D" w14:textId="62F1B186" w:rsidR="00A92F13" w:rsidRPr="00252AC4" w:rsidRDefault="007D75DD" w:rsidP="00A92F13">
      <w:pPr>
        <w:pStyle w:val="Figure"/>
        <w:rPr>
          <w:noProof/>
          <w:lang w:eastAsia="en-GB"/>
        </w:rPr>
      </w:pPr>
      <w:r w:rsidRPr="00252AC4">
        <w:rPr>
          <w:noProof/>
          <w:lang w:eastAsia="en-GB"/>
        </w:rPr>
        <w:object w:dxaOrig="8070" w:dyaOrig="3590" w14:anchorId="2AB707B3">
          <v:shape id="_x0000_i1035" type="#_x0000_t75" style="width:342.55pt;height:152.2pt" o:ole="">
            <v:imagedata r:id="rId42" o:title=""/>
          </v:shape>
          <o:OLEObject Type="Link" ProgID="Excel.Sheet.12" ShapeID="_x0000_i1035" DrawAspect="Content" r:id="rId43" UpdateMode="Always">
            <o:LinkType>EnhancedMetaFile</o:LinkType>
            <o:LockedField>false</o:LockedField>
          </o:OLEObject>
        </w:object>
      </w:r>
    </w:p>
    <w:p w14:paraId="32A35F93" w14:textId="06E6E688" w:rsidR="00A92F13" w:rsidRPr="00252AC4" w:rsidRDefault="00A92F13" w:rsidP="00A92F13">
      <w:pPr>
        <w:pStyle w:val="Sourcenotes"/>
      </w:pPr>
      <w:r w:rsidRPr="00252AC4">
        <w:rPr>
          <w:i/>
        </w:rPr>
        <w:t xml:space="preserve">Source: </w:t>
      </w:r>
      <w:r w:rsidRPr="00252AC4">
        <w:t>OECD-IDB survey of inves</w:t>
      </w:r>
      <w:r w:rsidR="00B0128E" w:rsidRPr="00252AC4">
        <w:t>tment promotion agencies (2020)</w:t>
      </w:r>
    </w:p>
    <w:bookmarkEnd w:id="153"/>
    <w:bookmarkEnd w:id="154"/>
    <w:bookmarkEnd w:id="155"/>
    <w:bookmarkEnd w:id="156"/>
    <w:bookmarkEnd w:id="157"/>
    <w:bookmarkEnd w:id="158"/>
    <w:p w14:paraId="59099FA4" w14:textId="7DA6A426" w:rsidR="00774CE5" w:rsidRPr="00252AC4" w:rsidRDefault="00774CE5" w:rsidP="00774CE5">
      <w:pPr>
        <w:pStyle w:val="Para0"/>
      </w:pPr>
      <w:r w:rsidRPr="00252AC4">
        <w:t>The fact that IPAs work as part of an institutional ecosystem with constant exchanges of information</w:t>
      </w:r>
      <w:r w:rsidR="00CD7AF5" w:rsidRPr="00252AC4">
        <w:t xml:space="preserve"> can put pressure on</w:t>
      </w:r>
      <w:r w:rsidR="008F1CB9" w:rsidRPr="00252AC4">
        <w:t xml:space="preserve"> scarce</w:t>
      </w:r>
      <w:r w:rsidR="00CD7AF5" w:rsidRPr="00252AC4">
        <w:t xml:space="preserve"> </w:t>
      </w:r>
      <w:r w:rsidR="002B3AE8" w:rsidRPr="00252AC4">
        <w:t xml:space="preserve">IPA </w:t>
      </w:r>
      <w:r w:rsidR="00CD7AF5" w:rsidRPr="00252AC4">
        <w:t>resources</w:t>
      </w:r>
      <w:r w:rsidRPr="00252AC4">
        <w:t xml:space="preserve">. </w:t>
      </w:r>
      <w:r w:rsidR="008F1CB9" w:rsidRPr="00252AC4">
        <w:t>O</w:t>
      </w:r>
      <w:r w:rsidRPr="00252AC4">
        <w:t>perating in such dense networks require</w:t>
      </w:r>
      <w:r w:rsidR="008F1CB9" w:rsidRPr="00252AC4">
        <w:t>s</w:t>
      </w:r>
      <w:r w:rsidRPr="00252AC4">
        <w:t xml:space="preserve"> formal and informal means, tools and resources. With limited resources and broad activity portfolios, Eurasia IPAs may experience challenges in managing these relationships. To be efficient, OECD IPAs underscore the importance of clearly framed relationships with clear allocations of responsibilities</w:t>
      </w:r>
      <w:sdt>
        <w:sdtPr>
          <w:id w:val="-547526894"/>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Pr="00252AC4">
        <w:t>. Cooperation tools, such as “codes of conduct” or shared CRM, can also help</w:t>
      </w:r>
      <w:r w:rsidR="002B3AE8" w:rsidRPr="00252AC4">
        <w:t>, as discussed further in this section</w:t>
      </w:r>
      <w:r w:rsidRPr="00252AC4">
        <w:t>.</w:t>
      </w:r>
    </w:p>
    <w:p w14:paraId="3896AD83" w14:textId="0D2D1EC2" w:rsidR="006370B1" w:rsidRPr="00252AC4" w:rsidRDefault="00125E09" w:rsidP="00125E09">
      <w:pPr>
        <w:pStyle w:val="Para0"/>
      </w:pPr>
      <w:r w:rsidRPr="00252AC4">
        <w:t xml:space="preserve">Like OECD IPAs, Eurasia IPAs have the strongest and most dense interactions with the public sector. </w:t>
      </w:r>
      <w:r w:rsidR="00407B39" w:rsidRPr="00252AC4">
        <w:t>Almost all of them nevertheless sustain working relationships with the public sector, civil society and academia. Uzbekistan is the sole agency that does not formally interact with such g</w:t>
      </w:r>
      <w:r w:rsidR="00183002" w:rsidRPr="00252AC4">
        <w:t xml:space="preserve">roups. </w:t>
      </w:r>
    </w:p>
    <w:p w14:paraId="173E445B" w14:textId="149729B1" w:rsidR="0036753A" w:rsidRPr="00252AC4" w:rsidRDefault="0036753A" w:rsidP="0051394F">
      <w:pPr>
        <w:pStyle w:val="Caption"/>
      </w:pPr>
      <w:bookmarkStart w:id="159" w:name="_Toc34647254"/>
      <w:bookmarkStart w:id="160" w:name="_Ref31626010"/>
      <w:bookmarkStart w:id="161" w:name="_Toc31617741"/>
      <w:bookmarkStart w:id="162" w:name="_Toc31641340"/>
      <w:bookmarkStart w:id="163" w:name="_Toc31650340"/>
      <w:bookmarkStart w:id="164" w:name="_Toc32317044"/>
      <w:bookmarkStart w:id="165" w:name="_Toc32324703"/>
      <w:r w:rsidRPr="00252AC4">
        <w:lastRenderedPageBreak/>
        <w:t xml:space="preserve">Figure </w:t>
      </w:r>
      <w:r w:rsidR="009915F6">
        <w:fldChar w:fldCharType="begin"/>
      </w:r>
      <w:r w:rsidR="009915F6">
        <w:instrText xml:space="preserve"> </w:instrText>
      </w:r>
      <w:r w:rsidR="009915F6">
        <w:instrText xml:space="preserve">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11</w:t>
      </w:r>
      <w:r w:rsidRPr="00252AC4">
        <w:rPr>
          <w:noProof/>
        </w:rPr>
        <w:fldChar w:fldCharType="end"/>
      </w:r>
      <w:r w:rsidRPr="00252AC4">
        <w:t>. Mapping of IPA interactions</w:t>
      </w:r>
      <w:bookmarkEnd w:id="159"/>
    </w:p>
    <w:p w14:paraId="2E5F3707" w14:textId="357066A3" w:rsidR="0036753A" w:rsidRPr="00252AC4" w:rsidRDefault="0036753A" w:rsidP="0036753A">
      <w:pPr>
        <w:pStyle w:val="Figure"/>
        <w:rPr>
          <w:noProof/>
          <w:lang w:eastAsia="en-GB"/>
        </w:rPr>
      </w:pPr>
      <w:r w:rsidRPr="00252AC4">
        <w:rPr>
          <w:sz w:val="18"/>
        </w:rPr>
        <w:t>Share of interactions vs. frequency</w:t>
      </w:r>
      <w:r w:rsidR="00B0128E" w:rsidRPr="00252AC4">
        <w:rPr>
          <w:sz w:val="18"/>
        </w:rPr>
        <w:t>.</w:t>
      </w:r>
      <w:r w:rsidRPr="00252AC4">
        <w:rPr>
          <w:sz w:val="18"/>
        </w:rPr>
        <w:t xml:space="preserve"> </w:t>
      </w:r>
      <w:r w:rsidR="007D75DD" w:rsidRPr="00252AC4">
        <w:rPr>
          <w:noProof/>
          <w:lang w:eastAsia="en-GB"/>
        </w:rPr>
        <w:object w:dxaOrig="14190" w:dyaOrig="7620" w14:anchorId="0DEBEF36">
          <v:shape id="_x0000_i1036" type="#_x0000_t75" style="width:494.75pt;height:266.75pt" o:ole="">
            <v:imagedata r:id="rId44" o:title=""/>
          </v:shape>
          <o:OLEObject Type="Link" ProgID="Excel.Sheet.12" ShapeID="_x0000_i1036" DrawAspect="Content" r:id="rId45" UpdateMode="Always">
            <o:LinkType>EnhancedMetaFile</o:LinkType>
            <o:LockedField>false</o:LockedField>
          </o:OLEObject>
        </w:object>
      </w:r>
    </w:p>
    <w:p w14:paraId="3BC7EF16" w14:textId="0DAF9852" w:rsidR="009D2CF9" w:rsidRPr="00252AC4" w:rsidRDefault="0036753A" w:rsidP="0036753A">
      <w:pPr>
        <w:pStyle w:val="Sourcenotes"/>
      </w:pPr>
      <w:r w:rsidRPr="00252AC4">
        <w:rPr>
          <w:i/>
        </w:rPr>
        <w:t>Source</w:t>
      </w:r>
      <w:r w:rsidRPr="00252AC4">
        <w:t>: OECD-IDB survey of inves</w:t>
      </w:r>
      <w:r w:rsidR="00B0128E" w:rsidRPr="00252AC4">
        <w:t>tment promotion agencies (2020)</w:t>
      </w:r>
    </w:p>
    <w:bookmarkEnd w:id="160"/>
    <w:bookmarkEnd w:id="161"/>
    <w:bookmarkEnd w:id="162"/>
    <w:bookmarkEnd w:id="163"/>
    <w:bookmarkEnd w:id="164"/>
    <w:bookmarkEnd w:id="165"/>
    <w:p w14:paraId="1A4930E4" w14:textId="2FFE07F2" w:rsidR="006E5F56" w:rsidRPr="00252AC4" w:rsidRDefault="006E5F56" w:rsidP="002F604E">
      <w:pPr>
        <w:pStyle w:val="Heading3"/>
      </w:pPr>
      <w:r w:rsidRPr="00252AC4">
        <w:t xml:space="preserve">Eurasia </w:t>
      </w:r>
      <w:r w:rsidR="008F1CB9" w:rsidRPr="00252AC4">
        <w:t xml:space="preserve">IPAs </w:t>
      </w:r>
      <w:r w:rsidRPr="00252AC4">
        <w:t>could establish more strategic links with the private sector</w:t>
      </w:r>
    </w:p>
    <w:p w14:paraId="5B123CB5" w14:textId="3A8391CA" w:rsidR="00447160" w:rsidRPr="00252AC4" w:rsidRDefault="002D0201" w:rsidP="001B08FA">
      <w:pPr>
        <w:pStyle w:val="Para0"/>
      </w:pPr>
      <w:r w:rsidRPr="00252AC4">
        <w:t xml:space="preserve">Eurasia IPAs’ </w:t>
      </w:r>
      <w:r w:rsidR="00447160" w:rsidRPr="00252AC4">
        <w:t>“</w:t>
      </w:r>
      <w:r w:rsidRPr="00252AC4">
        <w:t>top ten</w:t>
      </w:r>
      <w:r w:rsidR="00447160" w:rsidRPr="00252AC4">
        <w:t>”</w:t>
      </w:r>
      <w:r w:rsidRPr="00252AC4">
        <w:t xml:space="preserve"> strategic relationships</w:t>
      </w:r>
      <w:r w:rsidR="00D32D4A" w:rsidRPr="00252AC4">
        <w:t xml:space="preserve"> (</w:t>
      </w:r>
      <w:r w:rsidR="00012324" w:rsidRPr="00252AC4">
        <w:t>Figure 1.12</w:t>
      </w:r>
      <w:r w:rsidR="00A55449" w:rsidRPr="00252AC4">
        <w:t>)</w:t>
      </w:r>
      <w:r w:rsidR="001A7BC1" w:rsidRPr="00252AC4">
        <w:t xml:space="preserve"> </w:t>
      </w:r>
      <w:r w:rsidR="005D3A64" w:rsidRPr="00252AC4">
        <w:t>show</w:t>
      </w:r>
      <w:r w:rsidR="001A7BC1" w:rsidRPr="00252AC4">
        <w:t xml:space="preserve"> the importance of the </w:t>
      </w:r>
      <w:r w:rsidR="00C66273" w:rsidRPr="00252AC4">
        <w:t xml:space="preserve">ministry </w:t>
      </w:r>
      <w:r w:rsidR="001A7BC1" w:rsidRPr="00252AC4">
        <w:t xml:space="preserve">responsible for investment, </w:t>
      </w:r>
      <w:r w:rsidR="00C66273" w:rsidRPr="00252AC4">
        <w:t xml:space="preserve">the </w:t>
      </w:r>
      <w:r w:rsidR="001A7BC1" w:rsidRPr="00252AC4">
        <w:t xml:space="preserve">Ministry of Foreign Affairs and diplomatic networks abroad for investment promotion in the region. </w:t>
      </w:r>
      <w:r w:rsidR="00B119A3" w:rsidRPr="00252AC4">
        <w:t>Coordinating with diplomatic missions in foreign countries is strategic for most IPAs, even those with dedicated foreign offices</w:t>
      </w:r>
      <w:sdt>
        <w:sdtPr>
          <w:id w:val="-1841687921"/>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00B119A3" w:rsidRPr="00252AC4">
        <w:t>.</w:t>
      </w:r>
      <w:r w:rsidR="001F1EAD" w:rsidRPr="00252AC4">
        <w:t xml:space="preserve"> Diplomatic missions can </w:t>
      </w:r>
      <w:r w:rsidR="000458E6" w:rsidRPr="00252AC4">
        <w:t xml:space="preserve">notably </w:t>
      </w:r>
      <w:r w:rsidR="001F1EAD" w:rsidRPr="00252AC4">
        <w:t xml:space="preserve">contribute to the promotion effort of countries </w:t>
      </w:r>
      <w:r w:rsidR="000458E6" w:rsidRPr="00252AC4">
        <w:t>and</w:t>
      </w:r>
      <w:r w:rsidR="001F1EAD" w:rsidRPr="00252AC4">
        <w:t xml:space="preserve"> support meetings with </w:t>
      </w:r>
      <w:r w:rsidR="00316A31" w:rsidRPr="00252AC4">
        <w:t xml:space="preserve">potential </w:t>
      </w:r>
      <w:r w:rsidR="000458E6" w:rsidRPr="00252AC4">
        <w:t>investors abroad. Some missions abroad have dedicated personnel in charge of trade and investment promotion, a solution that Georgia,</w:t>
      </w:r>
      <w:r w:rsidR="00CC320E" w:rsidRPr="00252AC4">
        <w:t xml:space="preserve"> for example, is currently considering.</w:t>
      </w:r>
      <w:r w:rsidR="000458E6" w:rsidRPr="00252AC4">
        <w:t xml:space="preserve"> </w:t>
      </w:r>
      <w:r w:rsidR="00B119A3" w:rsidRPr="00252AC4">
        <w:t xml:space="preserve">In addition to their national representation abroad, Eurasia IPAs also </w:t>
      </w:r>
      <w:r w:rsidR="00CC320E" w:rsidRPr="00252AC4">
        <w:t xml:space="preserve">have strategic bonds with embassies of foreign countries. </w:t>
      </w:r>
      <w:r w:rsidR="00F1232D" w:rsidRPr="00252AC4">
        <w:t xml:space="preserve">UkraineInvest, for example, reports that working closely with the French embassy in Kiev to solve problems raised by French-based MNEs helped reinforce the visibility of the agency abroad and ultimately </w:t>
      </w:r>
      <w:r w:rsidR="00C66273" w:rsidRPr="00252AC4">
        <w:t xml:space="preserve">contributed </w:t>
      </w:r>
      <w:r w:rsidR="00F1232D" w:rsidRPr="00252AC4">
        <w:t xml:space="preserve">to the attraction of a large </w:t>
      </w:r>
      <w:r w:rsidR="00E67425" w:rsidRPr="00252AC4">
        <w:t xml:space="preserve">French industrial MNE in Ukraine. This case illustrates well how working relationships can create opportunities, although the time and resources they require </w:t>
      </w:r>
      <w:r w:rsidR="00B22EB1" w:rsidRPr="00252AC4">
        <w:t>is a barrier to their multiplication.</w:t>
      </w:r>
    </w:p>
    <w:p w14:paraId="42712143" w14:textId="09B95B73" w:rsidR="001B08FA" w:rsidRPr="00252AC4" w:rsidRDefault="00FA619D" w:rsidP="001B08FA">
      <w:pPr>
        <w:pStyle w:val="Para0"/>
      </w:pPr>
      <w:r w:rsidRPr="00252AC4">
        <w:t xml:space="preserve">Business </w:t>
      </w:r>
      <w:r w:rsidR="00E03A20" w:rsidRPr="00252AC4">
        <w:t xml:space="preserve">and industry </w:t>
      </w:r>
      <w:r w:rsidRPr="00252AC4">
        <w:t>associations</w:t>
      </w:r>
      <w:r w:rsidR="0027767C" w:rsidRPr="00252AC4">
        <w:t xml:space="preserve"> </w:t>
      </w:r>
      <w:r w:rsidRPr="00252AC4">
        <w:t xml:space="preserve">are absent from </w:t>
      </w:r>
      <w:r w:rsidR="00447160" w:rsidRPr="00252AC4">
        <w:t>Eurasia</w:t>
      </w:r>
      <w:r w:rsidRPr="00252AC4">
        <w:t xml:space="preserve"> IPAs’</w:t>
      </w:r>
      <w:r w:rsidR="00447160" w:rsidRPr="00252AC4">
        <w:t xml:space="preserve"> “top ten”</w:t>
      </w:r>
      <w:r w:rsidRPr="00252AC4">
        <w:t>, which distinguishes them from their peers</w:t>
      </w:r>
      <w:r w:rsidR="00447160" w:rsidRPr="00252AC4">
        <w:t xml:space="preserve">. </w:t>
      </w:r>
      <w:r w:rsidR="00C66273" w:rsidRPr="00252AC4">
        <w:t>Fifty-four percent</w:t>
      </w:r>
      <w:r w:rsidR="000C7F5C" w:rsidRPr="00252AC4">
        <w:t xml:space="preserve"> of OECD IPAs rank their relationships with associations and industry groups as “strategic”, and in the MENA </w:t>
      </w:r>
      <w:r w:rsidR="00F45E68" w:rsidRPr="00252AC4">
        <w:t>region,</w:t>
      </w:r>
      <w:r w:rsidR="000C7F5C" w:rsidRPr="00252AC4">
        <w:t xml:space="preserve"> this share is 70%. </w:t>
      </w:r>
      <w:r w:rsidR="00125E09" w:rsidRPr="00252AC4">
        <w:t xml:space="preserve">Although 90% of Eurasia IPAs interact with such groups, </w:t>
      </w:r>
      <w:r w:rsidR="00F45E68" w:rsidRPr="00252AC4">
        <w:t>less than half of them</w:t>
      </w:r>
      <w:r w:rsidR="00C00ECD" w:rsidRPr="00252AC4">
        <w:t xml:space="preserve"> qualify</w:t>
      </w:r>
      <w:r w:rsidR="00125E09" w:rsidRPr="00252AC4">
        <w:t xml:space="preserve"> these relationships</w:t>
      </w:r>
      <w:r w:rsidR="000C7F5C" w:rsidRPr="00252AC4">
        <w:t xml:space="preserve"> </w:t>
      </w:r>
      <w:r w:rsidR="00125E09" w:rsidRPr="00252AC4">
        <w:t>as “strategic”.</w:t>
      </w:r>
      <w:r w:rsidR="0027767C" w:rsidRPr="00252AC4">
        <w:t xml:space="preserve"> They do rank Chambers of Commerce as strategic partners. However, r</w:t>
      </w:r>
      <w:r w:rsidR="00F45E68" w:rsidRPr="00252AC4">
        <w:t xml:space="preserve">einforcing the links with industry and business associations and raising them to a strategic level could help Eurasia IPAs strengthen their approach. </w:t>
      </w:r>
      <w:r w:rsidR="00F45E68" w:rsidRPr="00252AC4">
        <w:lastRenderedPageBreak/>
        <w:t xml:space="preserve">This converges </w:t>
      </w:r>
      <w:r w:rsidRPr="00252AC4">
        <w:t>towards</w:t>
      </w:r>
      <w:r w:rsidR="00F45E68" w:rsidRPr="00252AC4">
        <w:t xml:space="preserve"> the </w:t>
      </w:r>
      <w:r w:rsidR="00E67BD7" w:rsidRPr="00252AC4">
        <w:t>overarching</w:t>
      </w:r>
      <w:r w:rsidR="00F45E68" w:rsidRPr="00252AC4">
        <w:t xml:space="preserve"> finding that IPAs in Eurasia would gain in </w:t>
      </w:r>
      <w:r w:rsidR="00E67BD7" w:rsidRPr="00252AC4">
        <w:t xml:space="preserve">associating further the private sector to their activities, because FDI is </w:t>
      </w:r>
      <w:r w:rsidR="00E10A05" w:rsidRPr="00252AC4">
        <w:t xml:space="preserve">a </w:t>
      </w:r>
      <w:r w:rsidR="00E67BD7" w:rsidRPr="00252AC4">
        <w:t>private sector</w:t>
      </w:r>
      <w:r w:rsidR="00E10A05" w:rsidRPr="00252AC4">
        <w:t xml:space="preserve"> activity</w:t>
      </w:r>
      <w:r w:rsidR="00D23ED4" w:rsidRPr="00252AC4">
        <w:t>.</w:t>
      </w:r>
      <w:r w:rsidR="00E67BD7" w:rsidRPr="00252AC4">
        <w:t xml:space="preserve"> </w:t>
      </w:r>
      <w:r w:rsidR="00D23ED4" w:rsidRPr="00252AC4">
        <w:t>U</w:t>
      </w:r>
      <w:r w:rsidR="00E67BD7" w:rsidRPr="00252AC4">
        <w:t xml:space="preserve">nderstanding its underlying dynamics and motivations is crucial to </w:t>
      </w:r>
      <w:r w:rsidR="00D23ED4" w:rsidRPr="00252AC4">
        <w:t>support its development in a given territory</w:t>
      </w:r>
      <w:r w:rsidR="00E67BD7" w:rsidRPr="00252AC4">
        <w:t>.</w:t>
      </w:r>
      <w:r w:rsidR="00D23ED4" w:rsidRPr="00252AC4">
        <w:t xml:space="preserve"> </w:t>
      </w:r>
    </w:p>
    <w:p w14:paraId="57388BD4" w14:textId="330F65F2" w:rsidR="00012324" w:rsidRPr="00252AC4" w:rsidRDefault="00012324" w:rsidP="0051394F">
      <w:pPr>
        <w:pStyle w:val="Caption"/>
      </w:pPr>
      <w:bookmarkStart w:id="166" w:name="_Toc34647255"/>
      <w:bookmarkStart w:id="167" w:name="_Ref31625987"/>
      <w:bookmarkStart w:id="168" w:name="_Toc31617742"/>
      <w:bookmarkStart w:id="169" w:name="_Toc31641341"/>
      <w:bookmarkStart w:id="170" w:name="_Toc31650341"/>
      <w:bookmarkStart w:id="171" w:name="_Toc32317045"/>
      <w:bookmarkStart w:id="172" w:name="_Toc32324704"/>
      <w:r w:rsidRPr="00252AC4">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12</w:t>
      </w:r>
      <w:r w:rsidRPr="00252AC4">
        <w:rPr>
          <w:noProof/>
        </w:rPr>
        <w:fldChar w:fldCharType="end"/>
      </w:r>
      <w:r w:rsidRPr="00252AC4">
        <w:t>. Eurasia IPAs’ top ten most strategic relationships</w:t>
      </w:r>
      <w:bookmarkEnd w:id="166"/>
    </w:p>
    <w:p w14:paraId="433EE76A" w14:textId="67A376DD" w:rsidR="00012324" w:rsidRPr="00252AC4" w:rsidRDefault="007D75DD" w:rsidP="00012324">
      <w:pPr>
        <w:pStyle w:val="Figure"/>
        <w:rPr>
          <w:noProof/>
          <w:lang w:eastAsia="en-GB"/>
        </w:rPr>
      </w:pPr>
      <w:r w:rsidRPr="00252AC4">
        <w:rPr>
          <w:noProof/>
          <w:lang w:eastAsia="en-GB"/>
        </w:rPr>
        <w:object w:dxaOrig="10240" w:dyaOrig="6220" w14:anchorId="118A2408">
          <v:shape id="_x0000_i1037" type="#_x0000_t75" style="width:373.65pt;height:226.9pt" o:ole="">
            <v:imagedata r:id="rId46" o:title=""/>
          </v:shape>
          <o:OLEObject Type="Link" ProgID="Excel.Sheet.12" ShapeID="_x0000_i1037" DrawAspect="Content" r:id="rId47" UpdateMode="Always">
            <o:LinkType>EnhancedMetaFile</o:LinkType>
            <o:LockedField>false</o:LockedField>
          </o:OLEObject>
        </w:object>
      </w:r>
    </w:p>
    <w:p w14:paraId="4D3EDAEE" w14:textId="220D4329" w:rsidR="00012324" w:rsidRPr="00252AC4" w:rsidRDefault="00012324" w:rsidP="00012324">
      <w:pPr>
        <w:pStyle w:val="Sourcenotes"/>
      </w:pPr>
      <w:r w:rsidRPr="00252AC4">
        <w:rPr>
          <w:i/>
        </w:rPr>
        <w:t>Source</w:t>
      </w:r>
      <w:r w:rsidRPr="00252AC4">
        <w:t>: OECD-IDB survey of inves</w:t>
      </w:r>
      <w:r w:rsidR="00D114FD" w:rsidRPr="00252AC4">
        <w:t>tment promotion agencies (2020)</w:t>
      </w:r>
    </w:p>
    <w:bookmarkEnd w:id="167"/>
    <w:bookmarkEnd w:id="168"/>
    <w:bookmarkEnd w:id="169"/>
    <w:bookmarkEnd w:id="170"/>
    <w:bookmarkEnd w:id="171"/>
    <w:bookmarkEnd w:id="172"/>
    <w:p w14:paraId="12CB32F9" w14:textId="6504FF27" w:rsidR="002C741A" w:rsidRPr="00252AC4" w:rsidRDefault="00A55449" w:rsidP="00085B2A">
      <w:pPr>
        <w:pStyle w:val="Para0"/>
      </w:pPr>
      <w:r w:rsidRPr="00252AC4">
        <w:t xml:space="preserve">Eurasia IPAs’ “strategic top ten” calls for another comment regarding the ranking of sub-national agencies. </w:t>
      </w:r>
      <w:r w:rsidR="0049218A" w:rsidRPr="00252AC4">
        <w:t>Considering that</w:t>
      </w:r>
      <w:r w:rsidR="00B23114" w:rsidRPr="00252AC4">
        <w:t xml:space="preserve"> </w:t>
      </w:r>
      <w:r w:rsidR="002C741A" w:rsidRPr="00252AC4">
        <w:t xml:space="preserve">the combination of investment promotion and regional development mandates is frequent in Eurasia </w:t>
      </w:r>
      <w:r w:rsidR="00B23114" w:rsidRPr="00252AC4">
        <w:t xml:space="preserve">, sub-national and local governments do not rank as high in the </w:t>
      </w:r>
      <w:r w:rsidR="0049218A" w:rsidRPr="00252AC4">
        <w:t>“top ten”</w:t>
      </w:r>
      <w:r w:rsidR="00B23114" w:rsidRPr="00252AC4">
        <w:t xml:space="preserve"> as one </w:t>
      </w:r>
      <w:r w:rsidR="00C66273" w:rsidRPr="00252AC4">
        <w:t>might</w:t>
      </w:r>
      <w:r w:rsidR="00B23114" w:rsidRPr="00252AC4">
        <w:t xml:space="preserve"> expe</w:t>
      </w:r>
      <w:r w:rsidR="002033BA" w:rsidRPr="00252AC4">
        <w:t xml:space="preserve">ct. </w:t>
      </w:r>
      <w:r w:rsidR="00085B2A" w:rsidRPr="00252AC4">
        <w:t>This can be all the more surprising, as i</w:t>
      </w:r>
      <w:r w:rsidR="002C741A" w:rsidRPr="00252AC4">
        <w:t>nvestment promotion at the sub-national level tends to be less structured in Eurasia</w:t>
      </w:r>
      <w:r w:rsidR="00085B2A" w:rsidRPr="00252AC4">
        <w:t xml:space="preserve"> than in the OECD</w:t>
      </w:r>
      <w:r w:rsidR="002C741A" w:rsidRPr="00252AC4">
        <w:t xml:space="preserve">. Three countries (Kazakhstan, Ukraine and Uzbekistan) have affiliated sub-national offices, whereas in the OECD, nearly half of national IPAs have such networks. Kyrgyzstan is the only country with a network of regional agencies in charge of investment promotion, independent from the national IPA. In Georgia and Afghanistan, the IPA relies on other partners at the sub-national level to attract investment in the regions. The Afghanistan Directorate of Investment Promotion and Support co-operates with Chambers of Commerce or other stakeholders at the sub-national level, on an </w:t>
      </w:r>
      <w:r w:rsidR="002C741A" w:rsidRPr="00252AC4">
        <w:rPr>
          <w:i/>
        </w:rPr>
        <w:t>ad hoc</w:t>
      </w:r>
      <w:r w:rsidR="002C741A" w:rsidRPr="00252AC4">
        <w:t xml:space="preserve"> basis. Enterprise Georgia works with local governments to bring new investment projects in the regions. A comparison of OECD and Eurasia IPA collaboration with sub-national agencies in charge of investment promotion indicates that investment facilitation, in particular, could benefit from closer or more formal links between the national and the sub-national levels in Eurasia (</w:t>
      </w:r>
      <w:r w:rsidR="00FD669C" w:rsidRPr="00252AC4">
        <w:t>Figure 1.13</w:t>
      </w:r>
      <w:r w:rsidR="002C741A" w:rsidRPr="00252AC4">
        <w:t>).</w:t>
      </w:r>
    </w:p>
    <w:p w14:paraId="0523F314" w14:textId="084795E9" w:rsidR="00FD669C" w:rsidRPr="00252AC4" w:rsidRDefault="00FD669C" w:rsidP="0051394F">
      <w:pPr>
        <w:pStyle w:val="Caption"/>
      </w:pPr>
      <w:bookmarkStart w:id="173" w:name="_Toc34647256"/>
      <w:bookmarkStart w:id="174" w:name="_Ref32322906"/>
      <w:bookmarkStart w:id="175" w:name="_Toc32317046"/>
      <w:bookmarkStart w:id="176" w:name="_Toc32324705"/>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13</w:t>
      </w:r>
      <w:r w:rsidRPr="00252AC4">
        <w:rPr>
          <w:noProof/>
        </w:rPr>
        <w:fldChar w:fldCharType="end"/>
      </w:r>
      <w:r w:rsidRPr="00252AC4">
        <w:t>. Collaboration between national and sub-national IPAs</w:t>
      </w:r>
      <w:bookmarkEnd w:id="173"/>
    </w:p>
    <w:p w14:paraId="7857F515" w14:textId="77777777" w:rsidR="00FD669C" w:rsidRPr="00252AC4" w:rsidRDefault="00FD669C" w:rsidP="00FD669C">
      <w:pPr>
        <w:pStyle w:val="CaptionSubtitle"/>
      </w:pPr>
      <w:r w:rsidRPr="00252AC4">
        <w:t>Reasons why national IPAs contact sub-national agencies in charge of investment promotion and facilitation (% of respondents).</w:t>
      </w:r>
    </w:p>
    <w:p w14:paraId="1876E8E4" w14:textId="5C9C80EF" w:rsidR="00FD669C" w:rsidRPr="00252AC4" w:rsidRDefault="007D75DD" w:rsidP="00FD669C">
      <w:pPr>
        <w:pStyle w:val="Figure"/>
        <w:rPr>
          <w:noProof/>
          <w:lang w:eastAsia="en-GB"/>
        </w:rPr>
      </w:pPr>
      <w:r w:rsidRPr="00252AC4">
        <w:rPr>
          <w:noProof/>
          <w:lang w:eastAsia="en-GB"/>
        </w:rPr>
        <w:object w:dxaOrig="10460" w:dyaOrig="6050" w14:anchorId="2453EB6A">
          <v:shape id="_x0000_i1038" type="#_x0000_t75" style="width:452.75pt;height:263.45pt" o:ole="">
            <v:imagedata r:id="rId48" o:title=""/>
          </v:shape>
          <o:OLEObject Type="Link" ProgID="Excel.Sheet.12" ShapeID="_x0000_i1038" DrawAspect="Content" r:id="rId49" UpdateMode="Always">
            <o:LinkType>EnhancedMetaFile</o:LinkType>
            <o:LockedField>false</o:LockedField>
          </o:OLEObject>
        </w:object>
      </w:r>
    </w:p>
    <w:p w14:paraId="3D199137" w14:textId="0BE4D1B3" w:rsidR="00FD669C" w:rsidRPr="00252AC4" w:rsidRDefault="00FD669C" w:rsidP="0051394F">
      <w:pPr>
        <w:pStyle w:val="Sourcenotes"/>
      </w:pPr>
      <w:r w:rsidRPr="00252AC4">
        <w:rPr>
          <w:i/>
        </w:rPr>
        <w:t>Source</w:t>
      </w:r>
      <w:r w:rsidRPr="00252AC4">
        <w:t>: OECD-IDB survey of inves</w:t>
      </w:r>
      <w:r w:rsidR="00D114FD" w:rsidRPr="00252AC4">
        <w:t>tment promotion agencies (2020)</w:t>
      </w:r>
    </w:p>
    <w:bookmarkEnd w:id="174"/>
    <w:bookmarkEnd w:id="175"/>
    <w:bookmarkEnd w:id="176"/>
    <w:p w14:paraId="4E95D166" w14:textId="1A68BBD4" w:rsidR="006D6C9B" w:rsidRPr="00252AC4" w:rsidRDefault="00C66273" w:rsidP="006D6C9B">
      <w:pPr>
        <w:pStyle w:val="Para0"/>
      </w:pPr>
      <w:r w:rsidRPr="00252AC4">
        <w:t>E</w:t>
      </w:r>
      <w:r w:rsidR="002D1917" w:rsidRPr="00252AC4">
        <w:t>stablishing and sustaining fruitful relationships with regions is one of the most challenging areas of institutional coordination, according to OECD IPAs</w:t>
      </w:r>
      <w:sdt>
        <w:sdtPr>
          <w:id w:val="-122701334"/>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002D1917" w:rsidRPr="00252AC4">
        <w:t xml:space="preserve">. </w:t>
      </w:r>
      <w:r w:rsidR="00DE5B55" w:rsidRPr="00252AC4">
        <w:t>Among listed difficulties are the</w:t>
      </w:r>
      <w:r w:rsidR="002C741A" w:rsidRPr="00252AC4">
        <w:t xml:space="preserve"> </w:t>
      </w:r>
      <w:r w:rsidR="00DE5B55" w:rsidRPr="00252AC4">
        <w:t xml:space="preserve">absence of formal collaboration frameworks, unclear distribution of roles and responsibilities, and lack of tools. </w:t>
      </w:r>
      <w:r w:rsidR="00262CDB" w:rsidRPr="00252AC4">
        <w:t xml:space="preserve">Some OECD IPAs have found </w:t>
      </w:r>
      <w:r w:rsidRPr="00252AC4">
        <w:t>ways</w:t>
      </w:r>
      <w:r w:rsidR="00262CDB" w:rsidRPr="00252AC4">
        <w:t xml:space="preserve"> to overcome such challenges. For example, Business Sweden has established a “code of conduct agreement” with Sweden’s 15 regions to encourage exchange of information. Latvia designed a system of incentives to encourage people at the local level to share information about investment projects</w:t>
      </w:r>
      <w:sdt>
        <w:sdtPr>
          <w:id w:val="-1106728663"/>
          <w:citation/>
        </w:sdtPr>
        <w:sdtEndPr/>
        <w:sdtContent>
          <w:r w:rsidR="003D04E7" w:rsidRPr="00252AC4">
            <w:fldChar w:fldCharType="begin"/>
          </w:r>
          <w:r w:rsidR="003D04E7" w:rsidRPr="00252AC4">
            <w:instrText xml:space="preserve"> CITATION OEC18 \l 2057 </w:instrText>
          </w:r>
          <w:r w:rsidR="003D04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3D04E7" w:rsidRPr="00252AC4">
            <w:fldChar w:fldCharType="end"/>
          </w:r>
        </w:sdtContent>
      </w:sdt>
      <w:r w:rsidR="00262CDB" w:rsidRPr="00252AC4">
        <w:t xml:space="preserve">. Business France has a very structured approach to </w:t>
      </w:r>
      <w:r w:rsidRPr="00252AC4">
        <w:t xml:space="preserve">collaboration </w:t>
      </w:r>
      <w:r w:rsidR="00665019" w:rsidRPr="00252AC4">
        <w:t>with France’s 13 independ</w:t>
      </w:r>
      <w:r w:rsidR="00A63A01" w:rsidRPr="00252AC4">
        <w:t>e</w:t>
      </w:r>
      <w:r w:rsidR="00665019" w:rsidRPr="00252AC4">
        <w:t xml:space="preserve">nt regional development agencies (Box </w:t>
      </w:r>
      <w:r w:rsidR="001A69C6" w:rsidRPr="00252AC4">
        <w:t>1.</w:t>
      </w:r>
      <w:r w:rsidR="00C9473E" w:rsidRPr="00252AC4">
        <w:t>2</w:t>
      </w:r>
      <w:r w:rsidR="00665019" w:rsidRPr="00252AC4">
        <w:t xml:space="preserve">). </w:t>
      </w:r>
      <w:r w:rsidR="003D04E7" w:rsidRPr="00252AC4">
        <w:t>S</w:t>
      </w:r>
      <w:r w:rsidR="006D6C9B" w:rsidRPr="00252AC4">
        <w:t>ome OECD IPAs have also highlighted in workshop discussions that their roles could involve the training and coaching of sub-national agencies in investment attraction.</w:t>
      </w:r>
      <w:r w:rsidR="00FC5CA1" w:rsidRPr="00252AC4">
        <w:t xml:space="preserve"> Eurasia IPAs could consider taking inspiration from these OECD good practices to refine its approach </w:t>
      </w:r>
      <w:r w:rsidR="00D874DC" w:rsidRPr="00252AC4">
        <w:t xml:space="preserve">for bringing </w:t>
      </w:r>
      <w:r w:rsidR="00FC5CA1" w:rsidRPr="00252AC4">
        <w:t>investment in the regions.</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424CD0" w:rsidRPr="00252AC4" w14:paraId="0955E2D2" w14:textId="77777777" w:rsidTr="009E39EB">
        <w:trPr>
          <w:jc w:val="center"/>
        </w:trPr>
        <w:tc>
          <w:tcPr>
            <w:tcW w:w="9309" w:type="dxa"/>
            <w:shd w:val="clear" w:color="auto" w:fill="E1E6EB"/>
          </w:tcPr>
          <w:p w14:paraId="1FBEB178" w14:textId="7C4A0698" w:rsidR="00424CD0" w:rsidRPr="00252AC4" w:rsidRDefault="00424CD0" w:rsidP="009E39EB">
            <w:pPr>
              <w:pStyle w:val="Caption"/>
              <w:keepNext w:val="0"/>
            </w:pPr>
            <w:bookmarkStart w:id="177" w:name="_Toc31641367"/>
            <w:bookmarkStart w:id="178" w:name="_Toc31650367"/>
            <w:bookmarkStart w:id="179" w:name="_Toc32317071"/>
            <w:bookmarkStart w:id="180" w:name="_Toc32324730"/>
            <w:bookmarkStart w:id="181" w:name="_Toc34647280"/>
            <w:r w:rsidRPr="00252AC4">
              <w:t xml:space="preserve">Box </w:t>
            </w:r>
            <w:r w:rsidR="009915F6">
              <w:fldChar w:fldCharType="begin"/>
            </w:r>
            <w:r w:rsidR="009915F6">
              <w:instrText xml:space="preserve"> STYLEREF 1 \s </w:instrText>
            </w:r>
            <w:r w:rsidR="009915F6">
              <w:fldChar w:fldCharType="separate"/>
            </w:r>
            <w:r w:rsidR="008914FE">
              <w:rPr>
                <w:noProof/>
              </w:rPr>
              <w:t>1</w:t>
            </w:r>
            <w:r w:rsidR="009915F6">
              <w:rPr>
                <w:noProof/>
              </w:rPr>
              <w:fldChar w:fldCharType="end"/>
            </w:r>
            <w:r w:rsidRPr="00252AC4">
              <w:t>.</w:t>
            </w:r>
            <w:r w:rsidRPr="00252AC4">
              <w:rPr>
                <w:noProof/>
              </w:rPr>
              <w:fldChar w:fldCharType="begin"/>
            </w:r>
            <w:r w:rsidRPr="00252AC4">
              <w:rPr>
                <w:noProof/>
              </w:rPr>
              <w:instrText xml:space="preserve"> SEQ Box \* ARABIC \s 1 </w:instrText>
            </w:r>
            <w:r w:rsidRPr="00252AC4">
              <w:rPr>
                <w:noProof/>
              </w:rPr>
              <w:fldChar w:fldCharType="separate"/>
            </w:r>
            <w:r w:rsidR="008914FE">
              <w:rPr>
                <w:noProof/>
              </w:rPr>
              <w:t>2</w:t>
            </w:r>
            <w:r w:rsidRPr="00252AC4">
              <w:rPr>
                <w:noProof/>
              </w:rPr>
              <w:fldChar w:fldCharType="end"/>
            </w:r>
            <w:r w:rsidRPr="00252AC4">
              <w:t>. Business France’s cooperation agreement with regional agencies</w:t>
            </w:r>
            <w:bookmarkEnd w:id="177"/>
            <w:bookmarkEnd w:id="178"/>
            <w:bookmarkEnd w:id="179"/>
            <w:bookmarkEnd w:id="180"/>
            <w:bookmarkEnd w:id="181"/>
          </w:p>
          <w:p w14:paraId="040FD33A" w14:textId="77777777" w:rsidR="00424CD0" w:rsidRPr="00252AC4" w:rsidRDefault="00424CD0" w:rsidP="00424CD0">
            <w:pPr>
              <w:pStyle w:val="Para0"/>
            </w:pPr>
            <w:r w:rsidRPr="00252AC4">
              <w:t xml:space="preserve">Business France cooperates closely with France’s 13 regions to attract investment in sub-national territories and provide facilitation services to investors. A </w:t>
            </w:r>
            <w:r w:rsidRPr="00252AC4">
              <w:rPr>
                <w:b/>
              </w:rPr>
              <w:t>formal agreement</w:t>
            </w:r>
            <w:r w:rsidRPr="00252AC4">
              <w:t xml:space="preserve"> with 13 regional agencies designated as “regional partners” provides a clear framework and facilitates this cooperation. Through its regional partners, Business France also benefits from regional networks composed of universities, public and private research centres, and businesses.</w:t>
            </w:r>
          </w:p>
          <w:p w14:paraId="6E270CBE" w14:textId="77777777" w:rsidR="00424CD0" w:rsidRPr="00252AC4" w:rsidRDefault="00424CD0" w:rsidP="00424CD0">
            <w:pPr>
              <w:pStyle w:val="Para0"/>
            </w:pPr>
            <w:r w:rsidRPr="00252AC4">
              <w:lastRenderedPageBreak/>
              <w:t xml:space="preserve">The </w:t>
            </w:r>
            <w:r w:rsidRPr="00252AC4">
              <w:rPr>
                <w:b/>
              </w:rPr>
              <w:t>cooperation agreement</w:t>
            </w:r>
            <w:r w:rsidRPr="00252AC4">
              <w:t xml:space="preserve"> entails prospection and promotion activities, as well as support for project implementation. Shared trainings are organised in its framework. An annual performance survey monitors the results of the cooperation. This framework also guarantees the impartiality and neutrality of Business France vis-à-vis all the regions (not favouring one over the other when bringing new projects). This is essential to establish trusted partnerships.</w:t>
            </w:r>
          </w:p>
          <w:p w14:paraId="31386EAB" w14:textId="5A857A4C" w:rsidR="00424CD0" w:rsidRPr="00252AC4" w:rsidRDefault="00424CD0" w:rsidP="00424CD0">
            <w:pPr>
              <w:pStyle w:val="Para0"/>
              <w:keepNext/>
            </w:pPr>
            <w:r w:rsidRPr="00252AC4">
              <w:t xml:space="preserve">As part of the cooperation, Business France has also developed a </w:t>
            </w:r>
            <w:r w:rsidRPr="00252AC4">
              <w:rPr>
                <w:b/>
              </w:rPr>
              <w:t>dedicated information-sharing process for investment projects</w:t>
            </w:r>
            <w:r w:rsidRPr="00252AC4">
              <w:t>. It consist of a “market platform” where Business France and its regional partners can enter information about new foreign investment projects identified, and requests made at the regional level. Thanks to this platform, partners can coordinate their responses and identify areas for joint action. In 2016, this system allowed to provide to investors 650 regional setting offers, and organise 220 business visits.</w:t>
            </w:r>
          </w:p>
          <w:p w14:paraId="48052B2B" w14:textId="4AE11AF0" w:rsidR="00424CD0" w:rsidRPr="00252AC4" w:rsidRDefault="00424CD0" w:rsidP="00424CD0">
            <w:pPr>
              <w:pStyle w:val="Sourcenotes"/>
            </w:pPr>
            <w:r w:rsidRPr="00252AC4">
              <w:rPr>
                <w:i/>
              </w:rPr>
              <w:t>Source:</w:t>
            </w:r>
            <w:r w:rsidRPr="00252AC4">
              <w:t xml:space="preserve"> Business France, presentation at the OECD seminar in Paris in October 2017, </w:t>
            </w:r>
            <w:hyperlink r:id="rId50" w:history="1">
              <w:r w:rsidRPr="00252AC4">
                <w:rPr>
                  <w:rStyle w:val="Hyperlink"/>
                </w:rPr>
                <w:t>http://www.oecd.org/mena/competitiveness/REPORT-Regional-EU-OECD-IPA-Workshop-Paris-201710.pdf</w:t>
              </w:r>
            </w:hyperlink>
            <w:r w:rsidRPr="00252AC4">
              <w:t>.</w:t>
            </w:r>
          </w:p>
        </w:tc>
      </w:tr>
    </w:tbl>
    <w:p w14:paraId="4C6724AA" w14:textId="3D0A3562" w:rsidR="00424CD0" w:rsidRPr="00252AC4" w:rsidRDefault="00424CD0">
      <w:bookmarkStart w:id="182" w:name="_Toc31617726"/>
    </w:p>
    <w:p w14:paraId="0D25AA1A" w14:textId="31E25985" w:rsidR="00E44FB3" w:rsidRPr="00252AC4" w:rsidRDefault="00E44FB3" w:rsidP="00BC3D9D">
      <w:pPr>
        <w:pStyle w:val="Heading1"/>
        <w:rPr>
          <w:rFonts w:hint="eastAsia"/>
        </w:rPr>
      </w:pPr>
      <w:bookmarkStart w:id="183" w:name="_Toc31617782"/>
      <w:bookmarkStart w:id="184" w:name="_Toc31641311"/>
      <w:bookmarkStart w:id="185" w:name="_Toc31650309"/>
      <w:bookmarkStart w:id="186" w:name="_Toc32317010"/>
      <w:bookmarkStart w:id="187" w:name="_Toc32324669"/>
      <w:bookmarkStart w:id="188" w:name="_Toc40103024"/>
      <w:bookmarkEnd w:id="182"/>
      <w:r w:rsidRPr="00252AC4">
        <w:lastRenderedPageBreak/>
        <w:t>Activities</w:t>
      </w:r>
      <w:bookmarkEnd w:id="183"/>
      <w:bookmarkEnd w:id="184"/>
      <w:bookmarkEnd w:id="185"/>
      <w:bookmarkEnd w:id="186"/>
      <w:bookmarkEnd w:id="187"/>
      <w:bookmarkEnd w:id="188"/>
    </w:p>
    <w:p w14:paraId="02B305F0" w14:textId="3D908D6C" w:rsidR="008A30FA" w:rsidRDefault="00A77639" w:rsidP="00C77863">
      <w:pPr>
        <w:pStyle w:val="Abstract"/>
      </w:pPr>
      <w:r w:rsidRPr="00252AC4">
        <w:t>Eurasia IPAs</w:t>
      </w:r>
      <w:r w:rsidR="001470B6" w:rsidRPr="00252AC4">
        <w:t xml:space="preserve"> </w:t>
      </w:r>
      <w:r w:rsidR="00B957A4" w:rsidRPr="00252AC4">
        <w:t xml:space="preserve">tend to spend more resources on </w:t>
      </w:r>
      <w:r w:rsidR="00E11A72" w:rsidRPr="00252AC4">
        <w:t>image building</w:t>
      </w:r>
      <w:r w:rsidR="00B957A4" w:rsidRPr="00252AC4">
        <w:t>. This trend reflects a shared perception that countries have not yet built an image of themselves as attractive investment destinations and must thus work harder to put themselves “on the map”.</w:t>
      </w:r>
      <w:r w:rsidR="00BC0794" w:rsidRPr="00252AC4">
        <w:t xml:space="preserve"> </w:t>
      </w:r>
      <w:r w:rsidR="00BB4080" w:rsidRPr="00252AC4">
        <w:t>While t</w:t>
      </w:r>
      <w:r w:rsidR="00B95E88" w:rsidRPr="00252AC4">
        <w:t xml:space="preserve">he surveyed agencies </w:t>
      </w:r>
      <w:r w:rsidR="00973C35" w:rsidRPr="00252AC4">
        <w:t>recognise that domestic investment climates are both important and often a challenge, their role in helping to address such challenges is not</w:t>
      </w:r>
      <w:r w:rsidR="00FC7237" w:rsidRPr="00252AC4">
        <w:t xml:space="preserve"> always</w:t>
      </w:r>
      <w:r w:rsidR="00973C35" w:rsidRPr="00252AC4">
        <w:t xml:space="preserve"> clear. Sixty percent of t</w:t>
      </w:r>
      <w:r w:rsidR="00FC7237" w:rsidRPr="00252AC4">
        <w:t>h</w:t>
      </w:r>
      <w:r w:rsidR="00973C35" w:rsidRPr="00252AC4">
        <w:t xml:space="preserve">em have mandates to operate as one-stop-shops, but </w:t>
      </w:r>
      <w:r w:rsidR="00C77863">
        <w:t>their</w:t>
      </w:r>
      <w:r w:rsidR="00973C35" w:rsidRPr="00252AC4">
        <w:t xml:space="preserve"> facilitation and aftercare </w:t>
      </w:r>
      <w:r w:rsidR="00C77863">
        <w:t>and</w:t>
      </w:r>
      <w:r w:rsidR="008A30FA">
        <w:t xml:space="preserve"> </w:t>
      </w:r>
      <w:r w:rsidR="00973C35" w:rsidRPr="00252AC4">
        <w:t xml:space="preserve">policy advocacy </w:t>
      </w:r>
      <w:r w:rsidR="00C77863">
        <w:t xml:space="preserve">functions are weaker or less structured </w:t>
      </w:r>
      <w:r w:rsidR="00973C35" w:rsidRPr="00252AC4">
        <w:t>than</w:t>
      </w:r>
      <w:r w:rsidR="005E2C3D">
        <w:t xml:space="preserve"> those of</w:t>
      </w:r>
      <w:r w:rsidR="00973C35" w:rsidRPr="00252AC4">
        <w:t xml:space="preserve"> OECD IPAs.</w:t>
      </w:r>
      <w:r w:rsidR="00AE63A3" w:rsidRPr="00252AC4">
        <w:t xml:space="preserve"> </w:t>
      </w:r>
      <w:r w:rsidR="005E2C3D">
        <w:t>As</w:t>
      </w:r>
      <w:r w:rsidR="00C77863">
        <w:t xml:space="preserve"> in other regions, </w:t>
      </w:r>
      <w:r w:rsidR="007454C3" w:rsidRPr="00252AC4">
        <w:t xml:space="preserve">Eurasia IPAs prioritise sectors and projects. </w:t>
      </w:r>
      <w:r w:rsidR="00B30810" w:rsidRPr="00252AC4">
        <w:t xml:space="preserve">Primary sectors </w:t>
      </w:r>
      <w:r w:rsidR="00C77863">
        <w:t>tend to</w:t>
      </w:r>
      <w:r w:rsidR="00C77863" w:rsidRPr="00252AC4">
        <w:t xml:space="preserve"> </w:t>
      </w:r>
      <w:r w:rsidR="00B30810" w:rsidRPr="00252AC4">
        <w:t>hold an important place in t</w:t>
      </w:r>
      <w:r w:rsidR="007454C3" w:rsidRPr="00252AC4">
        <w:t xml:space="preserve">heir lists of prioritised </w:t>
      </w:r>
      <w:r w:rsidR="00AE63A3" w:rsidRPr="00252AC4">
        <w:t>sectors</w:t>
      </w:r>
      <w:r w:rsidR="007454C3" w:rsidRPr="00252AC4">
        <w:t xml:space="preserve">, </w:t>
      </w:r>
      <w:r w:rsidR="00B30810" w:rsidRPr="00252AC4">
        <w:t>because of their weights in domestic economies of the region</w:t>
      </w:r>
      <w:r w:rsidR="00AE63A3" w:rsidRPr="00252AC4">
        <w:t>.</w:t>
      </w:r>
      <w:r w:rsidR="00C77863">
        <w:t xml:space="preserve"> </w:t>
      </w:r>
    </w:p>
    <w:p w14:paraId="11B43CE4" w14:textId="5AB6F3E1" w:rsidR="00B957A4" w:rsidRPr="00252AC4" w:rsidRDefault="00B26EE0" w:rsidP="00C77863">
      <w:pPr>
        <w:pStyle w:val="Abstract"/>
      </w:pPr>
      <w:r>
        <w:t xml:space="preserve">Eurasia IPAs would benefit from </w:t>
      </w:r>
      <w:r w:rsidR="00B003FC">
        <w:t>stronger</w:t>
      </w:r>
      <w:r>
        <w:t xml:space="preserve"> their digital communication tools, such as their websites, notably as the current crisis is accelerating the digitalisation trend</w:t>
      </w:r>
      <w:r w:rsidR="00DE5713">
        <w:t xml:space="preserve"> across the global economy</w:t>
      </w:r>
      <w:r>
        <w:t>.</w:t>
      </w:r>
      <w:r w:rsidR="003756F2">
        <w:t xml:space="preserve"> Moreover, s</w:t>
      </w:r>
      <w:r w:rsidR="00C77863">
        <w:t>trengthening their aftercare and policy advocacy functions would enable</w:t>
      </w:r>
      <w:r w:rsidR="005E2C3D">
        <w:t xml:space="preserve"> Eurasia IPAs</w:t>
      </w:r>
      <w:r w:rsidR="00C77863">
        <w:t xml:space="preserve"> to reinforce </w:t>
      </w:r>
      <w:r w:rsidR="005E2C3D">
        <w:t>their</w:t>
      </w:r>
      <w:r w:rsidR="00C77863">
        <w:t xml:space="preserve"> roles as policy influencers and </w:t>
      </w:r>
      <w:r w:rsidR="005E2C3D">
        <w:t xml:space="preserve">would </w:t>
      </w:r>
      <w:r w:rsidR="008A30FA">
        <w:t>increase</w:t>
      </w:r>
      <w:r w:rsidR="00C77863">
        <w:t xml:space="preserve"> governments’ institutional capabilities in identifying and responding to </w:t>
      </w:r>
      <w:r w:rsidR="003756F2">
        <w:t xml:space="preserve">investment-related policy issues. The context of the COVID-19 crisis reinforces this </w:t>
      </w:r>
      <w:r w:rsidR="005E2C3D">
        <w:t>need,</w:t>
      </w:r>
      <w:r w:rsidR="003756F2">
        <w:t xml:space="preserve"> as investor retention is expected to become a key concern for IPAs in the near future, and maintaining an ongoing dialogue with existing investors will be pivotal to understand and tackle emerging challenges.</w:t>
      </w:r>
      <w:r w:rsidR="003A6850">
        <w:t xml:space="preserve"> </w:t>
      </w:r>
      <w:r w:rsidR="00B003FC">
        <w:t>More broadly</w:t>
      </w:r>
      <w:r w:rsidR="003A6850">
        <w:t>, IPAs could be leveraged to overcome obstacles in the broader implementation of agendas of reforms to enhance business climates in Eurasia countries.</w:t>
      </w:r>
    </w:p>
    <w:p w14:paraId="448422EA" w14:textId="7E6F5F9E" w:rsidR="00976473" w:rsidRPr="00252AC4" w:rsidRDefault="00976473" w:rsidP="00976473">
      <w:pPr>
        <w:pStyle w:val="Para0"/>
      </w:pPr>
      <w:r w:rsidRPr="00252AC4">
        <w:t xml:space="preserve">The way IPAs operate can be characterised by two main dimensions. One is their activity mix, and the other one is their prioritisation pattern. Both dimensions are revealing of the strategy and coherence between the policy objectives underlying investment promotion and the realisation of the IPA’s mandate. </w:t>
      </w:r>
      <w:r w:rsidR="00687090" w:rsidRPr="00252AC4">
        <w:t xml:space="preserve">Having a clear vision on where an IPA stands </w:t>
      </w:r>
      <w:r w:rsidR="00AB717E" w:rsidRPr="00252AC4">
        <w:t>on both these dimensions is</w:t>
      </w:r>
      <w:r w:rsidR="00687090" w:rsidRPr="00252AC4">
        <w:t xml:space="preserve"> thus very useful, in particular when resources are constrained </w:t>
      </w:r>
      <w:r w:rsidR="00B671A2" w:rsidRPr="00252AC4">
        <w:t>and</w:t>
      </w:r>
      <w:r w:rsidR="00687090" w:rsidRPr="00252AC4">
        <w:t xml:space="preserve"> decision-makers need to make trade-offs.</w:t>
      </w:r>
      <w:r w:rsidR="00AB717E" w:rsidRPr="00252AC4">
        <w:t xml:space="preserve"> </w:t>
      </w:r>
    </w:p>
    <w:p w14:paraId="07A76607" w14:textId="7826B5D7" w:rsidR="00101832" w:rsidRPr="00252AC4" w:rsidRDefault="00FD42E7" w:rsidP="002C75F3">
      <w:pPr>
        <w:pStyle w:val="Para0"/>
      </w:pPr>
      <w:r w:rsidRPr="00252AC4">
        <w:t xml:space="preserve">To promote a country as an attractive investment destination, IPAs carry out a wide variety of marketing and servicing activities. These activities, following </w:t>
      </w:r>
      <w:r w:rsidR="008D1952" w:rsidRPr="00252AC4">
        <w:t>the</w:t>
      </w:r>
      <w:r w:rsidRPr="00252AC4">
        <w:t xml:space="preserve"> classification of Wells and Wint </w:t>
      </w:r>
      <w:sdt>
        <w:sdtPr>
          <w:id w:val="969787056"/>
          <w:citation/>
        </w:sdtPr>
        <w:sdtEndPr/>
        <w:sdtContent>
          <w:r w:rsidRPr="00252AC4">
            <w:fldChar w:fldCharType="begin"/>
          </w:r>
          <w:r w:rsidR="00B671A2" w:rsidRPr="00252AC4">
            <w:rPr>
              <w:noProof/>
            </w:rPr>
            <w:instrText xml:space="preserve">CITATION Mendeley_y8Uz9Oej2TuI0Fkqob5EoA \n  \l 2057 </w:instrText>
          </w:r>
          <w:r w:rsidRPr="00252AC4">
            <w:fldChar w:fldCharType="separate"/>
          </w:r>
          <w:bookmarkStart w:id="189" w:name="Mendeley_rgKZfw02pTicXWcBCt1aAQ_3"/>
          <w:bookmarkStart w:id="190" w:name="Mendeley_rgKZfw02pTicXWcBCt1aAQ_2"/>
          <w:r w:rsidR="00E259C6" w:rsidRPr="00252AC4">
            <w:rPr>
              <w:noProof/>
            </w:rPr>
            <w:t>(</w:t>
          </w:r>
          <w:bookmarkStart w:id="191" w:name="Mendeley_y8Uz9Oej2TuI0Fkqob5EoA_13"/>
          <w:r w:rsidR="00E259C6" w:rsidRPr="00252AC4">
            <w:rPr>
              <w:noProof/>
            </w:rPr>
            <w:t>2000</w:t>
          </w:r>
          <w:r w:rsidR="00E259C6" w:rsidRPr="00252AC4">
            <w:rPr>
              <w:noProof/>
              <w:vertAlign w:val="subscript"/>
            </w:rPr>
            <w:t>[13]</w:t>
          </w:r>
          <w:r w:rsidR="00E259C6" w:rsidRPr="00252AC4">
            <w:rPr>
              <w:noProof/>
            </w:rPr>
            <w:t>)</w:t>
          </w:r>
          <w:bookmarkEnd w:id="191"/>
          <w:bookmarkEnd w:id="189"/>
          <w:bookmarkEnd w:id="190"/>
          <w:r w:rsidRPr="00252AC4">
            <w:fldChar w:fldCharType="end"/>
          </w:r>
        </w:sdtContent>
      </w:sdt>
      <w:r w:rsidRPr="00252AC4">
        <w:t>, are traditionally catego</w:t>
      </w:r>
      <w:r w:rsidR="00A05A24" w:rsidRPr="00252AC4">
        <w:t>rised into four core functions</w:t>
      </w:r>
      <w:r w:rsidRPr="00252AC4">
        <w:t xml:space="preserve"> </w:t>
      </w:r>
      <w:r w:rsidR="00A05A24" w:rsidRPr="00252AC4">
        <w:t>with specific</w:t>
      </w:r>
      <w:r w:rsidRPr="00252AC4">
        <w:t xml:space="preserve"> </w:t>
      </w:r>
      <w:r w:rsidR="00A05A24" w:rsidRPr="00252AC4">
        <w:t>tasks and</w:t>
      </w:r>
      <w:r w:rsidRPr="00252AC4">
        <w:t xml:space="preserve"> objective</w:t>
      </w:r>
      <w:r w:rsidR="00A05A24" w:rsidRPr="00252AC4">
        <w:t>s</w:t>
      </w:r>
      <w:r w:rsidR="001401B1" w:rsidRPr="00252AC4">
        <w:t xml:space="preserve"> (</w:t>
      </w:r>
      <w:r w:rsidR="00706535" w:rsidRPr="00252AC4">
        <w:rPr>
          <w:highlight w:val="yellow"/>
        </w:rPr>
        <w:fldChar w:fldCharType="begin"/>
      </w:r>
      <w:r w:rsidR="00706535" w:rsidRPr="00252AC4">
        <w:instrText xml:space="preserve"> REF _Ref31631224 \h </w:instrText>
      </w:r>
      <w:r w:rsidR="00101832" w:rsidRPr="00252AC4">
        <w:rPr>
          <w:highlight w:val="yellow"/>
        </w:rPr>
        <w:instrText xml:space="preserve"> \* MERGEFORMAT </w:instrText>
      </w:r>
      <w:r w:rsidR="00706535" w:rsidRPr="00252AC4">
        <w:rPr>
          <w:highlight w:val="yellow"/>
        </w:rPr>
      </w:r>
      <w:r w:rsidR="00706535" w:rsidRPr="00252AC4">
        <w:rPr>
          <w:highlight w:val="yellow"/>
        </w:rPr>
        <w:fldChar w:fldCharType="separate"/>
      </w:r>
      <w:r w:rsidR="008914FE" w:rsidRPr="00252AC4">
        <w:t xml:space="preserve">Table </w:t>
      </w:r>
      <w:r w:rsidR="008914FE">
        <w:rPr>
          <w:noProof/>
        </w:rPr>
        <w:t>2</w:t>
      </w:r>
      <w:r w:rsidR="008914FE" w:rsidRPr="00252AC4">
        <w:rPr>
          <w:noProof/>
        </w:rPr>
        <w:t>.</w:t>
      </w:r>
      <w:r w:rsidR="008914FE">
        <w:rPr>
          <w:noProof/>
        </w:rPr>
        <w:t>1</w:t>
      </w:r>
      <w:r w:rsidR="00706535" w:rsidRPr="00252AC4">
        <w:rPr>
          <w:highlight w:val="yellow"/>
        </w:rPr>
        <w:fldChar w:fldCharType="end"/>
      </w:r>
      <w:r w:rsidR="00687090" w:rsidRPr="00252AC4">
        <w:t>)</w:t>
      </w:r>
      <w:r w:rsidRPr="00252AC4">
        <w:t xml:space="preserve">. </w:t>
      </w:r>
      <w:r w:rsidR="00687090" w:rsidRPr="00252AC4">
        <w:t>IPAs’ activity mix varies from</w:t>
      </w:r>
      <w:r w:rsidR="008825BC" w:rsidRPr="00252AC4">
        <w:t xml:space="preserve"> one</w:t>
      </w:r>
      <w:r w:rsidR="00687090" w:rsidRPr="00252AC4">
        <w:t xml:space="preserve"> country to </w:t>
      </w:r>
      <w:r w:rsidR="008825BC" w:rsidRPr="00252AC4">
        <w:t>another</w:t>
      </w:r>
      <w:r w:rsidR="00687090" w:rsidRPr="00252AC4">
        <w:t>, depending on several factors including the IPA’s positioning in the overall institutional framework of investment attraction, its budget, and the overarching investment promotion strategy of the government. The OECD thus distinguishes four different “strategic profiles” of IPAs</w:t>
      </w:r>
      <w:r w:rsidR="008D1952" w:rsidRPr="00252AC4">
        <w:t xml:space="preserve">: </w:t>
      </w:r>
      <w:r w:rsidR="00687090" w:rsidRPr="00252AC4">
        <w:t>“image builders”, “generators”, “facilitators”, and “balanced”. In the OECD, 42% of IPAs are generators, 29% and 26% are respectively balanced and facilitators, and only 6% are image builders.</w:t>
      </w:r>
      <w:r w:rsidR="00110934">
        <w:t xml:space="preserve"> The COVID-19 crisis is currently affecting activity mixes across IPAs</w:t>
      </w:r>
      <w:r w:rsidR="005E2C3D">
        <w:t>,</w:t>
      </w:r>
      <w:r w:rsidR="00110934">
        <w:t xml:space="preserve"> however. It is notably encouraging agencies to focus resources on facilitation and aftercare to secure ongoing project implementation and strengthen relationships with existing investors.</w:t>
      </w:r>
    </w:p>
    <w:p w14:paraId="553FCF58" w14:textId="1EC106F2" w:rsidR="001423E9" w:rsidRPr="00252AC4" w:rsidRDefault="001423E9" w:rsidP="007A30D4">
      <w:pPr>
        <w:pStyle w:val="Caption"/>
      </w:pPr>
      <w:bookmarkStart w:id="192" w:name="_Ref31631224"/>
      <w:bookmarkStart w:id="193" w:name="_Toc31641319"/>
      <w:bookmarkStart w:id="194" w:name="_Toc31650319"/>
      <w:bookmarkStart w:id="195" w:name="_Toc32317024"/>
      <w:bookmarkStart w:id="196" w:name="_Toc32324683"/>
      <w:bookmarkStart w:id="197" w:name="_Toc34647234"/>
      <w:bookmarkStart w:id="198" w:name="_Ref31106361"/>
      <w:bookmarkStart w:id="199" w:name="_Toc31617765"/>
      <w:r w:rsidRPr="00252AC4">
        <w:lastRenderedPageBreak/>
        <w:t xml:space="preserve">Table </w:t>
      </w:r>
      <w:r w:rsidR="009915F6">
        <w:fldChar w:fldCharType="begin"/>
      </w:r>
      <w:r w:rsidR="009915F6">
        <w:instrText xml:space="preserve"> STYLER</w:instrText>
      </w:r>
      <w:r w:rsidR="009915F6">
        <w:instrText xml:space="preserve">EF 1 \s </w:instrText>
      </w:r>
      <w:r w:rsidR="009915F6">
        <w:fldChar w:fldCharType="separate"/>
      </w:r>
      <w:r w:rsidR="008914FE">
        <w:rPr>
          <w:noProof/>
        </w:rPr>
        <w:t>2</w:t>
      </w:r>
      <w:r w:rsidR="009915F6">
        <w:rPr>
          <w:noProof/>
        </w:rPr>
        <w:fldChar w:fldCharType="end"/>
      </w:r>
      <w:r w:rsidRPr="00252AC4">
        <w:t>.</w:t>
      </w:r>
      <w:r w:rsidR="009915F6">
        <w:fldChar w:fldCharType="begin"/>
      </w:r>
      <w:r w:rsidR="009915F6">
        <w:instrText xml:space="preserve"> SEQ Table \* ARABIC \s 1 </w:instrText>
      </w:r>
      <w:r w:rsidR="009915F6">
        <w:fldChar w:fldCharType="separate"/>
      </w:r>
      <w:r w:rsidR="008914FE">
        <w:rPr>
          <w:noProof/>
        </w:rPr>
        <w:t>1</w:t>
      </w:r>
      <w:r w:rsidR="009915F6">
        <w:rPr>
          <w:noProof/>
        </w:rPr>
        <w:fldChar w:fldCharType="end"/>
      </w:r>
      <w:bookmarkEnd w:id="192"/>
      <w:r w:rsidRPr="00252AC4">
        <w:t>. IPAs’ four core functions</w:t>
      </w:r>
      <w:bookmarkEnd w:id="193"/>
      <w:bookmarkEnd w:id="194"/>
      <w:bookmarkEnd w:id="195"/>
      <w:bookmarkEnd w:id="196"/>
      <w:bookmarkEnd w:id="197"/>
    </w:p>
    <w:bookmarkEnd w:id="198"/>
    <w:bookmarkEnd w:id="199"/>
    <w:tbl>
      <w:tblPr>
        <w:tblStyle w:val="OECD"/>
        <w:tblW w:w="8725" w:type="dxa"/>
        <w:tblLook w:val="0420" w:firstRow="1" w:lastRow="0" w:firstColumn="0" w:lastColumn="0" w:noHBand="0" w:noVBand="1"/>
      </w:tblPr>
      <w:tblGrid>
        <w:gridCol w:w="1057"/>
        <w:gridCol w:w="1849"/>
        <w:gridCol w:w="1881"/>
        <w:gridCol w:w="2056"/>
        <w:gridCol w:w="1882"/>
      </w:tblGrid>
      <w:tr w:rsidR="00086F8E" w:rsidRPr="00252AC4" w14:paraId="542BC6F8" w14:textId="77777777" w:rsidTr="00086F8E">
        <w:trPr>
          <w:cnfStyle w:val="100000000000" w:firstRow="1" w:lastRow="0" w:firstColumn="0" w:lastColumn="0" w:oddVBand="0" w:evenVBand="0" w:oddHBand="0" w:evenHBand="0" w:firstRowFirstColumn="0" w:firstRowLastColumn="0" w:lastRowFirstColumn="0" w:lastRowLastColumn="0"/>
          <w:trHeight w:val="184"/>
        </w:trPr>
        <w:tc>
          <w:tcPr>
            <w:tcW w:w="1057" w:type="dxa"/>
          </w:tcPr>
          <w:p w14:paraId="3DBDEAA4" w14:textId="77777777" w:rsidR="009960B7" w:rsidRPr="00252AC4" w:rsidRDefault="009960B7" w:rsidP="004F2512">
            <w:pPr>
              <w:pStyle w:val="TableColumn"/>
              <w:rPr>
                <w:sz w:val="16"/>
                <w:szCs w:val="16"/>
                <w:lang w:val="en-GB"/>
              </w:rPr>
            </w:pPr>
          </w:p>
        </w:tc>
        <w:tc>
          <w:tcPr>
            <w:tcW w:w="1849" w:type="dxa"/>
            <w:tcBorders>
              <w:bottom w:val="single" w:sz="8" w:space="0" w:color="auto"/>
            </w:tcBorders>
            <w:vAlign w:val="center"/>
          </w:tcPr>
          <w:p w14:paraId="39DF5DBC" w14:textId="77777777" w:rsidR="009960B7" w:rsidRPr="00252AC4" w:rsidRDefault="009960B7" w:rsidP="004F2512">
            <w:pPr>
              <w:pStyle w:val="TableColumn"/>
              <w:rPr>
                <w:b/>
                <w:sz w:val="16"/>
                <w:szCs w:val="16"/>
                <w:lang w:val="en-GB"/>
              </w:rPr>
            </w:pPr>
            <w:r w:rsidRPr="00252AC4">
              <w:rPr>
                <w:b/>
                <w:sz w:val="16"/>
                <w:szCs w:val="16"/>
                <w:lang w:val="en-GB"/>
              </w:rPr>
              <w:t>Image building</w:t>
            </w:r>
          </w:p>
        </w:tc>
        <w:tc>
          <w:tcPr>
            <w:tcW w:w="1881" w:type="dxa"/>
            <w:tcBorders>
              <w:bottom w:val="single" w:sz="8" w:space="0" w:color="auto"/>
            </w:tcBorders>
            <w:vAlign w:val="center"/>
          </w:tcPr>
          <w:p w14:paraId="491BCC10" w14:textId="77777777" w:rsidR="009960B7" w:rsidRPr="00252AC4" w:rsidRDefault="009960B7" w:rsidP="004F2512">
            <w:pPr>
              <w:pStyle w:val="TableColumn"/>
              <w:rPr>
                <w:b/>
                <w:sz w:val="16"/>
                <w:szCs w:val="16"/>
                <w:lang w:val="en-GB"/>
              </w:rPr>
            </w:pPr>
            <w:r w:rsidRPr="00252AC4">
              <w:rPr>
                <w:b/>
                <w:sz w:val="16"/>
                <w:szCs w:val="16"/>
                <w:lang w:val="en-GB"/>
              </w:rPr>
              <w:t>Investment generation</w:t>
            </w:r>
          </w:p>
        </w:tc>
        <w:tc>
          <w:tcPr>
            <w:tcW w:w="2056" w:type="dxa"/>
            <w:tcBorders>
              <w:bottom w:val="single" w:sz="8" w:space="0" w:color="auto"/>
            </w:tcBorders>
            <w:vAlign w:val="center"/>
          </w:tcPr>
          <w:p w14:paraId="4A7068B0" w14:textId="77777777" w:rsidR="009960B7" w:rsidRPr="00252AC4" w:rsidRDefault="009960B7" w:rsidP="004F2512">
            <w:pPr>
              <w:pStyle w:val="TableColumn"/>
              <w:rPr>
                <w:b/>
                <w:sz w:val="16"/>
                <w:szCs w:val="16"/>
                <w:lang w:val="en-GB"/>
              </w:rPr>
            </w:pPr>
            <w:r w:rsidRPr="00252AC4">
              <w:rPr>
                <w:b/>
                <w:sz w:val="16"/>
                <w:szCs w:val="16"/>
                <w:lang w:val="en-GB"/>
              </w:rPr>
              <w:t>Investment facilitation and retention</w:t>
            </w:r>
          </w:p>
        </w:tc>
        <w:tc>
          <w:tcPr>
            <w:tcW w:w="1882" w:type="dxa"/>
            <w:tcBorders>
              <w:bottom w:val="single" w:sz="8" w:space="0" w:color="auto"/>
            </w:tcBorders>
            <w:vAlign w:val="center"/>
          </w:tcPr>
          <w:p w14:paraId="556D10D6" w14:textId="77777777" w:rsidR="009960B7" w:rsidRPr="00252AC4" w:rsidRDefault="009960B7" w:rsidP="004F2512">
            <w:pPr>
              <w:pStyle w:val="TableColumn"/>
              <w:rPr>
                <w:b/>
                <w:sz w:val="16"/>
                <w:szCs w:val="16"/>
                <w:lang w:val="en-GB"/>
              </w:rPr>
            </w:pPr>
            <w:r w:rsidRPr="00252AC4">
              <w:rPr>
                <w:b/>
                <w:sz w:val="16"/>
                <w:szCs w:val="16"/>
                <w:lang w:val="en-GB"/>
              </w:rPr>
              <w:t>Policy advocacy</w:t>
            </w:r>
          </w:p>
        </w:tc>
      </w:tr>
      <w:tr w:rsidR="007A30D4" w:rsidRPr="00252AC4" w14:paraId="7CC6E666" w14:textId="77777777" w:rsidTr="002C75F3">
        <w:trPr>
          <w:cnfStyle w:val="000000100000" w:firstRow="0" w:lastRow="0" w:firstColumn="0" w:lastColumn="0" w:oddVBand="0" w:evenVBand="0" w:oddHBand="1" w:evenHBand="0" w:firstRowFirstColumn="0" w:firstRowLastColumn="0" w:lastRowFirstColumn="0" w:lastRowLastColumn="0"/>
          <w:trHeight w:val="457"/>
        </w:trPr>
        <w:tc>
          <w:tcPr>
            <w:tcW w:w="1057" w:type="dxa"/>
            <w:vAlign w:val="center"/>
          </w:tcPr>
          <w:p w14:paraId="2E7D0125" w14:textId="77777777" w:rsidR="009960B7" w:rsidRPr="00252AC4" w:rsidRDefault="009960B7" w:rsidP="002C75F3">
            <w:pPr>
              <w:pStyle w:val="TableRow"/>
              <w:spacing w:before="0"/>
              <w:jc w:val="center"/>
              <w:rPr>
                <w:b/>
                <w:sz w:val="16"/>
                <w:szCs w:val="16"/>
                <w:lang w:val="en-GB"/>
              </w:rPr>
            </w:pPr>
            <w:r w:rsidRPr="00252AC4">
              <w:rPr>
                <w:b/>
                <w:sz w:val="16"/>
                <w:szCs w:val="16"/>
                <w:lang w:val="en-GB"/>
              </w:rPr>
              <w:t>Main objective</w:t>
            </w:r>
          </w:p>
        </w:tc>
        <w:tc>
          <w:tcPr>
            <w:tcW w:w="1849" w:type="dxa"/>
            <w:tcBorders>
              <w:top w:val="single" w:sz="8" w:space="0" w:color="auto"/>
            </w:tcBorders>
            <w:vAlign w:val="center"/>
          </w:tcPr>
          <w:p w14:paraId="0CA1B53F" w14:textId="77777777" w:rsidR="009960B7" w:rsidRPr="00252AC4" w:rsidRDefault="009960B7" w:rsidP="002C75F3">
            <w:pPr>
              <w:pStyle w:val="TableCell"/>
              <w:spacing w:before="0"/>
              <w:jc w:val="left"/>
              <w:rPr>
                <w:sz w:val="16"/>
                <w:szCs w:val="16"/>
                <w:lang w:val="en-GB"/>
              </w:rPr>
            </w:pPr>
          </w:p>
          <w:p w14:paraId="1521466F" w14:textId="5A8FDCEB" w:rsidR="009960B7" w:rsidRPr="00252AC4" w:rsidRDefault="000302B9" w:rsidP="002C75F3">
            <w:pPr>
              <w:pStyle w:val="TableCell"/>
              <w:spacing w:before="0"/>
              <w:jc w:val="left"/>
              <w:rPr>
                <w:sz w:val="16"/>
                <w:szCs w:val="16"/>
                <w:lang w:val="en-GB"/>
              </w:rPr>
            </w:pPr>
            <w:r w:rsidRPr="00252AC4">
              <w:rPr>
                <w:sz w:val="16"/>
                <w:szCs w:val="16"/>
                <w:lang w:val="en-GB"/>
              </w:rPr>
              <w:t xml:space="preserve">Create awareness </w:t>
            </w:r>
            <w:r w:rsidR="009960B7" w:rsidRPr="00252AC4">
              <w:rPr>
                <w:sz w:val="16"/>
                <w:szCs w:val="16"/>
                <w:lang w:val="en-GB"/>
              </w:rPr>
              <w:t>and generate positive feelings about a country as investment destination</w:t>
            </w:r>
          </w:p>
        </w:tc>
        <w:tc>
          <w:tcPr>
            <w:tcW w:w="1881" w:type="dxa"/>
            <w:tcBorders>
              <w:top w:val="single" w:sz="8" w:space="0" w:color="auto"/>
            </w:tcBorders>
            <w:vAlign w:val="center"/>
          </w:tcPr>
          <w:p w14:paraId="3897C3BA" w14:textId="77777777" w:rsidR="009960B7" w:rsidRPr="00252AC4" w:rsidRDefault="009960B7" w:rsidP="002C75F3">
            <w:pPr>
              <w:pStyle w:val="TableCell"/>
              <w:spacing w:before="0"/>
              <w:jc w:val="left"/>
              <w:rPr>
                <w:sz w:val="16"/>
                <w:szCs w:val="16"/>
                <w:lang w:val="en-GB"/>
              </w:rPr>
            </w:pPr>
            <w:r w:rsidRPr="00252AC4">
              <w:rPr>
                <w:sz w:val="16"/>
                <w:szCs w:val="16"/>
                <w:lang w:val="en-GB"/>
              </w:rPr>
              <w:t>Reach out to foreign investors and convince them to locate their investment in the home country</w:t>
            </w:r>
          </w:p>
        </w:tc>
        <w:tc>
          <w:tcPr>
            <w:tcW w:w="2056" w:type="dxa"/>
            <w:tcBorders>
              <w:top w:val="single" w:sz="8" w:space="0" w:color="auto"/>
            </w:tcBorders>
            <w:vAlign w:val="center"/>
          </w:tcPr>
          <w:p w14:paraId="313C8146" w14:textId="77777777" w:rsidR="009960B7" w:rsidRPr="00252AC4" w:rsidRDefault="009960B7" w:rsidP="002C75F3">
            <w:pPr>
              <w:pStyle w:val="TableCell"/>
              <w:spacing w:before="0"/>
              <w:jc w:val="left"/>
              <w:rPr>
                <w:sz w:val="16"/>
                <w:szCs w:val="16"/>
                <w:lang w:val="en-GB"/>
              </w:rPr>
            </w:pPr>
            <w:r w:rsidRPr="00252AC4">
              <w:rPr>
                <w:sz w:val="16"/>
                <w:szCs w:val="16"/>
                <w:lang w:val="en-GB"/>
              </w:rPr>
              <w:t>Facilitate the implementation of investment projects, maximise their economic benefits and generate follow-up investments</w:t>
            </w:r>
          </w:p>
        </w:tc>
        <w:tc>
          <w:tcPr>
            <w:tcW w:w="1882" w:type="dxa"/>
            <w:tcBorders>
              <w:top w:val="single" w:sz="8" w:space="0" w:color="auto"/>
            </w:tcBorders>
            <w:vAlign w:val="center"/>
          </w:tcPr>
          <w:p w14:paraId="793837F0" w14:textId="77777777" w:rsidR="009960B7" w:rsidRPr="00252AC4" w:rsidRDefault="009960B7" w:rsidP="002C75F3">
            <w:pPr>
              <w:pStyle w:val="TableCell"/>
              <w:spacing w:before="0"/>
              <w:jc w:val="left"/>
              <w:rPr>
                <w:sz w:val="16"/>
                <w:szCs w:val="16"/>
                <w:lang w:val="en-GB"/>
              </w:rPr>
            </w:pPr>
            <w:r w:rsidRPr="00252AC4">
              <w:rPr>
                <w:sz w:val="16"/>
                <w:szCs w:val="16"/>
                <w:lang w:val="en-GB"/>
              </w:rPr>
              <w:t>Monitor foreign investors’ perception of the host country’s investment climate and propose changes to improve the investment policy</w:t>
            </w:r>
          </w:p>
        </w:tc>
      </w:tr>
      <w:tr w:rsidR="007A30D4" w:rsidRPr="00252AC4" w14:paraId="0B0F0795" w14:textId="77777777" w:rsidTr="002C75F3">
        <w:trPr>
          <w:cnfStyle w:val="000000010000" w:firstRow="0" w:lastRow="0" w:firstColumn="0" w:lastColumn="0" w:oddVBand="0" w:evenVBand="0" w:oddHBand="0" w:evenHBand="1" w:firstRowFirstColumn="0" w:firstRowLastColumn="0" w:lastRowFirstColumn="0" w:lastRowLastColumn="0"/>
          <w:trHeight w:val="695"/>
        </w:trPr>
        <w:tc>
          <w:tcPr>
            <w:tcW w:w="1057" w:type="dxa"/>
            <w:vAlign w:val="center"/>
          </w:tcPr>
          <w:p w14:paraId="7581CCC4" w14:textId="77777777" w:rsidR="009960B7" w:rsidRPr="00252AC4" w:rsidRDefault="009960B7" w:rsidP="002C75F3">
            <w:pPr>
              <w:pStyle w:val="TableRow"/>
              <w:spacing w:before="0"/>
              <w:jc w:val="center"/>
              <w:rPr>
                <w:b/>
                <w:sz w:val="16"/>
                <w:szCs w:val="16"/>
                <w:lang w:val="en-GB"/>
              </w:rPr>
            </w:pPr>
            <w:r w:rsidRPr="00252AC4">
              <w:rPr>
                <w:b/>
                <w:sz w:val="16"/>
                <w:szCs w:val="16"/>
                <w:lang w:val="en-GB"/>
              </w:rPr>
              <w:t>Examples of activities</w:t>
            </w:r>
          </w:p>
        </w:tc>
        <w:tc>
          <w:tcPr>
            <w:tcW w:w="1849" w:type="dxa"/>
          </w:tcPr>
          <w:p w14:paraId="0F9962D5"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Marketing plans</w:t>
            </w:r>
          </w:p>
          <w:p w14:paraId="0A7140F3"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Media campaigns</w:t>
            </w:r>
          </w:p>
          <w:p w14:paraId="35D56D44"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Website</w:t>
            </w:r>
          </w:p>
          <w:p w14:paraId="57CD8C03"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Brochures</w:t>
            </w:r>
          </w:p>
          <w:p w14:paraId="038145C8" w14:textId="7DAAC5E0"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General communications and public relations events</w:t>
            </w:r>
          </w:p>
        </w:tc>
        <w:tc>
          <w:tcPr>
            <w:tcW w:w="1881" w:type="dxa"/>
          </w:tcPr>
          <w:p w14:paraId="115EB258"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Meetings with foreign investors</w:t>
            </w:r>
          </w:p>
          <w:p w14:paraId="78ECA5A5"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Reaching-out campaigns</w:t>
            </w:r>
          </w:p>
          <w:p w14:paraId="299B9651"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Targeted communication and PR events (sector-specific or investor-specific)</w:t>
            </w:r>
          </w:p>
        </w:tc>
        <w:tc>
          <w:tcPr>
            <w:tcW w:w="2056" w:type="dxa"/>
          </w:tcPr>
          <w:p w14:paraId="50E26024"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Provision of information</w:t>
            </w:r>
          </w:p>
          <w:p w14:paraId="178F2032"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Site visits</w:t>
            </w:r>
          </w:p>
          <w:p w14:paraId="68D2CCD8"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Administrative support (including one-stop-shop services)</w:t>
            </w:r>
          </w:p>
          <w:p w14:paraId="7A095A86" w14:textId="467819DE"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 xml:space="preserve">MNE-SME linkage </w:t>
            </w:r>
            <w:r w:rsidR="00957C5D" w:rsidRPr="00252AC4">
              <w:rPr>
                <w:sz w:val="16"/>
                <w:szCs w:val="16"/>
                <w:lang w:val="en-GB"/>
              </w:rPr>
              <w:t>programs</w:t>
            </w:r>
          </w:p>
        </w:tc>
        <w:tc>
          <w:tcPr>
            <w:tcW w:w="1882" w:type="dxa"/>
          </w:tcPr>
          <w:p w14:paraId="53E2C1A3"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Global rankings</w:t>
            </w:r>
          </w:p>
          <w:p w14:paraId="3D2B66E7"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Surveys of foreign investors and industry associations</w:t>
            </w:r>
          </w:p>
          <w:p w14:paraId="451779D8"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Policy impact assessment</w:t>
            </w:r>
          </w:p>
          <w:p w14:paraId="30AA29B6" w14:textId="77777777" w:rsidR="009960B7" w:rsidRPr="00252AC4" w:rsidRDefault="009960B7" w:rsidP="002C75F3">
            <w:pPr>
              <w:pStyle w:val="TableCell"/>
              <w:numPr>
                <w:ilvl w:val="0"/>
                <w:numId w:val="11"/>
              </w:numPr>
              <w:tabs>
                <w:tab w:val="left" w:pos="340"/>
              </w:tabs>
              <w:spacing w:before="0"/>
              <w:ind w:left="35" w:hanging="142"/>
              <w:jc w:val="left"/>
              <w:rPr>
                <w:sz w:val="16"/>
                <w:szCs w:val="16"/>
                <w:lang w:val="en-GB"/>
              </w:rPr>
            </w:pPr>
            <w:r w:rsidRPr="00252AC4">
              <w:rPr>
                <w:sz w:val="16"/>
                <w:szCs w:val="16"/>
                <w:lang w:val="en-GB"/>
              </w:rPr>
              <w:t>Meetings with the government</w:t>
            </w:r>
          </w:p>
        </w:tc>
      </w:tr>
    </w:tbl>
    <w:p w14:paraId="1A076D6E" w14:textId="1BADD8EE" w:rsidR="009960B7" w:rsidRPr="00252AC4" w:rsidRDefault="009960B7" w:rsidP="00FD7624">
      <w:pPr>
        <w:pStyle w:val="Sourcenotes"/>
      </w:pPr>
      <w:r w:rsidRPr="00252AC4">
        <w:rPr>
          <w:i/>
        </w:rPr>
        <w:t>Source</w:t>
      </w:r>
      <w:r w:rsidRPr="00252AC4">
        <w:t>: OECD (2018), Mapping of Investment Promotion Agencies in OECD Countries</w:t>
      </w:r>
    </w:p>
    <w:p w14:paraId="1F87736D" w14:textId="73949FC0" w:rsidR="00FD7624" w:rsidRPr="00252AC4" w:rsidRDefault="00D87F2D" w:rsidP="00FD42E7">
      <w:pPr>
        <w:pStyle w:val="Para0"/>
      </w:pPr>
      <w:r w:rsidRPr="00252AC4">
        <w:t xml:space="preserve">Virtually all IPAs prioritise countries, industries </w:t>
      </w:r>
      <w:r w:rsidR="008D1952" w:rsidRPr="00252AC4">
        <w:t xml:space="preserve">or </w:t>
      </w:r>
      <w:r w:rsidRPr="00252AC4">
        <w:t xml:space="preserve">even projects and investors when promoting FDI. </w:t>
      </w:r>
      <w:r w:rsidR="00BD6BA0" w:rsidRPr="00252AC4">
        <w:t>Prioritisation</w:t>
      </w:r>
      <w:r w:rsidR="00332074" w:rsidRPr="00252AC4">
        <w:t>, notably of sectors,</w:t>
      </w:r>
      <w:r w:rsidR="00BD6BA0" w:rsidRPr="00252AC4">
        <w:t xml:space="preserve"> </w:t>
      </w:r>
      <w:r w:rsidR="005966A4" w:rsidRPr="00252AC4">
        <w:t>seems to make</w:t>
      </w:r>
      <w:r w:rsidR="00BD6BA0" w:rsidRPr="00252AC4">
        <w:t xml:space="preserve"> sense</w:t>
      </w:r>
      <w:r w:rsidR="005966A4" w:rsidRPr="00252AC4">
        <w:t>,</w:t>
      </w:r>
      <w:r w:rsidR="00BD6BA0" w:rsidRPr="00252AC4">
        <w:t xml:space="preserve"> when </w:t>
      </w:r>
      <w:r w:rsidR="005966A4" w:rsidRPr="00252AC4">
        <w:t xml:space="preserve">looking to </w:t>
      </w:r>
      <w:r w:rsidR="00332074" w:rsidRPr="00252AC4">
        <w:t>focus</w:t>
      </w:r>
      <w:r w:rsidR="00BD6BA0" w:rsidRPr="00252AC4">
        <w:t xml:space="preserve"> resources </w:t>
      </w:r>
      <w:r w:rsidR="00332074" w:rsidRPr="00252AC4">
        <w:t>while maximising outcomes</w:t>
      </w:r>
      <w:r w:rsidR="00BD6BA0" w:rsidRPr="00252AC4">
        <w:t xml:space="preserve">. </w:t>
      </w:r>
      <w:r w:rsidR="008D1952" w:rsidRPr="00252AC4">
        <w:t>E</w:t>
      </w:r>
      <w:r w:rsidRPr="00252AC4">
        <w:t xml:space="preserve">mpirical research suggests that sector targeting could </w:t>
      </w:r>
      <w:r w:rsidR="008D1952" w:rsidRPr="00252AC4">
        <w:t xml:space="preserve">indeed </w:t>
      </w:r>
      <w:r w:rsidRPr="00252AC4">
        <w:t>generate better results in investment promotion</w:t>
      </w:r>
      <w:r w:rsidR="007A30D4" w:rsidRPr="00252AC4">
        <w:t xml:space="preserve"> </w:t>
      </w:r>
      <w:sdt>
        <w:sdtPr>
          <w:id w:val="2058582388"/>
          <w:citation/>
        </w:sdtPr>
        <w:sdtEndPr/>
        <w:sdtContent>
          <w:r w:rsidR="007A30D4" w:rsidRPr="00252AC4">
            <w:fldChar w:fldCharType="begin"/>
          </w:r>
          <w:r w:rsidR="007A30D4" w:rsidRPr="00252AC4">
            <w:instrText xml:space="preserve"> CITATION CrossRef_cVA6u0FBCsm5hyqkTqNclg \l 2057 </w:instrText>
          </w:r>
          <w:r w:rsidR="007A30D4" w:rsidRPr="00252AC4">
            <w:fldChar w:fldCharType="separate"/>
          </w:r>
          <w:r w:rsidR="00E259C6" w:rsidRPr="00252AC4">
            <w:rPr>
              <w:noProof/>
            </w:rPr>
            <w:t>(Harding and Javorcik, 2011</w:t>
          </w:r>
          <w:r w:rsidR="00E259C6" w:rsidRPr="00252AC4">
            <w:rPr>
              <w:noProof/>
              <w:vertAlign w:val="subscript"/>
            </w:rPr>
            <w:t>[14]</w:t>
          </w:r>
          <w:r w:rsidR="00E259C6" w:rsidRPr="00252AC4">
            <w:rPr>
              <w:noProof/>
            </w:rPr>
            <w:t>)</w:t>
          </w:r>
          <w:r w:rsidR="007A30D4" w:rsidRPr="00252AC4">
            <w:fldChar w:fldCharType="end"/>
          </w:r>
        </w:sdtContent>
      </w:sdt>
      <w:r w:rsidRPr="00252AC4">
        <w:t xml:space="preserve">. </w:t>
      </w:r>
      <w:r w:rsidR="00056DAA" w:rsidRPr="00252AC4">
        <w:t xml:space="preserve">On the other hand, the literature on economic development highlights that governments are not best-placed to identify economic sectors with the highest potential, and warn against a counter-productive “picking winner” approach </w:t>
      </w:r>
      <w:sdt>
        <w:sdtPr>
          <w:id w:val="-316498470"/>
          <w:citation/>
        </w:sdtPr>
        <w:sdtEndPr/>
        <w:sdtContent>
          <w:r w:rsidR="00056DAA" w:rsidRPr="00252AC4">
            <w:fldChar w:fldCharType="begin"/>
          </w:r>
          <w:r w:rsidR="00056DAA" w:rsidRPr="00252AC4">
            <w:instrText xml:space="preserve"> CITATION Rod04 \l 1036 </w:instrText>
          </w:r>
          <w:r w:rsidR="00056DAA" w:rsidRPr="00252AC4">
            <w:fldChar w:fldCharType="separate"/>
          </w:r>
          <w:bookmarkStart w:id="200" w:name="Rod04_14"/>
          <w:r w:rsidR="00E259C6" w:rsidRPr="00252AC4">
            <w:rPr>
              <w:noProof/>
            </w:rPr>
            <w:t>(Rodrik, 2004</w:t>
          </w:r>
          <w:r w:rsidR="00E259C6" w:rsidRPr="00252AC4">
            <w:rPr>
              <w:noProof/>
              <w:vertAlign w:val="subscript"/>
            </w:rPr>
            <w:t>[15]</w:t>
          </w:r>
          <w:r w:rsidR="00E259C6" w:rsidRPr="00252AC4">
            <w:rPr>
              <w:noProof/>
            </w:rPr>
            <w:t>)</w:t>
          </w:r>
          <w:bookmarkEnd w:id="200"/>
          <w:r w:rsidR="00056DAA" w:rsidRPr="00252AC4">
            <w:fldChar w:fldCharType="end"/>
          </w:r>
        </w:sdtContent>
      </w:sdt>
      <w:r w:rsidR="00056DAA" w:rsidRPr="00252AC4">
        <w:t>.</w:t>
      </w:r>
      <w:r w:rsidR="00AB717E" w:rsidRPr="00252AC4">
        <w:t xml:space="preserve"> In the context of concentrated economies with limited levels of sophistication </w:t>
      </w:r>
      <w:r w:rsidR="00332074" w:rsidRPr="00252AC4">
        <w:t>of demand and technology</w:t>
      </w:r>
      <w:r w:rsidR="00AB717E" w:rsidRPr="00252AC4">
        <w:t>, this contradiction can be difficult to manage, and making choices can be particularly challenging.</w:t>
      </w:r>
      <w:r w:rsidR="009970A2">
        <w:t xml:space="preserve"> In this area</w:t>
      </w:r>
      <w:r w:rsidR="005E2C3D">
        <w:t>,</w:t>
      </w:r>
      <w:r w:rsidR="009970A2">
        <w:t xml:space="preserve"> too, the COVID-19 crisis is </w:t>
      </w:r>
      <w:r w:rsidR="00AC0319">
        <w:t>driving change by</w:t>
      </w:r>
      <w:r w:rsidR="009970A2">
        <w:t xml:space="preserve"> causing IPAs to readjust their priorities.</w:t>
      </w:r>
    </w:p>
    <w:p w14:paraId="16165A90" w14:textId="2987B0A1" w:rsidR="00FD42E7" w:rsidRPr="00252AC4" w:rsidRDefault="00FD42E7" w:rsidP="00FD42E7">
      <w:pPr>
        <w:pStyle w:val="Para0"/>
      </w:pPr>
      <w:r w:rsidRPr="00252AC4">
        <w:t xml:space="preserve">The objective of this chapter is to </w:t>
      </w:r>
      <w:r w:rsidR="00855DBA" w:rsidRPr="00252AC4">
        <w:t>understand how</w:t>
      </w:r>
      <w:r w:rsidRPr="00252AC4">
        <w:t xml:space="preserve"> Eurasia I</w:t>
      </w:r>
      <w:r w:rsidR="00855DBA" w:rsidRPr="00252AC4">
        <w:t>PAs realise their mandates to attract foreign investment</w:t>
      </w:r>
      <w:r w:rsidRPr="00252AC4">
        <w:t>. It starts by investigating IPAs’ specific activities</w:t>
      </w:r>
      <w:r w:rsidR="008E7C60" w:rsidRPr="00252AC4">
        <w:t>,</w:t>
      </w:r>
      <w:r w:rsidRPr="00252AC4">
        <w:t xml:space="preserve"> and then looks at the</w:t>
      </w:r>
      <w:r w:rsidR="00855DBA" w:rsidRPr="00252AC4">
        <w:t>ir</w:t>
      </w:r>
      <w:r w:rsidRPr="00252AC4">
        <w:t xml:space="preserve"> prioritisation</w:t>
      </w:r>
      <w:r w:rsidR="00855DBA" w:rsidRPr="00252AC4">
        <w:t xml:space="preserve"> approaches</w:t>
      </w:r>
      <w:r w:rsidRPr="00252AC4">
        <w:t>, including what</w:t>
      </w:r>
      <w:r w:rsidRPr="00252AC4">
        <w:rPr>
          <w:i/>
        </w:rPr>
        <w:t xml:space="preserve"> </w:t>
      </w:r>
      <w:r w:rsidRPr="00252AC4">
        <w:t>IPAs in the region prioritise and why, outlining the methods, criteria and tools used.</w:t>
      </w:r>
      <w:r w:rsidR="00556E4F">
        <w:t xml:space="preserve"> It also highlights some early observable trends in relations to the COVID-19 crisis and the way it can affect activities and prioritisation choices.</w:t>
      </w:r>
    </w:p>
    <w:p w14:paraId="16C3CC8A" w14:textId="1F84538D" w:rsidR="00FD42E7" w:rsidRPr="00252AC4" w:rsidRDefault="00FD42E7" w:rsidP="002F604E">
      <w:pPr>
        <w:pStyle w:val="Heading2"/>
        <w:rPr>
          <w:rFonts w:hint="eastAsia"/>
        </w:rPr>
      </w:pPr>
      <w:bookmarkStart w:id="201" w:name="_Toc31617783"/>
      <w:bookmarkStart w:id="202" w:name="_Toc31641312"/>
      <w:bookmarkStart w:id="203" w:name="_Toc31650310"/>
      <w:bookmarkStart w:id="204" w:name="_Toc32317011"/>
      <w:bookmarkStart w:id="205" w:name="_Toc32324670"/>
      <w:bookmarkStart w:id="206" w:name="_Toc40103025"/>
      <w:r w:rsidRPr="00252AC4">
        <w:t>Functions and Activities</w:t>
      </w:r>
      <w:bookmarkEnd w:id="201"/>
      <w:bookmarkEnd w:id="202"/>
      <w:bookmarkEnd w:id="203"/>
      <w:bookmarkEnd w:id="204"/>
      <w:bookmarkEnd w:id="205"/>
      <w:bookmarkEnd w:id="206"/>
    </w:p>
    <w:p w14:paraId="3285F9FA" w14:textId="02631514" w:rsidR="00D65579" w:rsidRPr="00252AC4" w:rsidRDefault="00D65579" w:rsidP="00D65579">
      <w:pPr>
        <w:pStyle w:val="Para0"/>
      </w:pPr>
      <w:r w:rsidRPr="00252AC4">
        <w:t>Activity mixes vary from IPA to IPA, although there are some common trends. All IPAs engage in t</w:t>
      </w:r>
      <w:r w:rsidR="008F44DD">
        <w:t>he</w:t>
      </w:r>
      <w:r w:rsidRPr="00252AC4">
        <w:t xml:space="preserve"> four core functions. All of them perform a majority of the image building and investment generation activities. It is in the investment facilitation and </w:t>
      </w:r>
      <w:r w:rsidR="00804690" w:rsidRPr="00252AC4">
        <w:t>policy advocacy</w:t>
      </w:r>
      <w:r w:rsidRPr="00252AC4">
        <w:t xml:space="preserve"> function that their approaches vary the most, </w:t>
      </w:r>
      <w:r w:rsidR="00804690" w:rsidRPr="00252AC4">
        <w:t>reflecting choices on</w:t>
      </w:r>
      <w:r w:rsidRPr="00252AC4">
        <w:t xml:space="preserve"> organisational settings,</w:t>
      </w:r>
      <w:r w:rsidR="00804690" w:rsidRPr="00252AC4">
        <w:t xml:space="preserve"> resource allocation</w:t>
      </w:r>
      <w:r w:rsidRPr="00252AC4">
        <w:t xml:space="preserve"> and strategic focuses.</w:t>
      </w:r>
      <w:r w:rsidR="00F61C5C">
        <w:t xml:space="preserve"> The COVID-19 crisis, however, </w:t>
      </w:r>
      <w:r w:rsidR="00AF661F">
        <w:t>is affecting</w:t>
      </w:r>
      <w:r w:rsidR="00F61C5C">
        <w:t xml:space="preserve"> IPAs’ activity mixes. </w:t>
      </w:r>
      <w:r w:rsidR="00AF661F">
        <w:t xml:space="preserve">In the OECD, </w:t>
      </w:r>
      <w:r w:rsidR="00F61C5C">
        <w:t xml:space="preserve">IPAs </w:t>
      </w:r>
      <w:r w:rsidR="00AF661F">
        <w:t>have been</w:t>
      </w:r>
      <w:r w:rsidR="001974AE">
        <w:t xml:space="preserve"> </w:t>
      </w:r>
      <w:r w:rsidR="00AF661F">
        <w:t>strengthening</w:t>
      </w:r>
      <w:r w:rsidR="00F61C5C">
        <w:t xml:space="preserve"> facilitation and aftercare functions to secure the implementation of ongoing projects, while taking time to </w:t>
      </w:r>
      <w:r w:rsidR="001974AE">
        <w:t>adapt</w:t>
      </w:r>
      <w:r w:rsidR="00F61C5C">
        <w:t xml:space="preserve"> their outreach and marketing approaches</w:t>
      </w:r>
      <w:r w:rsidR="001974AE">
        <w:t xml:space="preserve"> to new conditions</w:t>
      </w:r>
      <w:r w:rsidR="00F61C5C">
        <w:t xml:space="preserve">. </w:t>
      </w:r>
      <w:r w:rsidR="001C10E1">
        <w:t>In the medium</w:t>
      </w:r>
      <w:r w:rsidR="00070EF7">
        <w:t>-</w:t>
      </w:r>
      <w:r w:rsidR="001C10E1">
        <w:t>to</w:t>
      </w:r>
      <w:r w:rsidR="00070EF7">
        <w:t>-</w:t>
      </w:r>
      <w:r w:rsidR="001C10E1">
        <w:t>longer</w:t>
      </w:r>
      <w:r w:rsidR="00070EF7">
        <w:t xml:space="preserve"> </w:t>
      </w:r>
      <w:r w:rsidR="001C10E1">
        <w:t>term, some of them expect to focus more on investor retention and ex</w:t>
      </w:r>
      <w:r w:rsidR="006830AB">
        <w:t>pansion</w:t>
      </w:r>
      <w:r w:rsidR="001C10E1">
        <w:t xml:space="preserve"> than they have done in the past.</w:t>
      </w:r>
      <w:r w:rsidR="00C77863">
        <w:t xml:space="preserve"> The crisis is also triggering the acceleration of digital technology usage for investment promotion activities, as it is the case in many other sectors of activity.</w:t>
      </w:r>
    </w:p>
    <w:p w14:paraId="708A8C71" w14:textId="3EE82072" w:rsidR="00FD42E7" w:rsidRPr="00252AC4" w:rsidRDefault="00FD42E7" w:rsidP="002F604E">
      <w:pPr>
        <w:pStyle w:val="Heading3"/>
      </w:pPr>
      <w:r w:rsidRPr="00252AC4">
        <w:lastRenderedPageBreak/>
        <w:t>On average, Eurasia IPAs perform a similar amount of activities as O</w:t>
      </w:r>
      <w:r w:rsidR="00193B32" w:rsidRPr="00252AC4">
        <w:t xml:space="preserve">ECD IPAs, but they allocate more financial resources to image building than their </w:t>
      </w:r>
      <w:r w:rsidR="0088284A" w:rsidRPr="00252AC4">
        <w:t>peers do</w:t>
      </w:r>
    </w:p>
    <w:p w14:paraId="7F273EB5" w14:textId="7636D81C" w:rsidR="00FD42E7" w:rsidRPr="00252AC4" w:rsidRDefault="00FD42E7" w:rsidP="00FD42E7">
      <w:pPr>
        <w:pStyle w:val="Para0"/>
      </w:pPr>
      <w:r w:rsidRPr="00252AC4">
        <w:t xml:space="preserve">Eurasia IPAs perform 32 investment promotion and facilitation activities </w:t>
      </w:r>
      <w:r w:rsidR="0003067F" w:rsidRPr="00252AC4">
        <w:t>on average (out of a list of 51)</w:t>
      </w:r>
      <w:r w:rsidRPr="00252AC4">
        <w:t xml:space="preserve">, which is </w:t>
      </w:r>
      <w:r w:rsidR="0003067F" w:rsidRPr="00252AC4">
        <w:t>very similar to</w:t>
      </w:r>
      <w:r w:rsidRPr="00252AC4">
        <w:t xml:space="preserve"> OECD</w:t>
      </w:r>
      <w:r w:rsidR="0003067F" w:rsidRPr="00252AC4">
        <w:t xml:space="preserve"> and LAC</w:t>
      </w:r>
      <w:r w:rsidRPr="00252AC4">
        <w:t xml:space="preserve"> IPAs</w:t>
      </w:r>
      <w:r w:rsidR="00706535" w:rsidRPr="00252AC4">
        <w:t xml:space="preserve"> (</w:t>
      </w:r>
      <w:r w:rsidR="00C9473E" w:rsidRPr="00252AC4">
        <w:t>Figure 2.1</w:t>
      </w:r>
      <w:r w:rsidR="00706535" w:rsidRPr="00252AC4">
        <w:t>)</w:t>
      </w:r>
      <w:r w:rsidRPr="00252AC4">
        <w:t>.</w:t>
      </w:r>
      <w:r w:rsidR="0003067F" w:rsidRPr="00252AC4">
        <w:t xml:space="preserve"> </w:t>
      </w:r>
      <w:r w:rsidR="00E5320A" w:rsidRPr="00252AC4">
        <w:t xml:space="preserve">It </w:t>
      </w:r>
      <w:r w:rsidR="005F62F3" w:rsidRPr="00252AC4">
        <w:t xml:space="preserve">may </w:t>
      </w:r>
      <w:r w:rsidR="00E5320A" w:rsidRPr="00252AC4">
        <w:t>seem surprising that Eurasia IPAs’ activity portfolios are as wide as</w:t>
      </w:r>
      <w:r w:rsidR="005F62F3" w:rsidRPr="00252AC4">
        <w:t xml:space="preserve"> those of</w:t>
      </w:r>
      <w:r w:rsidR="00E5320A" w:rsidRPr="00252AC4">
        <w:t xml:space="preserve"> OECD</w:t>
      </w:r>
      <w:r w:rsidR="005F62F3" w:rsidRPr="00252AC4">
        <w:t xml:space="preserve"> peers</w:t>
      </w:r>
      <w:r w:rsidR="00E5320A" w:rsidRPr="00252AC4">
        <w:t xml:space="preserve">, </w:t>
      </w:r>
      <w:r w:rsidR="005F62F3" w:rsidRPr="00252AC4">
        <w:t xml:space="preserve">as </w:t>
      </w:r>
      <w:r w:rsidR="00E5320A" w:rsidRPr="00252AC4">
        <w:t>they have lower resources on average.</w:t>
      </w:r>
      <w:r w:rsidRPr="00252AC4">
        <w:t xml:space="preserve"> </w:t>
      </w:r>
      <w:r w:rsidR="009C18E6" w:rsidRPr="00252AC4">
        <w:t xml:space="preserve">Whether they carry out all these activities with the same level of intensity, </w:t>
      </w:r>
      <w:r w:rsidR="005F62F3" w:rsidRPr="00252AC4">
        <w:t>though</w:t>
      </w:r>
      <w:r w:rsidR="009C18E6" w:rsidRPr="00252AC4">
        <w:t xml:space="preserve">, </w:t>
      </w:r>
      <w:r w:rsidR="005F62F3" w:rsidRPr="00252AC4">
        <w:t>is another matter entirely</w:t>
      </w:r>
      <w:r w:rsidR="009C18E6" w:rsidRPr="00252AC4">
        <w:t xml:space="preserve">. </w:t>
      </w:r>
      <w:r w:rsidR="00E5320A" w:rsidRPr="00252AC4">
        <w:t xml:space="preserve">Moreover, </w:t>
      </w:r>
      <w:r w:rsidRPr="00252AC4">
        <w:t xml:space="preserve">while </w:t>
      </w:r>
      <w:r w:rsidR="009C18E6" w:rsidRPr="00252AC4">
        <w:t xml:space="preserve">some </w:t>
      </w:r>
      <w:r w:rsidRPr="00252AC4">
        <w:t>small agencies such as Mongolia perform the majority of acti</w:t>
      </w:r>
      <w:r w:rsidR="004F2512" w:rsidRPr="00252AC4">
        <w:t>vities listed in the survey</w:t>
      </w:r>
      <w:r w:rsidRPr="00252AC4">
        <w:t>, some larger agencies</w:t>
      </w:r>
      <w:r w:rsidR="00E5320A" w:rsidRPr="00252AC4">
        <w:t>,</w:t>
      </w:r>
      <w:r w:rsidRPr="00252AC4">
        <w:t xml:space="preserve"> such as Uz</w:t>
      </w:r>
      <w:r w:rsidR="00E5320A" w:rsidRPr="00252AC4">
        <w:t xml:space="preserve">bekistan, perform very </w:t>
      </w:r>
      <w:r w:rsidR="005F62F3" w:rsidRPr="00252AC4">
        <w:t>few</w:t>
      </w:r>
      <w:r w:rsidRPr="00252AC4">
        <w:t>.</w:t>
      </w:r>
    </w:p>
    <w:p w14:paraId="5A08E622" w14:textId="403FFCD8" w:rsidR="00C9473E" w:rsidRPr="00252AC4" w:rsidRDefault="00C9473E" w:rsidP="0051394F">
      <w:pPr>
        <w:pStyle w:val="Caption"/>
      </w:pPr>
      <w:bookmarkStart w:id="207" w:name="_Toc34647257"/>
      <w:bookmarkStart w:id="208" w:name="_Ref31631287"/>
      <w:bookmarkStart w:id="209" w:name="_Toc31617743"/>
      <w:bookmarkStart w:id="210" w:name="_Toc31641342"/>
      <w:bookmarkStart w:id="211" w:name="_Toc31650342"/>
      <w:bookmarkStart w:id="212" w:name="_Toc32317047"/>
      <w:bookmarkStart w:id="213" w:name="_Toc32324706"/>
      <w:r w:rsidRPr="00252AC4">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w:t>
      </w:r>
      <w:r w:rsidRPr="00252AC4">
        <w:rPr>
          <w:noProof/>
        </w:rPr>
        <w:fldChar w:fldCharType="end"/>
      </w:r>
      <w:r w:rsidRPr="00252AC4">
        <w:t xml:space="preserve">. Number of investment promotion and facilitation activities </w:t>
      </w:r>
      <w:r w:rsidRPr="00252AC4">
        <w:br/>
        <w:t>in Eurasia and other regions</w:t>
      </w:r>
      <w:bookmarkEnd w:id="207"/>
    </w:p>
    <w:p w14:paraId="20DFDB49" w14:textId="6A86053B" w:rsidR="00C9473E" w:rsidRPr="00252AC4" w:rsidRDefault="007D75DD" w:rsidP="00C9473E">
      <w:pPr>
        <w:pStyle w:val="Figure"/>
        <w:rPr>
          <w:noProof/>
          <w:lang w:eastAsia="en-GB"/>
        </w:rPr>
      </w:pPr>
      <w:r w:rsidRPr="00252AC4">
        <w:rPr>
          <w:noProof/>
          <w:lang w:eastAsia="en-GB"/>
        </w:rPr>
        <w:object w:dxaOrig="7770" w:dyaOrig="4540" w14:anchorId="6196CDEC">
          <v:shape id="_x0000_i1039" type="#_x0000_t75" style="width:251.45pt;height:147.8pt" o:ole="">
            <v:imagedata r:id="rId51" o:title=""/>
          </v:shape>
          <o:OLEObject Type="Link" ProgID="Excel.Sheet.12" ShapeID="_x0000_i1039" DrawAspect="Content" r:id="rId52" UpdateMode="Always">
            <o:LinkType>EnhancedMetaFile</o:LinkType>
            <o:LockedField>false</o:LockedField>
          </o:OLEObject>
        </w:object>
      </w:r>
    </w:p>
    <w:p w14:paraId="0E83EB70" w14:textId="5B603D6E" w:rsidR="00C9473E" w:rsidRPr="00252AC4" w:rsidRDefault="00C9473E" w:rsidP="0051394F">
      <w:pPr>
        <w:pStyle w:val="Sourcenotes"/>
      </w:pPr>
      <w:r w:rsidRPr="00252AC4">
        <w:rPr>
          <w:i/>
        </w:rPr>
        <w:t>Source</w:t>
      </w:r>
      <w:r w:rsidRPr="00252AC4">
        <w:t>: OECD-IDB survey of inves</w:t>
      </w:r>
      <w:r w:rsidR="00C21B57" w:rsidRPr="00252AC4">
        <w:t>tment promotion agencies (2020)</w:t>
      </w:r>
    </w:p>
    <w:bookmarkEnd w:id="208"/>
    <w:bookmarkEnd w:id="209"/>
    <w:bookmarkEnd w:id="210"/>
    <w:bookmarkEnd w:id="211"/>
    <w:bookmarkEnd w:id="212"/>
    <w:bookmarkEnd w:id="213"/>
    <w:p w14:paraId="08E7F31C" w14:textId="0496E77B" w:rsidR="00193B32" w:rsidRPr="00252AC4" w:rsidRDefault="00193B32" w:rsidP="00CC349A">
      <w:pPr>
        <w:pStyle w:val="Para0"/>
      </w:pPr>
      <w:r w:rsidRPr="00252AC4">
        <w:t xml:space="preserve">The way IPAs allocate their resources across the four core functions </w:t>
      </w:r>
      <w:r w:rsidR="005F62F3" w:rsidRPr="00252AC4">
        <w:t xml:space="preserve">varies </w:t>
      </w:r>
      <w:r w:rsidR="00332074" w:rsidRPr="00252AC4">
        <w:t>greatly across agencies</w:t>
      </w:r>
      <w:r w:rsidRPr="00252AC4">
        <w:t xml:space="preserve">, </w:t>
      </w:r>
      <w:r w:rsidR="005F62F3" w:rsidRPr="00252AC4">
        <w:t>reflecting a number of</w:t>
      </w:r>
      <w:r w:rsidRPr="00252AC4">
        <w:t xml:space="preserve"> factors. While </w:t>
      </w:r>
      <w:r w:rsidR="005F62F3" w:rsidRPr="00252AC4">
        <w:t xml:space="preserve">certain </w:t>
      </w:r>
      <w:r w:rsidRPr="00252AC4">
        <w:t xml:space="preserve">functions </w:t>
      </w:r>
      <w:r w:rsidR="00332074" w:rsidRPr="00252AC4">
        <w:t>tend to be more costly than others</w:t>
      </w:r>
      <w:r w:rsidRPr="00252AC4">
        <w:t xml:space="preserve"> </w:t>
      </w:r>
      <w:r w:rsidR="00332074" w:rsidRPr="00252AC4">
        <w:t>because</w:t>
      </w:r>
      <w:r w:rsidRPr="00252AC4">
        <w:t xml:space="preserve"> they are more personnel-intensive, some IPAs tend to focus resources on specific areas, often tied to their mission statement</w:t>
      </w:r>
      <w:r w:rsidR="005F62F3" w:rsidRPr="00252AC4">
        <w:t>s</w:t>
      </w:r>
      <w:r w:rsidRPr="00252AC4">
        <w:t xml:space="preserve"> and </w:t>
      </w:r>
      <w:r w:rsidR="005F62F3" w:rsidRPr="00252AC4">
        <w:t>strategies</w:t>
      </w:r>
      <w:r w:rsidRPr="00252AC4">
        <w:t xml:space="preserve">, to achieve policy objectives. Finding an appropriate activity mix can be challenging, particularly for agencies with limited financial and human resources </w:t>
      </w:r>
      <w:sdt>
        <w:sdtPr>
          <w:id w:val="323247479"/>
          <w:citation/>
        </w:sdtPr>
        <w:sdtEndPr/>
        <w:sdtContent>
          <w:r w:rsidRPr="00252AC4">
            <w:fldChar w:fldCharType="begin"/>
          </w:r>
          <w:r w:rsidRPr="00252AC4">
            <w:instrText xml:space="preserve"> CITATION OEC18 \l 2057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w:t>
      </w:r>
      <w:r w:rsidR="00CC349A" w:rsidRPr="00252AC4">
        <w:t xml:space="preserve"> Reporting on their financials is not easy for some Eurasia IPAs, because either they do not have a delimited budget for investment promotion, and in this case, even total budget estimates are hard to get, or their organisation is too small to break down their activity into different functions.</w:t>
      </w:r>
    </w:p>
    <w:p w14:paraId="45664021" w14:textId="2E68B215" w:rsidR="00193B32" w:rsidRPr="00252AC4" w:rsidRDefault="00CC349A" w:rsidP="00193B32">
      <w:pPr>
        <w:pStyle w:val="Para0"/>
      </w:pPr>
      <w:r w:rsidRPr="00252AC4">
        <w:t>I</w:t>
      </w:r>
      <w:r w:rsidR="00193B32" w:rsidRPr="00252AC4">
        <w:t>mage building and investment generation jointly account for around two thirds of Eurasia IPAs’ budget</w:t>
      </w:r>
      <w:r w:rsidR="005F62F3" w:rsidRPr="00252AC4">
        <w:t>s</w:t>
      </w:r>
      <w:r w:rsidR="00193B32" w:rsidRPr="00252AC4">
        <w:t xml:space="preserve"> (</w:t>
      </w:r>
      <w:r w:rsidR="002E06AB" w:rsidRPr="00252AC4">
        <w:t>Figure 2.2</w:t>
      </w:r>
      <w:r w:rsidR="00193B32" w:rsidRPr="00252AC4">
        <w:t xml:space="preserve">). </w:t>
      </w:r>
      <w:r w:rsidR="00A13D65" w:rsidRPr="00252AC4">
        <w:t xml:space="preserve">In particular, Eurasia IPAs allocate a higher share of their budgets to image building activities than their OECD counterparts, as do those in MENA and, to a lesser extent, LAC. </w:t>
      </w:r>
      <w:r w:rsidR="00193B32" w:rsidRPr="00252AC4">
        <w:t xml:space="preserve">OECD IPAs devote more budget to investment facilitation and retention (29%) than to image building (19%). The policy advocacy function receives the lowest financial resources, as in other regions. </w:t>
      </w:r>
    </w:p>
    <w:p w14:paraId="2651A964" w14:textId="060FF3AE" w:rsidR="002E06AB" w:rsidRPr="00252AC4" w:rsidRDefault="002E06AB" w:rsidP="0051394F">
      <w:pPr>
        <w:pStyle w:val="Caption"/>
      </w:pPr>
      <w:bookmarkStart w:id="214" w:name="_Toc34647258"/>
      <w:bookmarkStart w:id="215" w:name="_Ref31625057"/>
      <w:bookmarkStart w:id="216" w:name="_Toc31617744"/>
      <w:bookmarkStart w:id="217" w:name="_Toc31641343"/>
      <w:bookmarkStart w:id="218" w:name="_Toc31650343"/>
      <w:bookmarkStart w:id="219" w:name="_Toc32317048"/>
      <w:bookmarkStart w:id="220" w:name="_Toc32324707"/>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2</w:t>
      </w:r>
      <w:r w:rsidRPr="00252AC4">
        <w:rPr>
          <w:noProof/>
        </w:rPr>
        <w:fldChar w:fldCharType="end"/>
      </w:r>
      <w:r w:rsidRPr="00252AC4">
        <w:t>. IPA budget allocation across functions in Eurasia and other regions</w:t>
      </w:r>
      <w:bookmarkEnd w:id="214"/>
    </w:p>
    <w:p w14:paraId="3ACC8C81" w14:textId="0D185D7C" w:rsidR="002E06AB" w:rsidRPr="00252AC4" w:rsidRDefault="002E06AB" w:rsidP="002E06AB">
      <w:pPr>
        <w:pStyle w:val="CaptionSubtitle"/>
      </w:pPr>
      <w:r w:rsidRPr="00252AC4">
        <w:t>In % of annual budget</w:t>
      </w:r>
      <w:r w:rsidR="00C21B57" w:rsidRPr="00252AC4">
        <w:t>.</w:t>
      </w:r>
    </w:p>
    <w:p w14:paraId="7BB32CDF" w14:textId="517816B1" w:rsidR="002E06AB" w:rsidRPr="00252AC4" w:rsidRDefault="007D75DD" w:rsidP="002E06AB">
      <w:pPr>
        <w:pStyle w:val="Figure"/>
        <w:rPr>
          <w:noProof/>
          <w:lang w:eastAsia="en-GB"/>
        </w:rPr>
      </w:pPr>
      <w:r w:rsidRPr="00252AC4">
        <w:rPr>
          <w:noProof/>
          <w:lang w:eastAsia="en-GB"/>
        </w:rPr>
        <w:object w:dxaOrig="6220" w:dyaOrig="4700" w14:anchorId="371B04CF">
          <v:shape id="_x0000_i1040" type="#_x0000_t75" style="width:289.1pt;height:219.8pt" o:ole="">
            <v:imagedata r:id="rId53" o:title=""/>
          </v:shape>
          <o:OLEObject Type="Link" ProgID="Excel.Sheet.12" ShapeID="_x0000_i1040" DrawAspect="Content" r:id="rId54" UpdateMode="Always">
            <o:LinkType>EnhancedMetaFile</o:LinkType>
            <o:LockedField>false</o:LockedField>
          </o:OLEObject>
        </w:object>
      </w:r>
    </w:p>
    <w:p w14:paraId="7D04DE2A" w14:textId="396579B0" w:rsidR="002E06AB" w:rsidRPr="00252AC4" w:rsidRDefault="002E06AB" w:rsidP="0051394F">
      <w:pPr>
        <w:pStyle w:val="Sourcenotes"/>
      </w:pPr>
      <w:r w:rsidRPr="00252AC4">
        <w:rPr>
          <w:i/>
        </w:rPr>
        <w:t>Source</w:t>
      </w:r>
      <w:r w:rsidRPr="00252AC4">
        <w:t>: OECD-IDB survey of investment pro</w:t>
      </w:r>
      <w:r w:rsidR="00C21B57" w:rsidRPr="00252AC4">
        <w:t>motion agencies (2020)</w:t>
      </w:r>
    </w:p>
    <w:bookmarkEnd w:id="215"/>
    <w:bookmarkEnd w:id="216"/>
    <w:bookmarkEnd w:id="217"/>
    <w:bookmarkEnd w:id="218"/>
    <w:bookmarkEnd w:id="219"/>
    <w:bookmarkEnd w:id="220"/>
    <w:p w14:paraId="1BA9F35E" w14:textId="09209C6C" w:rsidR="00731A74" w:rsidRPr="00252AC4" w:rsidRDefault="008E3FCA" w:rsidP="008E3FCA">
      <w:pPr>
        <w:pStyle w:val="Para0"/>
      </w:pPr>
      <w:r w:rsidRPr="00252AC4">
        <w:t>When exploring the investment promotion system, the OECD suggests that image building and investment generation can be bundled together in a broader “promotion” umbrella function, while “facilitation” brings together investor servicing, aftercare (including business linkage programmes) and policy advocacy. The discussion below follows this logic.</w:t>
      </w:r>
    </w:p>
    <w:p w14:paraId="500D7EFE" w14:textId="2C6346D7" w:rsidR="00FD42E7" w:rsidRPr="00252AC4" w:rsidRDefault="009D23EC" w:rsidP="002F604E">
      <w:pPr>
        <w:pStyle w:val="Heading3"/>
      </w:pPr>
      <w:r w:rsidRPr="00252AC4">
        <w:t>Image-building efforts could benefit from</w:t>
      </w:r>
      <w:r w:rsidR="00744C1D">
        <w:t xml:space="preserve"> better online communication tools</w:t>
      </w:r>
      <w:r w:rsidR="00A52AEC">
        <w:t xml:space="preserve"> and </w:t>
      </w:r>
      <w:r w:rsidRPr="00252AC4">
        <w:t>greater regional co-operation</w:t>
      </w:r>
    </w:p>
    <w:p w14:paraId="4786BC0B" w14:textId="69EA07F9" w:rsidR="0005547B" w:rsidRPr="00252AC4" w:rsidRDefault="00363156" w:rsidP="0005547B">
      <w:pPr>
        <w:pStyle w:val="Para0"/>
      </w:pPr>
      <w:r w:rsidRPr="00252AC4">
        <w:t xml:space="preserve">Eurasia IPA’s </w:t>
      </w:r>
      <w:r w:rsidR="00CB6D4D" w:rsidRPr="00252AC4">
        <w:t>emphasis</w:t>
      </w:r>
      <w:r w:rsidRPr="00252AC4">
        <w:t xml:space="preserve"> on image building is part of </w:t>
      </w:r>
      <w:r w:rsidR="00CB6D4D" w:rsidRPr="00252AC4">
        <w:t xml:space="preserve">an </w:t>
      </w:r>
      <w:r w:rsidRPr="00252AC4">
        <w:t xml:space="preserve">overall effort to put themselves “on the map” as attractive destinations. Wells and Wint </w:t>
      </w:r>
      <w:sdt>
        <w:sdtPr>
          <w:id w:val="-2117362724"/>
          <w:citation/>
        </w:sdtPr>
        <w:sdtEndPr/>
        <w:sdtContent>
          <w:r w:rsidRPr="00252AC4">
            <w:fldChar w:fldCharType="begin"/>
          </w:r>
          <w:r w:rsidRPr="00252AC4">
            <w:instrText xml:space="preserve">CITATION Mendeley_y8Uz9Oej2TuI0Fkqob5EoA \n  \l 1036 </w:instrText>
          </w:r>
          <w:r w:rsidRPr="00252AC4">
            <w:fldChar w:fldCharType="separate"/>
          </w:r>
          <w:r w:rsidR="00E259C6" w:rsidRPr="00252AC4">
            <w:rPr>
              <w:noProof/>
            </w:rPr>
            <w:t>(2000</w:t>
          </w:r>
          <w:r w:rsidR="00E259C6" w:rsidRPr="00252AC4">
            <w:rPr>
              <w:noProof/>
              <w:vertAlign w:val="subscript"/>
            </w:rPr>
            <w:t>[13]</w:t>
          </w:r>
          <w:r w:rsidR="00E259C6" w:rsidRPr="00252AC4">
            <w:rPr>
              <w:noProof/>
            </w:rPr>
            <w:t>)</w:t>
          </w:r>
          <w:r w:rsidRPr="00252AC4">
            <w:fldChar w:fldCharType="end"/>
          </w:r>
        </w:sdtContent>
      </w:sdt>
      <w:r w:rsidRPr="00252AC4">
        <w:t xml:space="preserve"> </w:t>
      </w:r>
      <w:r w:rsidR="00F30C09" w:rsidRPr="00252AC4">
        <w:t>suggest that countries needing to position or re-position their image</w:t>
      </w:r>
      <w:r w:rsidR="00CB6D4D" w:rsidRPr="00252AC4">
        <w:t>s</w:t>
      </w:r>
      <w:r w:rsidR="00F30C09" w:rsidRPr="00252AC4">
        <w:t xml:space="preserve"> will invest more </w:t>
      </w:r>
      <w:r w:rsidR="008F4AAE" w:rsidRPr="00252AC4">
        <w:t xml:space="preserve">in </w:t>
      </w:r>
      <w:r w:rsidR="00CB6D4D" w:rsidRPr="00252AC4">
        <w:t>such</w:t>
      </w:r>
      <w:r w:rsidR="00F30C09" w:rsidRPr="00252AC4">
        <w:t xml:space="preserve"> activities.</w:t>
      </w:r>
      <w:r w:rsidRPr="00252AC4">
        <w:t xml:space="preserve"> </w:t>
      </w:r>
      <w:r w:rsidR="00F30C09" w:rsidRPr="00252AC4">
        <w:t xml:space="preserve">OECD work on investment promotion tends to confirm this trend. </w:t>
      </w:r>
      <w:r w:rsidRPr="00252AC4">
        <w:t xml:space="preserve">Eurasia </w:t>
      </w:r>
      <w:r w:rsidR="00F30C09" w:rsidRPr="00252AC4">
        <w:t xml:space="preserve">market </w:t>
      </w:r>
      <w:r w:rsidRPr="00252AC4">
        <w:t>economies</w:t>
      </w:r>
      <w:r w:rsidR="00F30C09" w:rsidRPr="00252AC4">
        <w:t xml:space="preserve"> are relatively young, most of their domestic markets are small, </w:t>
      </w:r>
      <w:r w:rsidR="00B23598" w:rsidRPr="00252AC4">
        <w:t>and a number of them have had limited success in attracting investments outside of resource</w:t>
      </w:r>
      <w:r w:rsidR="00CB6D4D" w:rsidRPr="00252AC4">
        <w:t>-extraction</w:t>
      </w:r>
      <w:r w:rsidR="00B23598" w:rsidRPr="00252AC4">
        <w:t xml:space="preserve"> sectors. </w:t>
      </w:r>
      <w:r w:rsidR="0005547B" w:rsidRPr="00252AC4">
        <w:t>Ukraine</w:t>
      </w:r>
      <w:r w:rsidR="00B23598" w:rsidRPr="00252AC4">
        <w:t xml:space="preserve"> is </w:t>
      </w:r>
      <w:r w:rsidR="00790423" w:rsidRPr="00252AC4">
        <w:t xml:space="preserve">a </w:t>
      </w:r>
      <w:r w:rsidR="00B23598" w:rsidRPr="00252AC4">
        <w:t>good example: the country</w:t>
      </w:r>
      <w:r w:rsidR="0005547B" w:rsidRPr="00252AC4">
        <w:t xml:space="preserve"> has been facing severe security challenges in the past six years, </w:t>
      </w:r>
      <w:r w:rsidR="00B23598" w:rsidRPr="00252AC4">
        <w:t xml:space="preserve">and </w:t>
      </w:r>
      <w:r w:rsidR="0005547B" w:rsidRPr="00252AC4">
        <w:t xml:space="preserve">has been actively </w:t>
      </w:r>
      <w:r w:rsidR="00607626" w:rsidRPr="00252AC4">
        <w:t>working</w:t>
      </w:r>
      <w:r w:rsidR="0005547B" w:rsidRPr="00252AC4">
        <w:t xml:space="preserve"> to</w:t>
      </w:r>
      <w:r w:rsidR="00607626" w:rsidRPr="00252AC4">
        <w:t xml:space="preserve"> improve</w:t>
      </w:r>
      <w:r w:rsidR="0005547B" w:rsidRPr="00252AC4">
        <w:t xml:space="preserve"> </w:t>
      </w:r>
      <w:r w:rsidR="00607626" w:rsidRPr="00252AC4">
        <w:t xml:space="preserve">its </w:t>
      </w:r>
      <w:r w:rsidR="0005547B" w:rsidRPr="00252AC4">
        <w:t xml:space="preserve">image </w:t>
      </w:r>
      <w:r w:rsidR="00607626" w:rsidRPr="00252AC4">
        <w:t>as</w:t>
      </w:r>
      <w:r w:rsidR="0005547B" w:rsidRPr="00252AC4">
        <w:t xml:space="preserve"> </w:t>
      </w:r>
      <w:r w:rsidR="00607626" w:rsidRPr="00252AC4">
        <w:t>an interesting location for business by</w:t>
      </w:r>
      <w:r w:rsidR="0005547B" w:rsidRPr="00252AC4">
        <w:t xml:space="preserve"> </w:t>
      </w:r>
      <w:r w:rsidR="00607626" w:rsidRPr="00252AC4">
        <w:t>promoting</w:t>
      </w:r>
      <w:r w:rsidR="0005547B" w:rsidRPr="00252AC4">
        <w:t xml:space="preserve"> on </w:t>
      </w:r>
      <w:r w:rsidR="00607626" w:rsidRPr="00252AC4">
        <w:t xml:space="preserve">its </w:t>
      </w:r>
      <w:r w:rsidR="0005547B" w:rsidRPr="00252AC4">
        <w:t>national talent in the information and communication technologies sector.</w:t>
      </w:r>
      <w:r w:rsidR="00DF1718" w:rsidRPr="00252AC4">
        <w:t xml:space="preserve"> Moreover, IPAs in their early stages of development tend to dedicate more resources to image building, which can also explain the observed trend in Eurasia.</w:t>
      </w:r>
    </w:p>
    <w:p w14:paraId="0B532105" w14:textId="77777777" w:rsidR="00A52AEC" w:rsidRDefault="00607626" w:rsidP="004D1DC4">
      <w:pPr>
        <w:pStyle w:val="Para0"/>
      </w:pPr>
      <w:r w:rsidRPr="00252AC4">
        <w:t>To build their image</w:t>
      </w:r>
      <w:r w:rsidR="00CB6D4D" w:rsidRPr="00252AC4">
        <w:t>s</w:t>
      </w:r>
      <w:r w:rsidRPr="00252AC4">
        <w:t xml:space="preserve"> as attractive investment location</w:t>
      </w:r>
      <w:r w:rsidR="00CB6D4D" w:rsidRPr="00252AC4">
        <w:t>s</w:t>
      </w:r>
      <w:r w:rsidRPr="00252AC4">
        <w:t xml:space="preserve">, Eurasia countries’ IPAs use similar activity mixes as their peers from other regions, albeit in different proportions </w:t>
      </w:r>
      <w:r w:rsidR="009F4470" w:rsidRPr="00252AC4">
        <w:t>(</w:t>
      </w:r>
      <w:r w:rsidR="00BF4453" w:rsidRPr="00252AC4">
        <w:t>Figure 2.3</w:t>
      </w:r>
      <w:r w:rsidR="009F4470" w:rsidRPr="00252AC4">
        <w:t>)</w:t>
      </w:r>
      <w:r w:rsidRPr="00252AC4">
        <w:t xml:space="preserve">. </w:t>
      </w:r>
      <w:r w:rsidR="009F4470" w:rsidRPr="00252AC4">
        <w:t>A</w:t>
      </w:r>
      <w:r w:rsidRPr="00252AC4">
        <w:t xml:space="preserve">ll Eurasia IPAs </w:t>
      </w:r>
      <w:r w:rsidR="009F4470" w:rsidRPr="00252AC4">
        <w:t>have</w:t>
      </w:r>
      <w:r w:rsidRPr="00252AC4">
        <w:t xml:space="preserve"> a website, </w:t>
      </w:r>
      <w:r w:rsidR="009F4470" w:rsidRPr="00252AC4">
        <w:t>produce</w:t>
      </w:r>
      <w:r w:rsidRPr="00252AC4">
        <w:t xml:space="preserve"> and </w:t>
      </w:r>
      <w:r w:rsidR="009F4470" w:rsidRPr="00252AC4">
        <w:t>diss</w:t>
      </w:r>
      <w:r w:rsidR="00D87133" w:rsidRPr="00252AC4">
        <w:t>e</w:t>
      </w:r>
      <w:r w:rsidR="009F4470" w:rsidRPr="00252AC4">
        <w:t>minate</w:t>
      </w:r>
      <w:r w:rsidRPr="00252AC4">
        <w:t xml:space="preserve"> promotion material (such as brochures, investm</w:t>
      </w:r>
      <w:r w:rsidR="00D87133" w:rsidRPr="00252AC4">
        <w:t>ent guides, etc.), and attend</w:t>
      </w:r>
      <w:r w:rsidRPr="00252AC4">
        <w:t xml:space="preserve"> general road shows and business fora abroad. </w:t>
      </w:r>
      <w:r w:rsidR="00D87133" w:rsidRPr="00252AC4">
        <w:t xml:space="preserve">They also use more domestic and international media advertising such as TV, print or radio than OECD IPAs. They participate less in high-level missions abroad and </w:t>
      </w:r>
      <w:r w:rsidR="00263E5D" w:rsidRPr="00252AC4">
        <w:t xml:space="preserve">host </w:t>
      </w:r>
      <w:r w:rsidR="00CB6D4D" w:rsidRPr="00252AC4">
        <w:t xml:space="preserve">fewer </w:t>
      </w:r>
      <w:r w:rsidR="00263E5D" w:rsidRPr="00252AC4">
        <w:t>incoming missions than</w:t>
      </w:r>
      <w:r w:rsidR="00D87133" w:rsidRPr="00252AC4">
        <w:t xml:space="preserve"> their peers, however.</w:t>
      </w:r>
      <w:r w:rsidR="003A418D">
        <w:t xml:space="preserve"> </w:t>
      </w:r>
    </w:p>
    <w:p w14:paraId="7120EEBE" w14:textId="2DE33EBF" w:rsidR="00363156" w:rsidRPr="00252AC4" w:rsidRDefault="00A52AEC" w:rsidP="004D1DC4">
      <w:pPr>
        <w:pStyle w:val="Para0"/>
      </w:pPr>
      <w:r>
        <w:lastRenderedPageBreak/>
        <w:t xml:space="preserve">Eurasia IPAs </w:t>
      </w:r>
      <w:r w:rsidR="00070EF7">
        <w:t>need</w:t>
      </w:r>
      <w:r>
        <w:t xml:space="preserve"> better online communications tools for investors</w:t>
      </w:r>
      <w:r w:rsidR="00F9213A">
        <w:t xml:space="preserve">, </w:t>
      </w:r>
      <w:r w:rsidR="00070EF7">
        <w:t xml:space="preserve">particularly their </w:t>
      </w:r>
      <w:r w:rsidR="00F9213A">
        <w:t>websites</w:t>
      </w:r>
      <w:r>
        <w:t xml:space="preserve">. After causing the cancellation of many international investment events and fairs, the COVID-19 pandemic has resulted in the transfer of </w:t>
      </w:r>
      <w:r w:rsidR="00070EF7">
        <w:t>many</w:t>
      </w:r>
      <w:r>
        <w:t xml:space="preserve"> promotional activities online, and the quality of remote communication tools is more important than ever. Well-designed websites</w:t>
      </w:r>
      <w:r w:rsidR="00A07863">
        <w:t xml:space="preserve"> in English,</w:t>
      </w:r>
      <w:r>
        <w:t xml:space="preserve"> easy to find </w:t>
      </w:r>
      <w:r w:rsidR="00070EF7">
        <w:t>via internet searches of</w:t>
      </w:r>
      <w:r>
        <w:t xml:space="preserve"> key words related to investment</w:t>
      </w:r>
      <w:r w:rsidR="00A07863">
        <w:t>,</w:t>
      </w:r>
      <w:r>
        <w:t xml:space="preserve"> </w:t>
      </w:r>
      <w:r w:rsidR="00F9213A">
        <w:t xml:space="preserve">and </w:t>
      </w:r>
      <w:r w:rsidR="00A07863">
        <w:t>providing</w:t>
      </w:r>
      <w:r>
        <w:t xml:space="preserve"> quality information</w:t>
      </w:r>
      <w:r w:rsidR="00A07863">
        <w:t xml:space="preserve"> to </w:t>
      </w:r>
      <w:r w:rsidR="00887DC9">
        <w:t xml:space="preserve">the international </w:t>
      </w:r>
      <w:r w:rsidR="00A07863">
        <w:t>investor</w:t>
      </w:r>
      <w:r w:rsidR="00887DC9">
        <w:t xml:space="preserve"> community</w:t>
      </w:r>
      <w:r w:rsidR="00A07863">
        <w:t>, are especially important. OECD IPAs have rapidly put COVID-related information online to help foreign investors understand government measures</w:t>
      </w:r>
      <w:r w:rsidR="00F9213A">
        <w:t xml:space="preserve"> and how they affect or apply to them</w:t>
      </w:r>
      <w:r w:rsidR="00A07863">
        <w:t xml:space="preserve">. A quick </w:t>
      </w:r>
      <w:r w:rsidR="00070EF7">
        <w:t>internet</w:t>
      </w:r>
      <w:r w:rsidR="00A07863">
        <w:t xml:space="preserve"> search in English shows that websites of Eurasia IPAs can be difficult to find</w:t>
      </w:r>
      <w:r w:rsidR="00070EF7">
        <w:t>;</w:t>
      </w:r>
      <w:r w:rsidR="00A07863">
        <w:t xml:space="preserve"> at the time </w:t>
      </w:r>
      <w:r w:rsidR="00070EF7">
        <w:t>of writing (April 2020)</w:t>
      </w:r>
      <w:r w:rsidR="00A07863">
        <w:t xml:space="preserve">, only </w:t>
      </w:r>
      <w:r w:rsidR="006045AF">
        <w:t xml:space="preserve">the IPAs of </w:t>
      </w:r>
      <w:r w:rsidR="00A07863">
        <w:t>Kazakhstan and Ukraine have put information on COVID</w:t>
      </w:r>
      <w:r w:rsidR="00887DC9">
        <w:t>-related</w:t>
      </w:r>
      <w:r w:rsidR="00A07863">
        <w:t xml:space="preserve"> measures on their home pages.</w:t>
      </w:r>
    </w:p>
    <w:p w14:paraId="123A27F7" w14:textId="2470F185" w:rsidR="00FD42E7" w:rsidRPr="00252AC4" w:rsidRDefault="00070EF7" w:rsidP="00DC1DBC">
      <w:pPr>
        <w:pStyle w:val="Para0"/>
      </w:pPr>
      <w:r>
        <w:t>In the</w:t>
      </w:r>
      <w:r w:rsidR="00A52AEC">
        <w:t xml:space="preserve"> longer term, </w:t>
      </w:r>
      <w:r w:rsidR="00150F6B" w:rsidRPr="00252AC4">
        <w:t xml:space="preserve">Eurasia IPAs could consider </w:t>
      </w:r>
      <w:r w:rsidR="00D03068" w:rsidRPr="00252AC4">
        <w:t>following the</w:t>
      </w:r>
      <w:r w:rsidR="00150F6B" w:rsidRPr="00252AC4">
        <w:t xml:space="preserve"> example </w:t>
      </w:r>
      <w:r w:rsidR="00D03068" w:rsidRPr="00252AC4">
        <w:t>of</w:t>
      </w:r>
      <w:r w:rsidR="00150F6B" w:rsidRPr="00252AC4">
        <w:t xml:space="preserve"> Scandinavian countries, which undertake some joint promotion </w:t>
      </w:r>
      <w:r w:rsidR="00D03068" w:rsidRPr="00252AC4">
        <w:t>actions</w:t>
      </w:r>
      <w:r w:rsidR="00150F6B" w:rsidRPr="00252AC4">
        <w:t xml:space="preserve"> to attract foreign investment</w:t>
      </w:r>
      <w:r w:rsidR="00150F6B" w:rsidRPr="00252AC4">
        <w:rPr>
          <w:rStyle w:val="FootnoteReference"/>
        </w:rPr>
        <w:footnoteReference w:id="3"/>
      </w:r>
      <w:r w:rsidR="00150F6B" w:rsidRPr="00252AC4">
        <w:t>.</w:t>
      </w:r>
      <w:r w:rsidR="00D24640" w:rsidRPr="00252AC4">
        <w:t xml:space="preserve"> Although Scandinavian countries compete to attract investment, they co</w:t>
      </w:r>
      <w:r w:rsidR="00CB6D4D" w:rsidRPr="00252AC4">
        <w:t>-</w:t>
      </w:r>
      <w:r w:rsidR="00D24640" w:rsidRPr="00252AC4">
        <w:t>operate to promote a regional image based on shared values and strengths in areas such as quality of life and innovation. The Boston Consulting Group makes a similar recommendation in its report on Investing in Central Asia, w</w:t>
      </w:r>
      <w:r w:rsidR="00D03068" w:rsidRPr="00252AC4">
        <w:t>here</w:t>
      </w:r>
      <w:r w:rsidR="00D24640" w:rsidRPr="00252AC4">
        <w:t xml:space="preserve"> it invites countries of Central Asia to co</w:t>
      </w:r>
      <w:r w:rsidR="00CB6D4D" w:rsidRPr="00252AC4">
        <w:t>-</w:t>
      </w:r>
      <w:r w:rsidR="00D24640" w:rsidRPr="00252AC4">
        <w:t xml:space="preserve">ordinate their investment promotion strategies, along with other </w:t>
      </w:r>
      <w:r w:rsidR="00263E5D" w:rsidRPr="00252AC4">
        <w:t>measures</w:t>
      </w:r>
      <w:r w:rsidR="00D24640" w:rsidRPr="00252AC4">
        <w:t xml:space="preserve"> to drive regional integration</w:t>
      </w:r>
      <w:r w:rsidR="00263E5D" w:rsidRPr="00252AC4">
        <w:t>, enhance connectivity</w:t>
      </w:r>
      <w:r w:rsidR="00D24640" w:rsidRPr="00252AC4">
        <w:t xml:space="preserve"> and unlock economic potential</w:t>
      </w:r>
      <w:sdt>
        <w:sdtPr>
          <w:id w:val="-1837825804"/>
          <w:citation/>
        </w:sdtPr>
        <w:sdtEndPr/>
        <w:sdtContent>
          <w:r w:rsidR="00D03068" w:rsidRPr="00252AC4">
            <w:fldChar w:fldCharType="begin"/>
          </w:r>
          <w:r w:rsidR="00D03068" w:rsidRPr="00252AC4">
            <w:instrText xml:space="preserve">CITATION Bos18 \n  \l 1036 </w:instrText>
          </w:r>
          <w:r w:rsidR="00D03068" w:rsidRPr="00252AC4">
            <w:fldChar w:fldCharType="separate"/>
          </w:r>
          <w:bookmarkStart w:id="221" w:name="Bos18_16"/>
          <w:r w:rsidR="00E259C6" w:rsidRPr="00252AC4">
            <w:rPr>
              <w:noProof/>
            </w:rPr>
            <w:t xml:space="preserve"> (2018</w:t>
          </w:r>
          <w:r w:rsidR="00E259C6" w:rsidRPr="00252AC4">
            <w:rPr>
              <w:noProof/>
              <w:vertAlign w:val="subscript"/>
            </w:rPr>
            <w:t>[16]</w:t>
          </w:r>
          <w:r w:rsidR="00E259C6" w:rsidRPr="00252AC4">
            <w:rPr>
              <w:noProof/>
            </w:rPr>
            <w:t>)</w:t>
          </w:r>
          <w:bookmarkEnd w:id="221"/>
          <w:r w:rsidR="00D03068" w:rsidRPr="00252AC4">
            <w:fldChar w:fldCharType="end"/>
          </w:r>
        </w:sdtContent>
      </w:sdt>
      <w:r w:rsidR="003B0318" w:rsidRPr="00252AC4">
        <w:t>.</w:t>
      </w:r>
      <w:r w:rsidR="00D24640" w:rsidRPr="00252AC4">
        <w:t>Co</w:t>
      </w:r>
      <w:r w:rsidR="00CB6D4D" w:rsidRPr="00252AC4">
        <w:t>-</w:t>
      </w:r>
      <w:r w:rsidR="00D24640" w:rsidRPr="00252AC4">
        <w:t>ordinating some promotion actions, building on shared values and aspirations, but also complementarities</w:t>
      </w:r>
      <w:r w:rsidR="00942480" w:rsidRPr="00252AC4">
        <w:t>, could benefit Eurasia countries</w:t>
      </w:r>
      <w:r w:rsidR="00263E5D" w:rsidRPr="00252AC4">
        <w:t xml:space="preserve"> by enabling</w:t>
      </w:r>
      <w:r w:rsidR="00D24640" w:rsidRPr="00252AC4">
        <w:t xml:space="preserve"> them to reach a “critical mass” and enhance their visibility</w:t>
      </w:r>
      <w:r w:rsidR="00FB04B8" w:rsidRPr="00252AC4">
        <w:t>,</w:t>
      </w:r>
      <w:r w:rsidR="00D24640" w:rsidRPr="00252AC4">
        <w:t xml:space="preserve"> while mutualising costs.</w:t>
      </w:r>
      <w:r w:rsidR="00CB6D4D" w:rsidRPr="00252AC4">
        <w:t>I</w:t>
      </w:r>
      <w:r w:rsidR="00DC1DBC" w:rsidRPr="00252AC4">
        <w:t>mage building can yield</w:t>
      </w:r>
      <w:r w:rsidR="00731A74" w:rsidRPr="00252AC4">
        <w:t xml:space="preserve"> positive effects on FDI, but</w:t>
      </w:r>
      <w:r w:rsidR="00DC1DBC" w:rsidRPr="00252AC4">
        <w:t xml:space="preserve"> </w:t>
      </w:r>
      <w:r w:rsidR="00CB6D4D" w:rsidRPr="00252AC4">
        <w:t xml:space="preserve">the evidence suggests </w:t>
      </w:r>
      <w:r w:rsidR="00DC1DBC" w:rsidRPr="00252AC4">
        <w:t>that the quality of the institutional environment is the key to investment attraction</w:t>
      </w:r>
      <w:sdt>
        <w:sdtPr>
          <w:id w:val="1640460085"/>
          <w:citation/>
        </w:sdtPr>
        <w:sdtEndPr/>
        <w:sdtContent>
          <w:r w:rsidR="00DC1DBC" w:rsidRPr="00252AC4">
            <w:fldChar w:fldCharType="begin"/>
          </w:r>
          <w:r w:rsidR="00DC1DBC" w:rsidRPr="00252AC4">
            <w:instrText xml:space="preserve"> CITATION Mor04 \l 1036 </w:instrText>
          </w:r>
          <w:r w:rsidR="00611928" w:rsidRPr="00252AC4">
            <w:instrText xml:space="preserve"> \m Mendeley_6C7B1fKp7Tm7ZDYVh25ZDQ</w:instrText>
          </w:r>
          <w:r w:rsidR="00DC1DBC" w:rsidRPr="00252AC4">
            <w:fldChar w:fldCharType="separate"/>
          </w:r>
          <w:r w:rsidR="00E259C6" w:rsidRPr="00252AC4">
            <w:rPr>
              <w:noProof/>
            </w:rPr>
            <w:t xml:space="preserve"> (Morisset and Andrews-Johnson, 2004</w:t>
          </w:r>
          <w:r w:rsidR="00E259C6" w:rsidRPr="00252AC4">
            <w:rPr>
              <w:noProof/>
              <w:vertAlign w:val="subscript"/>
            </w:rPr>
            <w:t>[12]</w:t>
          </w:r>
          <w:r w:rsidR="00E259C6" w:rsidRPr="00252AC4">
            <w:rPr>
              <w:noProof/>
            </w:rPr>
            <w:t>; Volpe Martincus and Sztajerowska, 2019</w:t>
          </w:r>
          <w:r w:rsidR="00E259C6" w:rsidRPr="00252AC4">
            <w:rPr>
              <w:noProof/>
              <w:vertAlign w:val="subscript"/>
            </w:rPr>
            <w:t>[9]</w:t>
          </w:r>
          <w:r w:rsidR="00E259C6" w:rsidRPr="00252AC4">
            <w:rPr>
              <w:noProof/>
            </w:rPr>
            <w:t>)</w:t>
          </w:r>
          <w:r w:rsidR="00DC1DBC" w:rsidRPr="00252AC4">
            <w:fldChar w:fldCharType="end"/>
          </w:r>
        </w:sdtContent>
      </w:sdt>
      <w:r w:rsidR="00DC1DBC" w:rsidRPr="00252AC4">
        <w:t xml:space="preserve">. </w:t>
      </w:r>
      <w:r w:rsidR="00CB6D4D" w:rsidRPr="00252AC4">
        <w:t>A</w:t>
      </w:r>
      <w:r w:rsidR="00F34057" w:rsidRPr="00252AC4">
        <w:t xml:space="preserve">ctive </w:t>
      </w:r>
      <w:r w:rsidR="006369C3" w:rsidRPr="00252AC4">
        <w:t xml:space="preserve">promotion cannot </w:t>
      </w:r>
      <w:r w:rsidR="004D1DC4" w:rsidRPr="00252AC4">
        <w:t xml:space="preserve">make up for structural weaknesses impeding private sector development. </w:t>
      </w:r>
      <w:r w:rsidR="00CB6D4D" w:rsidRPr="00252AC4">
        <w:t>Indeed</w:t>
      </w:r>
      <w:r w:rsidR="00321C80" w:rsidRPr="00252AC4">
        <w:t xml:space="preserve">, promotion based on false grounds can have a counter-productive effect, as getting back an investor who has had a bad experience is </w:t>
      </w:r>
      <w:r w:rsidR="00F34057" w:rsidRPr="00252AC4">
        <w:t xml:space="preserve">likely to be </w:t>
      </w:r>
      <w:r w:rsidR="00321C80" w:rsidRPr="00252AC4">
        <w:t xml:space="preserve">more difficult than attracting one with no experience at all. This has two implications: </w:t>
      </w:r>
      <w:r w:rsidR="00CB6D4D" w:rsidRPr="00252AC4">
        <w:t>first</w:t>
      </w:r>
      <w:r w:rsidR="00321C80" w:rsidRPr="00252AC4">
        <w:t>, image building should rely on actual strengths of a country</w:t>
      </w:r>
      <w:r w:rsidR="003B0318" w:rsidRPr="00252AC4">
        <w:t xml:space="preserve"> or region</w:t>
      </w:r>
      <w:r w:rsidR="00321C80" w:rsidRPr="00252AC4">
        <w:t>, and not on false promises.</w:t>
      </w:r>
      <w:r w:rsidR="00C85583" w:rsidRPr="00252AC4">
        <w:t xml:space="preserve"> </w:t>
      </w:r>
      <w:r w:rsidR="00F34057" w:rsidRPr="00252AC4">
        <w:t>Claiming to have</w:t>
      </w:r>
      <w:r w:rsidR="00C85583" w:rsidRPr="00252AC4">
        <w:t xml:space="preserve"> </w:t>
      </w:r>
      <w:r w:rsidR="00263E5D" w:rsidRPr="00252AC4">
        <w:t>a very</w:t>
      </w:r>
      <w:r w:rsidR="00C85583" w:rsidRPr="00252AC4">
        <w:t xml:space="preserve"> business-friendly environment </w:t>
      </w:r>
      <w:r w:rsidR="00F34057" w:rsidRPr="00252AC4">
        <w:t xml:space="preserve">will not go a long way, </w:t>
      </w:r>
      <w:r w:rsidR="00C85583" w:rsidRPr="00252AC4">
        <w:t xml:space="preserve">if </w:t>
      </w:r>
      <w:r w:rsidR="00263E5D" w:rsidRPr="00252AC4">
        <w:t>a large share of investment projects</w:t>
      </w:r>
      <w:r w:rsidR="00C85583" w:rsidRPr="00252AC4">
        <w:t xml:space="preserve"> </w:t>
      </w:r>
      <w:r w:rsidR="00263E5D" w:rsidRPr="00252AC4">
        <w:t>encounter major difficulties</w:t>
      </w:r>
      <w:r w:rsidR="00C85583" w:rsidRPr="00252AC4">
        <w:t xml:space="preserve"> in </w:t>
      </w:r>
      <w:r w:rsidR="003B0318" w:rsidRPr="00252AC4">
        <w:t>early</w:t>
      </w:r>
      <w:r w:rsidR="00C85583" w:rsidRPr="00252AC4">
        <w:t xml:space="preserve"> phase</w:t>
      </w:r>
      <w:r w:rsidR="003B0318" w:rsidRPr="00252AC4">
        <w:t>s</w:t>
      </w:r>
      <w:r w:rsidR="00C85583" w:rsidRPr="00252AC4">
        <w:t>.</w:t>
      </w:r>
      <w:r w:rsidR="00321C80" w:rsidRPr="00252AC4">
        <w:t xml:space="preserve"> Second</w:t>
      </w:r>
      <w:r w:rsidR="00CB6D4D" w:rsidRPr="00252AC4">
        <w:t>ly</w:t>
      </w:r>
      <w:r w:rsidR="00321C80" w:rsidRPr="00252AC4">
        <w:t xml:space="preserve">, along with their efforts to position themselves as attractive destinations via promotion activities, it is important that countries do their homework </w:t>
      </w:r>
      <w:r w:rsidR="00731A74" w:rsidRPr="00252AC4">
        <w:t>in removing</w:t>
      </w:r>
      <w:r w:rsidR="00321C80" w:rsidRPr="00252AC4">
        <w:t xml:space="preserve"> policy barriers to business development, following international good practices such as those laid out in OECD’s Policy Framework for Investment </w:t>
      </w:r>
      <w:sdt>
        <w:sdtPr>
          <w:id w:val="2033292968"/>
          <w:citation/>
        </w:sdtPr>
        <w:sdtEndPr/>
        <w:sdtContent>
          <w:r w:rsidR="00321C80" w:rsidRPr="00252AC4">
            <w:fldChar w:fldCharType="begin"/>
          </w:r>
          <w:r w:rsidR="00321C80" w:rsidRPr="00252AC4">
            <w:instrText xml:space="preserve"> CITATION Kappa_g2g3e67f \l 1036 </w:instrText>
          </w:r>
          <w:r w:rsidR="00321C80" w:rsidRPr="00252AC4">
            <w:fldChar w:fldCharType="separate"/>
          </w:r>
          <w:r w:rsidR="00E259C6" w:rsidRPr="00252AC4">
            <w:rPr>
              <w:noProof/>
            </w:rPr>
            <w:t>(OECD, 2015</w:t>
          </w:r>
          <w:r w:rsidR="00E259C6" w:rsidRPr="00252AC4">
            <w:rPr>
              <w:noProof/>
              <w:vertAlign w:val="subscript"/>
            </w:rPr>
            <w:t>[5]</w:t>
          </w:r>
          <w:r w:rsidR="00E259C6" w:rsidRPr="00252AC4">
            <w:rPr>
              <w:noProof/>
            </w:rPr>
            <w:t>)</w:t>
          </w:r>
          <w:r w:rsidR="00321C80" w:rsidRPr="00252AC4">
            <w:fldChar w:fldCharType="end"/>
          </w:r>
        </w:sdtContent>
      </w:sdt>
      <w:r w:rsidR="00321C80" w:rsidRPr="00252AC4">
        <w:t xml:space="preserve">. </w:t>
      </w:r>
      <w:r w:rsidR="00F34057" w:rsidRPr="00252AC4">
        <w:t>Although</w:t>
      </w:r>
      <w:r w:rsidR="009F4470" w:rsidRPr="00252AC4">
        <w:t xml:space="preserve"> on that chapter,</w:t>
      </w:r>
      <w:r w:rsidR="00F34057" w:rsidRPr="00252AC4">
        <w:t xml:space="preserve"> </w:t>
      </w:r>
      <w:r w:rsidR="009F4470" w:rsidRPr="00252AC4">
        <w:t>decisive action</w:t>
      </w:r>
      <w:r w:rsidR="00F34057" w:rsidRPr="00252AC4">
        <w:t xml:space="preserve"> rests in the hands of policy-makers, </w:t>
      </w:r>
      <w:r w:rsidR="00C85583" w:rsidRPr="00252AC4">
        <w:t>IPAs have a</w:t>
      </w:r>
      <w:r w:rsidR="00F34057" w:rsidRPr="00252AC4">
        <w:t>n important</w:t>
      </w:r>
      <w:r w:rsidR="00C85583" w:rsidRPr="00252AC4">
        <w:t xml:space="preserve"> role to play via the policy advocacy function, as discussed later in this chapter.</w:t>
      </w:r>
    </w:p>
    <w:p w14:paraId="2B9203DB" w14:textId="28494A3C" w:rsidR="00BF4453" w:rsidRPr="00252AC4" w:rsidRDefault="00BF4453" w:rsidP="00BF4453">
      <w:pPr>
        <w:pStyle w:val="Caption"/>
      </w:pPr>
      <w:bookmarkStart w:id="222" w:name="_Toc34647259"/>
      <w:bookmarkStart w:id="223" w:name="_Ref31292580"/>
      <w:bookmarkStart w:id="224" w:name="_Toc31617745"/>
      <w:bookmarkStart w:id="225" w:name="_Toc31641344"/>
      <w:bookmarkStart w:id="226" w:name="_Toc31650344"/>
      <w:bookmarkStart w:id="227" w:name="_Toc32317049"/>
      <w:bookmarkStart w:id="228" w:name="_Toc32324708"/>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3</w:t>
      </w:r>
      <w:r w:rsidRPr="00252AC4">
        <w:rPr>
          <w:noProof/>
        </w:rPr>
        <w:fldChar w:fldCharType="end"/>
      </w:r>
      <w:r w:rsidRPr="00252AC4">
        <w:t xml:space="preserve">. Shares of Eurasia IPAs performing image building activities </w:t>
      </w:r>
      <w:r w:rsidRPr="00252AC4">
        <w:br/>
        <w:t>(comparison across region)</w:t>
      </w:r>
      <w:bookmarkEnd w:id="222"/>
    </w:p>
    <w:p w14:paraId="18046F11" w14:textId="310A4DF2" w:rsidR="00BF4453" w:rsidRPr="00252AC4" w:rsidRDefault="007D75DD" w:rsidP="00BF4453">
      <w:pPr>
        <w:pStyle w:val="Figure"/>
        <w:rPr>
          <w:noProof/>
          <w:lang w:eastAsia="en-GB"/>
        </w:rPr>
      </w:pPr>
      <w:r w:rsidRPr="00252AC4">
        <w:rPr>
          <w:noProof/>
          <w:lang w:eastAsia="en-GB"/>
        </w:rPr>
        <w:object w:dxaOrig="8740" w:dyaOrig="4750" w14:anchorId="3013D718">
          <v:shape id="_x0000_i1041" type="#_x0000_t75" style="width:383.45pt;height:208.9pt" o:ole="">
            <v:imagedata r:id="rId55" o:title=""/>
          </v:shape>
          <o:OLEObject Type="Link" ProgID="Excel.Sheet.12" ShapeID="_x0000_i1041" DrawAspect="Content" r:id="rId56" UpdateMode="Always">
            <o:LinkType>EnhancedMetaFile</o:LinkType>
            <o:LockedField>false</o:LockedField>
          </o:OLEObject>
        </w:object>
      </w:r>
    </w:p>
    <w:p w14:paraId="272C9FA0" w14:textId="7A882D8D" w:rsidR="00BF4453" w:rsidRPr="00252AC4" w:rsidRDefault="00BF4453" w:rsidP="0051394F">
      <w:pPr>
        <w:pStyle w:val="Sourcenotes"/>
      </w:pPr>
      <w:r w:rsidRPr="00252AC4">
        <w:rPr>
          <w:i/>
        </w:rPr>
        <w:t>Note</w:t>
      </w:r>
      <w:r w:rsidRPr="00252AC4">
        <w:t>: The figure illustrates average shares of IPAs performing specific activities within the image building function.</w:t>
      </w:r>
    </w:p>
    <w:p w14:paraId="75F4783E" w14:textId="4A6FF4BA" w:rsidR="00BF4453" w:rsidRPr="00252AC4" w:rsidRDefault="00BF4453" w:rsidP="0051394F">
      <w:pPr>
        <w:pStyle w:val="Sourcenotes"/>
      </w:pPr>
      <w:r w:rsidRPr="00252AC4">
        <w:rPr>
          <w:i/>
        </w:rPr>
        <w:t>Source</w:t>
      </w:r>
      <w:r w:rsidRPr="00252AC4">
        <w:t>: OECD-IDB Survey of Inves</w:t>
      </w:r>
      <w:r w:rsidR="00C21B57" w:rsidRPr="00252AC4">
        <w:t>tment Promotion Agencies (2020)</w:t>
      </w:r>
    </w:p>
    <w:bookmarkEnd w:id="223"/>
    <w:bookmarkEnd w:id="224"/>
    <w:bookmarkEnd w:id="225"/>
    <w:bookmarkEnd w:id="226"/>
    <w:bookmarkEnd w:id="227"/>
    <w:bookmarkEnd w:id="228"/>
    <w:p w14:paraId="58B57A93" w14:textId="50336008" w:rsidR="00FD42E7" w:rsidRPr="00252AC4" w:rsidRDefault="0042315E" w:rsidP="0042315E">
      <w:pPr>
        <w:pStyle w:val="Para0"/>
      </w:pPr>
      <w:r w:rsidRPr="00252AC4">
        <w:t>I</w:t>
      </w:r>
      <w:r w:rsidR="00FD42E7" w:rsidRPr="00252AC4">
        <w:t>nvestment generation</w:t>
      </w:r>
      <w:r w:rsidR="00731A74" w:rsidRPr="00252AC4">
        <w:t xml:space="preserve"> </w:t>
      </w:r>
      <w:r w:rsidR="00FD42E7" w:rsidRPr="00252AC4">
        <w:t xml:space="preserve">is </w:t>
      </w:r>
      <w:r w:rsidRPr="00252AC4">
        <w:t>the function to which Eurasia</w:t>
      </w:r>
      <w:r w:rsidR="00FD42E7" w:rsidRPr="00252AC4">
        <w:t xml:space="preserve"> IPAs</w:t>
      </w:r>
      <w:r w:rsidRPr="00252AC4">
        <w:t xml:space="preserve"> dedicate, on average</w:t>
      </w:r>
      <w:r w:rsidR="0066348A" w:rsidRPr="00252AC4">
        <w:t>,</w:t>
      </w:r>
      <w:r w:rsidRPr="00252AC4">
        <w:t xml:space="preserve"> the largest share of their resources, albeit less </w:t>
      </w:r>
      <w:r w:rsidR="00FD42E7" w:rsidRPr="00252AC4">
        <w:t>than OECD and LAC IPAs</w:t>
      </w:r>
      <w:r w:rsidRPr="00252AC4">
        <w:t>.</w:t>
      </w:r>
      <w:r w:rsidR="00FD42E7" w:rsidRPr="00252AC4">
        <w:t xml:space="preserve"> There </w:t>
      </w:r>
      <w:r w:rsidRPr="00252AC4">
        <w:t>are</w:t>
      </w:r>
      <w:r w:rsidR="00FD42E7" w:rsidRPr="00252AC4">
        <w:t xml:space="preserve"> wide discrepancies </w:t>
      </w:r>
      <w:r w:rsidRPr="00252AC4">
        <w:t>across countries</w:t>
      </w:r>
      <w:r w:rsidR="00CB6D4D" w:rsidRPr="00252AC4">
        <w:t>, however</w:t>
      </w:r>
      <w:r w:rsidR="00AE2514" w:rsidRPr="00252AC4">
        <w:t>, as</w:t>
      </w:r>
      <w:r w:rsidR="00FD42E7" w:rsidRPr="00252AC4">
        <w:t xml:space="preserve"> </w:t>
      </w:r>
      <w:r w:rsidR="00AE2514" w:rsidRPr="00252AC4">
        <w:t>e</w:t>
      </w:r>
      <w:r w:rsidRPr="00252AC4">
        <w:t>stimates range from</w:t>
      </w:r>
      <w:r w:rsidR="00FD42E7" w:rsidRPr="00252AC4">
        <w:t xml:space="preserve"> 20% (Tajikistan) to 50% (Uzbekistan).</w:t>
      </w:r>
    </w:p>
    <w:p w14:paraId="452C31E5" w14:textId="7D6A2206" w:rsidR="00FD42E7" w:rsidRDefault="00FD42E7" w:rsidP="00FD42E7">
      <w:pPr>
        <w:pStyle w:val="Para0"/>
      </w:pPr>
      <w:r w:rsidRPr="00252AC4">
        <w:t>Eurasia IPAs carry out the majority (90%) of the activities classified under investment generation in the survey</w:t>
      </w:r>
      <w:r w:rsidR="00E96ABF" w:rsidRPr="00252AC4">
        <w:t xml:space="preserve"> (see Table </w:t>
      </w:r>
      <w:r w:rsidR="00E96ABF" w:rsidRPr="00252AC4">
        <w:fldChar w:fldCharType="begin"/>
      </w:r>
      <w:r w:rsidR="00E96ABF" w:rsidRPr="00252AC4">
        <w:instrText xml:space="preserve"> REF _Ref31645756 \w \h </w:instrText>
      </w:r>
      <w:r w:rsidR="00E96ABF" w:rsidRPr="00252AC4">
        <w:fldChar w:fldCharType="separate"/>
      </w:r>
      <w:r w:rsidR="008914FE">
        <w:t>Annex 2.A</w:t>
      </w:r>
      <w:r w:rsidR="00E96ABF" w:rsidRPr="00252AC4">
        <w:fldChar w:fldCharType="end"/>
      </w:r>
      <w:r w:rsidR="00E96ABF" w:rsidRPr="00252AC4">
        <w:t>)</w:t>
      </w:r>
      <w:r w:rsidRPr="00252AC4">
        <w:t>, which is broadly in line with other regions</w:t>
      </w:r>
      <w:r w:rsidR="0066348A" w:rsidRPr="00252AC4">
        <w:t>, but they focus</w:t>
      </w:r>
      <w:r w:rsidRPr="00252AC4">
        <w:t xml:space="preserve"> </w:t>
      </w:r>
      <w:r w:rsidR="0066348A" w:rsidRPr="00252AC4">
        <w:t>on different activities than their OECD peers (</w:t>
      </w:r>
      <w:r w:rsidR="00E03E5C" w:rsidRPr="00252AC4">
        <w:t>Figure 2.4</w:t>
      </w:r>
      <w:r w:rsidR="0066348A" w:rsidRPr="00252AC4">
        <w:t>)</w:t>
      </w:r>
      <w:r w:rsidRPr="00252AC4">
        <w:t xml:space="preserve">. </w:t>
      </w:r>
      <w:r w:rsidR="0066348A" w:rsidRPr="00252AC4">
        <w:t>A</w:t>
      </w:r>
      <w:r w:rsidRPr="00252AC4">
        <w:t xml:space="preserve">ll Eurasia agencies </w:t>
      </w:r>
      <w:r w:rsidR="0066348A" w:rsidRPr="00252AC4">
        <w:t>undertake pro-active campaigns, engage</w:t>
      </w:r>
      <w:r w:rsidRPr="00252AC4">
        <w:t xml:space="preserve"> in enquiry and request handling</w:t>
      </w:r>
      <w:r w:rsidR="0066348A" w:rsidRPr="00252AC4">
        <w:t>, and</w:t>
      </w:r>
      <w:r w:rsidRPr="00252AC4">
        <w:t xml:space="preserve"> carry out raw analysis </w:t>
      </w:r>
      <w:r w:rsidR="00CB6D4D" w:rsidRPr="00252AC4">
        <w:t xml:space="preserve">of data </w:t>
      </w:r>
      <w:r w:rsidRPr="00252AC4">
        <w:t>such as press articles</w:t>
      </w:r>
      <w:r w:rsidR="00CB6D4D" w:rsidRPr="00252AC4">
        <w:t xml:space="preserve"> and</w:t>
      </w:r>
      <w:r w:rsidRPr="00252AC4">
        <w:t xml:space="preserve"> proprietary or company data, while MENA and LAC IPAs engage less in intelligence gathering and analysis. </w:t>
      </w:r>
      <w:r w:rsidR="0066348A" w:rsidRPr="00252AC4">
        <w:t>On the other hand</w:t>
      </w:r>
      <w:r w:rsidRPr="00252AC4">
        <w:t xml:space="preserve">, only 70% of Eurasia IPAs carry out market studies, compared </w:t>
      </w:r>
      <w:r w:rsidR="0066348A" w:rsidRPr="00252AC4">
        <w:t>with</w:t>
      </w:r>
      <w:r w:rsidRPr="00252AC4">
        <w:t xml:space="preserve"> 90% in the OECD and 88% in the LAC region.</w:t>
      </w:r>
      <w:r w:rsidR="0066348A" w:rsidRPr="00252AC4">
        <w:t xml:space="preserve"> They also participate less in sector-specific missions than their OECD peers.</w:t>
      </w:r>
    </w:p>
    <w:p w14:paraId="6A849E2F" w14:textId="3CCE6083" w:rsidR="0001346D" w:rsidRPr="00252AC4" w:rsidRDefault="00CE2A87" w:rsidP="00FD42E7">
      <w:pPr>
        <w:pStyle w:val="Para0"/>
      </w:pPr>
      <w:r>
        <w:t>In the OECD, t</w:t>
      </w:r>
      <w:r w:rsidR="0001346D">
        <w:t>he investment generation function has been greatly affected by the COVID pandemic and subsequent confinement measures. As a large part of the world has been under lockdown, agencies</w:t>
      </w:r>
      <w:r w:rsidR="00EB68CC">
        <w:t xml:space="preserve"> around the world, including in the OECD,</w:t>
      </w:r>
      <w:r w:rsidR="0001346D">
        <w:t xml:space="preserve"> have developed new, creative </w:t>
      </w:r>
      <w:r w:rsidR="00EB68CC">
        <w:t xml:space="preserve">digital </w:t>
      </w:r>
      <w:r w:rsidR="0001346D">
        <w:t xml:space="preserve">ways to reach new investors and engage with their target communities. </w:t>
      </w:r>
      <w:r w:rsidR="00EB68CC">
        <w:t>Webinars</w:t>
      </w:r>
      <w:r w:rsidR="006830AB">
        <w:t>, in particular,</w:t>
      </w:r>
      <w:r w:rsidR="00EB68CC">
        <w:t xml:space="preserve"> have replaced live events, and </w:t>
      </w:r>
      <w:r w:rsidR="000941BE">
        <w:t>IPAs are adjusting their outreach strategies to adapt to expected lower levels of investment in the near future. Some of them are also engaging more resources to gather intelligence and conduct research on the impact of the crisis on investment.</w:t>
      </w:r>
      <w:r>
        <w:t xml:space="preserve"> As mentioned above, IPAs are </w:t>
      </w:r>
      <w:r w:rsidR="006830AB">
        <w:t xml:space="preserve">currently </w:t>
      </w:r>
      <w:r>
        <w:t>dedicating more resources and efforts to facilitation and aftercare, however, than to marketing activities.</w:t>
      </w:r>
    </w:p>
    <w:p w14:paraId="60F5E35E" w14:textId="27D7615F" w:rsidR="00E03E5C" w:rsidRPr="00252AC4" w:rsidRDefault="00E03E5C" w:rsidP="00E03E5C">
      <w:pPr>
        <w:pStyle w:val="Caption"/>
      </w:pPr>
      <w:bookmarkStart w:id="229" w:name="_Toc34647260"/>
      <w:bookmarkStart w:id="230" w:name="_Ref31292611"/>
      <w:bookmarkStart w:id="231" w:name="_Toc31617746"/>
      <w:bookmarkStart w:id="232" w:name="_Toc31641345"/>
      <w:bookmarkStart w:id="233" w:name="_Toc31650345"/>
      <w:bookmarkStart w:id="234" w:name="_Toc32317050"/>
      <w:bookmarkStart w:id="235" w:name="_Toc32324709"/>
      <w:r w:rsidRPr="00252AC4">
        <w:lastRenderedPageBreak/>
        <w:t xml:space="preserve">Figure </w:t>
      </w:r>
      <w:r w:rsidR="009915F6">
        <w:fldChar w:fldCharType="begin"/>
      </w:r>
      <w:r w:rsidR="009915F6">
        <w:instrText xml:space="preserve"> STYLEREF 1 \</w:instrText>
      </w:r>
      <w:r w:rsidR="009915F6">
        <w:instrText xml:space="preserve">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4</w:t>
      </w:r>
      <w:r w:rsidRPr="00252AC4">
        <w:rPr>
          <w:noProof/>
        </w:rPr>
        <w:fldChar w:fldCharType="end"/>
      </w:r>
      <w:r w:rsidRPr="00252AC4">
        <w:t xml:space="preserve">. Shares of Eurasia IPAs performing investment generation activities </w:t>
      </w:r>
      <w:r w:rsidRPr="00252AC4">
        <w:br/>
        <w:t>(comparison across region)</w:t>
      </w:r>
      <w:bookmarkEnd w:id="229"/>
    </w:p>
    <w:p w14:paraId="01AB51C7" w14:textId="288E964B" w:rsidR="00E03E5C" w:rsidRPr="00252AC4" w:rsidRDefault="007D75DD" w:rsidP="00E03E5C">
      <w:pPr>
        <w:pStyle w:val="Figure"/>
        <w:rPr>
          <w:noProof/>
          <w:lang w:eastAsia="en-GB"/>
        </w:rPr>
      </w:pPr>
      <w:r w:rsidRPr="00252AC4">
        <w:rPr>
          <w:noProof/>
          <w:lang w:eastAsia="en-GB"/>
        </w:rPr>
        <w:object w:dxaOrig="9730" w:dyaOrig="4820" w14:anchorId="789E2EDD">
          <v:shape id="_x0000_i1042" type="#_x0000_t75" style="width:436.35pt;height:216.55pt" o:ole="">
            <v:imagedata r:id="rId57" o:title=""/>
          </v:shape>
          <o:OLEObject Type="Link" ProgID="Excel.Sheet.12" ShapeID="_x0000_i1042" DrawAspect="Content" r:id="rId58" UpdateMode="Always">
            <o:LinkType>EnhancedMetaFile</o:LinkType>
            <o:LockedField>false</o:LockedField>
          </o:OLEObject>
        </w:object>
      </w:r>
    </w:p>
    <w:p w14:paraId="521DE89B" w14:textId="103F6659" w:rsidR="00E03E5C" w:rsidRPr="00252AC4" w:rsidRDefault="00E03E5C" w:rsidP="0051394F">
      <w:pPr>
        <w:pStyle w:val="Sourcenotes"/>
      </w:pPr>
      <w:r w:rsidRPr="00252AC4">
        <w:rPr>
          <w:i/>
        </w:rPr>
        <w:t>Note</w:t>
      </w:r>
      <w:r w:rsidRPr="00252AC4">
        <w:t>: The figure illustrates average shares of IPAs performing specific activities within the investment generation function.</w:t>
      </w:r>
    </w:p>
    <w:p w14:paraId="6071581A" w14:textId="7C04CE31" w:rsidR="00E03E5C" w:rsidRPr="00252AC4" w:rsidRDefault="00E03E5C" w:rsidP="0051394F">
      <w:pPr>
        <w:pStyle w:val="Sourcenotes"/>
      </w:pPr>
      <w:r w:rsidRPr="00252AC4">
        <w:rPr>
          <w:i/>
        </w:rPr>
        <w:t>Source</w:t>
      </w:r>
      <w:r w:rsidRPr="00252AC4">
        <w:t>: OECD-IDB Survey of Inves</w:t>
      </w:r>
      <w:r w:rsidR="00C21B57" w:rsidRPr="00252AC4">
        <w:t>tment Promotion Agencies (2020)</w:t>
      </w:r>
    </w:p>
    <w:bookmarkEnd w:id="230"/>
    <w:bookmarkEnd w:id="231"/>
    <w:bookmarkEnd w:id="232"/>
    <w:bookmarkEnd w:id="233"/>
    <w:bookmarkEnd w:id="234"/>
    <w:bookmarkEnd w:id="235"/>
    <w:p w14:paraId="57E1F8D4" w14:textId="6BA33A42" w:rsidR="00FD42E7" w:rsidRPr="00252AC4" w:rsidRDefault="00FD42E7" w:rsidP="002F604E">
      <w:pPr>
        <w:pStyle w:val="Heading3"/>
      </w:pPr>
      <w:r w:rsidRPr="00252AC4">
        <w:t xml:space="preserve">Eurasia IPAs deliver significantly less assistance on administrative and business issues and engage in less structured dialogue with governments </w:t>
      </w:r>
      <w:r w:rsidR="007E02A5" w:rsidRPr="00252AC4">
        <w:t>than</w:t>
      </w:r>
      <w:r w:rsidRPr="00252AC4">
        <w:t xml:space="preserve"> OECD IPAs</w:t>
      </w:r>
    </w:p>
    <w:p w14:paraId="4A70B793" w14:textId="23F88940" w:rsidR="00D72C47" w:rsidRDefault="00FD42E7" w:rsidP="00D72C47">
      <w:pPr>
        <w:pStyle w:val="Para0"/>
      </w:pPr>
      <w:r w:rsidRPr="00252AC4">
        <w:t xml:space="preserve">Investment facilitation stands increasingly high on the agenda of international organisations and policymakers. </w:t>
      </w:r>
      <w:r w:rsidR="00723527">
        <w:t>T</w:t>
      </w:r>
      <w:r w:rsidR="003F7853" w:rsidRPr="00252AC4">
        <w:t>he W</w:t>
      </w:r>
      <w:r w:rsidR="00704B9E" w:rsidRPr="00252AC4">
        <w:t xml:space="preserve">orld </w:t>
      </w:r>
      <w:r w:rsidR="003F7853" w:rsidRPr="00252AC4">
        <w:t>T</w:t>
      </w:r>
      <w:r w:rsidR="00704B9E" w:rsidRPr="00252AC4">
        <w:t xml:space="preserve">rade </w:t>
      </w:r>
      <w:r w:rsidR="003F7853" w:rsidRPr="00252AC4">
        <w:t>O</w:t>
      </w:r>
      <w:r w:rsidR="00704B9E" w:rsidRPr="00252AC4">
        <w:t>rganisation</w:t>
      </w:r>
      <w:r w:rsidR="003F7853" w:rsidRPr="00252AC4">
        <w:t xml:space="preserve"> is engaged in a series of Structured Discussions on Investment Facilitation for Development. The purpose is to discuss and eventually develop a multilateral framework for investment facilitation. At the time this report was written (2020), 99 member economies participated in this initiative,</w:t>
      </w:r>
      <w:r w:rsidR="00704B9E" w:rsidRPr="00252AC4">
        <w:t xml:space="preserve"> including</w:t>
      </w:r>
      <w:r w:rsidR="003F7853" w:rsidRPr="00252AC4">
        <w:t xml:space="preserve"> a number of Eurasia countries.</w:t>
      </w:r>
      <w:r w:rsidR="00D72C47">
        <w:t xml:space="preserve"> </w:t>
      </w:r>
      <w:r w:rsidR="00627F32" w:rsidRPr="00252AC4">
        <w:t>Here, investment facilitation is understood broadly as regulatory and administrative measures and policies providing a transparent, predictable and efficient framework, conducive to investment for sustainable development</w:t>
      </w:r>
      <w:r w:rsidR="00C80E92" w:rsidRPr="00252AC4">
        <w:t>, i.e</w:t>
      </w:r>
      <w:r w:rsidR="00AE7804" w:rsidRPr="00252AC4">
        <w:t>.</w:t>
      </w:r>
      <w:r w:rsidR="00C80E92" w:rsidRPr="00252AC4">
        <w:t xml:space="preserve"> contributing to the SDGs</w:t>
      </w:r>
      <w:sdt>
        <w:sdtPr>
          <w:id w:val="-667562102"/>
          <w:citation/>
        </w:sdtPr>
        <w:sdtEndPr/>
        <w:sdtContent>
          <w:r w:rsidR="00095196" w:rsidRPr="00252AC4">
            <w:fldChar w:fldCharType="begin"/>
          </w:r>
          <w:r w:rsidR="00095196" w:rsidRPr="00252AC4">
            <w:instrText xml:space="preserve"> CITATION Ana18 \l 1036 </w:instrText>
          </w:r>
          <w:r w:rsidR="00095196" w:rsidRPr="00252AC4">
            <w:fldChar w:fldCharType="separate"/>
          </w:r>
          <w:bookmarkStart w:id="236" w:name="Ana18_17"/>
          <w:r w:rsidR="00E259C6" w:rsidRPr="00252AC4">
            <w:rPr>
              <w:noProof/>
            </w:rPr>
            <w:t xml:space="preserve"> (Novik and De Crombrugghe, 2018</w:t>
          </w:r>
          <w:r w:rsidR="00E259C6" w:rsidRPr="00252AC4">
            <w:rPr>
              <w:noProof/>
              <w:vertAlign w:val="subscript"/>
            </w:rPr>
            <w:t>[17]</w:t>
          </w:r>
          <w:r w:rsidR="00E259C6" w:rsidRPr="00252AC4">
            <w:rPr>
              <w:noProof/>
            </w:rPr>
            <w:t>)</w:t>
          </w:r>
          <w:bookmarkEnd w:id="236"/>
          <w:r w:rsidR="00095196" w:rsidRPr="00252AC4">
            <w:fldChar w:fldCharType="end"/>
          </w:r>
        </w:sdtContent>
      </w:sdt>
      <w:r w:rsidR="00627F32" w:rsidRPr="00252AC4">
        <w:t xml:space="preserve">. The investment facilitation activities of IPAs represent a small </w:t>
      </w:r>
      <w:r w:rsidR="00095196" w:rsidRPr="00252AC4">
        <w:t xml:space="preserve">– but important – </w:t>
      </w:r>
      <w:r w:rsidR="00627F32" w:rsidRPr="00252AC4">
        <w:t>share of</w:t>
      </w:r>
      <w:r w:rsidR="00095196" w:rsidRPr="00252AC4">
        <w:t xml:space="preserve"> these measures and policies. Their policy advocacy function</w:t>
      </w:r>
      <w:r w:rsidR="00CB6D4D" w:rsidRPr="00252AC4">
        <w:t>s</w:t>
      </w:r>
      <w:r w:rsidR="00095196" w:rsidRPr="00252AC4">
        <w:t>, as detailed further in this chapter, also have a key role in this framework building process.</w:t>
      </w:r>
      <w:r w:rsidR="00D72C47">
        <w:t xml:space="preserve"> </w:t>
      </w:r>
    </w:p>
    <w:p w14:paraId="1313BA4E" w14:textId="6091C3F9" w:rsidR="00FD42E7" w:rsidRPr="00252AC4" w:rsidRDefault="00D72C47" w:rsidP="00D72C47">
      <w:pPr>
        <w:pStyle w:val="Para0"/>
      </w:pPr>
      <w:r>
        <w:t xml:space="preserve">Furthermore, in the context of the COVID-crisis and </w:t>
      </w:r>
      <w:r w:rsidR="00720180">
        <w:t>declining</w:t>
      </w:r>
      <w:r>
        <w:t xml:space="preserve"> FDI volumes, IPAs are expected to focus much more on retaining existing investors and helping them expand their operations than they have in the recent past. In the OECD, they have already increased their focus on facilitation activities to secure the implementation of ongoing projects. </w:t>
      </w:r>
      <w:r w:rsidR="00720180">
        <w:t xml:space="preserve">OECD IPAs </w:t>
      </w:r>
      <w:r>
        <w:t xml:space="preserve">have quickly put in place digital means to </w:t>
      </w:r>
      <w:r w:rsidR="00D53911">
        <w:t>ensure service continuity</w:t>
      </w:r>
      <w:r>
        <w:t xml:space="preserve">, </w:t>
      </w:r>
      <w:r w:rsidR="00D53911">
        <w:t>and provide</w:t>
      </w:r>
      <w:r>
        <w:t xml:space="preserve">, for example, virtual site visits. </w:t>
      </w:r>
      <w:r w:rsidR="00D53911">
        <w:t>They have taken steps to strengthen their dialogue with existing investors, to monitor ongoing firm-level trends and dynamics, and to be able to respond quickly to potential problems by providing their support, acting as “liaison officers” between governments and MNEs.</w:t>
      </w:r>
    </w:p>
    <w:p w14:paraId="76DEFB47" w14:textId="5CD80CA8" w:rsidR="00FD42E7" w:rsidRPr="00252AC4" w:rsidRDefault="00206237" w:rsidP="00FD42E7">
      <w:pPr>
        <w:pStyle w:val="Para0"/>
      </w:pPr>
      <w:r>
        <w:t>In the recent past, g</w:t>
      </w:r>
      <w:r w:rsidRPr="00252AC4">
        <w:t xml:space="preserve">overnments </w:t>
      </w:r>
      <w:r w:rsidR="00FD42E7" w:rsidRPr="00252AC4">
        <w:t>in Eurasia have made important efforts to improve the</w:t>
      </w:r>
      <w:r w:rsidR="00C80E92" w:rsidRPr="00252AC4">
        <w:t>ir</w:t>
      </w:r>
      <w:r w:rsidR="00FD42E7" w:rsidRPr="00252AC4">
        <w:t xml:space="preserve"> business and investment environment</w:t>
      </w:r>
      <w:r w:rsidR="00C80E92" w:rsidRPr="00252AC4">
        <w:t>s, including</w:t>
      </w:r>
      <w:r w:rsidR="00FD42E7" w:rsidRPr="00252AC4">
        <w:t xml:space="preserve"> through new strategies, regulatory </w:t>
      </w:r>
      <w:r w:rsidR="00FD42E7" w:rsidRPr="00252AC4">
        <w:lastRenderedPageBreak/>
        <w:t xml:space="preserve">simplification and digitalisation. For instance, Kazakhstan now ranks </w:t>
      </w:r>
      <w:r w:rsidR="00973F0C" w:rsidRPr="00252AC4">
        <w:t>as the</w:t>
      </w:r>
      <w:r w:rsidR="00FD42E7" w:rsidRPr="00252AC4">
        <w:t xml:space="preserve"> 25th </w:t>
      </w:r>
      <w:r w:rsidR="00973F0C" w:rsidRPr="00252AC4">
        <w:t>country according to</w:t>
      </w:r>
      <w:r w:rsidR="00FD42E7" w:rsidRPr="00252AC4">
        <w:t xml:space="preserve"> World Bank</w:t>
      </w:r>
      <w:r w:rsidR="00973F0C" w:rsidRPr="00252AC4">
        <w:t>’s</w:t>
      </w:r>
      <w:r w:rsidR="00FD42E7" w:rsidRPr="00252AC4">
        <w:t xml:space="preserve"> Doing Business (DB)</w:t>
      </w:r>
      <w:r w:rsidR="00973F0C" w:rsidRPr="00252AC4">
        <w:t xml:space="preserve"> report</w:t>
      </w:r>
      <w:r w:rsidR="00FD42E7" w:rsidRPr="00252AC4">
        <w:t xml:space="preserve">, and Uzbekistan and Tajikistan </w:t>
      </w:r>
      <w:r w:rsidR="002C08FB" w:rsidRPr="00252AC4">
        <w:t>were distinguished</w:t>
      </w:r>
      <w:r w:rsidR="00FD42E7" w:rsidRPr="00252AC4">
        <w:t xml:space="preserve"> </w:t>
      </w:r>
      <w:r w:rsidR="002C08FB" w:rsidRPr="00252AC4">
        <w:t>as</w:t>
      </w:r>
      <w:r w:rsidR="00FD42E7" w:rsidRPr="00252AC4">
        <w:t xml:space="preserve"> top reformers in the 2018 and 2019 </w:t>
      </w:r>
      <w:r w:rsidR="002C08FB" w:rsidRPr="00252AC4">
        <w:t>editions</w:t>
      </w:r>
      <w:r w:rsidR="00FD42E7" w:rsidRPr="00252AC4">
        <w:t>. However, further action</w:t>
      </w:r>
      <w:r w:rsidR="00973F0C" w:rsidRPr="00252AC4">
        <w:t xml:space="preserve"> is </w:t>
      </w:r>
      <w:r w:rsidR="00AE7804" w:rsidRPr="00252AC4">
        <w:t>s</w:t>
      </w:r>
      <w:r w:rsidR="00973F0C" w:rsidRPr="00252AC4">
        <w:t>till needed</w:t>
      </w:r>
      <w:r w:rsidR="00FD42E7" w:rsidRPr="00252AC4">
        <w:t xml:space="preserve">, in particular to </w:t>
      </w:r>
      <w:r w:rsidR="00973F0C" w:rsidRPr="00252AC4">
        <w:t xml:space="preserve">address </w:t>
      </w:r>
      <w:r w:rsidR="00FD42E7" w:rsidRPr="00252AC4">
        <w:t xml:space="preserve">legal and regulatory hurdles, </w:t>
      </w:r>
      <w:r w:rsidR="00973F0C" w:rsidRPr="00252AC4">
        <w:t xml:space="preserve">and </w:t>
      </w:r>
      <w:r w:rsidR="00CB6D4D" w:rsidRPr="00252AC4">
        <w:t xml:space="preserve">to </w:t>
      </w:r>
      <w:r w:rsidR="00973F0C" w:rsidRPr="00252AC4">
        <w:t>streamline administrative processes</w:t>
      </w:r>
      <w:r w:rsidR="00FD42E7" w:rsidRPr="00252AC4">
        <w:t xml:space="preserve">. </w:t>
      </w:r>
      <w:r w:rsidR="002C08FB" w:rsidRPr="00252AC4">
        <w:t>I</w:t>
      </w:r>
      <w:r w:rsidR="00FD42E7" w:rsidRPr="00252AC4">
        <w:t>n Central Asia</w:t>
      </w:r>
      <w:r w:rsidR="002C08FB" w:rsidRPr="00252AC4">
        <w:t xml:space="preserve"> especially</w:t>
      </w:r>
      <w:r w:rsidR="00FD42E7" w:rsidRPr="00252AC4">
        <w:t xml:space="preserve">, state control over the economy remains high, limiting firm entry and development in several sectors </w:t>
      </w:r>
      <w:sdt>
        <w:sdtPr>
          <w:id w:val="276219604"/>
          <w:citation/>
        </w:sdtPr>
        <w:sdtEndPr/>
        <w:sdtContent>
          <w:r w:rsidR="00FD42E7" w:rsidRPr="00252AC4">
            <w:fldChar w:fldCharType="begin"/>
          </w:r>
          <w:r w:rsidR="00FD42E7" w:rsidRPr="00252AC4">
            <w:instrText xml:space="preserve"> CITATION OEC \l 2057 </w:instrText>
          </w:r>
          <w:r w:rsidR="00FD42E7" w:rsidRPr="00252AC4">
            <w:fldChar w:fldCharType="separate"/>
          </w:r>
          <w:r w:rsidR="00E259C6" w:rsidRPr="00252AC4">
            <w:rPr>
              <w:noProof/>
            </w:rPr>
            <w:t>(OECD, forthcoming</w:t>
          </w:r>
          <w:r w:rsidR="00E259C6" w:rsidRPr="00252AC4">
            <w:rPr>
              <w:noProof/>
              <w:vertAlign w:val="subscript"/>
            </w:rPr>
            <w:t>[18]</w:t>
          </w:r>
          <w:r w:rsidR="00E259C6" w:rsidRPr="00252AC4">
            <w:rPr>
              <w:noProof/>
            </w:rPr>
            <w:t>)</w:t>
          </w:r>
          <w:r w:rsidR="00FD42E7" w:rsidRPr="00252AC4">
            <w:fldChar w:fldCharType="end"/>
          </w:r>
        </w:sdtContent>
      </w:sdt>
      <w:r w:rsidR="00FD42E7" w:rsidRPr="00252AC4">
        <w:t>.</w:t>
      </w:r>
      <w:r w:rsidR="00973F0C" w:rsidRPr="00252AC4">
        <w:t xml:space="preserve"> As already mentioned, IPAs can contribute to the identification of the most pressing problems and participate in the elaboration of solutions.</w:t>
      </w:r>
    </w:p>
    <w:p w14:paraId="635AD4CB" w14:textId="18122EE0" w:rsidR="00FD42E7" w:rsidRPr="00252AC4" w:rsidRDefault="00973F0C" w:rsidP="00FD42E7">
      <w:pPr>
        <w:pStyle w:val="Para0"/>
      </w:pPr>
      <w:r w:rsidRPr="00252AC4">
        <w:t>IPAs’ specific roles</w:t>
      </w:r>
      <w:r w:rsidR="00FD42E7" w:rsidRPr="00252AC4">
        <w:t xml:space="preserve"> </w:t>
      </w:r>
      <w:r w:rsidRPr="00252AC4">
        <w:t>to facilitate investment focus on</w:t>
      </w:r>
      <w:r w:rsidR="00FD42E7" w:rsidRPr="00252AC4">
        <w:t xml:space="preserve"> </w:t>
      </w:r>
      <w:r w:rsidRPr="00252AC4">
        <w:t xml:space="preserve">a variety of tasks. The OECD typically distinguishes </w:t>
      </w:r>
      <w:r w:rsidR="00FD42E7" w:rsidRPr="00252AC4">
        <w:t>facilitation services</w:t>
      </w:r>
      <w:r w:rsidRPr="00252AC4">
        <w:t>,</w:t>
      </w:r>
      <w:r w:rsidR="00FD42E7" w:rsidRPr="00252AC4">
        <w:t xml:space="preserve"> </w:t>
      </w:r>
      <w:r w:rsidR="00194ED5" w:rsidRPr="00252AC4">
        <w:t xml:space="preserve">which </w:t>
      </w:r>
      <w:r w:rsidR="00FD42E7" w:rsidRPr="00252AC4">
        <w:t>support new investor</w:t>
      </w:r>
      <w:r w:rsidRPr="00252AC4">
        <w:t>s’ project implementation,</w:t>
      </w:r>
      <w:r w:rsidR="00FD42E7" w:rsidRPr="00252AC4">
        <w:t xml:space="preserve"> and aftercare</w:t>
      </w:r>
      <w:r w:rsidRPr="00252AC4">
        <w:t>,</w:t>
      </w:r>
      <w:r w:rsidR="00FD42E7" w:rsidRPr="00252AC4">
        <w:t xml:space="preserve"> or retention services</w:t>
      </w:r>
      <w:r w:rsidR="00194ED5" w:rsidRPr="00252AC4">
        <w:t>, which</w:t>
      </w:r>
      <w:r w:rsidR="00FD42E7" w:rsidRPr="00252AC4">
        <w:t xml:space="preserve"> help established investors develop and expand their activity, including by anchoring them in the local economy</w:t>
      </w:r>
      <w:r w:rsidRPr="00252AC4">
        <w:t xml:space="preserve"> </w:t>
      </w:r>
      <w:sdt>
        <w:sdtPr>
          <w:id w:val="-2593228"/>
          <w:citation/>
        </w:sdtPr>
        <w:sdtEndPr/>
        <w:sdtContent>
          <w:r w:rsidR="00FD42E7" w:rsidRPr="00252AC4">
            <w:fldChar w:fldCharType="begin"/>
          </w:r>
          <w:r w:rsidR="00FD42E7" w:rsidRPr="00252AC4">
            <w:instrText xml:space="preserve">CITATION Mendeley_rTOUyPTs__j2BcEVyg8oAcA \l 2057 </w:instrText>
          </w:r>
          <w:r w:rsidR="00FD42E7" w:rsidRPr="00252AC4">
            <w:fldChar w:fldCharType="separate"/>
          </w:r>
          <w:r w:rsidR="00E259C6" w:rsidRPr="00252AC4">
            <w:rPr>
              <w:noProof/>
            </w:rPr>
            <w:t>(Young and Hood, 1995</w:t>
          </w:r>
          <w:r w:rsidR="00E259C6" w:rsidRPr="00252AC4">
            <w:rPr>
              <w:noProof/>
              <w:vertAlign w:val="subscript"/>
            </w:rPr>
            <w:t>[19]</w:t>
          </w:r>
          <w:r w:rsidR="00E259C6" w:rsidRPr="00252AC4">
            <w:rPr>
              <w:noProof/>
            </w:rPr>
            <w:t>)</w:t>
          </w:r>
          <w:r w:rsidR="00FD42E7" w:rsidRPr="00252AC4">
            <w:fldChar w:fldCharType="end"/>
          </w:r>
        </w:sdtContent>
      </w:sdt>
      <w:r w:rsidR="00FD42E7" w:rsidRPr="00252AC4">
        <w:t xml:space="preserve">. </w:t>
      </w:r>
      <w:r w:rsidRPr="00252AC4">
        <w:t>P</w:t>
      </w:r>
      <w:r w:rsidR="00FD42E7" w:rsidRPr="00252AC4">
        <w:t xml:space="preserve">olicy advocacy, </w:t>
      </w:r>
      <w:r w:rsidRPr="00252AC4">
        <w:t>on the other hand, consist</w:t>
      </w:r>
      <w:r w:rsidR="00704B9E" w:rsidRPr="00252AC4">
        <w:t>s</w:t>
      </w:r>
      <w:r w:rsidRPr="00252AC4">
        <w:t xml:space="preserve"> in influencing the policy-making by using</w:t>
      </w:r>
      <w:r w:rsidR="00FD42E7" w:rsidRPr="00252AC4">
        <w:t xml:space="preserve"> feedback from investors </w:t>
      </w:r>
      <w:r w:rsidRPr="00252AC4">
        <w:t>and providing</w:t>
      </w:r>
      <w:r w:rsidR="00FD42E7" w:rsidRPr="00252AC4">
        <w:t xml:space="preserve"> recommendations to the government</w:t>
      </w:r>
      <w:r w:rsidR="00704B9E" w:rsidRPr="00252AC4">
        <w:t>,</w:t>
      </w:r>
      <w:r w:rsidR="00FD42E7" w:rsidRPr="00252AC4">
        <w:t xml:space="preserve"> to improve the investment climate.</w:t>
      </w:r>
    </w:p>
    <w:p w14:paraId="321FAAF1" w14:textId="55219579" w:rsidR="00FD42E7" w:rsidRPr="00252AC4" w:rsidRDefault="00FD42E7" w:rsidP="00FD42E7">
      <w:pPr>
        <w:pStyle w:val="Para0"/>
      </w:pPr>
      <w:r w:rsidRPr="00252AC4">
        <w:t>On average, Eurasia IPAs devote fewer resources to investment facilitation and retention than other regions. Kazakh Invest,</w:t>
      </w:r>
      <w:r w:rsidR="00DC19AD" w:rsidRPr="00252AC4">
        <w:t xml:space="preserve"> however, stands out </w:t>
      </w:r>
      <w:r w:rsidR="006E7D26" w:rsidRPr="00252AC4">
        <w:t>as the agency</w:t>
      </w:r>
      <w:r w:rsidR="00DC19AD" w:rsidRPr="00252AC4">
        <w:t xml:space="preserve"> outsource</w:t>
      </w:r>
      <w:r w:rsidR="006E7D26" w:rsidRPr="00252AC4">
        <w:t>s</w:t>
      </w:r>
      <w:r w:rsidR="00DC19AD" w:rsidRPr="00252AC4">
        <w:t xml:space="preserve"> most promotional activities and dedicate</w:t>
      </w:r>
      <w:r w:rsidR="006E7D26" w:rsidRPr="00252AC4">
        <w:t>s</w:t>
      </w:r>
      <w:r w:rsidR="00DC19AD" w:rsidRPr="00252AC4">
        <w:t xml:space="preserve"> most of its human resources to</w:t>
      </w:r>
      <w:r w:rsidRPr="00252AC4">
        <w:t xml:space="preserve"> investment facilitation and</w:t>
      </w:r>
      <w:r w:rsidR="00DC19AD" w:rsidRPr="00252AC4">
        <w:t xml:space="preserve"> retention, which it considers as its core mission.</w:t>
      </w:r>
      <w:r w:rsidRPr="00252AC4">
        <w:t>Eurasia IPAs perform more investment facilitation than aftercare activities, with t</w:t>
      </w:r>
      <w:r w:rsidR="00D40A2B" w:rsidRPr="00252AC4">
        <w:t>he notable exceptions of Azpromo</w:t>
      </w:r>
      <w:r w:rsidRPr="00252AC4">
        <w:t xml:space="preserve"> and NDA Mongolia (</w:t>
      </w:r>
      <w:r w:rsidRPr="00252AC4">
        <w:fldChar w:fldCharType="begin"/>
      </w:r>
      <w:r w:rsidRPr="00252AC4">
        <w:instrText xml:space="preserve"> REF _Ref30780862 \h </w:instrText>
      </w:r>
      <w:r w:rsidRPr="00252AC4">
        <w:fldChar w:fldCharType="separate"/>
      </w:r>
      <w:r w:rsidR="008914FE" w:rsidRPr="00252AC4">
        <w:t>Table </w:t>
      </w:r>
      <w:r w:rsidR="008914FE">
        <w:rPr>
          <w:noProof/>
        </w:rPr>
        <w:t>2</w:t>
      </w:r>
      <w:r w:rsidR="008914FE" w:rsidRPr="00252AC4">
        <w:t>.</w:t>
      </w:r>
      <w:r w:rsidR="008914FE">
        <w:rPr>
          <w:noProof/>
        </w:rPr>
        <w:t>2</w:t>
      </w:r>
      <w:r w:rsidRPr="00252AC4">
        <w:fldChar w:fldCharType="end"/>
      </w:r>
      <w:r w:rsidRPr="00252AC4">
        <w:t>).</w:t>
      </w:r>
      <w:r w:rsidR="00201765" w:rsidRPr="00252AC4">
        <w:t xml:space="preserve"> This is in line with other regional trends.</w:t>
      </w:r>
      <w:r w:rsidRPr="00252AC4">
        <w:t xml:space="preserve"> The number of aftercare acti</w:t>
      </w:r>
      <w:r w:rsidR="005D57F6" w:rsidRPr="00252AC4">
        <w:t>vities performed in Eurasia varies</w:t>
      </w:r>
      <w:r w:rsidRPr="00252AC4">
        <w:t xml:space="preserve"> across agencies, as Kazakhstan, Mongolia, Ukraine, Tajikistan and Azerbaijan carry out a vast majority of the listed aftercare services, while Uzbekistan, Belarus and Georgia perform </w:t>
      </w:r>
      <w:r w:rsidR="00201765" w:rsidRPr="00252AC4">
        <w:t>only one or two</w:t>
      </w:r>
      <w:r w:rsidRPr="00252AC4">
        <w:t xml:space="preserve">. </w:t>
      </w:r>
      <w:r w:rsidR="00201765" w:rsidRPr="00252AC4">
        <w:t>T</w:t>
      </w:r>
      <w:r w:rsidRPr="00252AC4">
        <w:t xml:space="preserve">hree agencies provide higher-than-average aftercare </w:t>
      </w:r>
      <w:r w:rsidRPr="00252AC4">
        <w:rPr>
          <w:i/>
        </w:rPr>
        <w:t>and</w:t>
      </w:r>
      <w:r w:rsidRPr="00252AC4">
        <w:t xml:space="preserve"> facilitation </w:t>
      </w:r>
      <w:r w:rsidR="006F117C" w:rsidRPr="00252AC4">
        <w:t>activities</w:t>
      </w:r>
      <w:r w:rsidR="00201765" w:rsidRPr="00252AC4">
        <w:t>:</w:t>
      </w:r>
      <w:r w:rsidR="006F117C" w:rsidRPr="00252AC4">
        <w:t xml:space="preserve"> Ukraine, Tajikistan and</w:t>
      </w:r>
      <w:r w:rsidR="00201765" w:rsidRPr="00252AC4">
        <w:t xml:space="preserve"> Kazakhstan</w:t>
      </w:r>
      <w:r w:rsidRPr="00252AC4">
        <w:t>.</w:t>
      </w:r>
    </w:p>
    <w:p w14:paraId="03EDAC35" w14:textId="06FA8960" w:rsidR="00FD42E7" w:rsidRPr="00252AC4" w:rsidRDefault="00FD42E7" w:rsidP="00FD42E7">
      <w:pPr>
        <w:pStyle w:val="Caption"/>
      </w:pPr>
      <w:bookmarkStart w:id="237" w:name="_Ref30780862"/>
      <w:bookmarkStart w:id="238" w:name="_Toc31617766"/>
      <w:bookmarkStart w:id="239" w:name="_Toc31641320"/>
      <w:bookmarkStart w:id="240" w:name="_Toc31650320"/>
      <w:bookmarkStart w:id="241" w:name="_Toc32317025"/>
      <w:bookmarkStart w:id="242" w:name="_Toc32324684"/>
      <w:bookmarkStart w:id="243" w:name="_Toc34647235"/>
      <w:r w:rsidRPr="00252AC4">
        <w:t>Table </w:t>
      </w:r>
      <w:r w:rsidRPr="00252AC4">
        <w:rPr>
          <w:noProof/>
        </w:rPr>
        <w:fldChar w:fldCharType="begin"/>
      </w:r>
      <w:r w:rsidRPr="00252AC4">
        <w:rPr>
          <w:noProof/>
        </w:rPr>
        <w:instrText xml:space="preserve"> STYLEREF 1 \s </w:instrText>
      </w:r>
      <w:r w:rsidRPr="00252AC4">
        <w:rPr>
          <w:noProof/>
        </w:rPr>
        <w:fldChar w:fldCharType="separate"/>
      </w:r>
      <w:r w:rsidR="008914FE">
        <w:rPr>
          <w:noProof/>
        </w:rPr>
        <w:t>2</w:t>
      </w:r>
      <w:r w:rsidRPr="00252AC4">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2</w:t>
      </w:r>
      <w:r w:rsidRPr="00252AC4">
        <w:rPr>
          <w:noProof/>
        </w:rPr>
        <w:fldChar w:fldCharType="end"/>
      </w:r>
      <w:bookmarkEnd w:id="237"/>
      <w:r w:rsidRPr="00252AC4">
        <w:t>. Number of facilitation and aftercare activities performed by Eurasia IPAs</w:t>
      </w:r>
      <w:bookmarkEnd w:id="238"/>
      <w:bookmarkEnd w:id="239"/>
      <w:bookmarkEnd w:id="240"/>
      <w:bookmarkEnd w:id="241"/>
      <w:bookmarkEnd w:id="242"/>
      <w:bookmarkEnd w:id="243"/>
    </w:p>
    <w:tbl>
      <w:tblPr>
        <w:tblStyle w:val="OECD"/>
        <w:tblW w:w="7938" w:type="dxa"/>
        <w:tblLook w:val="04A0" w:firstRow="1" w:lastRow="0" w:firstColumn="1" w:lastColumn="0" w:noHBand="0" w:noVBand="1"/>
      </w:tblPr>
      <w:tblGrid>
        <w:gridCol w:w="3459"/>
        <w:gridCol w:w="2375"/>
        <w:gridCol w:w="2104"/>
      </w:tblGrid>
      <w:tr w:rsidR="00FD42E7" w:rsidRPr="00252AC4" w14:paraId="2AEBD466" w14:textId="77777777" w:rsidTr="00FD4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419C3" w14:textId="77777777" w:rsidR="00FD42E7" w:rsidRPr="00252AC4" w:rsidRDefault="00FD42E7" w:rsidP="00FD42E7">
            <w:pPr>
              <w:pStyle w:val="TableColumn"/>
              <w:rPr>
                <w:lang w:val="en-GB"/>
              </w:rPr>
            </w:pPr>
            <w:r w:rsidRPr="00252AC4">
              <w:rPr>
                <w:lang w:val="en-GB"/>
              </w:rPr>
              <w:t> </w:t>
            </w:r>
          </w:p>
        </w:tc>
        <w:tc>
          <w:tcPr>
            <w:tcW w:w="0" w:type="auto"/>
            <w:hideMark/>
          </w:tcPr>
          <w:p w14:paraId="628D23A2"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lang w:val="en-GB"/>
              </w:rPr>
            </w:pPr>
            <w:r w:rsidRPr="00252AC4">
              <w:rPr>
                <w:lang w:val="en-GB"/>
              </w:rPr>
              <w:t>Facilitation</w:t>
            </w:r>
          </w:p>
        </w:tc>
        <w:tc>
          <w:tcPr>
            <w:tcW w:w="0" w:type="auto"/>
            <w:hideMark/>
          </w:tcPr>
          <w:p w14:paraId="5B9CD6DD"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lang w:val="en-GB"/>
              </w:rPr>
            </w:pPr>
            <w:r w:rsidRPr="00252AC4">
              <w:rPr>
                <w:lang w:val="en-GB"/>
              </w:rPr>
              <w:t>Aftercare</w:t>
            </w:r>
          </w:p>
        </w:tc>
      </w:tr>
      <w:tr w:rsidR="00FD42E7" w:rsidRPr="00252AC4" w14:paraId="4ADEBFE6"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40070D" w14:textId="77777777" w:rsidR="00FD42E7" w:rsidRPr="00252AC4" w:rsidRDefault="00FD42E7" w:rsidP="00FD42E7">
            <w:pPr>
              <w:pStyle w:val="TableRow"/>
              <w:rPr>
                <w:lang w:val="en-GB"/>
              </w:rPr>
            </w:pPr>
            <w:r w:rsidRPr="00252AC4">
              <w:rPr>
                <w:lang w:val="en-GB"/>
              </w:rPr>
              <w:t>Afghanistan</w:t>
            </w:r>
          </w:p>
        </w:tc>
        <w:tc>
          <w:tcPr>
            <w:tcW w:w="0" w:type="auto"/>
            <w:hideMark/>
          </w:tcPr>
          <w:p w14:paraId="175B47D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9</w:t>
            </w:r>
          </w:p>
        </w:tc>
        <w:tc>
          <w:tcPr>
            <w:tcW w:w="0" w:type="auto"/>
            <w:hideMark/>
          </w:tcPr>
          <w:p w14:paraId="23DF5C2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w:t>
            </w:r>
          </w:p>
        </w:tc>
      </w:tr>
      <w:tr w:rsidR="00FD42E7" w:rsidRPr="00252AC4" w14:paraId="71ADF4DF"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4A6D5" w14:textId="77777777" w:rsidR="00FD42E7" w:rsidRPr="00252AC4" w:rsidRDefault="00FD42E7" w:rsidP="00FD42E7">
            <w:pPr>
              <w:pStyle w:val="TableRow"/>
              <w:rPr>
                <w:lang w:val="en-GB"/>
              </w:rPr>
            </w:pPr>
            <w:r w:rsidRPr="00252AC4">
              <w:rPr>
                <w:lang w:val="en-GB"/>
              </w:rPr>
              <w:t>Azerbaijan</w:t>
            </w:r>
          </w:p>
        </w:tc>
        <w:tc>
          <w:tcPr>
            <w:tcW w:w="0" w:type="auto"/>
            <w:hideMark/>
          </w:tcPr>
          <w:p w14:paraId="3C310FC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3</w:t>
            </w:r>
          </w:p>
        </w:tc>
        <w:tc>
          <w:tcPr>
            <w:tcW w:w="0" w:type="auto"/>
            <w:hideMark/>
          </w:tcPr>
          <w:p w14:paraId="4136E2F7"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w:t>
            </w:r>
          </w:p>
        </w:tc>
      </w:tr>
      <w:tr w:rsidR="00FD42E7" w:rsidRPr="00252AC4" w14:paraId="4725B564"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97F25E" w14:textId="77777777" w:rsidR="00FD42E7" w:rsidRPr="00252AC4" w:rsidRDefault="00FD42E7" w:rsidP="00FD42E7">
            <w:pPr>
              <w:pStyle w:val="TableRow"/>
              <w:rPr>
                <w:lang w:val="en-GB"/>
              </w:rPr>
            </w:pPr>
            <w:r w:rsidRPr="00252AC4">
              <w:rPr>
                <w:lang w:val="en-GB"/>
              </w:rPr>
              <w:t>Belarus</w:t>
            </w:r>
          </w:p>
        </w:tc>
        <w:tc>
          <w:tcPr>
            <w:tcW w:w="0" w:type="auto"/>
            <w:hideMark/>
          </w:tcPr>
          <w:p w14:paraId="1539D49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w:t>
            </w:r>
          </w:p>
        </w:tc>
        <w:tc>
          <w:tcPr>
            <w:tcW w:w="0" w:type="auto"/>
            <w:hideMark/>
          </w:tcPr>
          <w:p w14:paraId="669D99E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w:t>
            </w:r>
          </w:p>
        </w:tc>
      </w:tr>
      <w:tr w:rsidR="00FD42E7" w:rsidRPr="00252AC4" w14:paraId="7E31D6D4"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AC96F2" w14:textId="77777777" w:rsidR="00FD42E7" w:rsidRPr="00252AC4" w:rsidRDefault="00FD42E7" w:rsidP="00FD42E7">
            <w:pPr>
              <w:pStyle w:val="TableRow"/>
              <w:rPr>
                <w:lang w:val="en-GB"/>
              </w:rPr>
            </w:pPr>
            <w:r w:rsidRPr="00252AC4">
              <w:rPr>
                <w:lang w:val="en-GB"/>
              </w:rPr>
              <w:t>Georgia</w:t>
            </w:r>
          </w:p>
        </w:tc>
        <w:tc>
          <w:tcPr>
            <w:tcW w:w="0" w:type="auto"/>
            <w:hideMark/>
          </w:tcPr>
          <w:p w14:paraId="54277EA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w:t>
            </w:r>
          </w:p>
        </w:tc>
        <w:tc>
          <w:tcPr>
            <w:tcW w:w="0" w:type="auto"/>
            <w:hideMark/>
          </w:tcPr>
          <w:p w14:paraId="0A33BEF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w:t>
            </w:r>
          </w:p>
        </w:tc>
      </w:tr>
      <w:tr w:rsidR="00FD42E7" w:rsidRPr="00252AC4" w14:paraId="3E0FD22A"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0B7FB2" w14:textId="77777777" w:rsidR="00FD42E7" w:rsidRPr="00252AC4" w:rsidRDefault="00FD42E7" w:rsidP="00FD42E7">
            <w:pPr>
              <w:pStyle w:val="TableRow"/>
              <w:rPr>
                <w:lang w:val="en-GB"/>
              </w:rPr>
            </w:pPr>
            <w:r w:rsidRPr="00252AC4">
              <w:rPr>
                <w:lang w:val="en-GB"/>
              </w:rPr>
              <w:t>Kazakhstan</w:t>
            </w:r>
          </w:p>
        </w:tc>
        <w:tc>
          <w:tcPr>
            <w:tcW w:w="0" w:type="auto"/>
            <w:hideMark/>
          </w:tcPr>
          <w:p w14:paraId="292EB31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12</w:t>
            </w:r>
          </w:p>
        </w:tc>
        <w:tc>
          <w:tcPr>
            <w:tcW w:w="0" w:type="auto"/>
            <w:hideMark/>
          </w:tcPr>
          <w:p w14:paraId="7F997AFA"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w:t>
            </w:r>
          </w:p>
        </w:tc>
      </w:tr>
      <w:tr w:rsidR="00FD42E7" w:rsidRPr="00252AC4" w14:paraId="04CBC9D2"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FE6D25" w14:textId="77777777" w:rsidR="00FD42E7" w:rsidRPr="00252AC4" w:rsidRDefault="00FD42E7" w:rsidP="00FD42E7">
            <w:pPr>
              <w:pStyle w:val="TableRow"/>
              <w:rPr>
                <w:lang w:val="en-GB"/>
              </w:rPr>
            </w:pPr>
            <w:r w:rsidRPr="00252AC4">
              <w:rPr>
                <w:lang w:val="en-GB"/>
              </w:rPr>
              <w:t>Kyrgyzstan</w:t>
            </w:r>
          </w:p>
        </w:tc>
        <w:tc>
          <w:tcPr>
            <w:tcW w:w="0" w:type="auto"/>
            <w:hideMark/>
          </w:tcPr>
          <w:p w14:paraId="5EAE271D"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9</w:t>
            </w:r>
          </w:p>
        </w:tc>
        <w:tc>
          <w:tcPr>
            <w:tcW w:w="0" w:type="auto"/>
            <w:hideMark/>
          </w:tcPr>
          <w:p w14:paraId="5A1F7B5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w:t>
            </w:r>
          </w:p>
        </w:tc>
      </w:tr>
      <w:tr w:rsidR="00FD42E7" w:rsidRPr="00252AC4" w14:paraId="4C007175"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0A3184" w14:textId="77777777" w:rsidR="00FD42E7" w:rsidRPr="00252AC4" w:rsidRDefault="00FD42E7" w:rsidP="00FD42E7">
            <w:pPr>
              <w:pStyle w:val="TableRow"/>
              <w:rPr>
                <w:lang w:val="en-GB"/>
              </w:rPr>
            </w:pPr>
            <w:r w:rsidRPr="00252AC4">
              <w:rPr>
                <w:lang w:val="en-GB"/>
              </w:rPr>
              <w:t>Mongolia</w:t>
            </w:r>
          </w:p>
        </w:tc>
        <w:tc>
          <w:tcPr>
            <w:tcW w:w="0" w:type="auto"/>
            <w:hideMark/>
          </w:tcPr>
          <w:p w14:paraId="371A5F9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w:t>
            </w:r>
          </w:p>
        </w:tc>
        <w:tc>
          <w:tcPr>
            <w:tcW w:w="0" w:type="auto"/>
            <w:hideMark/>
          </w:tcPr>
          <w:p w14:paraId="09D1ADAD"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w:t>
            </w:r>
          </w:p>
        </w:tc>
      </w:tr>
      <w:tr w:rsidR="00FD42E7" w:rsidRPr="00252AC4" w14:paraId="416F6AB7"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D6467" w14:textId="77777777" w:rsidR="00FD42E7" w:rsidRPr="00252AC4" w:rsidRDefault="00FD42E7" w:rsidP="00FD42E7">
            <w:pPr>
              <w:pStyle w:val="TableRow"/>
              <w:rPr>
                <w:lang w:val="en-GB"/>
              </w:rPr>
            </w:pPr>
            <w:r w:rsidRPr="00252AC4">
              <w:rPr>
                <w:lang w:val="en-GB"/>
              </w:rPr>
              <w:t>Tajikistan</w:t>
            </w:r>
          </w:p>
        </w:tc>
        <w:tc>
          <w:tcPr>
            <w:tcW w:w="0" w:type="auto"/>
            <w:hideMark/>
          </w:tcPr>
          <w:p w14:paraId="44D1A78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10</w:t>
            </w:r>
          </w:p>
        </w:tc>
        <w:tc>
          <w:tcPr>
            <w:tcW w:w="0" w:type="auto"/>
            <w:hideMark/>
          </w:tcPr>
          <w:p w14:paraId="3A148CE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w:t>
            </w:r>
          </w:p>
        </w:tc>
      </w:tr>
      <w:tr w:rsidR="00FD42E7" w:rsidRPr="00252AC4" w14:paraId="5D75D8DA"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5DC9AA" w14:textId="77777777" w:rsidR="00FD42E7" w:rsidRPr="00252AC4" w:rsidRDefault="00FD42E7" w:rsidP="00FD42E7">
            <w:pPr>
              <w:pStyle w:val="TableRow"/>
              <w:rPr>
                <w:lang w:val="en-GB"/>
              </w:rPr>
            </w:pPr>
            <w:r w:rsidRPr="00252AC4">
              <w:rPr>
                <w:lang w:val="en-GB"/>
              </w:rPr>
              <w:t>Ukraine</w:t>
            </w:r>
          </w:p>
        </w:tc>
        <w:tc>
          <w:tcPr>
            <w:tcW w:w="0" w:type="auto"/>
            <w:hideMark/>
          </w:tcPr>
          <w:p w14:paraId="2B0E8122"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9</w:t>
            </w:r>
          </w:p>
        </w:tc>
        <w:tc>
          <w:tcPr>
            <w:tcW w:w="0" w:type="auto"/>
            <w:hideMark/>
          </w:tcPr>
          <w:p w14:paraId="667CD149"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w:t>
            </w:r>
          </w:p>
        </w:tc>
      </w:tr>
      <w:tr w:rsidR="00FD42E7" w:rsidRPr="00252AC4" w14:paraId="168D12C0"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0CFC4A" w14:textId="77777777" w:rsidR="00FD42E7" w:rsidRPr="00252AC4" w:rsidRDefault="00FD42E7" w:rsidP="00FD42E7">
            <w:pPr>
              <w:pStyle w:val="TableRow"/>
              <w:rPr>
                <w:lang w:val="en-GB"/>
              </w:rPr>
            </w:pPr>
            <w:r w:rsidRPr="00252AC4">
              <w:rPr>
                <w:lang w:val="en-GB"/>
              </w:rPr>
              <w:t>Uzbekistan</w:t>
            </w:r>
          </w:p>
        </w:tc>
        <w:tc>
          <w:tcPr>
            <w:tcW w:w="0" w:type="auto"/>
            <w:hideMark/>
          </w:tcPr>
          <w:p w14:paraId="4637553C"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3</w:t>
            </w:r>
          </w:p>
        </w:tc>
        <w:tc>
          <w:tcPr>
            <w:tcW w:w="0" w:type="auto"/>
            <w:hideMark/>
          </w:tcPr>
          <w:p w14:paraId="53CDBB0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w:t>
            </w:r>
          </w:p>
        </w:tc>
      </w:tr>
      <w:tr w:rsidR="00FD42E7" w:rsidRPr="00252AC4" w14:paraId="74F9F4FC"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5185B" w14:textId="2B0BDE3E" w:rsidR="00FD42E7" w:rsidRPr="00252AC4" w:rsidRDefault="00FD42E7" w:rsidP="00FD42E7">
            <w:pPr>
              <w:pStyle w:val="TableRow"/>
              <w:rPr>
                <w:b/>
                <w:lang w:val="en-GB"/>
              </w:rPr>
            </w:pPr>
            <w:r w:rsidRPr="00252AC4">
              <w:rPr>
                <w:b/>
                <w:lang w:val="en-GB"/>
              </w:rPr>
              <w:t>Eurasia</w:t>
            </w:r>
            <w:r w:rsidR="00D36A04" w:rsidRPr="00252AC4">
              <w:rPr>
                <w:b/>
                <w:lang w:val="en-GB"/>
              </w:rPr>
              <w:t xml:space="preserve"> average</w:t>
            </w:r>
          </w:p>
        </w:tc>
        <w:tc>
          <w:tcPr>
            <w:tcW w:w="0" w:type="auto"/>
            <w:hideMark/>
          </w:tcPr>
          <w:p w14:paraId="6D54354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7.4</w:t>
            </w:r>
          </w:p>
        </w:tc>
        <w:tc>
          <w:tcPr>
            <w:tcW w:w="0" w:type="auto"/>
            <w:hideMark/>
          </w:tcPr>
          <w:p w14:paraId="528C8C9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4.1</w:t>
            </w:r>
          </w:p>
        </w:tc>
      </w:tr>
      <w:tr w:rsidR="00FD42E7" w:rsidRPr="00252AC4" w14:paraId="521A7EC7"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864FA" w14:textId="33AE8517" w:rsidR="00FD42E7" w:rsidRPr="00252AC4" w:rsidRDefault="00FD42E7" w:rsidP="00FD42E7">
            <w:pPr>
              <w:pStyle w:val="TableRow"/>
              <w:rPr>
                <w:b/>
                <w:lang w:val="en-GB"/>
              </w:rPr>
            </w:pPr>
            <w:r w:rsidRPr="00252AC4">
              <w:rPr>
                <w:b/>
                <w:lang w:val="en-GB"/>
              </w:rPr>
              <w:t>OECD</w:t>
            </w:r>
            <w:r w:rsidR="00D36A04" w:rsidRPr="00252AC4">
              <w:rPr>
                <w:b/>
                <w:lang w:val="en-GB"/>
              </w:rPr>
              <w:t xml:space="preserve"> average</w:t>
            </w:r>
          </w:p>
        </w:tc>
        <w:tc>
          <w:tcPr>
            <w:tcW w:w="0" w:type="auto"/>
            <w:hideMark/>
          </w:tcPr>
          <w:p w14:paraId="7286A75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7.6</w:t>
            </w:r>
          </w:p>
        </w:tc>
        <w:tc>
          <w:tcPr>
            <w:tcW w:w="0" w:type="auto"/>
            <w:hideMark/>
          </w:tcPr>
          <w:p w14:paraId="32CF346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4.1</w:t>
            </w:r>
          </w:p>
        </w:tc>
      </w:tr>
      <w:tr w:rsidR="00FD42E7" w:rsidRPr="00252AC4" w14:paraId="54BC210C" w14:textId="77777777" w:rsidTr="00FD4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7E81F1" w14:textId="43CA0F4C" w:rsidR="00FD42E7" w:rsidRPr="00252AC4" w:rsidRDefault="00FD42E7" w:rsidP="00FD42E7">
            <w:pPr>
              <w:pStyle w:val="TableRow"/>
              <w:rPr>
                <w:b/>
                <w:lang w:val="en-GB"/>
              </w:rPr>
            </w:pPr>
            <w:r w:rsidRPr="00252AC4">
              <w:rPr>
                <w:b/>
                <w:lang w:val="en-GB"/>
              </w:rPr>
              <w:t>MENA</w:t>
            </w:r>
            <w:r w:rsidR="00D36A04" w:rsidRPr="00252AC4">
              <w:rPr>
                <w:b/>
                <w:lang w:val="en-GB"/>
              </w:rPr>
              <w:t xml:space="preserve"> average</w:t>
            </w:r>
          </w:p>
        </w:tc>
        <w:tc>
          <w:tcPr>
            <w:tcW w:w="0" w:type="auto"/>
            <w:hideMark/>
          </w:tcPr>
          <w:p w14:paraId="594BD8B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10.0</w:t>
            </w:r>
          </w:p>
        </w:tc>
        <w:tc>
          <w:tcPr>
            <w:tcW w:w="0" w:type="auto"/>
            <w:hideMark/>
          </w:tcPr>
          <w:p w14:paraId="4DC68A80"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4.7</w:t>
            </w:r>
          </w:p>
        </w:tc>
      </w:tr>
      <w:tr w:rsidR="00FD42E7" w:rsidRPr="00252AC4" w14:paraId="6B738EF8" w14:textId="77777777" w:rsidTr="00FD4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4CAD50" w14:textId="76E546C3" w:rsidR="00FD42E7" w:rsidRPr="00252AC4" w:rsidRDefault="00FD42E7" w:rsidP="00FD42E7">
            <w:pPr>
              <w:pStyle w:val="TableRow"/>
              <w:rPr>
                <w:b/>
                <w:lang w:val="en-GB"/>
              </w:rPr>
            </w:pPr>
            <w:r w:rsidRPr="00252AC4">
              <w:rPr>
                <w:b/>
                <w:lang w:val="en-GB"/>
              </w:rPr>
              <w:t>LAC</w:t>
            </w:r>
            <w:r w:rsidR="00D36A04" w:rsidRPr="00252AC4">
              <w:rPr>
                <w:b/>
                <w:lang w:val="en-GB"/>
              </w:rPr>
              <w:t xml:space="preserve"> average</w:t>
            </w:r>
          </w:p>
        </w:tc>
        <w:tc>
          <w:tcPr>
            <w:tcW w:w="0" w:type="auto"/>
            <w:hideMark/>
          </w:tcPr>
          <w:p w14:paraId="28A1BBB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8.3</w:t>
            </w:r>
          </w:p>
        </w:tc>
        <w:tc>
          <w:tcPr>
            <w:tcW w:w="0" w:type="auto"/>
            <w:hideMark/>
          </w:tcPr>
          <w:p w14:paraId="5FAC2E2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4.1</w:t>
            </w:r>
          </w:p>
        </w:tc>
      </w:tr>
    </w:tbl>
    <w:p w14:paraId="4B40A326" w14:textId="69E20849" w:rsidR="00FD42E7" w:rsidRPr="00252AC4" w:rsidRDefault="00FD42E7" w:rsidP="00FD42E7">
      <w:pPr>
        <w:pStyle w:val="Sourcenotes"/>
      </w:pPr>
      <w:r w:rsidRPr="00252AC4">
        <w:t xml:space="preserve">Source: </w:t>
      </w:r>
      <w:r w:rsidR="00B40EA4" w:rsidRPr="00252AC4">
        <w:t>OECD-IDB Survey of Inves</w:t>
      </w:r>
      <w:r w:rsidR="00C21B57" w:rsidRPr="00252AC4">
        <w:t>tment Promotion Agencies (2020)</w:t>
      </w:r>
    </w:p>
    <w:p w14:paraId="2F2DF39A" w14:textId="07D9C6DE" w:rsidR="00FD42E7" w:rsidRPr="00252AC4" w:rsidRDefault="006F117C" w:rsidP="00704B9E">
      <w:pPr>
        <w:pStyle w:val="Para0"/>
      </w:pPr>
      <w:r w:rsidRPr="00252AC4">
        <w:t>I</w:t>
      </w:r>
      <w:r w:rsidR="00FD42E7" w:rsidRPr="00252AC4">
        <w:t xml:space="preserve">nvestment facilitation </w:t>
      </w:r>
      <w:r w:rsidRPr="00252AC4">
        <w:t>is the function with</w:t>
      </w:r>
      <w:r w:rsidR="00FD42E7" w:rsidRPr="00252AC4">
        <w:t xml:space="preserve"> the highest dispersion figures across regions</w:t>
      </w:r>
      <w:r w:rsidR="002C7665" w:rsidRPr="00252AC4">
        <w:t xml:space="preserve"> (</w:t>
      </w:r>
      <w:r w:rsidR="003074F6" w:rsidRPr="00252AC4">
        <w:t>Figure 2.5</w:t>
      </w:r>
      <w:r w:rsidR="002C7665" w:rsidRPr="00252AC4">
        <w:t>)</w:t>
      </w:r>
      <w:r w:rsidR="00FD42E7" w:rsidRPr="00252AC4">
        <w:t>. For example, compared to OECD IPAs, Eurasia IPAs deliver significantly less assistance on a number of administrative and business issues such as with obtaining visa and work permits (50% in Eurasia vs. 71% in OECD), assistance with utilities (40% vs. 55%), and</w:t>
      </w:r>
      <w:r w:rsidR="00194ED5" w:rsidRPr="00252AC4">
        <w:t xml:space="preserve"> access to</w:t>
      </w:r>
      <w:r w:rsidR="00FD42E7" w:rsidRPr="00252AC4">
        <w:t xml:space="preserve"> financing (30% vs. 73%)</w:t>
      </w:r>
      <w:r w:rsidR="00704B9E" w:rsidRPr="00252AC4">
        <w:t xml:space="preserve">. </w:t>
      </w:r>
      <w:r w:rsidRPr="00252AC4">
        <w:t>In addition</w:t>
      </w:r>
      <w:r w:rsidR="00FD42E7" w:rsidRPr="00252AC4">
        <w:t xml:space="preserve">, MENA agencies provide </w:t>
      </w:r>
      <w:r w:rsidRPr="00252AC4">
        <w:lastRenderedPageBreak/>
        <w:t xml:space="preserve">more </w:t>
      </w:r>
      <w:r w:rsidR="00FD42E7" w:rsidRPr="00252AC4">
        <w:t>assistance</w:t>
      </w:r>
      <w:r w:rsidR="00194ED5" w:rsidRPr="00252AC4">
        <w:t xml:space="preserve"> with</w:t>
      </w:r>
      <w:r w:rsidR="00FD42E7" w:rsidRPr="00252AC4">
        <w:t xml:space="preserve"> land and construction approvals and help</w:t>
      </w:r>
      <w:r w:rsidRPr="00252AC4">
        <w:t xml:space="preserve"> more</w:t>
      </w:r>
      <w:r w:rsidR="00FD42E7" w:rsidRPr="00252AC4">
        <w:t xml:space="preserve"> with legal issues than Eurasia IPAs. </w:t>
      </w:r>
      <w:r w:rsidRPr="00252AC4">
        <w:t>In some Eurasia countries, such</w:t>
      </w:r>
      <w:r w:rsidR="00FD42E7" w:rsidRPr="00252AC4">
        <w:t xml:space="preserve"> services are </w:t>
      </w:r>
      <w:r w:rsidRPr="00252AC4">
        <w:t>delivered</w:t>
      </w:r>
      <w:r w:rsidR="00FD42E7" w:rsidRPr="00252AC4">
        <w:t xml:space="preserve"> by </w:t>
      </w:r>
      <w:r w:rsidRPr="00252AC4">
        <w:t xml:space="preserve">independent </w:t>
      </w:r>
      <w:r w:rsidR="00FD42E7" w:rsidRPr="00252AC4">
        <w:t>one-stop-shops, which</w:t>
      </w:r>
      <w:r w:rsidR="00194ED5" w:rsidRPr="00252AC4">
        <w:t xml:space="preserve"> partly</w:t>
      </w:r>
      <w:r w:rsidR="00FD42E7" w:rsidRPr="00252AC4">
        <w:t xml:space="preserve"> </w:t>
      </w:r>
      <w:r w:rsidRPr="00252AC4">
        <w:t>explains this result.</w:t>
      </w:r>
    </w:p>
    <w:p w14:paraId="33E51072" w14:textId="22F9087A" w:rsidR="00E02F36" w:rsidRPr="00252AC4" w:rsidRDefault="00E02F36" w:rsidP="0051394F">
      <w:pPr>
        <w:pStyle w:val="Caption"/>
      </w:pPr>
      <w:bookmarkStart w:id="244" w:name="_Toc34647261"/>
      <w:bookmarkStart w:id="245" w:name="_Ref32323239"/>
      <w:bookmarkStart w:id="246" w:name="_Toc32317051"/>
      <w:bookmarkStart w:id="247" w:name="_Toc32324710"/>
      <w:r w:rsidRPr="00252AC4">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5</w:t>
      </w:r>
      <w:r w:rsidRPr="00252AC4">
        <w:rPr>
          <w:noProof/>
        </w:rPr>
        <w:fldChar w:fldCharType="end"/>
      </w:r>
      <w:r w:rsidRPr="00252AC4">
        <w:t xml:space="preserve">. Shares of Eurasia IPAs performing investment facilitation activities </w:t>
      </w:r>
      <w:r w:rsidRPr="00252AC4">
        <w:br/>
        <w:t>(comparison across region)</w:t>
      </w:r>
      <w:bookmarkEnd w:id="244"/>
      <w:r w:rsidRPr="00252AC4">
        <w:t xml:space="preserve"> </w:t>
      </w:r>
    </w:p>
    <w:p w14:paraId="37491FBA" w14:textId="53967F3D" w:rsidR="00E02F36" w:rsidRPr="00252AC4" w:rsidRDefault="007D75DD" w:rsidP="00E02F36">
      <w:pPr>
        <w:pStyle w:val="Figure"/>
        <w:rPr>
          <w:noProof/>
          <w:lang w:eastAsia="en-GB"/>
        </w:rPr>
      </w:pPr>
      <w:r w:rsidRPr="00252AC4">
        <w:rPr>
          <w:noProof/>
          <w:lang w:eastAsia="en-GB"/>
        </w:rPr>
        <w:object w:dxaOrig="7960" w:dyaOrig="4910" w14:anchorId="06CA814E">
          <v:shape id="_x0000_i1043" type="#_x0000_t75" style="width:375.25pt;height:231.25pt" o:ole="">
            <v:imagedata r:id="rId59" o:title=""/>
          </v:shape>
          <o:OLEObject Type="Link" ProgID="Excel.Sheet.12" ShapeID="_x0000_i1043" DrawAspect="Content" r:id="rId60" UpdateMode="Always">
            <o:LinkType>EnhancedMetaFile</o:LinkType>
            <o:LockedField>false</o:LockedField>
          </o:OLEObject>
        </w:object>
      </w:r>
    </w:p>
    <w:p w14:paraId="15AEFC8C" w14:textId="77777777" w:rsidR="00E02F36" w:rsidRPr="00252AC4" w:rsidRDefault="00E02F36" w:rsidP="00E02F36">
      <w:pPr>
        <w:pStyle w:val="Sourcenotes"/>
      </w:pPr>
      <w:r w:rsidRPr="00252AC4">
        <w:rPr>
          <w:i/>
        </w:rPr>
        <w:t>Note</w:t>
      </w:r>
      <w:r w:rsidRPr="00252AC4">
        <w:t>: The figure illustrates average shares of IPAs performing specific activities within the investment facilitation and retention function.</w:t>
      </w:r>
    </w:p>
    <w:p w14:paraId="751B4F50" w14:textId="2796575E" w:rsidR="00E02F36" w:rsidRPr="00252AC4" w:rsidRDefault="00E02F36" w:rsidP="00E02F36">
      <w:pPr>
        <w:pStyle w:val="Sourcenotes"/>
      </w:pPr>
      <w:r w:rsidRPr="00252AC4">
        <w:rPr>
          <w:i/>
        </w:rPr>
        <w:t xml:space="preserve">Source: </w:t>
      </w:r>
      <w:r w:rsidRPr="00252AC4">
        <w:t>OECD-IDB Survey of Inves</w:t>
      </w:r>
      <w:r w:rsidR="00C21B57" w:rsidRPr="00252AC4">
        <w:t>tment Promotion Agencies (2020)</w:t>
      </w:r>
    </w:p>
    <w:bookmarkEnd w:id="245"/>
    <w:bookmarkEnd w:id="246"/>
    <w:bookmarkEnd w:id="247"/>
    <w:p w14:paraId="6C745516" w14:textId="42132178" w:rsidR="00FD42E7" w:rsidRPr="00252AC4" w:rsidRDefault="00FD42E7" w:rsidP="00FD42E7">
      <w:pPr>
        <w:pStyle w:val="Para0"/>
      </w:pPr>
      <w:r w:rsidRPr="00252AC4">
        <w:t>In terms of aftercare activities, most agencies</w:t>
      </w:r>
      <w:r w:rsidR="00704B9E" w:rsidRPr="00252AC4">
        <w:t xml:space="preserve"> (80%)</w:t>
      </w:r>
      <w:r w:rsidRPr="00252AC4">
        <w:t xml:space="preserve"> deliver structured </w:t>
      </w:r>
      <w:r w:rsidR="00194ED5" w:rsidRPr="00252AC4">
        <w:t>trouble-</w:t>
      </w:r>
      <w:r w:rsidRPr="00252AC4">
        <w:t xml:space="preserve">shooting services to foreign investors, which is also OECD’s most widespread </w:t>
      </w:r>
      <w:r w:rsidR="003172D3" w:rsidRPr="00252AC4">
        <w:t>dispute prevention mechanism</w:t>
      </w:r>
      <w:r w:rsidRPr="00252AC4">
        <w:t xml:space="preserve"> (81%)</w:t>
      </w:r>
      <w:r w:rsidR="002C7665" w:rsidRPr="00252AC4">
        <w:t xml:space="preserve"> (</w:t>
      </w:r>
      <w:r w:rsidR="003074F6" w:rsidRPr="00252AC4">
        <w:t>Figure 2.6</w:t>
      </w:r>
      <w:r w:rsidR="002C7665" w:rsidRPr="00252AC4">
        <w:t>)</w:t>
      </w:r>
      <w:r w:rsidRPr="00252AC4">
        <w:t>. Seven out of ten Eurasia IPAs engage in conflict mitigation (i.e., between investors and authorities), while 40% indicate having an</w:t>
      </w:r>
      <w:r w:rsidR="008A4B9B" w:rsidRPr="00252AC4">
        <w:t xml:space="preserve"> ombudsman service. These results</w:t>
      </w:r>
      <w:r w:rsidRPr="00252AC4">
        <w:t xml:space="preserve"> </w:t>
      </w:r>
      <w:r w:rsidR="008A4B9B" w:rsidRPr="00252AC4">
        <w:t>are</w:t>
      </w:r>
      <w:r w:rsidRPr="00252AC4">
        <w:t xml:space="preserve"> significantly lower in the OECD (45% and 26%, respectively) and LAC (26% for both), but broadly in line with MENA practices (80% and 40%, respectively). </w:t>
      </w:r>
      <w:r w:rsidR="008A4B9B" w:rsidRPr="00252AC4">
        <w:t>In the OECD and LAC regions,</w:t>
      </w:r>
      <w:r w:rsidRPr="00252AC4">
        <w:t xml:space="preserve"> some agencies </w:t>
      </w:r>
      <w:r w:rsidR="008A4B9B" w:rsidRPr="00252AC4">
        <w:t>may be outsourcing</w:t>
      </w:r>
      <w:r w:rsidRPr="00252AC4">
        <w:t xml:space="preserve"> this </w:t>
      </w:r>
      <w:r w:rsidR="008A4B9B" w:rsidRPr="00252AC4">
        <w:t>activity to other organisations</w:t>
      </w:r>
      <w:r w:rsidRPr="00252AC4">
        <w:t xml:space="preserve"> such as SME development agencies </w:t>
      </w:r>
      <w:sdt>
        <w:sdtPr>
          <w:id w:val="-1104651057"/>
          <w:citation/>
        </w:sdtPr>
        <w:sdtEndPr/>
        <w:sdtContent>
          <w:r w:rsidRPr="00252AC4">
            <w:fldChar w:fldCharType="begin"/>
          </w:r>
          <w:r w:rsidRPr="00252AC4">
            <w:instrText xml:space="preserve"> CITATION OEC18 \l 2057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w:t>
      </w:r>
    </w:p>
    <w:p w14:paraId="0365FEB7" w14:textId="4AD502D9" w:rsidR="00FD42E7" w:rsidRPr="00252AC4" w:rsidRDefault="00FD42E7" w:rsidP="00FD42E7">
      <w:pPr>
        <w:pStyle w:val="Para0"/>
      </w:pPr>
      <w:r w:rsidRPr="00252AC4">
        <w:t>In addition to</w:t>
      </w:r>
      <w:r w:rsidR="00DF1718" w:rsidRPr="00252AC4">
        <w:t xml:space="preserve"> supporting visits and meetings, and</w:t>
      </w:r>
      <w:r w:rsidRPr="00252AC4">
        <w:t xml:space="preserve"> </w:t>
      </w:r>
      <w:r w:rsidR="00194ED5" w:rsidRPr="00252AC4">
        <w:t xml:space="preserve">addressing </w:t>
      </w:r>
      <w:r w:rsidRPr="00252AC4">
        <w:t>investor</w:t>
      </w:r>
      <w:r w:rsidR="00194ED5" w:rsidRPr="00252AC4">
        <w:t>s</w:t>
      </w:r>
      <w:r w:rsidRPr="00252AC4">
        <w:t xml:space="preserve">’ grievances, Eurasia IPAs tend to be relatively active in fostering linkages between foreign investors and the local economy, despite offering </w:t>
      </w:r>
      <w:r w:rsidR="00194ED5" w:rsidRPr="00252AC4">
        <w:t>fewer</w:t>
      </w:r>
      <w:r w:rsidRPr="00252AC4">
        <w:t xml:space="preserve"> cluster program</w:t>
      </w:r>
      <w:r w:rsidR="00194ED5" w:rsidRPr="00252AC4">
        <w:t>me</w:t>
      </w:r>
      <w:r w:rsidRPr="00252AC4">
        <w:t xml:space="preserve">s than OECD IPAs (20% vs. 48%). A majority of IPAs </w:t>
      </w:r>
      <w:r w:rsidR="008A4B9B" w:rsidRPr="00252AC4">
        <w:t>in</w:t>
      </w:r>
      <w:r w:rsidRPr="00252AC4">
        <w:t xml:space="preserve"> the region </w:t>
      </w:r>
      <w:r w:rsidR="008A4B9B" w:rsidRPr="00252AC4">
        <w:t>carry</w:t>
      </w:r>
      <w:r w:rsidRPr="00252AC4">
        <w:t xml:space="preserve"> out matchmaking services between investors and local firms (80%), followed by </w:t>
      </w:r>
      <w:r w:rsidR="0027699A" w:rsidRPr="00252AC4">
        <w:t xml:space="preserve">other types of </w:t>
      </w:r>
      <w:r w:rsidRPr="00252AC4">
        <w:t xml:space="preserve">linkage programmes such as the provision of local suppliers database (70%). </w:t>
      </w:r>
      <w:r w:rsidR="001206B5" w:rsidRPr="00252AC4">
        <w:t>Again</w:t>
      </w:r>
      <w:r w:rsidR="008A4B9B" w:rsidRPr="00252AC4">
        <w:t>, t</w:t>
      </w:r>
      <w:r w:rsidRPr="00252AC4">
        <w:t>hese shares are significantly lower in the OECD (65% both) and LAC (32% and 39%), and broadly in line with MENA IPAs (90% and 50%, respectively). In most cases the database contains either a list of all products or services offered by local suppliers or other individual characteristics of local suppliers, including year of establishment, firm size, number of foreign investors supplied, among others. NDA Mongolia’s database also includes a list of international and national certifi</w:t>
      </w:r>
      <w:r w:rsidR="008A4B9B" w:rsidRPr="00252AC4">
        <w:t>cations held by local suppliers.</w:t>
      </w:r>
      <w:r w:rsidRPr="00252AC4">
        <w:t xml:space="preserve"> </w:t>
      </w:r>
      <w:r w:rsidR="008A4B9B" w:rsidRPr="00252AC4">
        <w:t>Some of these databases, h</w:t>
      </w:r>
      <w:r w:rsidRPr="00252AC4">
        <w:t>owever, are not updated regularly.</w:t>
      </w:r>
    </w:p>
    <w:p w14:paraId="7AE97071" w14:textId="2853E2E8" w:rsidR="00FD42E7" w:rsidRPr="00252AC4" w:rsidRDefault="00FD42E7" w:rsidP="005E7F2F">
      <w:pPr>
        <w:pStyle w:val="Para0"/>
      </w:pPr>
      <w:r w:rsidRPr="00252AC4">
        <w:lastRenderedPageBreak/>
        <w:t xml:space="preserve">Promoting linkages between MNEs and small-medium-sized enterprises (SMEs) can be an important ingredient for transfer of technology, knowledge and skills, and business processes, but should not be considered as </w:t>
      </w:r>
      <w:r w:rsidR="001206B5" w:rsidRPr="00252AC4">
        <w:t>a self-sufficient measure</w:t>
      </w:r>
      <w:r w:rsidRPr="00252AC4">
        <w:t xml:space="preserve"> </w:t>
      </w:r>
      <w:sdt>
        <w:sdtPr>
          <w:id w:val="2019964952"/>
          <w:citation/>
        </w:sdtPr>
        <w:sdtEndPr/>
        <w:sdtContent>
          <w:r w:rsidRPr="00252AC4">
            <w:fldChar w:fldCharType="begin"/>
          </w:r>
          <w:r w:rsidRPr="00252AC4">
            <w:instrText xml:space="preserve">CITATION Mendeley_1IBT2ARGPDagT83zgdI19g \l 2057 </w:instrText>
          </w:r>
          <w:r w:rsidRPr="00252AC4">
            <w:fldChar w:fldCharType="separate"/>
          </w:r>
          <w:bookmarkStart w:id="248" w:name="Mendeley_1IBT2ARGPDagT83zgdI19g_20"/>
          <w:r w:rsidR="00E259C6" w:rsidRPr="00252AC4">
            <w:rPr>
              <w:noProof/>
            </w:rPr>
            <w:t>(OECD, 2019</w:t>
          </w:r>
          <w:r w:rsidR="00E259C6" w:rsidRPr="00252AC4">
            <w:rPr>
              <w:noProof/>
              <w:vertAlign w:val="subscript"/>
            </w:rPr>
            <w:t>[20]</w:t>
          </w:r>
          <w:r w:rsidR="00E259C6" w:rsidRPr="00252AC4">
            <w:rPr>
              <w:noProof/>
            </w:rPr>
            <w:t>)</w:t>
          </w:r>
          <w:bookmarkEnd w:id="248"/>
          <w:r w:rsidRPr="00252AC4">
            <w:fldChar w:fldCharType="end"/>
          </w:r>
        </w:sdtContent>
      </w:sdt>
      <w:r w:rsidRPr="00252AC4">
        <w:t>. To be effective, it requires a whole-of-government approach, including adequate measures to promote competitiveness of SMEs, such as business development services and targeted vocational training, as well as policies that allow SMEs to grow, notably facilitating access to finance, in order to enhance their absorptive capacity and ability to upgrade.</w:t>
      </w:r>
      <w:r w:rsidR="008A4B9B" w:rsidRPr="00252AC4">
        <w:t xml:space="preserve"> Policies protecting intellectual rights are also critical.</w:t>
      </w:r>
      <w:r w:rsidR="005E7F2F" w:rsidRPr="00252AC4">
        <w:t xml:space="preserve"> </w:t>
      </w:r>
      <w:r w:rsidRPr="00252AC4">
        <w:t xml:space="preserve">In addition, </w:t>
      </w:r>
      <w:r w:rsidR="008A4B9B" w:rsidRPr="00252AC4">
        <w:t>external factors can influence</w:t>
      </w:r>
      <w:r w:rsidRPr="00252AC4">
        <w:t xml:space="preserve"> foreign firms</w:t>
      </w:r>
      <w:r w:rsidR="008A4B9B" w:rsidRPr="00252AC4">
        <w:t>’ willingness</w:t>
      </w:r>
      <w:r w:rsidRPr="00252AC4">
        <w:t xml:space="preserve"> to share their knowledge – some MNEs are </w:t>
      </w:r>
      <w:r w:rsidR="008A4B9B" w:rsidRPr="00252AC4">
        <w:t>contractually</w:t>
      </w:r>
      <w:r w:rsidRPr="00252AC4">
        <w:t xml:space="preserve"> </w:t>
      </w:r>
      <w:r w:rsidR="008A4B9B" w:rsidRPr="00252AC4">
        <w:t xml:space="preserve">tied </w:t>
      </w:r>
      <w:r w:rsidRPr="00252AC4">
        <w:t xml:space="preserve">to international suppliers, </w:t>
      </w:r>
      <w:r w:rsidR="008A4B9B" w:rsidRPr="00252AC4">
        <w:t>for example</w:t>
      </w:r>
      <w:r w:rsidRPr="00252AC4">
        <w:t xml:space="preserve">. IPAs </w:t>
      </w:r>
      <w:r w:rsidR="008A4B9B" w:rsidRPr="00252AC4">
        <w:t>can, nevertheless,</w:t>
      </w:r>
      <w:r w:rsidRPr="00252AC4">
        <w:t xml:space="preserve"> focus on targeting investment projects that support linkage programmes with local suppliers </w:t>
      </w:r>
      <w:sdt>
        <w:sdtPr>
          <w:id w:val="572626875"/>
          <w:citation/>
        </w:sdtPr>
        <w:sdtEndPr/>
        <w:sdtContent>
          <w:r w:rsidRPr="00252AC4">
            <w:fldChar w:fldCharType="begin"/>
          </w:r>
          <w:r w:rsidRPr="00252AC4">
            <w:instrText xml:space="preserve"> CITATION Kappa_g2g3e67f \l 2057 </w:instrText>
          </w:r>
          <w:r w:rsidRPr="00252AC4">
            <w:fldChar w:fldCharType="separate"/>
          </w:r>
          <w:r w:rsidR="00E259C6" w:rsidRPr="00252AC4">
            <w:rPr>
              <w:noProof/>
            </w:rPr>
            <w:t>(OECD, 2015</w:t>
          </w:r>
          <w:r w:rsidR="00E259C6" w:rsidRPr="00252AC4">
            <w:rPr>
              <w:noProof/>
              <w:vertAlign w:val="subscript"/>
            </w:rPr>
            <w:t>[5]</w:t>
          </w:r>
          <w:r w:rsidR="00E259C6" w:rsidRPr="00252AC4">
            <w:rPr>
              <w:noProof/>
            </w:rPr>
            <w:t>)</w:t>
          </w:r>
          <w:r w:rsidRPr="00252AC4">
            <w:fldChar w:fldCharType="end"/>
          </w:r>
        </w:sdtContent>
      </w:sdt>
      <w:r w:rsidRPr="00252AC4">
        <w:t>.</w:t>
      </w:r>
      <w:r w:rsidR="00B3064B" w:rsidRPr="00252AC4">
        <w:t xml:space="preserve"> Czech Invest</w:t>
      </w:r>
      <w:r w:rsidR="00B30810" w:rsidRPr="00252AC4">
        <w:t xml:space="preserve"> offers an interesting example of a well-running supplier development programme (</w:t>
      </w:r>
      <w:r w:rsidR="00B30810" w:rsidRPr="00252AC4">
        <w:fldChar w:fldCharType="begin"/>
      </w:r>
      <w:r w:rsidR="00B30810" w:rsidRPr="00252AC4">
        <w:instrText xml:space="preserve"> REF _Ref33100993 \h </w:instrText>
      </w:r>
      <w:r w:rsidR="00B30810" w:rsidRPr="00252AC4">
        <w:fldChar w:fldCharType="separate"/>
      </w:r>
      <w:r w:rsidR="008914FE" w:rsidRPr="00252AC4">
        <w:t xml:space="preserve">Box </w:t>
      </w:r>
      <w:r w:rsidR="008914FE">
        <w:rPr>
          <w:noProof/>
        </w:rPr>
        <w:t>2</w:t>
      </w:r>
      <w:r w:rsidR="008914FE" w:rsidRPr="00252AC4">
        <w:t>.</w:t>
      </w:r>
      <w:r w:rsidR="008914FE">
        <w:rPr>
          <w:noProof/>
        </w:rPr>
        <w:t>1</w:t>
      </w:r>
      <w:r w:rsidR="00B30810" w:rsidRPr="00252AC4">
        <w:fldChar w:fldCharType="end"/>
      </w:r>
      <w:r w:rsidR="00B30810" w:rsidRPr="00252AC4">
        <w:t>).</w:t>
      </w: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1B31A3" w:rsidRPr="00252AC4" w14:paraId="74DC918A" w14:textId="77777777" w:rsidTr="0027768C">
        <w:trPr>
          <w:jc w:val="center"/>
        </w:trPr>
        <w:tc>
          <w:tcPr>
            <w:tcW w:w="9309" w:type="dxa"/>
            <w:shd w:val="clear" w:color="auto" w:fill="E1E6EB"/>
          </w:tcPr>
          <w:p w14:paraId="6202D839" w14:textId="78F48C8E" w:rsidR="001B31A3" w:rsidRPr="00252AC4" w:rsidRDefault="001B31A3" w:rsidP="0027768C">
            <w:pPr>
              <w:pStyle w:val="Caption"/>
              <w:keepNext w:val="0"/>
            </w:pPr>
            <w:bookmarkStart w:id="249" w:name="_Ref33100993"/>
            <w:bookmarkStart w:id="250" w:name="_Ref33100983"/>
            <w:bookmarkStart w:id="251" w:name="_Toc34647281"/>
            <w:r w:rsidRPr="00252AC4">
              <w:t xml:space="preserve">Box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Box \* ARABIC \s 1 </w:instrText>
            </w:r>
            <w:r w:rsidRPr="00252AC4">
              <w:rPr>
                <w:noProof/>
              </w:rPr>
              <w:fldChar w:fldCharType="separate"/>
            </w:r>
            <w:r w:rsidR="008914FE">
              <w:rPr>
                <w:noProof/>
              </w:rPr>
              <w:t>1</w:t>
            </w:r>
            <w:r w:rsidRPr="00252AC4">
              <w:rPr>
                <w:noProof/>
              </w:rPr>
              <w:fldChar w:fldCharType="end"/>
            </w:r>
            <w:bookmarkEnd w:id="249"/>
            <w:r w:rsidRPr="00252AC4">
              <w:t>. Czech Invest</w:t>
            </w:r>
            <w:r w:rsidR="00852B23" w:rsidRPr="00252AC4">
              <w:t>’s Supplier Development Programme</w:t>
            </w:r>
            <w:bookmarkEnd w:id="250"/>
            <w:bookmarkEnd w:id="251"/>
          </w:p>
          <w:p w14:paraId="3621FE97" w14:textId="7F3AA165" w:rsidR="008F624F" w:rsidRPr="00252AC4" w:rsidRDefault="00ED66CF" w:rsidP="00D44A11">
            <w:pPr>
              <w:pStyle w:val="Para0"/>
              <w:keepNext/>
            </w:pPr>
            <w:r w:rsidRPr="00252AC4">
              <w:t>In</w:t>
            </w:r>
            <w:r w:rsidR="004A2930" w:rsidRPr="00252AC4">
              <w:t xml:space="preserve"> 1999, Czech Invest, t</w:t>
            </w:r>
            <w:r w:rsidR="00D44A11" w:rsidRPr="00252AC4">
              <w:t xml:space="preserve">he national IPA of the Czech Republic, </w:t>
            </w:r>
            <w:r w:rsidRPr="00252AC4">
              <w:t>established</w:t>
            </w:r>
            <w:r w:rsidR="004A2930" w:rsidRPr="00252AC4">
              <w:t xml:space="preserve"> </w:t>
            </w:r>
            <w:r w:rsidRPr="00252AC4">
              <w:t>its</w:t>
            </w:r>
            <w:r w:rsidR="004A2930" w:rsidRPr="00252AC4">
              <w:t xml:space="preserve"> ‘</w:t>
            </w:r>
            <w:r w:rsidR="00D44A11" w:rsidRPr="00252AC4">
              <w:t>Supplier Development Programme</w:t>
            </w:r>
            <w:r w:rsidR="004A2930" w:rsidRPr="00252AC4">
              <w:t xml:space="preserve">’ to foster business linkages </w:t>
            </w:r>
            <w:r w:rsidRPr="00252AC4">
              <w:t>between its domestic SMEs and MNEs investing in the country</w:t>
            </w:r>
            <w:r w:rsidR="004A2930" w:rsidRPr="00252AC4">
              <w:t>.</w:t>
            </w:r>
            <w:r w:rsidR="00D70AB5" w:rsidRPr="00252AC4">
              <w:t xml:space="preserve"> </w:t>
            </w:r>
            <w:r w:rsidRPr="00252AC4">
              <w:t>The programme</w:t>
            </w:r>
            <w:r w:rsidR="00D70AB5" w:rsidRPr="00252AC4">
              <w:t xml:space="preserve"> </w:t>
            </w:r>
            <w:r w:rsidR="00A72362" w:rsidRPr="00252AC4">
              <w:t xml:space="preserve">entails the creation and maintenance of </w:t>
            </w:r>
            <w:r w:rsidR="00937951" w:rsidRPr="00252AC4">
              <w:t>database</w:t>
            </w:r>
            <w:r w:rsidR="00A72362" w:rsidRPr="00252AC4">
              <w:t xml:space="preserve"> of qualified suppliers</w:t>
            </w:r>
            <w:r w:rsidR="00937951" w:rsidRPr="00252AC4">
              <w:t xml:space="preserve">, </w:t>
            </w:r>
            <w:r w:rsidR="00D70AB5" w:rsidRPr="00252AC4">
              <w:t>the provision of activities and services</w:t>
            </w:r>
            <w:r w:rsidR="0027768C" w:rsidRPr="00252AC4">
              <w:t xml:space="preserve"> to MNEs</w:t>
            </w:r>
            <w:r w:rsidR="00D70AB5" w:rsidRPr="00252AC4">
              <w:t>, and</w:t>
            </w:r>
            <w:r w:rsidR="00937951" w:rsidRPr="00252AC4">
              <w:t xml:space="preserve"> matchmaking and networking events</w:t>
            </w:r>
            <w:r w:rsidR="00D70AB5" w:rsidRPr="00252AC4">
              <w:t xml:space="preserve">. </w:t>
            </w:r>
            <w:r w:rsidR="004A2930" w:rsidRPr="00252AC4">
              <w:t xml:space="preserve">In 2003, </w:t>
            </w:r>
            <w:r w:rsidR="00D70AB5" w:rsidRPr="00252AC4">
              <w:t xml:space="preserve">Czech Invest </w:t>
            </w:r>
            <w:r w:rsidR="00D44A11" w:rsidRPr="00252AC4">
              <w:t>merged with the</w:t>
            </w:r>
            <w:r w:rsidR="00A72362" w:rsidRPr="00252AC4">
              <w:t xml:space="preserve"> Czech Republic’s</w:t>
            </w:r>
            <w:r w:rsidR="00D44A11" w:rsidRPr="00252AC4">
              <w:t xml:space="preserve"> </w:t>
            </w:r>
            <w:r w:rsidR="00A72362" w:rsidRPr="00252AC4">
              <w:t xml:space="preserve">national </w:t>
            </w:r>
            <w:r w:rsidR="00D44A11" w:rsidRPr="00252AC4">
              <w:t>SME agency</w:t>
            </w:r>
            <w:r w:rsidR="00937951" w:rsidRPr="00252AC4">
              <w:t xml:space="preserve"> </w:t>
            </w:r>
            <w:r w:rsidR="00A72362" w:rsidRPr="00252AC4">
              <w:t>and strengthened its approach</w:t>
            </w:r>
            <w:r w:rsidR="00D44A11" w:rsidRPr="00252AC4">
              <w:t xml:space="preserve"> to improve the capabilit</w:t>
            </w:r>
            <w:r w:rsidR="00A72362" w:rsidRPr="00252AC4">
              <w:t>ies</w:t>
            </w:r>
            <w:r w:rsidR="00D44A11" w:rsidRPr="00252AC4">
              <w:t xml:space="preserve"> of SMEs to </w:t>
            </w:r>
            <w:r w:rsidR="00A72362" w:rsidRPr="00252AC4">
              <w:t>supply</w:t>
            </w:r>
            <w:r w:rsidR="00D44A11" w:rsidRPr="00252AC4">
              <w:t xml:space="preserve"> </w:t>
            </w:r>
            <w:r w:rsidR="00A72362" w:rsidRPr="00252AC4">
              <w:t>international investors</w:t>
            </w:r>
            <w:r w:rsidR="00D44A11" w:rsidRPr="00252AC4">
              <w:t xml:space="preserve">. </w:t>
            </w:r>
            <w:r w:rsidR="008F624F" w:rsidRPr="00252AC4">
              <w:t xml:space="preserve">Since </w:t>
            </w:r>
            <w:r w:rsidR="004A2930" w:rsidRPr="00252AC4">
              <w:t>then</w:t>
            </w:r>
            <w:r w:rsidR="008F624F" w:rsidRPr="00252AC4">
              <w:t xml:space="preserve">, Czech Invest has </w:t>
            </w:r>
            <w:r w:rsidR="00A72362" w:rsidRPr="00252AC4">
              <w:t>brokered</w:t>
            </w:r>
            <w:r w:rsidR="008F624F" w:rsidRPr="00252AC4">
              <w:t xml:space="preserve"> supplier contracts </w:t>
            </w:r>
            <w:r w:rsidR="00A72362" w:rsidRPr="00252AC4">
              <w:t>for a total amount of</w:t>
            </w:r>
            <w:r w:rsidR="008F624F" w:rsidRPr="00252AC4">
              <w:t xml:space="preserve"> 250 million</w:t>
            </w:r>
            <w:r w:rsidR="00A72362" w:rsidRPr="00252AC4">
              <w:t xml:space="preserve"> US dollars</w:t>
            </w:r>
            <w:r w:rsidR="0020466D" w:rsidRPr="00252AC4">
              <w:t>.</w:t>
            </w:r>
          </w:p>
          <w:p w14:paraId="07980783" w14:textId="663CB2F4" w:rsidR="00937951" w:rsidRPr="00252AC4" w:rsidRDefault="00937951" w:rsidP="00937951">
            <w:pPr>
              <w:pStyle w:val="Para0"/>
              <w:keepNext/>
            </w:pPr>
            <w:r w:rsidRPr="00252AC4">
              <w:t>Czech Invest</w:t>
            </w:r>
            <w:r w:rsidR="00A72362" w:rsidRPr="00252AC4">
              <w:t>’s</w:t>
            </w:r>
            <w:r w:rsidRPr="00252AC4">
              <w:t xml:space="preserve"> </w:t>
            </w:r>
            <w:r w:rsidR="00A72362" w:rsidRPr="00252AC4">
              <w:t>supplier</w:t>
            </w:r>
            <w:r w:rsidRPr="00252AC4">
              <w:t xml:space="preserve"> database </w:t>
            </w:r>
            <w:r w:rsidR="00A72362" w:rsidRPr="00252AC4">
              <w:t>covers</w:t>
            </w:r>
            <w:r w:rsidRPr="00252AC4">
              <w:t xml:space="preserve"> </w:t>
            </w:r>
            <w:r w:rsidR="00A72362" w:rsidRPr="00252AC4">
              <w:t>about</w:t>
            </w:r>
            <w:r w:rsidR="00124758" w:rsidRPr="00252AC4">
              <w:t xml:space="preserve"> 3</w:t>
            </w:r>
            <w:r w:rsidR="00A72362" w:rsidRPr="00252AC4">
              <w:t>,</w:t>
            </w:r>
            <w:r w:rsidR="00124758" w:rsidRPr="00252AC4">
              <w:t>5</w:t>
            </w:r>
            <w:r w:rsidRPr="00252AC4">
              <w:t xml:space="preserve">00 </w:t>
            </w:r>
            <w:r w:rsidR="00124758" w:rsidRPr="00252AC4">
              <w:t xml:space="preserve">profiles of Czech </w:t>
            </w:r>
            <w:r w:rsidR="00A72362" w:rsidRPr="00252AC4">
              <w:t>SMEs</w:t>
            </w:r>
            <w:r w:rsidRPr="00252AC4">
              <w:t xml:space="preserve"> in </w:t>
            </w:r>
            <w:r w:rsidR="00124758" w:rsidRPr="00252AC4">
              <w:t xml:space="preserve">key </w:t>
            </w:r>
            <w:r w:rsidRPr="00252AC4">
              <w:t>sectors such as automotive, aerospace, electronics, healthcare and energy. The database is freely accessible and allows MNEs to search for partners and suppliers by sector characteristics, modules, key technologies and locations.</w:t>
            </w:r>
          </w:p>
          <w:p w14:paraId="5245653B" w14:textId="700D93B3" w:rsidR="00937951" w:rsidRPr="00252AC4" w:rsidRDefault="00937951" w:rsidP="00937951">
            <w:pPr>
              <w:pStyle w:val="Para0"/>
              <w:keepNext/>
            </w:pPr>
            <w:r w:rsidRPr="00252AC4">
              <w:t xml:space="preserve">In addition, </w:t>
            </w:r>
            <w:r w:rsidR="00D44A11" w:rsidRPr="00252AC4">
              <w:t>Czech Invest provides</w:t>
            </w:r>
            <w:r w:rsidR="00A72362" w:rsidRPr="00252AC4">
              <w:t xml:space="preserve"> </w:t>
            </w:r>
            <w:r w:rsidR="00D44A11" w:rsidRPr="00252AC4">
              <w:t xml:space="preserve">services to MNEs including tailored recommendations to find suitable business partners, </w:t>
            </w:r>
            <w:r w:rsidR="00A72362" w:rsidRPr="00252AC4">
              <w:t>organisation of</w:t>
            </w:r>
            <w:r w:rsidR="00D44A11" w:rsidRPr="00252AC4">
              <w:t xml:space="preserve"> meetings with </w:t>
            </w:r>
            <w:r w:rsidRPr="00252AC4">
              <w:t>domestic firms</w:t>
            </w:r>
            <w:r w:rsidR="0027768C" w:rsidRPr="00252AC4">
              <w:t>,</w:t>
            </w:r>
            <w:r w:rsidR="00D44A11" w:rsidRPr="00252AC4">
              <w:t xml:space="preserve"> supplier </w:t>
            </w:r>
            <w:r w:rsidR="00252AC4" w:rsidRPr="00252AC4">
              <w:t>forums, visits</w:t>
            </w:r>
            <w:r w:rsidR="008F624F" w:rsidRPr="00252AC4">
              <w:t xml:space="preserve"> and business trips</w:t>
            </w:r>
            <w:r w:rsidR="00D44A11" w:rsidRPr="00252AC4">
              <w:t>.</w:t>
            </w:r>
            <w:r w:rsidRPr="00252AC4">
              <w:t xml:space="preserve"> </w:t>
            </w:r>
          </w:p>
          <w:p w14:paraId="627E9828" w14:textId="68B356A0" w:rsidR="00937951" w:rsidRPr="00252AC4" w:rsidRDefault="00446D5B" w:rsidP="00937951">
            <w:pPr>
              <w:pStyle w:val="Para0"/>
              <w:keepNext/>
            </w:pPr>
            <w:r w:rsidRPr="00252AC4">
              <w:t xml:space="preserve">The agency also </w:t>
            </w:r>
            <w:r w:rsidR="00937951" w:rsidRPr="00252AC4">
              <w:t xml:space="preserve">organises </w:t>
            </w:r>
            <w:r w:rsidR="00582A14" w:rsidRPr="00252AC4">
              <w:t>“</w:t>
            </w:r>
            <w:r w:rsidR="00937951" w:rsidRPr="00252AC4">
              <w:t>supplier days</w:t>
            </w:r>
            <w:r w:rsidR="00582A14" w:rsidRPr="00252AC4">
              <w:t>”,</w:t>
            </w:r>
            <w:r w:rsidR="00937951" w:rsidRPr="00252AC4">
              <w:t xml:space="preserve"> </w:t>
            </w:r>
            <w:r w:rsidR="00582A14" w:rsidRPr="00252AC4">
              <w:t>matchmaking events</w:t>
            </w:r>
            <w:r w:rsidR="00937951" w:rsidRPr="00252AC4">
              <w:t>.</w:t>
            </w:r>
            <w:r w:rsidRPr="00252AC4">
              <w:t xml:space="preserve"> </w:t>
            </w:r>
            <w:r w:rsidR="00582A14" w:rsidRPr="00252AC4">
              <w:t>S</w:t>
            </w:r>
            <w:r w:rsidR="00937951" w:rsidRPr="00252AC4">
              <w:t xml:space="preserve">uppliers invited to these </w:t>
            </w:r>
            <w:r w:rsidR="00582A14" w:rsidRPr="00252AC4">
              <w:t>events</w:t>
            </w:r>
            <w:r w:rsidR="00937951" w:rsidRPr="00252AC4">
              <w:t xml:space="preserve"> </w:t>
            </w:r>
            <w:r w:rsidR="00582A14" w:rsidRPr="00252AC4">
              <w:t xml:space="preserve">are selected </w:t>
            </w:r>
            <w:r w:rsidR="00937951" w:rsidRPr="00252AC4">
              <w:t xml:space="preserve">based on MNE’s specific requirements, including </w:t>
            </w:r>
            <w:r w:rsidR="00582A14" w:rsidRPr="00252AC4">
              <w:t>functional specifications,</w:t>
            </w:r>
            <w:r w:rsidR="00937951" w:rsidRPr="00252AC4">
              <w:t xml:space="preserve"> source components</w:t>
            </w:r>
            <w:r w:rsidR="00582A14" w:rsidRPr="00252AC4">
              <w:t>,</w:t>
            </w:r>
            <w:r w:rsidR="00937951" w:rsidRPr="00252AC4">
              <w:t xml:space="preserve"> price, quality and quantit</w:t>
            </w:r>
            <w:r w:rsidR="00582A14" w:rsidRPr="00252AC4">
              <w:t>ies</w:t>
            </w:r>
            <w:r w:rsidR="00937951" w:rsidRPr="00252AC4">
              <w:t xml:space="preserve">. </w:t>
            </w:r>
          </w:p>
          <w:p w14:paraId="51D08DCE" w14:textId="38D33517" w:rsidR="0020466D" w:rsidRPr="00252AC4" w:rsidRDefault="0020466D" w:rsidP="002C75F3">
            <w:pPr>
              <w:pStyle w:val="Sourcenotes"/>
              <w:rPr>
                <w:noProof/>
              </w:rPr>
            </w:pPr>
            <w:r w:rsidRPr="00252AC4">
              <w:t xml:space="preserve">Sources: </w:t>
            </w:r>
            <w:r w:rsidR="00ED7988" w:rsidRPr="00252AC4">
              <w:rPr>
                <w:noProof/>
              </w:rPr>
              <w:t xml:space="preserve">Loewendahl, H. (2018), </w:t>
            </w:r>
            <w:r w:rsidR="00ED7988" w:rsidRPr="00252AC4">
              <w:rPr>
                <w:i/>
                <w:iCs/>
                <w:noProof/>
              </w:rPr>
              <w:t>Innovations in Foreign Direct Investment Attraction</w:t>
            </w:r>
            <w:r w:rsidR="00ED7988" w:rsidRPr="00252AC4">
              <w:rPr>
                <w:noProof/>
              </w:rPr>
              <w:t xml:space="preserve">, Inter-American Development Bank, Washington D.C., </w:t>
            </w:r>
            <w:hyperlink r:id="rId61" w:history="1">
              <w:r w:rsidR="00B55ADE" w:rsidRPr="00252AC4">
                <w:rPr>
                  <w:rStyle w:val="Hyperlink"/>
                </w:rPr>
                <w:t>http://dx.doi.org/10.18235/0001442</w:t>
              </w:r>
            </w:hyperlink>
            <w:r w:rsidR="00ED7988" w:rsidRPr="00252AC4">
              <w:rPr>
                <w:noProof/>
              </w:rPr>
              <w:t>.</w:t>
            </w:r>
          </w:p>
          <w:p w14:paraId="2284AB93" w14:textId="76FD79D4" w:rsidR="00D70AB5" w:rsidRPr="00252AC4" w:rsidRDefault="00B55ADE" w:rsidP="002C75F3">
            <w:pPr>
              <w:pStyle w:val="Sourcenotes"/>
              <w:rPr>
                <w:iCs/>
                <w:noProof/>
              </w:rPr>
            </w:pPr>
            <w:r w:rsidRPr="00252AC4">
              <w:rPr>
                <w:noProof/>
              </w:rPr>
              <w:t xml:space="preserve">Czech Invest (2018), </w:t>
            </w:r>
            <w:r w:rsidR="000302B9" w:rsidRPr="00252AC4">
              <w:rPr>
                <w:i/>
                <w:iCs/>
                <w:noProof/>
              </w:rPr>
              <w:t xml:space="preserve">CzechInvest </w:t>
            </w:r>
            <w:r w:rsidRPr="00252AC4">
              <w:rPr>
                <w:i/>
                <w:iCs/>
                <w:noProof/>
              </w:rPr>
              <w:t xml:space="preserve">approach to multi-mandate : Making it work and maximizing the benefits,Workshop organised by the OECD, </w:t>
            </w:r>
            <w:r w:rsidRPr="00252AC4">
              <w:rPr>
                <w:iCs/>
                <w:noProof/>
              </w:rPr>
              <w:t>Rabat, Morocco.</w:t>
            </w:r>
          </w:p>
          <w:p w14:paraId="587AAA1A" w14:textId="0A457257" w:rsidR="00B55ADE" w:rsidRPr="00252AC4" w:rsidRDefault="00D70AB5" w:rsidP="002C75F3">
            <w:pPr>
              <w:pStyle w:val="Sourcenotes"/>
              <w:rPr>
                <w:color w:val="0000FF"/>
                <w:u w:val="single"/>
              </w:rPr>
            </w:pPr>
            <w:r w:rsidRPr="00252AC4">
              <w:rPr>
                <w:iCs/>
                <w:noProof/>
              </w:rPr>
              <w:t xml:space="preserve">Pavlínek, P. and P. Žížalová (2016), “Linkages and spillovers in global production networks: firm-level analysis of the Czech automotive industry”, Journal of Economic Geography, Vol. 16/2, pp. 331-363, </w:t>
            </w:r>
            <w:r w:rsidRPr="00252AC4">
              <w:rPr>
                <w:rStyle w:val="Hyperlink"/>
              </w:rPr>
              <w:t>http://dx.doi.org/10.1093/jeg/lbu041</w:t>
            </w:r>
            <w:r w:rsidRPr="00252AC4">
              <w:rPr>
                <w:iCs/>
                <w:noProof/>
              </w:rPr>
              <w:t>.</w:t>
            </w:r>
          </w:p>
        </w:tc>
      </w:tr>
    </w:tbl>
    <w:p w14:paraId="688BA791" w14:textId="09147B5E" w:rsidR="00FD42E7" w:rsidRPr="00252AC4" w:rsidRDefault="00FD42E7" w:rsidP="00FD42E7">
      <w:pPr>
        <w:pStyle w:val="Para0"/>
      </w:pPr>
      <w:r w:rsidRPr="00252AC4">
        <w:t>There are also areas where Eurasia IPAs are less active</w:t>
      </w:r>
      <w:r w:rsidR="001206B5" w:rsidRPr="00252AC4">
        <w:t xml:space="preserve"> than other regions</w:t>
      </w:r>
      <w:r w:rsidRPr="00252AC4">
        <w:t xml:space="preserve">. For example, NDA Mongolia is the only agency that provides training or educational programmes for local staff, while none of the agencies provides assistance in the recruitment process. </w:t>
      </w:r>
      <w:r w:rsidR="008A4B9B" w:rsidRPr="00252AC4">
        <w:t>In some cases, t</w:t>
      </w:r>
      <w:r w:rsidRPr="00252AC4">
        <w:t>hese activities are carried out by government</w:t>
      </w:r>
      <w:r w:rsidR="008A4B9B" w:rsidRPr="00252AC4">
        <w:t>al</w:t>
      </w:r>
      <w:r w:rsidRPr="00252AC4">
        <w:t xml:space="preserve"> agencies</w:t>
      </w:r>
      <w:r w:rsidR="008A4B9B" w:rsidRPr="00252AC4">
        <w:t xml:space="preserve"> </w:t>
      </w:r>
      <w:r w:rsidR="00AA352B" w:rsidRPr="00252AC4">
        <w:t xml:space="preserve">other </w:t>
      </w:r>
      <w:r w:rsidR="008A4B9B" w:rsidRPr="00252AC4">
        <w:t>than IPAs</w:t>
      </w:r>
      <w:r w:rsidRPr="00252AC4">
        <w:t xml:space="preserve"> </w:t>
      </w:r>
      <w:sdt>
        <w:sdtPr>
          <w:id w:val="751242921"/>
          <w:citation/>
        </w:sdtPr>
        <w:sdtEndPr/>
        <w:sdtContent>
          <w:r w:rsidRPr="00252AC4">
            <w:fldChar w:fldCharType="begin"/>
          </w:r>
          <w:r w:rsidRPr="00252AC4">
            <w:instrText xml:space="preserve"> CITATION OEC18 \l 2057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w:t>
      </w:r>
    </w:p>
    <w:p w14:paraId="24A10F75" w14:textId="77777777" w:rsidR="001E59BF" w:rsidRDefault="0073145A" w:rsidP="00FD42E7">
      <w:pPr>
        <w:pStyle w:val="Para0"/>
      </w:pPr>
      <w:r w:rsidRPr="00252AC4">
        <w:lastRenderedPageBreak/>
        <w:t xml:space="preserve">Focusing efforts on aftercare can have great benefits, for two </w:t>
      </w:r>
      <w:r w:rsidR="00194ED5" w:rsidRPr="00252AC4">
        <w:t xml:space="preserve">at least </w:t>
      </w:r>
      <w:r w:rsidRPr="00252AC4">
        <w:t>reasons</w:t>
      </w:r>
      <w:r w:rsidR="00194ED5" w:rsidRPr="00252AC4">
        <w:t>. First</w:t>
      </w:r>
      <w:r w:rsidRPr="00252AC4">
        <w:t>, getting existing investors to expand their operations can be less challenging and costly than trying to attract new investors</w:t>
      </w:r>
      <w:sdt>
        <w:sdtPr>
          <w:id w:val="-604341535"/>
          <w:citation/>
        </w:sdtPr>
        <w:sdtEndPr/>
        <w:sdtContent>
          <w:r w:rsidRPr="00252AC4">
            <w:fldChar w:fldCharType="begin"/>
          </w:r>
          <w:r w:rsidRPr="00252AC4">
            <w:instrText xml:space="preserve"> CITATION Kappa_g2g3e67f \l 1036 </w:instrText>
          </w:r>
          <w:r w:rsidRPr="00252AC4">
            <w:fldChar w:fldCharType="separate"/>
          </w:r>
          <w:r w:rsidR="00E259C6" w:rsidRPr="00252AC4">
            <w:rPr>
              <w:noProof/>
            </w:rPr>
            <w:t xml:space="preserve"> (OECD, 2015</w:t>
          </w:r>
          <w:r w:rsidR="00E259C6" w:rsidRPr="00252AC4">
            <w:rPr>
              <w:noProof/>
              <w:vertAlign w:val="subscript"/>
            </w:rPr>
            <w:t>[5]</w:t>
          </w:r>
          <w:r w:rsidR="00E259C6" w:rsidRPr="00252AC4">
            <w:rPr>
              <w:noProof/>
            </w:rPr>
            <w:t>)</w:t>
          </w:r>
          <w:r w:rsidRPr="00252AC4">
            <w:fldChar w:fldCharType="end"/>
          </w:r>
        </w:sdtContent>
      </w:sdt>
      <w:r w:rsidRPr="00252AC4">
        <w:t>. Second</w:t>
      </w:r>
      <w:r w:rsidR="00194ED5" w:rsidRPr="00252AC4">
        <w:t>ly</w:t>
      </w:r>
      <w:r w:rsidRPr="00252AC4">
        <w:t xml:space="preserve">, working with investors in the country, supporting them with existing operations and trying to solve their problems, can be extremely beneficial to the policy improvement process. UkraineInvest </w:t>
      </w:r>
      <w:r w:rsidR="00194ED5" w:rsidRPr="00252AC4">
        <w:t xml:space="preserve">has </w:t>
      </w:r>
      <w:r w:rsidRPr="00252AC4">
        <w:t>applied this approach</w:t>
      </w:r>
      <w:r w:rsidR="00194ED5" w:rsidRPr="00252AC4">
        <w:t>,</w:t>
      </w:r>
      <w:r w:rsidRPr="00252AC4">
        <w:t xml:space="preserve"> focusing on </w:t>
      </w:r>
      <w:r w:rsidR="00194ED5" w:rsidRPr="00252AC4">
        <w:t>existing investors’</w:t>
      </w:r>
      <w:r w:rsidRPr="00252AC4">
        <w:t xml:space="preserve"> problems rather than trying to bring in new </w:t>
      </w:r>
      <w:r w:rsidR="008A4BF3" w:rsidRPr="00252AC4">
        <w:t>investors</w:t>
      </w:r>
      <w:r w:rsidRPr="00252AC4">
        <w:t>. This choice led to str</w:t>
      </w:r>
      <w:r w:rsidR="00194ED5" w:rsidRPr="00252AC4">
        <w:t>onger</w:t>
      </w:r>
      <w:r w:rsidRPr="00252AC4">
        <w:t xml:space="preserve"> ties with existing investors and stakeholders</w:t>
      </w:r>
      <w:r w:rsidR="00194ED5" w:rsidRPr="00252AC4">
        <w:t>, and steps to</w:t>
      </w:r>
      <w:r w:rsidRPr="00252AC4">
        <w:t xml:space="preserve"> </w:t>
      </w:r>
      <w:r w:rsidR="008A4BF3" w:rsidRPr="00252AC4">
        <w:t>address critical impediments to investment project implementation</w:t>
      </w:r>
      <w:r w:rsidR="00194ED5" w:rsidRPr="00252AC4">
        <w:t>. It</w:t>
      </w:r>
      <w:r w:rsidRPr="00252AC4">
        <w:t xml:space="preserve"> eventually contributed to bringing new investment projects.</w:t>
      </w:r>
      <w:r w:rsidR="003F192C" w:rsidRPr="00252AC4">
        <w:t xml:space="preserve"> Adopting a “key account management” approach can be a good way to establish an effective aftercare function, as in the example of Business France (Box </w:t>
      </w:r>
      <w:r w:rsidR="00706535" w:rsidRPr="00252AC4">
        <w:t>2.1</w:t>
      </w:r>
      <w:r w:rsidR="003F192C" w:rsidRPr="00252AC4">
        <w:t>).</w:t>
      </w:r>
      <w:r w:rsidR="002A4F2C">
        <w:t xml:space="preserve"> </w:t>
      </w:r>
    </w:p>
    <w:p w14:paraId="1B263AA9" w14:textId="598F4D18" w:rsidR="0073145A" w:rsidRPr="00252AC4" w:rsidRDefault="001E59BF" w:rsidP="00FD42E7">
      <w:pPr>
        <w:pStyle w:val="Para0"/>
      </w:pPr>
      <w:r>
        <w:t xml:space="preserve">Aftercare is all the more important in the </w:t>
      </w:r>
      <w:r w:rsidR="002A4F2C">
        <w:t xml:space="preserve">current context </w:t>
      </w:r>
      <w:r>
        <w:t xml:space="preserve">: as </w:t>
      </w:r>
      <w:r w:rsidR="00A60B60">
        <w:t>the COVID-19 crisis unfolds,</w:t>
      </w:r>
      <w:r>
        <w:t xml:space="preserve"> retention and expansion of existing investors are acquiring a new strategic dimension. In Eurasia</w:t>
      </w:r>
      <w:r w:rsidR="00720180">
        <w:t xml:space="preserve"> countries</w:t>
      </w:r>
      <w:r>
        <w:t xml:space="preserve">, there </w:t>
      </w:r>
      <w:r w:rsidR="00720180">
        <w:t>is</w:t>
      </w:r>
      <w:r>
        <w:t xml:space="preserve"> a risk that recent investors seeing the region as a new frontier </w:t>
      </w:r>
      <w:r w:rsidR="00720180">
        <w:t xml:space="preserve">may </w:t>
      </w:r>
      <w:r>
        <w:t xml:space="preserve">divest themselves of their local </w:t>
      </w:r>
      <w:r w:rsidR="00007067">
        <w:t>operations</w:t>
      </w:r>
      <w:r>
        <w:t>. M</w:t>
      </w:r>
      <w:r w:rsidR="00A60B60">
        <w:t xml:space="preserve">aintaining an ongoing dialogue with existing investors can </w:t>
      </w:r>
      <w:r w:rsidR="00972AD9">
        <w:t xml:space="preserve">greatly </w:t>
      </w:r>
      <w:r w:rsidR="00A60B60">
        <w:t xml:space="preserve">contribute to the understanding of </w:t>
      </w:r>
      <w:r w:rsidR="00007067">
        <w:t xml:space="preserve">the crisis </w:t>
      </w:r>
      <w:r w:rsidR="00A60B60">
        <w:t xml:space="preserve">effects on </w:t>
      </w:r>
      <w:r w:rsidR="00007067">
        <w:t xml:space="preserve"> their activities,</w:t>
      </w:r>
      <w:r w:rsidR="00A60B60">
        <w:t xml:space="preserve"> and to the development of measures to mitigate negative impacts.</w:t>
      </w:r>
      <w:r>
        <w:t xml:space="preserve"> As mentioned in the introduction </w:t>
      </w:r>
      <w:r w:rsidR="00720180">
        <w:t>to</w:t>
      </w:r>
      <w:r>
        <w:t xml:space="preserve"> this section, OECD IPAs have already started to strengthen their </w:t>
      </w:r>
      <w:r w:rsidR="00007067">
        <w:t>aftercare function, and expect to continue doing so in the medium-term.</w:t>
      </w:r>
    </w:p>
    <w:p w14:paraId="22990488" w14:textId="56BB8A10" w:rsidR="00825C9C" w:rsidRPr="00252AC4" w:rsidRDefault="00825C9C" w:rsidP="0051394F">
      <w:pPr>
        <w:pStyle w:val="Caption"/>
      </w:pPr>
      <w:bookmarkStart w:id="252" w:name="_Toc34647262"/>
      <w:bookmarkStart w:id="253" w:name="_Ref32323383"/>
      <w:bookmarkStart w:id="254" w:name="_Toc32317052"/>
      <w:bookmarkStart w:id="255" w:name="_Toc32324711"/>
      <w:r w:rsidRPr="00252AC4">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6</w:t>
      </w:r>
      <w:r w:rsidRPr="00252AC4">
        <w:rPr>
          <w:noProof/>
        </w:rPr>
        <w:fldChar w:fldCharType="end"/>
      </w:r>
      <w:r w:rsidRPr="00252AC4">
        <w:t xml:space="preserve">. Shares of IPAs performing aftercare activities </w:t>
      </w:r>
      <w:r w:rsidRPr="00252AC4">
        <w:br/>
        <w:t>(comparison across regions)</w:t>
      </w:r>
      <w:bookmarkEnd w:id="252"/>
    </w:p>
    <w:p w14:paraId="30F9C8B6" w14:textId="5023090F" w:rsidR="00825C9C" w:rsidRPr="00252AC4" w:rsidRDefault="007D75DD" w:rsidP="00825C9C">
      <w:pPr>
        <w:pStyle w:val="Figure"/>
        <w:rPr>
          <w:noProof/>
          <w:lang w:eastAsia="en-GB"/>
        </w:rPr>
      </w:pPr>
      <w:r w:rsidRPr="00252AC4">
        <w:rPr>
          <w:noProof/>
          <w:lang w:eastAsia="en-GB"/>
        </w:rPr>
        <w:object w:dxaOrig="8300" w:dyaOrig="4690" w14:anchorId="61F6BB9D">
          <v:shape id="_x0000_i1044" type="#_x0000_t75" style="width:389.45pt;height:219.8pt" o:ole="">
            <v:imagedata r:id="rId62" o:title=""/>
          </v:shape>
          <o:OLEObject Type="Link" ProgID="Excel.Sheet.12" ShapeID="_x0000_i1044" DrawAspect="Content" r:id="rId63" UpdateMode="Always">
            <o:LinkType>EnhancedMetaFile</o:LinkType>
            <o:LockedField>false</o:LockedField>
          </o:OLEObject>
        </w:object>
      </w:r>
    </w:p>
    <w:p w14:paraId="632A55C1" w14:textId="77777777" w:rsidR="00825C9C" w:rsidRPr="00252AC4" w:rsidRDefault="00825C9C" w:rsidP="00825C9C">
      <w:pPr>
        <w:pStyle w:val="Sourcenotes"/>
      </w:pPr>
      <w:r w:rsidRPr="00252AC4">
        <w:rPr>
          <w:i/>
        </w:rPr>
        <w:t>Note</w:t>
      </w:r>
      <w:r w:rsidRPr="00252AC4">
        <w:t>: The figure illustrates average shares of IPAs performing specific aftercare activities.</w:t>
      </w:r>
    </w:p>
    <w:p w14:paraId="7FE1598E" w14:textId="34513F04" w:rsidR="00FD42E7" w:rsidRDefault="00825C9C" w:rsidP="00825C9C">
      <w:pPr>
        <w:pStyle w:val="Sourcenotes"/>
      </w:pPr>
      <w:r w:rsidRPr="00252AC4">
        <w:rPr>
          <w:i/>
        </w:rPr>
        <w:t xml:space="preserve">Source: </w:t>
      </w:r>
      <w:r w:rsidRPr="00252AC4">
        <w:t>OECD-IDB Survey of Investment Promotion Agencies (2020)</w:t>
      </w:r>
      <w:bookmarkEnd w:id="253"/>
      <w:bookmarkEnd w:id="254"/>
      <w:bookmarkEnd w:id="255"/>
      <w:r w:rsidR="00720180">
        <w:t>.</w:t>
      </w:r>
    </w:p>
    <w:p w14:paraId="2C1D201A" w14:textId="13B9E70F" w:rsidR="00286533" w:rsidRDefault="00286533" w:rsidP="00825C9C">
      <w:pPr>
        <w:pStyle w:val="Sourcenotes"/>
      </w:pPr>
    </w:p>
    <w:p w14:paraId="5DE1DE26" w14:textId="4D860F9F" w:rsidR="00286533" w:rsidRPr="00252AC4" w:rsidRDefault="00286533" w:rsidP="00A0417B">
      <w:pPr>
        <w:pStyle w:val="Para0"/>
      </w:pPr>
    </w:p>
    <w:tbl>
      <w:tblPr>
        <w:tblStyle w:val="TableGrid"/>
        <w:tblW w:w="9309" w:type="dxa"/>
        <w:jc w:val="center"/>
        <w:shd w:val="clear" w:color="auto" w:fill="E1E6EB"/>
        <w:tblCellMar>
          <w:left w:w="0" w:type="dxa"/>
          <w:bottom w:w="142" w:type="dxa"/>
          <w:right w:w="0" w:type="dxa"/>
        </w:tblCellMar>
        <w:tblLook w:val="04A0" w:firstRow="1" w:lastRow="0" w:firstColumn="1" w:lastColumn="0" w:noHBand="0" w:noVBand="1"/>
      </w:tblPr>
      <w:tblGrid>
        <w:gridCol w:w="9309"/>
      </w:tblGrid>
      <w:tr w:rsidR="00564D6F" w:rsidRPr="00252AC4" w14:paraId="3763F15A" w14:textId="77777777" w:rsidTr="008E7C60">
        <w:trPr>
          <w:jc w:val="center"/>
        </w:trPr>
        <w:tc>
          <w:tcPr>
            <w:tcW w:w="9309" w:type="dxa"/>
            <w:shd w:val="clear" w:color="auto" w:fill="E1E6EB"/>
          </w:tcPr>
          <w:p w14:paraId="5A268D3E" w14:textId="231A0571" w:rsidR="00564D6F" w:rsidRPr="00252AC4" w:rsidRDefault="00564D6F" w:rsidP="00564D6F">
            <w:pPr>
              <w:pStyle w:val="Caption"/>
            </w:pPr>
            <w:bookmarkStart w:id="256" w:name="_Toc31617727"/>
            <w:bookmarkStart w:id="257" w:name="_Toc31641368"/>
            <w:bookmarkStart w:id="258" w:name="_Toc31650368"/>
            <w:bookmarkStart w:id="259" w:name="_Toc32317072"/>
            <w:bookmarkStart w:id="260" w:name="_Toc32324731"/>
            <w:bookmarkStart w:id="261" w:name="_Toc34647282"/>
            <w:r w:rsidRPr="00252AC4">
              <w:lastRenderedPageBreak/>
              <w:t xml:space="preserve">Box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Box \* ARABIC \s 1 </w:instrText>
            </w:r>
            <w:r w:rsidRPr="00252AC4">
              <w:rPr>
                <w:noProof/>
              </w:rPr>
              <w:fldChar w:fldCharType="separate"/>
            </w:r>
            <w:r w:rsidR="008914FE">
              <w:rPr>
                <w:noProof/>
              </w:rPr>
              <w:t>2</w:t>
            </w:r>
            <w:r w:rsidRPr="00252AC4">
              <w:rPr>
                <w:noProof/>
              </w:rPr>
              <w:fldChar w:fldCharType="end"/>
            </w:r>
            <w:r w:rsidRPr="00252AC4">
              <w:t>. A structured approach to aftercare: The example of Business France</w:t>
            </w:r>
            <w:bookmarkEnd w:id="256"/>
            <w:bookmarkEnd w:id="257"/>
            <w:bookmarkEnd w:id="258"/>
            <w:bookmarkEnd w:id="259"/>
            <w:bookmarkEnd w:id="260"/>
            <w:bookmarkEnd w:id="261"/>
          </w:p>
          <w:p w14:paraId="4B171F82" w14:textId="77777777" w:rsidR="00564D6F" w:rsidRPr="00252AC4" w:rsidRDefault="00564D6F" w:rsidP="00564D6F">
            <w:pPr>
              <w:pStyle w:val="Para0"/>
            </w:pPr>
            <w:r w:rsidRPr="00252AC4">
              <w:t xml:space="preserve">Re-investment projects account for 40-50% of all FDI in France. In recognising this opportunity, </w:t>
            </w:r>
            <w:r w:rsidRPr="00252AC4">
              <w:rPr>
                <w:i/>
              </w:rPr>
              <w:t>Business France</w:t>
            </w:r>
            <w:r w:rsidRPr="00252AC4">
              <w:t xml:space="preserve"> has set up a dedicated aftercare team with the objectives of identifying new leads, trigger re-investment, and establishing and strengthening the relationship with international companies in France over the medium to long term.</w:t>
            </w:r>
          </w:p>
          <w:p w14:paraId="51208B1A" w14:textId="77777777" w:rsidR="00564D6F" w:rsidRPr="00252AC4" w:rsidRDefault="00564D6F" w:rsidP="00564D6F">
            <w:pPr>
              <w:pStyle w:val="Para0"/>
            </w:pPr>
            <w:r w:rsidRPr="00252AC4">
              <w:t xml:space="preserve">The agency follows a structured approach using a key account management system, through which the aftercare service team maintains an ongoing dialogue with established investors. It also attends VIP networking events to foster relationships with high-level decision makers, including cabinet ministers, among others. The agency provides services at both the operational level, helping investors deal with administrative issues, and the strategic level, supporting investment/reinvestment decisions. Customer satisfaction surveys, annual meetings with key accounts, customer satisfaction calls, and annual FDI surveys are all means that </w:t>
            </w:r>
            <w:r w:rsidRPr="00252AC4">
              <w:rPr>
                <w:i/>
              </w:rPr>
              <w:t xml:space="preserve">Business France </w:t>
            </w:r>
            <w:r w:rsidRPr="00252AC4">
              <w:t>uses to measure the impact of aftercare services.</w:t>
            </w:r>
          </w:p>
          <w:p w14:paraId="66647832" w14:textId="782A9481" w:rsidR="00564D6F" w:rsidRPr="00252AC4" w:rsidRDefault="00564D6F" w:rsidP="00564D6F">
            <w:pPr>
              <w:pStyle w:val="Sourcenotes"/>
            </w:pPr>
            <w:r w:rsidRPr="00252AC4">
              <w:t>Sources: Business France (2019), OECD workshop on investment promotion practices in Eurasia (2019)</w:t>
            </w:r>
          </w:p>
        </w:tc>
      </w:tr>
    </w:tbl>
    <w:p w14:paraId="72314EF9" w14:textId="0CBD5078" w:rsidR="00FD42E7" w:rsidRPr="00252AC4" w:rsidRDefault="00FD42E7" w:rsidP="00641E01">
      <w:pPr>
        <w:pStyle w:val="Para0"/>
      </w:pPr>
      <w:r w:rsidRPr="00252AC4">
        <w:t>Policy advocacy is a</w:t>
      </w:r>
      <w:r w:rsidR="003B76F6" w:rsidRPr="00252AC4">
        <w:t>n important function</w:t>
      </w:r>
      <w:r w:rsidRPr="00252AC4">
        <w:t xml:space="preserve"> </w:t>
      </w:r>
      <w:r w:rsidR="003B76F6" w:rsidRPr="00252AC4">
        <w:t>of the overall investment promotion effort</w:t>
      </w:r>
      <w:r w:rsidRPr="00252AC4">
        <w:t xml:space="preserve">, as it </w:t>
      </w:r>
      <w:r w:rsidR="003B76F6" w:rsidRPr="00252AC4">
        <w:t>constitutes a feedback loop from field practice to policy-making.</w:t>
      </w:r>
      <w:r w:rsidRPr="00252AC4">
        <w:t xml:space="preserve"> In particular, through their interactions with investors, IPAs can identify bottlenecks in the business environment, and channel this information to the government’s decision makers to suggest improvements. IPAs </w:t>
      </w:r>
      <w:r w:rsidR="003B76F6" w:rsidRPr="00252AC4">
        <w:t xml:space="preserve">can </w:t>
      </w:r>
      <w:r w:rsidRPr="00252AC4">
        <w:t>find it challenging</w:t>
      </w:r>
      <w:r w:rsidR="003B76F6" w:rsidRPr="00252AC4">
        <w:t>, however,</w:t>
      </w:r>
      <w:r w:rsidRPr="00252AC4">
        <w:t xml:space="preserve"> to </w:t>
      </w:r>
      <w:r w:rsidR="003B76F6" w:rsidRPr="00252AC4">
        <w:t xml:space="preserve">contribute effectively to the policy-making towards </w:t>
      </w:r>
      <w:r w:rsidR="00DF1718" w:rsidRPr="00252AC4">
        <w:t>an enabling</w:t>
      </w:r>
      <w:r w:rsidR="003B76F6" w:rsidRPr="00252AC4">
        <w:t xml:space="preserve"> institutional framework</w:t>
      </w:r>
      <w:r w:rsidRPr="00252AC4">
        <w:t xml:space="preserve">. </w:t>
      </w:r>
      <w:r w:rsidR="003B76F6" w:rsidRPr="00252AC4">
        <w:t>S</w:t>
      </w:r>
      <w:r w:rsidRPr="00252AC4">
        <w:t>ome degree of institutional independence</w:t>
      </w:r>
      <w:r w:rsidR="003B76F6" w:rsidRPr="00252AC4">
        <w:t xml:space="preserve"> seems an enabling factor in this respect</w:t>
      </w:r>
      <w:r w:rsidRPr="00252AC4">
        <w:t>, including adequate representation or support at the decision-making level. In addition, to</w:t>
      </w:r>
      <w:r w:rsidR="003B76F6" w:rsidRPr="00252AC4">
        <w:t xml:space="preserve"> further legitimate their policy advocacy action</w:t>
      </w:r>
      <w:r w:rsidRPr="00252AC4">
        <w:t xml:space="preserve"> </w:t>
      </w:r>
      <w:r w:rsidR="003B76F6" w:rsidRPr="00252AC4">
        <w:t>and clearly distinguish it from private sector lobbying</w:t>
      </w:r>
      <w:r w:rsidRPr="00252AC4">
        <w:t xml:space="preserve">, </w:t>
      </w:r>
      <w:r w:rsidR="003B76F6" w:rsidRPr="00252AC4">
        <w:t>they need</w:t>
      </w:r>
      <w:r w:rsidRPr="00252AC4">
        <w:t xml:space="preserve"> well-established institutional channels </w:t>
      </w:r>
      <w:r w:rsidR="003B76F6" w:rsidRPr="00252AC4">
        <w:t>allowing</w:t>
      </w:r>
      <w:r w:rsidRPr="00252AC4">
        <w:t xml:space="preserve"> for structured dialogue with</w:t>
      </w:r>
      <w:r w:rsidR="00194ED5" w:rsidRPr="00252AC4">
        <w:t>,</w:t>
      </w:r>
      <w:r w:rsidRPr="00252AC4">
        <w:t xml:space="preserve"> and formal feedback to</w:t>
      </w:r>
      <w:r w:rsidR="00194ED5" w:rsidRPr="00252AC4">
        <w:t>,</w:t>
      </w:r>
      <w:r w:rsidRPr="00252AC4">
        <w:t xml:space="preserve"> the government </w:t>
      </w:r>
      <w:sdt>
        <w:sdtPr>
          <w:id w:val="-1739700685"/>
          <w:citation/>
        </w:sdtPr>
        <w:sdtEndPr/>
        <w:sdtContent>
          <w:r w:rsidRPr="00252AC4">
            <w:fldChar w:fldCharType="begin"/>
          </w:r>
          <w:r w:rsidRPr="00252AC4">
            <w:instrText xml:space="preserve"> CITATION OEC17 \l 2057 </w:instrText>
          </w:r>
          <w:r w:rsidRPr="00252AC4">
            <w:fldChar w:fldCharType="separate"/>
          </w:r>
          <w:r w:rsidR="00E259C6" w:rsidRPr="00252AC4">
            <w:rPr>
              <w:noProof/>
            </w:rPr>
            <w:t>(</w:t>
          </w:r>
          <w:bookmarkStart w:id="262" w:name="OEC17_21"/>
          <w:r w:rsidR="00E259C6" w:rsidRPr="00252AC4">
            <w:rPr>
              <w:noProof/>
            </w:rPr>
            <w:t>OECD, 2017</w:t>
          </w:r>
          <w:r w:rsidR="00E259C6" w:rsidRPr="00252AC4">
            <w:rPr>
              <w:noProof/>
              <w:vertAlign w:val="subscript"/>
            </w:rPr>
            <w:t>[21]</w:t>
          </w:r>
          <w:r w:rsidR="00E259C6" w:rsidRPr="00252AC4">
            <w:rPr>
              <w:noProof/>
            </w:rPr>
            <w:t>)</w:t>
          </w:r>
          <w:bookmarkEnd w:id="262"/>
          <w:r w:rsidRPr="00252AC4">
            <w:fldChar w:fldCharType="end"/>
          </w:r>
        </w:sdtContent>
      </w:sdt>
      <w:r w:rsidR="00641E01" w:rsidRPr="00252AC4">
        <w:t>.</w:t>
      </w:r>
    </w:p>
    <w:p w14:paraId="68AF9041" w14:textId="60298AA7" w:rsidR="00FD42E7" w:rsidRPr="00252AC4" w:rsidRDefault="00FD42E7" w:rsidP="00641E01">
      <w:pPr>
        <w:pStyle w:val="Para0"/>
      </w:pPr>
      <w:r w:rsidRPr="00252AC4">
        <w:t xml:space="preserve">Eurasia IPAs spend more </w:t>
      </w:r>
      <w:r w:rsidR="00194ED5" w:rsidRPr="00252AC4">
        <w:t>o</w:t>
      </w:r>
      <w:r w:rsidR="00F2100E" w:rsidRPr="00252AC4">
        <w:t>n policy advocacy</w:t>
      </w:r>
      <w:r w:rsidRPr="00252AC4">
        <w:t xml:space="preserve"> than </w:t>
      </w:r>
      <w:r w:rsidR="00F2100E" w:rsidRPr="00252AC4">
        <w:t xml:space="preserve">their peers from the </w:t>
      </w:r>
      <w:r w:rsidRPr="00252AC4">
        <w:t xml:space="preserve">OECD (12% vs 6%), but perform </w:t>
      </w:r>
      <w:r w:rsidR="00194ED5" w:rsidRPr="00252AC4">
        <w:t>fewer</w:t>
      </w:r>
      <w:r w:rsidRPr="00252AC4">
        <w:t xml:space="preserve"> activities</w:t>
      </w:r>
      <w:r w:rsidR="00F2100E" w:rsidRPr="00252AC4">
        <w:t xml:space="preserve"> overall</w:t>
      </w:r>
      <w:r w:rsidRPr="00252AC4">
        <w:t xml:space="preserve">. </w:t>
      </w:r>
      <w:r w:rsidR="00F2100E" w:rsidRPr="00252AC4">
        <w:t>This needs to be nuanced however</w:t>
      </w:r>
      <w:r w:rsidRPr="00252AC4">
        <w:t>, as Eurasia IPAs tend to be less active in providing formal feedback to the government on how to improve the investment climate but engage more in informal and less structured dialogue with the government</w:t>
      </w:r>
      <w:r w:rsidR="00F2100E" w:rsidRPr="00252AC4">
        <w:t xml:space="preserve"> (</w:t>
      </w:r>
      <w:r w:rsidR="00E17146" w:rsidRPr="00252AC4">
        <w:t>Figure 2.7</w:t>
      </w:r>
      <w:r w:rsidR="00F2100E" w:rsidRPr="00252AC4">
        <w:t>)</w:t>
      </w:r>
      <w:r w:rsidRPr="00252AC4">
        <w:t xml:space="preserve">. This suggests that, despite interacting with a wider range of government institutions than OECD IPAs, </w:t>
      </w:r>
      <w:r w:rsidR="00F2100E" w:rsidRPr="00252AC4">
        <w:t>relationships might be</w:t>
      </w:r>
      <w:r w:rsidRPr="00252AC4">
        <w:t xml:space="preserve"> less policy-oriented. For instance, nine out of ten agencies </w:t>
      </w:r>
      <w:r w:rsidR="00194ED5" w:rsidRPr="00252AC4">
        <w:t xml:space="preserve">report </w:t>
      </w:r>
      <w:r w:rsidRPr="00252AC4">
        <w:t>participating in periodic meetings with the private sector and eight agencies organise public awareness campaigns or events. By contrast, only seven Eurasia agencies (70%) engage in formal dialogue with the government</w:t>
      </w:r>
      <w:r w:rsidR="00194ED5" w:rsidRPr="00252AC4">
        <w:t>,</w:t>
      </w:r>
      <w:r w:rsidRPr="00252AC4">
        <w:t xml:space="preserve"> including meetings with the prime minister, president or other government agencies, as compared to 93% in the OECD, 100% in MENA, and 84% in LAC. In addition, Eurasia IPAs produce </w:t>
      </w:r>
      <w:r w:rsidR="00194ED5" w:rsidRPr="00252AC4">
        <w:t xml:space="preserve">fewer </w:t>
      </w:r>
      <w:r w:rsidRPr="00252AC4">
        <w:t>reports or position papers to provide inputs and influence policies that enhance the investment climate and foster reforms (70% in Eurasia vs. 90% in OECD</w:t>
      </w:r>
      <w:r w:rsidR="00021385" w:rsidRPr="00252AC4">
        <w:t>, 100% in MENA and 74% in LAC).</w:t>
      </w:r>
    </w:p>
    <w:p w14:paraId="0C7E89D4" w14:textId="68E1FD07" w:rsidR="00E17146" w:rsidRPr="00252AC4" w:rsidRDefault="00E17146" w:rsidP="0051394F">
      <w:pPr>
        <w:pStyle w:val="Caption"/>
      </w:pPr>
      <w:bookmarkStart w:id="263" w:name="_Toc34647263"/>
      <w:bookmarkStart w:id="264" w:name="_Ref32323630"/>
      <w:bookmarkStart w:id="265" w:name="_Toc32317053"/>
      <w:bookmarkStart w:id="266" w:name="_Toc32324712"/>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7</w:t>
      </w:r>
      <w:r w:rsidRPr="00252AC4">
        <w:rPr>
          <w:noProof/>
        </w:rPr>
        <w:fldChar w:fldCharType="end"/>
      </w:r>
      <w:r w:rsidRPr="00252AC4">
        <w:t xml:space="preserve">. Shares of IPAs performing policy advocacy activities </w:t>
      </w:r>
      <w:r w:rsidRPr="00252AC4">
        <w:br/>
        <w:t>(comparison across region)</w:t>
      </w:r>
      <w:bookmarkEnd w:id="263"/>
    </w:p>
    <w:p w14:paraId="563E51A7" w14:textId="1BF6C328" w:rsidR="00E17146" w:rsidRPr="00252AC4" w:rsidRDefault="007D75DD" w:rsidP="00E17146">
      <w:pPr>
        <w:pStyle w:val="Figure"/>
        <w:rPr>
          <w:noProof/>
          <w:lang w:eastAsia="en-GB"/>
        </w:rPr>
      </w:pPr>
      <w:r w:rsidRPr="00252AC4">
        <w:rPr>
          <w:noProof/>
          <w:lang w:eastAsia="en-GB"/>
        </w:rPr>
        <w:object w:dxaOrig="8570" w:dyaOrig="5030" w14:anchorId="7AE7924F">
          <v:shape id="_x0000_i1045" type="#_x0000_t75" style="width:402.55pt;height:237.8pt" o:ole="">
            <v:imagedata r:id="rId64" o:title=""/>
          </v:shape>
          <o:OLEObject Type="Link" ProgID="Excel.Sheet.12" ShapeID="_x0000_i1045" DrawAspect="Content" r:id="rId65" UpdateMode="Always">
            <o:LinkType>EnhancedMetaFile</o:LinkType>
            <o:LockedField>false</o:LockedField>
          </o:OLEObject>
        </w:object>
      </w:r>
    </w:p>
    <w:p w14:paraId="24CE76E7" w14:textId="03AF732E" w:rsidR="00E17146" w:rsidRPr="00252AC4" w:rsidRDefault="00E17146" w:rsidP="00E17146">
      <w:pPr>
        <w:pStyle w:val="Sourcenotes"/>
      </w:pPr>
      <w:r w:rsidRPr="00252AC4">
        <w:rPr>
          <w:i/>
        </w:rPr>
        <w:t>Note</w:t>
      </w:r>
      <w:r w:rsidRPr="00252AC4">
        <w:t>: The figure illustrates the average share of specific activities performed within the policy advocacy function</w:t>
      </w:r>
      <w:r w:rsidR="00E35F5A" w:rsidRPr="00252AC4">
        <w:t>.</w:t>
      </w:r>
    </w:p>
    <w:p w14:paraId="1FB45443" w14:textId="308AFF5F" w:rsidR="00E17146" w:rsidRPr="00252AC4" w:rsidRDefault="00E17146" w:rsidP="00E17146">
      <w:pPr>
        <w:pStyle w:val="Sourcenotes"/>
      </w:pPr>
      <w:r w:rsidRPr="00252AC4">
        <w:rPr>
          <w:i/>
        </w:rPr>
        <w:t xml:space="preserve">Source: </w:t>
      </w:r>
      <w:r w:rsidRPr="00252AC4">
        <w:t>OECD-IDB Survey of Inves</w:t>
      </w:r>
      <w:r w:rsidR="00C21B57" w:rsidRPr="00252AC4">
        <w:t>tment Promotion Agencies (2020)</w:t>
      </w:r>
    </w:p>
    <w:bookmarkEnd w:id="264"/>
    <w:bookmarkEnd w:id="265"/>
    <w:bookmarkEnd w:id="266"/>
    <w:p w14:paraId="7F7C7D2C" w14:textId="6C8EEF07" w:rsidR="00E23D86" w:rsidRDefault="00E23D86" w:rsidP="006E3D10">
      <w:pPr>
        <w:pStyle w:val="Para0"/>
      </w:pPr>
      <w:r>
        <w:t>Eurasia</w:t>
      </w:r>
      <w:r w:rsidR="003A6850">
        <w:t xml:space="preserve"> IPAs and their sponsors </w:t>
      </w:r>
      <w:r>
        <w:t xml:space="preserve">could greatly benefit from stronger and better-structured policy advocacy functions. </w:t>
      </w:r>
      <w:r w:rsidR="00231C67">
        <w:t>These</w:t>
      </w:r>
      <w:r>
        <w:t xml:space="preserve"> </w:t>
      </w:r>
      <w:r w:rsidR="003A6850">
        <w:t>would</w:t>
      </w:r>
      <w:r>
        <w:t xml:space="preserve"> help </w:t>
      </w:r>
      <w:r w:rsidR="003A6850">
        <w:t>governments</w:t>
      </w:r>
      <w:r>
        <w:t xml:space="preserve"> </w:t>
      </w:r>
      <w:r w:rsidR="005317AB">
        <w:t>execute</w:t>
      </w:r>
      <w:r>
        <w:t xml:space="preserve"> and adjust reform agenda for better business climates, </w:t>
      </w:r>
      <w:r w:rsidR="005317AB">
        <w:t>while OECD reports highlight the challenges of implementation of such reforms in countries of Central Asia and the Eastern Partnership alike</w:t>
      </w:r>
      <w:sdt>
        <w:sdtPr>
          <w:id w:val="-1778943706"/>
          <w:citation/>
        </w:sdtPr>
        <w:sdtEndPr/>
        <w:sdtContent>
          <w:r w:rsidR="005317AB">
            <w:fldChar w:fldCharType="begin"/>
          </w:r>
          <w:r w:rsidR="005317AB" w:rsidRPr="00A0417B">
            <w:instrText xml:space="preserve"> CITATION OEC \l 1036 </w:instrText>
          </w:r>
          <w:r w:rsidR="005317AB">
            <w:instrText xml:space="preserve"> \m OECng1</w:instrText>
          </w:r>
          <w:r w:rsidR="005317AB">
            <w:fldChar w:fldCharType="separate"/>
          </w:r>
          <w:r w:rsidR="005317AB">
            <w:rPr>
              <w:noProof/>
            </w:rPr>
            <w:t xml:space="preserve"> </w:t>
          </w:r>
          <w:r w:rsidR="005317AB" w:rsidRPr="00A0417B">
            <w:rPr>
              <w:noProof/>
            </w:rPr>
            <w:t>(OECD, forthcoming</w:t>
          </w:r>
          <w:r w:rsidR="005317AB" w:rsidRPr="00A0417B">
            <w:rPr>
              <w:noProof/>
              <w:vertAlign w:val="subscript"/>
            </w:rPr>
            <w:t>[10]</w:t>
          </w:r>
          <w:r w:rsidR="005317AB" w:rsidRPr="00A0417B">
            <w:rPr>
              <w:noProof/>
            </w:rPr>
            <w:t>; OECD, Forthcoming</w:t>
          </w:r>
          <w:r w:rsidR="005317AB" w:rsidRPr="00A0417B">
            <w:rPr>
              <w:noProof/>
              <w:vertAlign w:val="subscript"/>
            </w:rPr>
            <w:t>[24]</w:t>
          </w:r>
          <w:r w:rsidR="005317AB" w:rsidRPr="00A0417B">
            <w:rPr>
              <w:noProof/>
            </w:rPr>
            <w:t>)</w:t>
          </w:r>
          <w:r w:rsidR="005317AB">
            <w:fldChar w:fldCharType="end"/>
          </w:r>
        </w:sdtContent>
      </w:sdt>
      <w:r w:rsidR="005317AB">
        <w:t xml:space="preserve">. </w:t>
      </w:r>
      <w:r w:rsidR="00056812">
        <w:t xml:space="preserve">Even in countries that have substantially simplified their business regulations to remove administrative hurdles, </w:t>
      </w:r>
      <w:r w:rsidR="00231C67">
        <w:t>the impact</w:t>
      </w:r>
      <w:r w:rsidR="0049605B">
        <w:t xml:space="preserve"> on FDI flows, outside of resource-seeking investment, have not been sizeable, and foreign businesses report that important challenges remain in practice, especially for large and complex projects</w:t>
      </w:r>
      <w:r w:rsidR="00056812">
        <w:t>.</w:t>
      </w:r>
      <w:r w:rsidR="0049605B">
        <w:t xml:space="preserve"> IPAs that have strong relationships with </w:t>
      </w:r>
      <w:r w:rsidR="00E31B10">
        <w:t xml:space="preserve">both foreign </w:t>
      </w:r>
      <w:r w:rsidR="0049605B">
        <w:t>business communities</w:t>
      </w:r>
      <w:r w:rsidR="00E31B10">
        <w:t xml:space="preserve"> </w:t>
      </w:r>
      <w:r w:rsidR="00E31B10" w:rsidRPr="00231C67">
        <w:t>and governments can</w:t>
      </w:r>
      <w:r w:rsidR="00E31B10">
        <w:t xml:space="preserve"> play a pivotal role in identifying impediments</w:t>
      </w:r>
      <w:r w:rsidR="003A6850">
        <w:t xml:space="preserve"> </w:t>
      </w:r>
      <w:r w:rsidR="00E31B10">
        <w:t>and</w:t>
      </w:r>
      <w:r w:rsidR="00D16BD4">
        <w:t xml:space="preserve"> advocating</w:t>
      </w:r>
      <w:r w:rsidR="00E31B10">
        <w:t xml:space="preserve"> policy </w:t>
      </w:r>
      <w:r w:rsidR="00D16BD4">
        <w:t xml:space="preserve">reforms </w:t>
      </w:r>
      <w:r w:rsidR="00E31B10">
        <w:t>to enhance the investment climate</w:t>
      </w:r>
      <w:r w:rsidR="00D16BD4">
        <w:t>, including small measures</w:t>
      </w:r>
      <w:r w:rsidR="005F0F61">
        <w:t>, such as the creation of a VIP fast-tracking line at the airport, and larger regulatory work such as the revision of licensing requirements</w:t>
      </w:r>
      <w:r w:rsidR="0049605B">
        <w:t>.</w:t>
      </w:r>
      <w:r>
        <w:t xml:space="preserve"> </w:t>
      </w:r>
      <w:r w:rsidR="003A6850">
        <w:t>As highlighted in the first chapter, s</w:t>
      </w:r>
      <w:r w:rsidR="00E31B10">
        <w:t>uch a</w:t>
      </w:r>
      <w:r>
        <w:t xml:space="preserve"> role </w:t>
      </w:r>
      <w:r w:rsidR="00E31B10">
        <w:t xml:space="preserve">requires </w:t>
      </w:r>
      <w:r w:rsidR="00A52EDA">
        <w:t>increased ins</w:t>
      </w:r>
      <w:r w:rsidR="004C088C">
        <w:t>t</w:t>
      </w:r>
      <w:r w:rsidR="00A52EDA">
        <w:t>itutional</w:t>
      </w:r>
      <w:r w:rsidR="00E31B10">
        <w:t xml:space="preserve"> independence, clearly established roles and resources, and access to high-level decision-mak</w:t>
      </w:r>
      <w:r w:rsidR="003A6850">
        <w:t>ers in the government</w:t>
      </w:r>
      <w:r w:rsidR="00E31B10">
        <w:t>.</w:t>
      </w:r>
      <w:r w:rsidR="005F0F61">
        <w:t xml:space="preserve"> In some countries, a reporting line to the Prime Minister or the Presidential Administration, for example, can make a big difference.</w:t>
      </w:r>
    </w:p>
    <w:p w14:paraId="1B9AAC21" w14:textId="23689DDA" w:rsidR="001423E9" w:rsidRPr="00252AC4" w:rsidRDefault="006E3D10" w:rsidP="006E3D10">
      <w:pPr>
        <w:pStyle w:val="Para0"/>
      </w:pPr>
      <w:r w:rsidRPr="00252AC4">
        <w:t xml:space="preserve">The categorisation of Eurasia IPAs according to the OECD classification shows that half Eurasia IPAs fall under the “balanced” category. This category groups IPAs that try to cover all four functions, but </w:t>
      </w:r>
      <w:r w:rsidR="00252AC4" w:rsidRPr="00252AC4">
        <w:t xml:space="preserve">typically </w:t>
      </w:r>
      <w:r w:rsidRPr="00252AC4">
        <w:t xml:space="preserve">with more limited resources than facilitators. Kazakhstan has a profile of facilitator, as the agency outsources most promotional activities and focuses its human resources on investor servicing. It is the agency with the most resources in the sample, which is an enabling factor for pursuing such a strategy. The </w:t>
      </w:r>
      <w:r w:rsidRPr="00252AC4">
        <w:lastRenderedPageBreak/>
        <w:t xml:space="preserve">remaining four IPAs are equally distributed </w:t>
      </w:r>
      <w:r w:rsidR="00252AC4">
        <w:t>between</w:t>
      </w:r>
      <w:r w:rsidRPr="00252AC4">
        <w:t xml:space="preserve"> the “image builder” and the “generator” categor</w:t>
      </w:r>
      <w:r w:rsidR="00252AC4">
        <w:t>ies</w:t>
      </w:r>
      <w:r w:rsidRPr="00252AC4">
        <w:t>.</w:t>
      </w:r>
    </w:p>
    <w:p w14:paraId="64048C16" w14:textId="68D51B6E" w:rsidR="001423E9" w:rsidRPr="00252AC4" w:rsidRDefault="001423E9" w:rsidP="00B40EA4">
      <w:pPr>
        <w:pStyle w:val="Caption"/>
      </w:pPr>
      <w:bookmarkStart w:id="267" w:name="_Toc31641321"/>
      <w:bookmarkStart w:id="268" w:name="_Toc31650321"/>
      <w:bookmarkStart w:id="269" w:name="_Toc32317026"/>
      <w:bookmarkStart w:id="270" w:name="_Toc32324685"/>
      <w:bookmarkStart w:id="271" w:name="_Toc34647236"/>
      <w:r w:rsidRPr="00252AC4">
        <w:t xml:space="preserve">Table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3</w:t>
      </w:r>
      <w:r w:rsidRPr="00252AC4">
        <w:rPr>
          <w:noProof/>
        </w:rPr>
        <w:fldChar w:fldCharType="end"/>
      </w:r>
      <w:r w:rsidRPr="00252AC4">
        <w:t>. List of Eurasia IPAs by strategic profiles</w:t>
      </w:r>
      <w:bookmarkEnd w:id="267"/>
      <w:bookmarkEnd w:id="268"/>
      <w:bookmarkEnd w:id="269"/>
      <w:bookmarkEnd w:id="270"/>
      <w:bookmarkEnd w:id="271"/>
    </w:p>
    <w:tbl>
      <w:tblPr>
        <w:tblStyle w:val="OECD"/>
        <w:tblW w:w="8286" w:type="dxa"/>
        <w:tblLook w:val="0420" w:firstRow="1" w:lastRow="0" w:firstColumn="0" w:lastColumn="0" w:noHBand="0" w:noVBand="1"/>
      </w:tblPr>
      <w:tblGrid>
        <w:gridCol w:w="2071"/>
        <w:gridCol w:w="2072"/>
        <w:gridCol w:w="2071"/>
        <w:gridCol w:w="2072"/>
      </w:tblGrid>
      <w:tr w:rsidR="001423E9" w:rsidRPr="00252AC4" w14:paraId="606DDD7A" w14:textId="77777777" w:rsidTr="001423E9">
        <w:trPr>
          <w:cnfStyle w:val="100000000000" w:firstRow="1" w:lastRow="0" w:firstColumn="0" w:lastColumn="0" w:oddVBand="0" w:evenVBand="0" w:oddHBand="0" w:evenHBand="0" w:firstRowFirstColumn="0" w:firstRowLastColumn="0" w:lastRowFirstColumn="0" w:lastRowLastColumn="0"/>
          <w:trHeight w:val="247"/>
        </w:trPr>
        <w:tc>
          <w:tcPr>
            <w:tcW w:w="2071" w:type="dxa"/>
          </w:tcPr>
          <w:p w14:paraId="31612168" w14:textId="43ACF736" w:rsidR="001423E9" w:rsidRPr="00252AC4" w:rsidRDefault="001423E9" w:rsidP="001423E9">
            <w:pPr>
              <w:pStyle w:val="TableColumn"/>
              <w:rPr>
                <w:lang w:val="en-GB"/>
              </w:rPr>
            </w:pPr>
            <w:r w:rsidRPr="00252AC4">
              <w:rPr>
                <w:rFonts w:cs="Calibri"/>
                <w:b/>
                <w:lang w:val="en-GB"/>
              </w:rPr>
              <w:t>Image builders</w:t>
            </w:r>
          </w:p>
        </w:tc>
        <w:tc>
          <w:tcPr>
            <w:tcW w:w="2072" w:type="dxa"/>
            <w:tcBorders>
              <w:bottom w:val="single" w:sz="4" w:space="0" w:color="auto"/>
            </w:tcBorders>
          </w:tcPr>
          <w:p w14:paraId="764B6A38" w14:textId="2C0A91C8" w:rsidR="001423E9" w:rsidRPr="00252AC4" w:rsidRDefault="001423E9" w:rsidP="001423E9">
            <w:pPr>
              <w:pStyle w:val="TableColumn"/>
              <w:rPr>
                <w:lang w:val="en-GB"/>
              </w:rPr>
            </w:pPr>
            <w:r w:rsidRPr="00252AC4">
              <w:rPr>
                <w:rFonts w:cs="Calibri"/>
                <w:b/>
                <w:lang w:val="en-GB"/>
              </w:rPr>
              <w:t>Generators</w:t>
            </w:r>
          </w:p>
        </w:tc>
        <w:tc>
          <w:tcPr>
            <w:tcW w:w="2071" w:type="dxa"/>
            <w:tcBorders>
              <w:bottom w:val="single" w:sz="4" w:space="0" w:color="auto"/>
            </w:tcBorders>
          </w:tcPr>
          <w:p w14:paraId="4636E592" w14:textId="2C876605" w:rsidR="001423E9" w:rsidRPr="00252AC4" w:rsidRDefault="001423E9" w:rsidP="001423E9">
            <w:pPr>
              <w:pStyle w:val="TableColumn"/>
              <w:rPr>
                <w:lang w:val="en-GB"/>
              </w:rPr>
            </w:pPr>
            <w:r w:rsidRPr="00252AC4">
              <w:rPr>
                <w:rFonts w:cs="Calibri"/>
                <w:b/>
                <w:lang w:val="en-GB"/>
              </w:rPr>
              <w:t>Facilitators</w:t>
            </w:r>
          </w:p>
        </w:tc>
        <w:tc>
          <w:tcPr>
            <w:tcW w:w="2072" w:type="dxa"/>
            <w:tcBorders>
              <w:bottom w:val="single" w:sz="4" w:space="0" w:color="auto"/>
            </w:tcBorders>
          </w:tcPr>
          <w:p w14:paraId="4311FC5D" w14:textId="6161A8C7" w:rsidR="001423E9" w:rsidRPr="00252AC4" w:rsidRDefault="001423E9" w:rsidP="001423E9">
            <w:pPr>
              <w:pStyle w:val="TableColumn"/>
              <w:rPr>
                <w:lang w:val="en-GB"/>
              </w:rPr>
            </w:pPr>
            <w:r w:rsidRPr="00252AC4">
              <w:rPr>
                <w:rFonts w:cs="Calibri"/>
                <w:b/>
                <w:lang w:val="en-GB"/>
              </w:rPr>
              <w:t>Balanced</w:t>
            </w:r>
          </w:p>
        </w:tc>
      </w:tr>
      <w:tr w:rsidR="001423E9" w:rsidRPr="00252AC4" w14:paraId="0DDBA980" w14:textId="77777777" w:rsidTr="001423E9">
        <w:trPr>
          <w:cnfStyle w:val="000000100000" w:firstRow="0" w:lastRow="0" w:firstColumn="0" w:lastColumn="0" w:oddVBand="0" w:evenVBand="0" w:oddHBand="1" w:evenHBand="0" w:firstRowFirstColumn="0" w:firstRowLastColumn="0" w:lastRowFirstColumn="0" w:lastRowLastColumn="0"/>
          <w:trHeight w:val="257"/>
        </w:trPr>
        <w:tc>
          <w:tcPr>
            <w:tcW w:w="2071" w:type="dxa"/>
          </w:tcPr>
          <w:p w14:paraId="4EB67D91" w14:textId="3B9D9871" w:rsidR="001423E9" w:rsidRPr="00252AC4" w:rsidRDefault="001423E9" w:rsidP="001423E9">
            <w:pPr>
              <w:pStyle w:val="TableRow"/>
              <w:jc w:val="center"/>
              <w:rPr>
                <w:lang w:val="en-GB"/>
              </w:rPr>
            </w:pPr>
            <w:r w:rsidRPr="00252AC4">
              <w:rPr>
                <w:rFonts w:cstheme="minorHAnsi"/>
                <w:lang w:val="en-GB"/>
              </w:rPr>
              <w:t>Azerbaijan</w:t>
            </w:r>
          </w:p>
        </w:tc>
        <w:tc>
          <w:tcPr>
            <w:tcW w:w="2072" w:type="dxa"/>
            <w:tcBorders>
              <w:top w:val="single" w:sz="4" w:space="0" w:color="auto"/>
            </w:tcBorders>
          </w:tcPr>
          <w:p w14:paraId="49FC0FCC" w14:textId="6CED874E" w:rsidR="001423E9" w:rsidRPr="00252AC4" w:rsidRDefault="001423E9" w:rsidP="001423E9">
            <w:pPr>
              <w:pStyle w:val="TableCell"/>
              <w:jc w:val="center"/>
              <w:rPr>
                <w:lang w:val="en-GB"/>
              </w:rPr>
            </w:pPr>
            <w:r w:rsidRPr="00252AC4">
              <w:rPr>
                <w:rFonts w:cstheme="minorHAnsi"/>
                <w:lang w:val="en-GB"/>
              </w:rPr>
              <w:t>Kyrgyzstan</w:t>
            </w:r>
          </w:p>
        </w:tc>
        <w:tc>
          <w:tcPr>
            <w:tcW w:w="2071" w:type="dxa"/>
            <w:tcBorders>
              <w:top w:val="single" w:sz="4" w:space="0" w:color="auto"/>
            </w:tcBorders>
          </w:tcPr>
          <w:p w14:paraId="65F6E311" w14:textId="6F6CAA14" w:rsidR="001423E9" w:rsidRPr="00252AC4" w:rsidRDefault="001423E9" w:rsidP="001423E9">
            <w:pPr>
              <w:pStyle w:val="TableCell"/>
              <w:jc w:val="center"/>
              <w:rPr>
                <w:lang w:val="en-GB"/>
              </w:rPr>
            </w:pPr>
            <w:r w:rsidRPr="00252AC4">
              <w:rPr>
                <w:rFonts w:cstheme="minorHAnsi"/>
                <w:lang w:val="en-GB"/>
              </w:rPr>
              <w:t>Kazakhstan</w:t>
            </w:r>
          </w:p>
        </w:tc>
        <w:tc>
          <w:tcPr>
            <w:tcW w:w="2072" w:type="dxa"/>
            <w:tcBorders>
              <w:top w:val="single" w:sz="4" w:space="0" w:color="auto"/>
            </w:tcBorders>
          </w:tcPr>
          <w:p w14:paraId="4B71FAD6" w14:textId="36C5AD17" w:rsidR="001423E9" w:rsidRPr="00252AC4" w:rsidRDefault="001423E9" w:rsidP="001423E9">
            <w:pPr>
              <w:pStyle w:val="TableCell"/>
              <w:jc w:val="center"/>
              <w:rPr>
                <w:lang w:val="en-GB"/>
              </w:rPr>
            </w:pPr>
            <w:r w:rsidRPr="00252AC4">
              <w:rPr>
                <w:rFonts w:cstheme="minorHAnsi"/>
                <w:lang w:val="en-GB"/>
              </w:rPr>
              <w:t>Afghanistan</w:t>
            </w:r>
          </w:p>
        </w:tc>
      </w:tr>
      <w:tr w:rsidR="001423E9" w:rsidRPr="00252AC4" w14:paraId="6E59AA74" w14:textId="77777777" w:rsidTr="001423E9">
        <w:trPr>
          <w:cnfStyle w:val="000000010000" w:firstRow="0" w:lastRow="0" w:firstColumn="0" w:lastColumn="0" w:oddVBand="0" w:evenVBand="0" w:oddHBand="0" w:evenHBand="1" w:firstRowFirstColumn="0" w:firstRowLastColumn="0" w:lastRowFirstColumn="0" w:lastRowLastColumn="0"/>
          <w:trHeight w:val="247"/>
        </w:trPr>
        <w:tc>
          <w:tcPr>
            <w:tcW w:w="2071" w:type="dxa"/>
          </w:tcPr>
          <w:p w14:paraId="3F025D74" w14:textId="588E0D84" w:rsidR="001423E9" w:rsidRPr="00252AC4" w:rsidRDefault="001423E9" w:rsidP="001423E9">
            <w:pPr>
              <w:pStyle w:val="TableRow"/>
              <w:jc w:val="center"/>
              <w:rPr>
                <w:lang w:val="en-GB"/>
              </w:rPr>
            </w:pPr>
            <w:r w:rsidRPr="00252AC4">
              <w:rPr>
                <w:rFonts w:cstheme="minorHAnsi"/>
                <w:lang w:val="en-GB"/>
              </w:rPr>
              <w:t>Belarus</w:t>
            </w:r>
          </w:p>
        </w:tc>
        <w:tc>
          <w:tcPr>
            <w:tcW w:w="2072" w:type="dxa"/>
          </w:tcPr>
          <w:p w14:paraId="58C80FB1" w14:textId="5CA969B4" w:rsidR="001423E9" w:rsidRPr="00252AC4" w:rsidRDefault="001423E9" w:rsidP="001423E9">
            <w:pPr>
              <w:pStyle w:val="TableCell"/>
              <w:jc w:val="center"/>
              <w:rPr>
                <w:lang w:val="en-GB"/>
              </w:rPr>
            </w:pPr>
            <w:r w:rsidRPr="00252AC4">
              <w:rPr>
                <w:rFonts w:cstheme="minorHAnsi"/>
                <w:lang w:val="en-GB"/>
              </w:rPr>
              <w:t>Uzbekistan</w:t>
            </w:r>
          </w:p>
        </w:tc>
        <w:tc>
          <w:tcPr>
            <w:tcW w:w="2071" w:type="dxa"/>
          </w:tcPr>
          <w:p w14:paraId="0E0EF05D" w14:textId="77777777" w:rsidR="001423E9" w:rsidRPr="00252AC4" w:rsidRDefault="001423E9" w:rsidP="001423E9">
            <w:pPr>
              <w:pStyle w:val="TableCell"/>
              <w:jc w:val="center"/>
              <w:rPr>
                <w:lang w:val="en-GB"/>
              </w:rPr>
            </w:pPr>
          </w:p>
        </w:tc>
        <w:tc>
          <w:tcPr>
            <w:tcW w:w="2072" w:type="dxa"/>
          </w:tcPr>
          <w:p w14:paraId="6E27EB4F" w14:textId="6A48F5AE" w:rsidR="001423E9" w:rsidRPr="00252AC4" w:rsidRDefault="001423E9" w:rsidP="001423E9">
            <w:pPr>
              <w:pStyle w:val="TableCell"/>
              <w:jc w:val="center"/>
              <w:rPr>
                <w:lang w:val="en-GB"/>
              </w:rPr>
            </w:pPr>
            <w:r w:rsidRPr="00252AC4">
              <w:rPr>
                <w:rFonts w:cstheme="minorHAnsi"/>
                <w:lang w:val="en-GB"/>
              </w:rPr>
              <w:t>Georgia</w:t>
            </w:r>
          </w:p>
        </w:tc>
      </w:tr>
      <w:tr w:rsidR="001423E9" w:rsidRPr="00252AC4" w14:paraId="12B18B95" w14:textId="77777777" w:rsidTr="001423E9">
        <w:trPr>
          <w:cnfStyle w:val="000000100000" w:firstRow="0" w:lastRow="0" w:firstColumn="0" w:lastColumn="0" w:oddVBand="0" w:evenVBand="0" w:oddHBand="1" w:evenHBand="0" w:firstRowFirstColumn="0" w:firstRowLastColumn="0" w:lastRowFirstColumn="0" w:lastRowLastColumn="0"/>
          <w:trHeight w:val="247"/>
        </w:trPr>
        <w:tc>
          <w:tcPr>
            <w:tcW w:w="2071" w:type="dxa"/>
          </w:tcPr>
          <w:p w14:paraId="00ED24DF" w14:textId="77777777" w:rsidR="001423E9" w:rsidRPr="00252AC4" w:rsidRDefault="001423E9" w:rsidP="001423E9">
            <w:pPr>
              <w:pStyle w:val="TableRow"/>
              <w:jc w:val="center"/>
              <w:rPr>
                <w:lang w:val="en-GB"/>
              </w:rPr>
            </w:pPr>
          </w:p>
        </w:tc>
        <w:tc>
          <w:tcPr>
            <w:tcW w:w="2072" w:type="dxa"/>
          </w:tcPr>
          <w:p w14:paraId="24AC34E3" w14:textId="77777777" w:rsidR="001423E9" w:rsidRPr="00252AC4" w:rsidRDefault="001423E9" w:rsidP="001423E9">
            <w:pPr>
              <w:pStyle w:val="TableCell"/>
              <w:jc w:val="center"/>
              <w:rPr>
                <w:lang w:val="en-GB"/>
              </w:rPr>
            </w:pPr>
          </w:p>
        </w:tc>
        <w:tc>
          <w:tcPr>
            <w:tcW w:w="2071" w:type="dxa"/>
          </w:tcPr>
          <w:p w14:paraId="7D75B2F1" w14:textId="77777777" w:rsidR="001423E9" w:rsidRPr="00252AC4" w:rsidRDefault="001423E9" w:rsidP="001423E9">
            <w:pPr>
              <w:pStyle w:val="TableCell"/>
              <w:jc w:val="center"/>
              <w:rPr>
                <w:lang w:val="en-GB"/>
              </w:rPr>
            </w:pPr>
          </w:p>
        </w:tc>
        <w:tc>
          <w:tcPr>
            <w:tcW w:w="2072" w:type="dxa"/>
          </w:tcPr>
          <w:p w14:paraId="275EC206" w14:textId="0C060582" w:rsidR="001423E9" w:rsidRPr="00252AC4" w:rsidRDefault="001423E9" w:rsidP="001423E9">
            <w:pPr>
              <w:pStyle w:val="TableCell"/>
              <w:jc w:val="center"/>
              <w:rPr>
                <w:lang w:val="en-GB"/>
              </w:rPr>
            </w:pPr>
            <w:r w:rsidRPr="00252AC4">
              <w:rPr>
                <w:rFonts w:cstheme="minorHAnsi"/>
                <w:lang w:val="en-GB"/>
              </w:rPr>
              <w:t>Mongolia</w:t>
            </w:r>
          </w:p>
        </w:tc>
      </w:tr>
      <w:tr w:rsidR="001423E9" w:rsidRPr="00252AC4" w14:paraId="631F14A7" w14:textId="77777777" w:rsidTr="001423E9">
        <w:trPr>
          <w:cnfStyle w:val="000000010000" w:firstRow="0" w:lastRow="0" w:firstColumn="0" w:lastColumn="0" w:oddVBand="0" w:evenVBand="0" w:oddHBand="0" w:evenHBand="1" w:firstRowFirstColumn="0" w:firstRowLastColumn="0" w:lastRowFirstColumn="0" w:lastRowLastColumn="0"/>
          <w:trHeight w:val="247"/>
        </w:trPr>
        <w:tc>
          <w:tcPr>
            <w:tcW w:w="2071" w:type="dxa"/>
          </w:tcPr>
          <w:p w14:paraId="404491B2" w14:textId="77777777" w:rsidR="001423E9" w:rsidRPr="00252AC4" w:rsidRDefault="001423E9" w:rsidP="001423E9">
            <w:pPr>
              <w:pStyle w:val="TableRow"/>
              <w:jc w:val="center"/>
              <w:rPr>
                <w:lang w:val="en-GB"/>
              </w:rPr>
            </w:pPr>
          </w:p>
        </w:tc>
        <w:tc>
          <w:tcPr>
            <w:tcW w:w="2072" w:type="dxa"/>
          </w:tcPr>
          <w:p w14:paraId="219626D8" w14:textId="77777777" w:rsidR="001423E9" w:rsidRPr="00252AC4" w:rsidRDefault="001423E9" w:rsidP="001423E9">
            <w:pPr>
              <w:pStyle w:val="TableCell"/>
              <w:jc w:val="center"/>
              <w:rPr>
                <w:lang w:val="en-GB"/>
              </w:rPr>
            </w:pPr>
          </w:p>
        </w:tc>
        <w:tc>
          <w:tcPr>
            <w:tcW w:w="2071" w:type="dxa"/>
          </w:tcPr>
          <w:p w14:paraId="185CE365" w14:textId="77777777" w:rsidR="001423E9" w:rsidRPr="00252AC4" w:rsidRDefault="001423E9" w:rsidP="001423E9">
            <w:pPr>
              <w:pStyle w:val="TableCell"/>
              <w:jc w:val="center"/>
              <w:rPr>
                <w:lang w:val="en-GB"/>
              </w:rPr>
            </w:pPr>
          </w:p>
        </w:tc>
        <w:tc>
          <w:tcPr>
            <w:tcW w:w="2072" w:type="dxa"/>
          </w:tcPr>
          <w:p w14:paraId="3E8C52A3" w14:textId="5E0DF1EA" w:rsidR="001423E9" w:rsidRPr="00252AC4" w:rsidRDefault="001423E9" w:rsidP="001423E9">
            <w:pPr>
              <w:pStyle w:val="TableCell"/>
              <w:jc w:val="center"/>
              <w:rPr>
                <w:lang w:val="en-GB"/>
              </w:rPr>
            </w:pPr>
            <w:r w:rsidRPr="00252AC4">
              <w:rPr>
                <w:rFonts w:cstheme="minorHAnsi"/>
                <w:lang w:val="en-GB"/>
              </w:rPr>
              <w:t>Tajikistan</w:t>
            </w:r>
          </w:p>
        </w:tc>
      </w:tr>
      <w:tr w:rsidR="001423E9" w:rsidRPr="00252AC4" w14:paraId="20D41BB6" w14:textId="77777777" w:rsidTr="001423E9">
        <w:trPr>
          <w:cnfStyle w:val="000000100000" w:firstRow="0" w:lastRow="0" w:firstColumn="0" w:lastColumn="0" w:oddVBand="0" w:evenVBand="0" w:oddHBand="1" w:evenHBand="0" w:firstRowFirstColumn="0" w:firstRowLastColumn="0" w:lastRowFirstColumn="0" w:lastRowLastColumn="0"/>
          <w:trHeight w:val="247"/>
        </w:trPr>
        <w:tc>
          <w:tcPr>
            <w:tcW w:w="2071" w:type="dxa"/>
          </w:tcPr>
          <w:p w14:paraId="3A68343E" w14:textId="00B8F8A3" w:rsidR="001423E9" w:rsidRPr="00252AC4" w:rsidRDefault="001423E9" w:rsidP="001423E9">
            <w:pPr>
              <w:pStyle w:val="TableRow"/>
              <w:jc w:val="center"/>
              <w:rPr>
                <w:lang w:val="en-GB"/>
              </w:rPr>
            </w:pPr>
          </w:p>
        </w:tc>
        <w:tc>
          <w:tcPr>
            <w:tcW w:w="2072" w:type="dxa"/>
          </w:tcPr>
          <w:p w14:paraId="4AA905BD" w14:textId="532747FA" w:rsidR="001423E9" w:rsidRPr="00252AC4" w:rsidRDefault="001423E9" w:rsidP="001423E9">
            <w:pPr>
              <w:pStyle w:val="TableCell"/>
              <w:jc w:val="center"/>
              <w:rPr>
                <w:lang w:val="en-GB"/>
              </w:rPr>
            </w:pPr>
          </w:p>
        </w:tc>
        <w:tc>
          <w:tcPr>
            <w:tcW w:w="2071" w:type="dxa"/>
          </w:tcPr>
          <w:p w14:paraId="514E0DFC" w14:textId="25011598" w:rsidR="001423E9" w:rsidRPr="00252AC4" w:rsidRDefault="001423E9" w:rsidP="001423E9">
            <w:pPr>
              <w:pStyle w:val="TableCell"/>
              <w:jc w:val="center"/>
              <w:rPr>
                <w:lang w:val="en-GB"/>
              </w:rPr>
            </w:pPr>
          </w:p>
        </w:tc>
        <w:tc>
          <w:tcPr>
            <w:tcW w:w="2072" w:type="dxa"/>
          </w:tcPr>
          <w:p w14:paraId="3A7B4CB9" w14:textId="7888B0C1" w:rsidR="001423E9" w:rsidRPr="00252AC4" w:rsidRDefault="001423E9" w:rsidP="001423E9">
            <w:pPr>
              <w:pStyle w:val="TableCell"/>
              <w:jc w:val="center"/>
              <w:rPr>
                <w:lang w:val="en-GB"/>
              </w:rPr>
            </w:pPr>
            <w:r w:rsidRPr="00252AC4">
              <w:rPr>
                <w:rFonts w:cstheme="minorHAnsi"/>
                <w:lang w:val="en-GB"/>
              </w:rPr>
              <w:t>Ukraine</w:t>
            </w:r>
          </w:p>
        </w:tc>
      </w:tr>
    </w:tbl>
    <w:p w14:paraId="6D9B23EB" w14:textId="30D06927" w:rsidR="001423E9" w:rsidRPr="00252AC4" w:rsidRDefault="001423E9" w:rsidP="00B40EA4">
      <w:pPr>
        <w:pStyle w:val="Sourcenotes"/>
      </w:pPr>
      <w:r w:rsidRPr="00252AC4">
        <w:rPr>
          <w:i/>
        </w:rPr>
        <w:t>Source</w:t>
      </w:r>
      <w:r w:rsidRPr="00252AC4">
        <w:t xml:space="preserve">: </w:t>
      </w:r>
      <w:r w:rsidR="002D0432" w:rsidRPr="00252AC4">
        <w:t>OECD-IDB Survey of Investment Promotion Agencies (2020).</w:t>
      </w:r>
    </w:p>
    <w:p w14:paraId="1CF43092" w14:textId="77777777" w:rsidR="00FD42E7" w:rsidRPr="00252AC4" w:rsidRDefault="00FD42E7" w:rsidP="002F604E">
      <w:pPr>
        <w:pStyle w:val="Heading2"/>
        <w:rPr>
          <w:rFonts w:hint="eastAsia"/>
        </w:rPr>
      </w:pPr>
      <w:bookmarkStart w:id="272" w:name="_Toc31617784"/>
      <w:bookmarkStart w:id="273" w:name="_Toc31641313"/>
      <w:bookmarkStart w:id="274" w:name="_Toc31650311"/>
      <w:bookmarkStart w:id="275" w:name="_Toc32317012"/>
      <w:bookmarkStart w:id="276" w:name="_Toc32324671"/>
      <w:bookmarkStart w:id="277" w:name="_Toc40103026"/>
      <w:r w:rsidRPr="00252AC4">
        <w:t>Prioritisation strategies</w:t>
      </w:r>
      <w:bookmarkEnd w:id="272"/>
      <w:bookmarkEnd w:id="273"/>
      <w:bookmarkEnd w:id="274"/>
      <w:bookmarkEnd w:id="275"/>
      <w:bookmarkEnd w:id="276"/>
      <w:bookmarkEnd w:id="277"/>
    </w:p>
    <w:p w14:paraId="5EF80842" w14:textId="4901B8E5" w:rsidR="00FD42E7" w:rsidRPr="00252AC4" w:rsidRDefault="00FD42E7" w:rsidP="00FD42E7">
      <w:pPr>
        <w:pStyle w:val="Para0"/>
      </w:pPr>
      <w:r w:rsidRPr="00252AC4">
        <w:t>To attract and generate FDI</w:t>
      </w:r>
      <w:r w:rsidR="008913C2" w:rsidRPr="00252AC4">
        <w:t>,</w:t>
      </w:r>
      <w:r w:rsidRPr="00252AC4">
        <w:t xml:space="preserve"> most IPAs </w:t>
      </w:r>
      <w:r w:rsidR="008913C2" w:rsidRPr="00252AC4">
        <w:t>prioritise</w:t>
      </w:r>
      <w:r w:rsidRPr="00252AC4">
        <w:t xml:space="preserve"> specific sectors, countries, investment projects or investors over others. </w:t>
      </w:r>
      <w:r w:rsidR="00640308" w:rsidRPr="00252AC4">
        <w:t>P</w:t>
      </w:r>
      <w:r w:rsidRPr="00252AC4">
        <w:t xml:space="preserve">rioritisation </w:t>
      </w:r>
      <w:r w:rsidR="00640308" w:rsidRPr="00252AC4">
        <w:t>can</w:t>
      </w:r>
      <w:r w:rsidRPr="00252AC4">
        <w:t xml:space="preserve"> involve targeted outreach and marketing efforts directed to </w:t>
      </w:r>
      <w:r w:rsidR="00640308" w:rsidRPr="00252AC4">
        <w:t>specific industries</w:t>
      </w:r>
      <w:r w:rsidRPr="00252AC4">
        <w:t>. While considered a best practice in the world of IPAs</w:t>
      </w:r>
      <w:sdt>
        <w:sdtPr>
          <w:id w:val="-1472824739"/>
          <w:citation/>
        </w:sdtPr>
        <w:sdtEndPr/>
        <w:sdtContent>
          <w:r w:rsidRPr="00252AC4">
            <w:fldChar w:fldCharType="begin"/>
          </w:r>
          <w:r w:rsidRPr="00252AC4">
            <w:instrText xml:space="preserve"> CITATION Kappa_g2g3e67f \l 2057 </w:instrText>
          </w:r>
          <w:r w:rsidRPr="00252AC4">
            <w:fldChar w:fldCharType="separate"/>
          </w:r>
          <w:r w:rsidR="00E259C6" w:rsidRPr="00252AC4">
            <w:rPr>
              <w:noProof/>
            </w:rPr>
            <w:t xml:space="preserve"> (OECD, 2015</w:t>
          </w:r>
          <w:r w:rsidR="00E259C6" w:rsidRPr="00252AC4">
            <w:rPr>
              <w:noProof/>
              <w:vertAlign w:val="subscript"/>
            </w:rPr>
            <w:t>[5]</w:t>
          </w:r>
          <w:r w:rsidR="00E259C6" w:rsidRPr="00252AC4">
            <w:rPr>
              <w:noProof/>
            </w:rPr>
            <w:t>)</w:t>
          </w:r>
          <w:r w:rsidRPr="00252AC4">
            <w:fldChar w:fldCharType="end"/>
          </w:r>
        </w:sdtContent>
      </w:sdt>
      <w:r w:rsidRPr="00252AC4">
        <w:t xml:space="preserve">, </w:t>
      </w:r>
      <w:r w:rsidR="00C3659B" w:rsidRPr="00252AC4">
        <w:t xml:space="preserve">the decision-making process, and criteria of </w:t>
      </w:r>
      <w:r w:rsidRPr="00252AC4">
        <w:t>prioritisation</w:t>
      </w:r>
      <w:r w:rsidR="00C3659B" w:rsidRPr="00252AC4">
        <w:t xml:space="preserve"> in particular, can represent a challenge</w:t>
      </w:r>
      <w:r w:rsidRPr="00252AC4">
        <w:t>.</w:t>
      </w:r>
      <w:r w:rsidR="007E28B2" w:rsidRPr="00252AC4">
        <w:t xml:space="preserve"> </w:t>
      </w:r>
    </w:p>
    <w:p w14:paraId="6C61C728" w14:textId="6A3F16BD" w:rsidR="00FD42E7" w:rsidRPr="00252AC4" w:rsidRDefault="00FD42E7" w:rsidP="002F604E">
      <w:pPr>
        <w:pStyle w:val="Heading3"/>
      </w:pPr>
      <w:r w:rsidRPr="00252AC4">
        <w:t>Eurasia IPAs mostly prioritise sectors and projects</w:t>
      </w:r>
      <w:r w:rsidR="00194ED5" w:rsidRPr="00252AC4">
        <w:t>;</w:t>
      </w:r>
      <w:r w:rsidR="007E28B2" w:rsidRPr="00252AC4">
        <w:t xml:space="preserve"> only few target</w:t>
      </w:r>
      <w:r w:rsidRPr="00252AC4">
        <w:t xml:space="preserve"> </w:t>
      </w:r>
      <w:r w:rsidR="007E28B2" w:rsidRPr="00252AC4">
        <w:t xml:space="preserve">specific </w:t>
      </w:r>
      <w:r w:rsidRPr="00252AC4">
        <w:t>countr</w:t>
      </w:r>
      <w:r w:rsidR="007E28B2" w:rsidRPr="00252AC4">
        <w:t>ies</w:t>
      </w:r>
      <w:r w:rsidRPr="00252AC4">
        <w:t xml:space="preserve"> </w:t>
      </w:r>
      <w:r w:rsidR="00194ED5" w:rsidRPr="00252AC4">
        <w:t>or</w:t>
      </w:r>
      <w:r w:rsidRPr="00252AC4">
        <w:t xml:space="preserve"> investors</w:t>
      </w:r>
    </w:p>
    <w:p w14:paraId="4AF09F05" w14:textId="504DD47E" w:rsidR="0061378A" w:rsidRPr="00252AC4" w:rsidRDefault="007E28B2" w:rsidP="0061378A">
      <w:pPr>
        <w:pStyle w:val="Para0"/>
      </w:pPr>
      <w:r w:rsidRPr="00252AC4">
        <w:t>A</w:t>
      </w:r>
      <w:r w:rsidR="00FD42E7" w:rsidRPr="00252AC4">
        <w:t>ll agencies prioritise some investment over others, with the notable exceptions of Azpromo and NAIP Belarus.</w:t>
      </w:r>
      <w:r w:rsidRPr="00252AC4">
        <w:t xml:space="preserve"> Seven out of ten agencies</w:t>
      </w:r>
      <w:r w:rsidR="00FD42E7" w:rsidRPr="00252AC4">
        <w:t xml:space="preserve"> prioriti</w:t>
      </w:r>
      <w:r w:rsidRPr="00252AC4">
        <w:t xml:space="preserve">se certain economic sectors, </w:t>
      </w:r>
      <w:r w:rsidR="00FD42E7" w:rsidRPr="00252AC4">
        <w:t>compared to 84% in the OECD, 80% in MENA and 47% in LAC (</w:t>
      </w:r>
      <w:r w:rsidR="003853A0" w:rsidRPr="00252AC4">
        <w:t>Figures 2.8</w:t>
      </w:r>
      <w:r w:rsidR="00FD42E7" w:rsidRPr="00252AC4">
        <w:t>). By contrast, only three agencies prioritise specific countries. In addition to prioritising sectors and countries, the majority of Eurasia IPAs (70%) prioritise specific investment projects. Targeting individual investors, however, is less common in Eurasia.</w:t>
      </w:r>
    </w:p>
    <w:p w14:paraId="10AC0707" w14:textId="1BD720F4" w:rsidR="00AD6903" w:rsidRPr="00252AC4" w:rsidRDefault="00AD6903" w:rsidP="00BD0163">
      <w:pPr>
        <w:pStyle w:val="Caption"/>
      </w:pPr>
      <w:bookmarkStart w:id="278" w:name="_Toc34647264"/>
      <w:bookmarkStart w:id="279" w:name="_Ref32323671"/>
      <w:bookmarkStart w:id="280" w:name="_Toc32317054"/>
      <w:bookmarkStart w:id="281" w:name="_Toc32324713"/>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8</w:t>
      </w:r>
      <w:r w:rsidRPr="00252AC4">
        <w:rPr>
          <w:noProof/>
        </w:rPr>
        <w:fldChar w:fldCharType="end"/>
      </w:r>
      <w:r w:rsidRPr="00252AC4">
        <w:t>. Overview of IPAs’ prioritisation strategies by region</w:t>
      </w:r>
      <w:bookmarkEnd w:id="278"/>
    </w:p>
    <w:p w14:paraId="4B7A5510" w14:textId="0548AE59" w:rsidR="00AD6903" w:rsidRPr="00252AC4" w:rsidRDefault="00AD6903" w:rsidP="00AD6903">
      <w:pPr>
        <w:pStyle w:val="Figure"/>
        <w:rPr>
          <w:noProof/>
          <w:lang w:eastAsia="en-GB"/>
        </w:rPr>
      </w:pPr>
      <w:r w:rsidRPr="00252AC4">
        <w:rPr>
          <w:noProof/>
          <w:lang w:eastAsia="en-GB"/>
        </w:rPr>
        <w:drawing>
          <wp:inline distT="0" distB="0" distL="0" distR="0" wp14:anchorId="3AFBB030" wp14:editId="4434B2AE">
            <wp:extent cx="5904230" cy="342985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4230" cy="3429851"/>
                    </a:xfrm>
                    <a:prstGeom prst="rect">
                      <a:avLst/>
                    </a:prstGeom>
                    <a:noFill/>
                    <a:ln>
                      <a:noFill/>
                    </a:ln>
                  </pic:spPr>
                </pic:pic>
              </a:graphicData>
            </a:graphic>
          </wp:inline>
        </w:drawing>
      </w:r>
    </w:p>
    <w:p w14:paraId="55450270" w14:textId="1CE7C641" w:rsidR="00AD6903" w:rsidRPr="00252AC4" w:rsidRDefault="00AD6903" w:rsidP="00BD0163">
      <w:pPr>
        <w:pStyle w:val="Sourcenotes"/>
      </w:pPr>
      <w:r w:rsidRPr="00252AC4">
        <w:rPr>
          <w:i/>
        </w:rPr>
        <w:t>Source</w:t>
      </w:r>
      <w:r w:rsidRPr="00252AC4">
        <w:t>: OECD-IDB Survey of Investment Promotion Agencies (2020)</w:t>
      </w:r>
    </w:p>
    <w:bookmarkEnd w:id="279"/>
    <w:bookmarkEnd w:id="280"/>
    <w:bookmarkEnd w:id="281"/>
    <w:p w14:paraId="79EB1207" w14:textId="532A8B09" w:rsidR="00FD42E7" w:rsidRPr="00252AC4" w:rsidRDefault="00FD42E7" w:rsidP="003853A0">
      <w:pPr>
        <w:pStyle w:val="Para0"/>
      </w:pPr>
      <w:r w:rsidRPr="00252AC4">
        <w:t>Overall, Eurasia agencies differ in their targeting intensity, i.e., how many dimensions of prioritisation they combine at the level of sectors, countries, projects and individual investors</w:t>
      </w:r>
      <w:r w:rsidR="00EE5187" w:rsidRPr="00252AC4">
        <w:t xml:space="preserve"> (Figure 2.9)</w:t>
      </w:r>
      <w:r w:rsidRPr="00252AC4">
        <w:t>. The majority of agencies that prioritise certain sectors also prioritise projects and thus combine</w:t>
      </w:r>
      <w:r w:rsidR="00075CD9" w:rsidRPr="00252AC4">
        <w:t xml:space="preserve"> these</w:t>
      </w:r>
      <w:r w:rsidRPr="00252AC4">
        <w:t xml:space="preserve"> two dimensions</w:t>
      </w:r>
      <w:r w:rsidR="00075CD9" w:rsidRPr="00252AC4">
        <w:t>.</w:t>
      </w:r>
      <w:r w:rsidR="00F67246" w:rsidRPr="00252AC4">
        <w:t xml:space="preserve"> </w:t>
      </w:r>
      <w:r w:rsidRPr="00252AC4">
        <w:t>Three agencies combine three layers of prioritisation</w:t>
      </w:r>
      <w:r w:rsidR="00390980" w:rsidRPr="00252AC4">
        <w:t>.</w:t>
      </w:r>
      <w:r w:rsidRPr="00252AC4">
        <w:t xml:space="preserve"> The </w:t>
      </w:r>
      <w:r w:rsidR="006B2936" w:rsidRPr="00252AC4">
        <w:t>Afghanistan Directorate of Investment Promotion and Supp</w:t>
      </w:r>
      <w:r w:rsidR="003853A0" w:rsidRPr="00252AC4">
        <w:t>ort</w:t>
      </w:r>
      <w:r w:rsidR="006B2936" w:rsidRPr="00252AC4">
        <w:t xml:space="preserve"> </w:t>
      </w:r>
      <w:r w:rsidRPr="00252AC4">
        <w:t xml:space="preserve">and </w:t>
      </w:r>
      <w:r w:rsidR="006B2936" w:rsidRPr="00252AC4">
        <w:t xml:space="preserve">the Investment Promotion and Protection Agency of </w:t>
      </w:r>
      <w:r w:rsidRPr="00252AC4">
        <w:t>Kyrgyzstan prioritise sectors, projects and individual investors, while Kazakh Invest focuses on sectors, countries and investment projects. Uzbekistan</w:t>
      </w:r>
      <w:r w:rsidR="00582A14" w:rsidRPr="00252AC4">
        <w:t>’s</w:t>
      </w:r>
      <w:r w:rsidR="006B2936" w:rsidRPr="00252AC4">
        <w:t xml:space="preserve"> Foreign Investment Promotion Agency</w:t>
      </w:r>
      <w:r w:rsidRPr="00252AC4">
        <w:t xml:space="preserve"> is the only agency that focuses only on country prioritisation. Ukraine Invest appears to be the most focused IPA in the sample, as it combines all four prioritisation approaches in their FDI attraction efforts. A Table with the detailed targeting approaches can be found in</w:t>
      </w:r>
      <w:r w:rsidR="00E96ABF" w:rsidRPr="00252AC4">
        <w:t xml:space="preserve"> </w:t>
      </w:r>
      <w:r w:rsidR="00E96ABF" w:rsidRPr="00252AC4">
        <w:fldChar w:fldCharType="begin"/>
      </w:r>
      <w:r w:rsidR="00E96ABF" w:rsidRPr="00252AC4">
        <w:instrText xml:space="preserve"> REF _Ref31646640 \n \h </w:instrText>
      </w:r>
      <w:r w:rsidR="00E96ABF" w:rsidRPr="00252AC4">
        <w:fldChar w:fldCharType="separate"/>
      </w:r>
      <w:r w:rsidR="008914FE">
        <w:t>Annex 2.A</w:t>
      </w:r>
      <w:r w:rsidR="00E96ABF" w:rsidRPr="00252AC4">
        <w:fldChar w:fldCharType="end"/>
      </w:r>
      <w:r w:rsidRPr="00252AC4">
        <w:t>.</w:t>
      </w:r>
    </w:p>
    <w:p w14:paraId="4321F8DC" w14:textId="594211F1" w:rsidR="00367A6B" w:rsidRPr="00252AC4" w:rsidRDefault="00367A6B" w:rsidP="00BD0163">
      <w:pPr>
        <w:pStyle w:val="Caption"/>
      </w:pPr>
      <w:bookmarkStart w:id="282" w:name="_Toc34647265"/>
      <w:bookmarkStart w:id="283" w:name="_Ref32323725"/>
      <w:bookmarkStart w:id="284" w:name="_Toc32317055"/>
      <w:bookmarkStart w:id="285" w:name="_Toc32324714"/>
      <w:bookmarkStart w:id="286" w:name="_Ref31625161"/>
      <w:bookmarkStart w:id="287" w:name="_Toc31617751"/>
      <w:bookmarkStart w:id="288" w:name="_Toc31641351"/>
      <w:bookmarkStart w:id="289" w:name="_Toc31650351"/>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9</w:t>
      </w:r>
      <w:r w:rsidRPr="00252AC4">
        <w:rPr>
          <w:noProof/>
        </w:rPr>
        <w:fldChar w:fldCharType="end"/>
      </w:r>
      <w:r w:rsidRPr="00252AC4">
        <w:t>. Targeting intensity by dimensions prioritised in Eurasia and other regions</w:t>
      </w:r>
      <w:bookmarkEnd w:id="282"/>
    </w:p>
    <w:p w14:paraId="11B3A847" w14:textId="69C3BE7E" w:rsidR="00367A6B" w:rsidRPr="00252AC4" w:rsidRDefault="00367A6B" w:rsidP="00367A6B">
      <w:pPr>
        <w:pStyle w:val="CaptionSubtitle"/>
      </w:pPr>
      <w:r w:rsidRPr="00252AC4">
        <w:t>% of surveyed agencies</w:t>
      </w:r>
      <w:r w:rsidR="00C21B57" w:rsidRPr="00252AC4">
        <w:t>.</w:t>
      </w:r>
    </w:p>
    <w:p w14:paraId="41769C19" w14:textId="23DAE549" w:rsidR="00367A6B" w:rsidRPr="00252AC4" w:rsidRDefault="007D75DD" w:rsidP="00367A6B">
      <w:pPr>
        <w:pStyle w:val="Figure"/>
        <w:rPr>
          <w:noProof/>
          <w:lang w:eastAsia="en-GB"/>
        </w:rPr>
      </w:pPr>
      <w:r w:rsidRPr="00252AC4">
        <w:rPr>
          <w:noProof/>
          <w:lang w:eastAsia="en-GB"/>
        </w:rPr>
        <w:object w:dxaOrig="7790" w:dyaOrig="5060" w14:anchorId="0FA3C0E2">
          <v:shape id="_x0000_i1046" type="#_x0000_t75" style="width:391.1pt;height:252.55pt" o:ole="">
            <v:imagedata r:id="rId67" o:title=""/>
          </v:shape>
          <o:OLEObject Type="Link" ProgID="Excel.Sheet.12" ShapeID="_x0000_i1046" DrawAspect="Content" r:id="rId68" UpdateMode="Always">
            <o:LinkType>EnhancedMetaFile</o:LinkType>
            <o:LockedField>false</o:LockedField>
          </o:OLEObject>
        </w:object>
      </w:r>
    </w:p>
    <w:p w14:paraId="559A37CD" w14:textId="120FF42D" w:rsidR="00367A6B" w:rsidRPr="00252AC4" w:rsidRDefault="00367A6B" w:rsidP="00BD0163">
      <w:pPr>
        <w:pStyle w:val="Sourcenotes"/>
      </w:pPr>
      <w:r w:rsidRPr="00252AC4">
        <w:rPr>
          <w:i/>
        </w:rPr>
        <w:t>Source</w:t>
      </w:r>
      <w:r w:rsidRPr="00252AC4">
        <w:t>: OECD-IDB Survey of Investment Promotion Agencies (2020)</w:t>
      </w:r>
    </w:p>
    <w:bookmarkEnd w:id="283"/>
    <w:bookmarkEnd w:id="284"/>
    <w:bookmarkEnd w:id="285"/>
    <w:bookmarkEnd w:id="286"/>
    <w:bookmarkEnd w:id="287"/>
    <w:bookmarkEnd w:id="288"/>
    <w:bookmarkEnd w:id="289"/>
    <w:p w14:paraId="5FB9A304" w14:textId="77777777" w:rsidR="00FD42E7" w:rsidRPr="00252AC4" w:rsidRDefault="00FD42E7" w:rsidP="00FD42E7">
      <w:pPr>
        <w:pStyle w:val="Para0"/>
      </w:pPr>
      <w:r w:rsidRPr="00252AC4">
        <w:t>In addition to pro-actively prioritising certain sectors, countries, projects or investors, IPAs can also exclude certain types of investment from their promotion activities or assistance when approached by investors. However, this approach is less common in Eurasia, as only two agencies indicate excluding specific sectors or countries, as compared to 34% in the OECD and 50% in MENA.</w:t>
      </w:r>
    </w:p>
    <w:p w14:paraId="7EE47A32" w14:textId="62D0C675" w:rsidR="00FD42E7" w:rsidRPr="00252AC4" w:rsidRDefault="000C2E72" w:rsidP="002F604E">
      <w:pPr>
        <w:pStyle w:val="Heading3"/>
      </w:pPr>
      <w:r w:rsidRPr="00252AC4">
        <w:t>Primary sectors rank high on Eurasia IPAs’ priority lists, reflecting the weight of resource-seeking investment in the region. Georgia, Kazakhstan and Ukraine have also developed clear target sectors for economic diversification</w:t>
      </w:r>
    </w:p>
    <w:p w14:paraId="6F6ABDB0" w14:textId="2B410AF3" w:rsidR="002D0432" w:rsidRPr="00252AC4" w:rsidRDefault="002D0432" w:rsidP="00706535">
      <w:pPr>
        <w:pStyle w:val="Para0"/>
      </w:pPr>
      <w:r w:rsidRPr="00252AC4">
        <w:t>All Eurasia IPAs that prioritise sectors focus on resource-intensive industries such as energy and mining</w:t>
      </w:r>
      <w:r w:rsidR="001D141E" w:rsidRPr="00252AC4">
        <w:t>,</w:t>
      </w:r>
      <w:r w:rsidRPr="00252AC4">
        <w:t xml:space="preserve"> as well as agriculture, including agribusiness and agrifood, with the notable exception of Georgia. The latter focuses on some high-value added sectors such as aerospace and automotive</w:t>
      </w:r>
      <w:r w:rsidR="001D141E" w:rsidRPr="00252AC4">
        <w:t>,</w:t>
      </w:r>
      <w:r w:rsidRPr="00252AC4">
        <w:t xml:space="preserve"> as well as business process outsourcing (BPO), hospitality and IT. Only one agency </w:t>
      </w:r>
      <w:r w:rsidR="001D141E" w:rsidRPr="00252AC4">
        <w:t xml:space="preserve">mentions </w:t>
      </w:r>
      <w:r w:rsidRPr="00252AC4">
        <w:t xml:space="preserve">renewable </w:t>
      </w:r>
      <w:r w:rsidR="001D141E" w:rsidRPr="00252AC4">
        <w:t xml:space="preserve">energy </w:t>
      </w:r>
      <w:r w:rsidRPr="00252AC4">
        <w:t>(Mongolia) or advanced service industries such as information and communication technology (Kyrgyzstan)</w:t>
      </w:r>
      <w:r w:rsidR="00706535" w:rsidRPr="00252AC4">
        <w:t xml:space="preserve"> (</w:t>
      </w:r>
      <w:r w:rsidR="00706535" w:rsidRPr="00252AC4">
        <w:fldChar w:fldCharType="begin"/>
      </w:r>
      <w:r w:rsidR="00706535" w:rsidRPr="00252AC4">
        <w:instrText xml:space="preserve"> REF _Ref31631691 \h </w:instrText>
      </w:r>
      <w:r w:rsidR="00706535" w:rsidRPr="00252AC4">
        <w:fldChar w:fldCharType="separate"/>
      </w:r>
      <w:r w:rsidR="008914FE" w:rsidRPr="00252AC4">
        <w:t xml:space="preserve">Table </w:t>
      </w:r>
      <w:r w:rsidR="008914FE">
        <w:rPr>
          <w:noProof/>
        </w:rPr>
        <w:t>2</w:t>
      </w:r>
      <w:r w:rsidR="008914FE" w:rsidRPr="00252AC4">
        <w:t>.</w:t>
      </w:r>
      <w:r w:rsidR="008914FE">
        <w:rPr>
          <w:noProof/>
        </w:rPr>
        <w:t>4</w:t>
      </w:r>
      <w:r w:rsidR="00706535" w:rsidRPr="00252AC4">
        <w:fldChar w:fldCharType="end"/>
      </w:r>
      <w:r w:rsidR="00706535" w:rsidRPr="00252AC4">
        <w:t>)</w:t>
      </w:r>
      <w:r w:rsidRPr="00252AC4">
        <w:t>.</w:t>
      </w:r>
    </w:p>
    <w:p w14:paraId="1E30B997" w14:textId="392D1106" w:rsidR="00FD42E7" w:rsidRPr="00252AC4" w:rsidRDefault="001D141E" w:rsidP="00FD42E7">
      <w:pPr>
        <w:pStyle w:val="Para0"/>
      </w:pPr>
      <w:r w:rsidRPr="00252AC4">
        <w:t xml:space="preserve">Ukraine’s </w:t>
      </w:r>
      <w:r w:rsidR="00FD42E7" w:rsidRPr="00252AC4">
        <w:t>agency targets manufacturing industry and innovation technology more broadly, while Kazakhstan’s has a narrower focus on oil and gas transformation, such as petro-chemistry. The number and specificity of priority sectors differ from agency to agency depending on the country’s natural endowments and the process of setting priorities, among others. Overall, it appears that Eurasia IPAs’ priority sectors are not defined as precisely as OECD IPAs’, which mainly target life sciences, healthcare services, ICT, business support services, bio-</w:t>
      </w:r>
      <w:r w:rsidRPr="00252AC4">
        <w:t>,</w:t>
      </w:r>
      <w:r w:rsidR="00FD42E7" w:rsidRPr="00252AC4">
        <w:t xml:space="preserve"> green and nano</w:t>
      </w:r>
      <w:r w:rsidRPr="00252AC4">
        <w:t>-</w:t>
      </w:r>
      <w:r w:rsidR="00FD42E7" w:rsidRPr="00252AC4">
        <w:t>technologies as well as advanced manufacturing and high-tech services, among others</w:t>
      </w:r>
      <w:sdt>
        <w:sdtPr>
          <w:id w:val="-1734229540"/>
          <w:citation/>
        </w:sdtPr>
        <w:sdtEndPr/>
        <w:sdtContent>
          <w:r w:rsidR="00FD42E7" w:rsidRPr="00252AC4">
            <w:fldChar w:fldCharType="begin"/>
          </w:r>
          <w:r w:rsidR="00FD42E7" w:rsidRPr="00252AC4">
            <w:instrText xml:space="preserve"> CITATION OEC18 \l 2057 </w:instrText>
          </w:r>
          <w:r w:rsidR="00FD42E7"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FD42E7" w:rsidRPr="00252AC4">
            <w:fldChar w:fldCharType="end"/>
          </w:r>
        </w:sdtContent>
      </w:sdt>
      <w:r w:rsidR="00FD42E7" w:rsidRPr="00252AC4">
        <w:t xml:space="preserve">. </w:t>
      </w:r>
    </w:p>
    <w:p w14:paraId="4E4C9F36" w14:textId="7C2B2F28" w:rsidR="00FD42E7" w:rsidRPr="00252AC4" w:rsidRDefault="00FD42E7" w:rsidP="00FD42E7">
      <w:pPr>
        <w:pStyle w:val="Para0"/>
      </w:pPr>
      <w:r w:rsidRPr="00252AC4">
        <w:lastRenderedPageBreak/>
        <w:t>Eurasia IPAs’ focus on extractive industries reflects their comparative advantage, as most economies have rich natural resource endowments and attract the majority of FDI in these sectors. However, they should consider strengthening their diversification efforts, by attracting FDI with the potential to diversify their economy or upgrading existing sectors to develop higher value added industries.</w:t>
      </w:r>
    </w:p>
    <w:p w14:paraId="54312168" w14:textId="2A020966" w:rsidR="007D7D7E" w:rsidRPr="00252AC4" w:rsidRDefault="001423E9" w:rsidP="001423E9">
      <w:pPr>
        <w:pStyle w:val="Caption"/>
      </w:pPr>
      <w:bookmarkStart w:id="290" w:name="_Ref31631691"/>
      <w:bookmarkStart w:id="291" w:name="_Toc31617768"/>
      <w:bookmarkStart w:id="292" w:name="_Toc31641322"/>
      <w:bookmarkStart w:id="293" w:name="_Toc31650322"/>
      <w:bookmarkStart w:id="294" w:name="_Toc32317027"/>
      <w:bookmarkStart w:id="295" w:name="_Toc32324686"/>
      <w:bookmarkStart w:id="296" w:name="_Toc34647237"/>
      <w:r w:rsidRPr="00252AC4">
        <w:t xml:space="preserve">Table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4</w:t>
      </w:r>
      <w:r w:rsidRPr="00252AC4">
        <w:rPr>
          <w:noProof/>
        </w:rPr>
        <w:fldChar w:fldCharType="end"/>
      </w:r>
      <w:bookmarkEnd w:id="290"/>
      <w:r w:rsidRPr="00252AC4">
        <w:t>. Priority sectors in Eurasia</w:t>
      </w:r>
      <w:bookmarkEnd w:id="291"/>
      <w:bookmarkEnd w:id="292"/>
      <w:bookmarkEnd w:id="293"/>
      <w:bookmarkEnd w:id="294"/>
      <w:bookmarkEnd w:id="295"/>
      <w:bookmarkEnd w:id="296"/>
    </w:p>
    <w:tbl>
      <w:tblPr>
        <w:tblW w:w="5087" w:type="pct"/>
        <w:jc w:val="center"/>
        <w:tblBorders>
          <w:top w:val="single" w:sz="12" w:space="0" w:color="4F81BD"/>
          <w:bottom w:val="single" w:sz="12" w:space="0" w:color="000000"/>
        </w:tblBorders>
        <w:tblLayout w:type="fixed"/>
        <w:tblCellMar>
          <w:left w:w="0" w:type="dxa"/>
          <w:right w:w="0" w:type="dxa"/>
        </w:tblCellMar>
        <w:tblLook w:val="04A0" w:firstRow="1" w:lastRow="0" w:firstColumn="1" w:lastColumn="0" w:noHBand="0" w:noVBand="1"/>
      </w:tblPr>
      <w:tblGrid>
        <w:gridCol w:w="1154"/>
        <w:gridCol w:w="1298"/>
        <w:gridCol w:w="1245"/>
        <w:gridCol w:w="1268"/>
        <w:gridCol w:w="1133"/>
        <w:gridCol w:w="1077"/>
        <w:gridCol w:w="1046"/>
        <w:gridCol w:w="1239"/>
      </w:tblGrid>
      <w:tr w:rsidR="008D1545" w:rsidRPr="00252AC4" w14:paraId="77183E63" w14:textId="77777777" w:rsidTr="008D1545">
        <w:trPr>
          <w:trHeight w:val="222"/>
          <w:jc w:val="center"/>
        </w:trPr>
        <w:tc>
          <w:tcPr>
            <w:tcW w:w="610" w:type="pct"/>
            <w:tcBorders>
              <w:bottom w:val="single" w:sz="8" w:space="0" w:color="000000"/>
            </w:tcBorders>
            <w:shd w:val="clear" w:color="auto" w:fill="FFFFFF"/>
            <w:tcMar>
              <w:top w:w="0" w:type="dxa"/>
              <w:left w:w="108" w:type="dxa"/>
              <w:bottom w:w="0" w:type="dxa"/>
              <w:right w:w="108" w:type="dxa"/>
            </w:tcMar>
            <w:vAlign w:val="center"/>
            <w:hideMark/>
          </w:tcPr>
          <w:p w14:paraId="123F1037" w14:textId="77777777" w:rsidR="007D7D7E" w:rsidRPr="00252AC4" w:rsidRDefault="007D7D7E">
            <w:pPr>
              <w:pStyle w:val="TableColumn"/>
            </w:pPr>
            <w:r w:rsidRPr="00252AC4">
              <w:t> </w:t>
            </w:r>
          </w:p>
        </w:tc>
        <w:tc>
          <w:tcPr>
            <w:tcW w:w="686" w:type="pct"/>
            <w:tcBorders>
              <w:bottom w:val="single" w:sz="8" w:space="0" w:color="000000"/>
            </w:tcBorders>
            <w:shd w:val="clear" w:color="auto" w:fill="FFFFFF"/>
            <w:tcMar>
              <w:top w:w="0" w:type="dxa"/>
              <w:left w:w="108" w:type="dxa"/>
              <w:bottom w:w="0" w:type="dxa"/>
              <w:right w:w="108" w:type="dxa"/>
            </w:tcMar>
            <w:vAlign w:val="center"/>
            <w:hideMark/>
          </w:tcPr>
          <w:p w14:paraId="185DC7E7" w14:textId="77777777" w:rsidR="007D7D7E" w:rsidRPr="00252AC4" w:rsidRDefault="007D7D7E">
            <w:pPr>
              <w:pStyle w:val="TableColumn"/>
              <w:rPr>
                <w:b/>
              </w:rPr>
            </w:pPr>
            <w:r w:rsidRPr="00252AC4">
              <w:rPr>
                <w:b/>
              </w:rPr>
              <w:t>Afghanistan</w:t>
            </w:r>
          </w:p>
        </w:tc>
        <w:tc>
          <w:tcPr>
            <w:tcW w:w="658" w:type="pct"/>
            <w:tcBorders>
              <w:bottom w:val="single" w:sz="8" w:space="0" w:color="000000"/>
            </w:tcBorders>
            <w:shd w:val="clear" w:color="auto" w:fill="FFFFFF"/>
            <w:tcMar>
              <w:top w:w="0" w:type="dxa"/>
              <w:left w:w="108" w:type="dxa"/>
              <w:bottom w:w="0" w:type="dxa"/>
              <w:right w:w="108" w:type="dxa"/>
            </w:tcMar>
            <w:vAlign w:val="center"/>
            <w:hideMark/>
          </w:tcPr>
          <w:p w14:paraId="60CAAC0D" w14:textId="77777777" w:rsidR="007D7D7E" w:rsidRPr="00252AC4" w:rsidRDefault="007D7D7E">
            <w:pPr>
              <w:pStyle w:val="TableColumn"/>
              <w:rPr>
                <w:b/>
              </w:rPr>
            </w:pPr>
            <w:r w:rsidRPr="00252AC4">
              <w:rPr>
                <w:b/>
              </w:rPr>
              <w:t>Georgia</w:t>
            </w:r>
          </w:p>
        </w:tc>
        <w:tc>
          <w:tcPr>
            <w:tcW w:w="670" w:type="pct"/>
            <w:tcBorders>
              <w:bottom w:val="single" w:sz="8" w:space="0" w:color="000000"/>
            </w:tcBorders>
            <w:shd w:val="clear" w:color="auto" w:fill="FFFFFF"/>
            <w:tcMar>
              <w:top w:w="0" w:type="dxa"/>
              <w:left w:w="108" w:type="dxa"/>
              <w:bottom w:w="0" w:type="dxa"/>
              <w:right w:w="108" w:type="dxa"/>
            </w:tcMar>
            <w:vAlign w:val="center"/>
            <w:hideMark/>
          </w:tcPr>
          <w:p w14:paraId="5A376555" w14:textId="77777777" w:rsidR="007D7D7E" w:rsidRPr="00252AC4" w:rsidRDefault="007D7D7E">
            <w:pPr>
              <w:pStyle w:val="TableColumn"/>
              <w:rPr>
                <w:b/>
              </w:rPr>
            </w:pPr>
            <w:r w:rsidRPr="00252AC4">
              <w:rPr>
                <w:b/>
              </w:rPr>
              <w:t>Kazakhstan</w:t>
            </w:r>
          </w:p>
        </w:tc>
        <w:tc>
          <w:tcPr>
            <w:tcW w:w="599" w:type="pct"/>
            <w:tcBorders>
              <w:bottom w:val="single" w:sz="8" w:space="0" w:color="000000"/>
            </w:tcBorders>
            <w:shd w:val="clear" w:color="auto" w:fill="FFFFFF"/>
            <w:tcMar>
              <w:top w:w="0" w:type="dxa"/>
              <w:left w:w="108" w:type="dxa"/>
              <w:bottom w:w="0" w:type="dxa"/>
              <w:right w:w="108" w:type="dxa"/>
            </w:tcMar>
            <w:vAlign w:val="center"/>
            <w:hideMark/>
          </w:tcPr>
          <w:p w14:paraId="1A375C53" w14:textId="77777777" w:rsidR="007D7D7E" w:rsidRPr="00252AC4" w:rsidRDefault="007D7D7E">
            <w:pPr>
              <w:pStyle w:val="TableColumn"/>
              <w:rPr>
                <w:b/>
              </w:rPr>
            </w:pPr>
            <w:r w:rsidRPr="00252AC4">
              <w:rPr>
                <w:b/>
              </w:rPr>
              <w:t>Kyrgyzstan</w:t>
            </w:r>
          </w:p>
        </w:tc>
        <w:tc>
          <w:tcPr>
            <w:tcW w:w="569" w:type="pct"/>
            <w:tcBorders>
              <w:bottom w:val="single" w:sz="8" w:space="0" w:color="000000"/>
            </w:tcBorders>
            <w:shd w:val="clear" w:color="auto" w:fill="FFFFFF"/>
            <w:tcMar>
              <w:top w:w="0" w:type="dxa"/>
              <w:left w:w="108" w:type="dxa"/>
              <w:bottom w:w="0" w:type="dxa"/>
              <w:right w:w="108" w:type="dxa"/>
            </w:tcMar>
            <w:vAlign w:val="center"/>
            <w:hideMark/>
          </w:tcPr>
          <w:p w14:paraId="58DDABF3" w14:textId="77777777" w:rsidR="007D7D7E" w:rsidRPr="00252AC4" w:rsidRDefault="007D7D7E">
            <w:pPr>
              <w:pStyle w:val="TableColumn"/>
              <w:rPr>
                <w:b/>
              </w:rPr>
            </w:pPr>
            <w:r w:rsidRPr="00252AC4">
              <w:rPr>
                <w:b/>
              </w:rPr>
              <w:t>Mongolia</w:t>
            </w:r>
          </w:p>
        </w:tc>
        <w:tc>
          <w:tcPr>
            <w:tcW w:w="553" w:type="pct"/>
            <w:tcBorders>
              <w:bottom w:val="single" w:sz="8" w:space="0" w:color="000000"/>
            </w:tcBorders>
            <w:shd w:val="clear" w:color="auto" w:fill="FFFFFF"/>
            <w:tcMar>
              <w:top w:w="0" w:type="dxa"/>
              <w:left w:w="108" w:type="dxa"/>
              <w:bottom w:w="0" w:type="dxa"/>
              <w:right w:w="108" w:type="dxa"/>
            </w:tcMar>
            <w:vAlign w:val="center"/>
            <w:hideMark/>
          </w:tcPr>
          <w:p w14:paraId="4B1A7446" w14:textId="77777777" w:rsidR="007D7D7E" w:rsidRPr="00252AC4" w:rsidRDefault="007D7D7E">
            <w:pPr>
              <w:pStyle w:val="TableColumn"/>
              <w:rPr>
                <w:b/>
              </w:rPr>
            </w:pPr>
            <w:r w:rsidRPr="00252AC4">
              <w:rPr>
                <w:b/>
              </w:rPr>
              <w:t>Tajikistan</w:t>
            </w:r>
          </w:p>
        </w:tc>
        <w:tc>
          <w:tcPr>
            <w:tcW w:w="655" w:type="pct"/>
            <w:tcBorders>
              <w:bottom w:val="single" w:sz="8" w:space="0" w:color="000000"/>
            </w:tcBorders>
            <w:shd w:val="clear" w:color="auto" w:fill="FFFFFF"/>
            <w:tcMar>
              <w:top w:w="0" w:type="dxa"/>
              <w:left w:w="108" w:type="dxa"/>
              <w:bottom w:w="0" w:type="dxa"/>
              <w:right w:w="108" w:type="dxa"/>
            </w:tcMar>
            <w:vAlign w:val="center"/>
            <w:hideMark/>
          </w:tcPr>
          <w:p w14:paraId="50EB89F4" w14:textId="77777777" w:rsidR="007D7D7E" w:rsidRPr="00252AC4" w:rsidRDefault="007D7D7E">
            <w:pPr>
              <w:pStyle w:val="TableColumn"/>
              <w:rPr>
                <w:b/>
              </w:rPr>
            </w:pPr>
            <w:r w:rsidRPr="00252AC4">
              <w:rPr>
                <w:b/>
              </w:rPr>
              <w:t>Ukraine</w:t>
            </w:r>
          </w:p>
        </w:tc>
      </w:tr>
      <w:tr w:rsidR="008D1545" w:rsidRPr="00252AC4" w14:paraId="60A7EB6B" w14:textId="77777777" w:rsidTr="008D1545">
        <w:trPr>
          <w:trHeight w:val="577"/>
          <w:jc w:val="center"/>
        </w:trPr>
        <w:tc>
          <w:tcPr>
            <w:tcW w:w="610" w:type="pct"/>
            <w:shd w:val="clear" w:color="auto" w:fill="EDF0F7"/>
            <w:tcMar>
              <w:top w:w="0" w:type="dxa"/>
              <w:left w:w="108" w:type="dxa"/>
              <w:bottom w:w="0" w:type="dxa"/>
              <w:right w:w="108" w:type="dxa"/>
            </w:tcMar>
            <w:vAlign w:val="center"/>
            <w:hideMark/>
          </w:tcPr>
          <w:p w14:paraId="781E599E" w14:textId="77777777" w:rsidR="007D7D7E" w:rsidRPr="00252AC4" w:rsidRDefault="007D7D7E" w:rsidP="008D1545">
            <w:pPr>
              <w:pStyle w:val="TableRow"/>
            </w:pPr>
            <w:r w:rsidRPr="00252AC4">
              <w:t>Primary sector</w:t>
            </w:r>
          </w:p>
        </w:tc>
        <w:tc>
          <w:tcPr>
            <w:tcW w:w="686" w:type="pct"/>
            <w:shd w:val="clear" w:color="auto" w:fill="EDF0F7"/>
            <w:tcMar>
              <w:top w:w="0" w:type="dxa"/>
              <w:left w:w="108" w:type="dxa"/>
              <w:bottom w:w="0" w:type="dxa"/>
              <w:right w:w="108" w:type="dxa"/>
            </w:tcMar>
            <w:vAlign w:val="center"/>
            <w:hideMark/>
          </w:tcPr>
          <w:p w14:paraId="3F60F3C4" w14:textId="77777777" w:rsidR="007D7D7E" w:rsidRPr="00252AC4" w:rsidRDefault="007D7D7E" w:rsidP="008D1545">
            <w:pPr>
              <w:pStyle w:val="TableCell"/>
              <w:jc w:val="center"/>
            </w:pPr>
            <w:r w:rsidRPr="00252AC4">
              <w:t>Mining, Energy, Agriculture</w:t>
            </w:r>
          </w:p>
        </w:tc>
        <w:tc>
          <w:tcPr>
            <w:tcW w:w="658" w:type="pct"/>
            <w:shd w:val="clear" w:color="auto" w:fill="EDF0F7"/>
            <w:tcMar>
              <w:top w:w="0" w:type="dxa"/>
              <w:left w:w="108" w:type="dxa"/>
              <w:bottom w:w="0" w:type="dxa"/>
              <w:right w:w="108" w:type="dxa"/>
            </w:tcMar>
            <w:vAlign w:val="center"/>
            <w:hideMark/>
          </w:tcPr>
          <w:p w14:paraId="0574794D" w14:textId="113D4A32" w:rsidR="007D7D7E" w:rsidRPr="00252AC4" w:rsidRDefault="007D7D7E" w:rsidP="008D1545">
            <w:pPr>
              <w:pStyle w:val="TableCell"/>
              <w:jc w:val="center"/>
            </w:pPr>
          </w:p>
        </w:tc>
        <w:tc>
          <w:tcPr>
            <w:tcW w:w="670" w:type="pct"/>
            <w:shd w:val="clear" w:color="auto" w:fill="EDF0F7"/>
            <w:tcMar>
              <w:top w:w="0" w:type="dxa"/>
              <w:left w:w="108" w:type="dxa"/>
              <w:bottom w:w="0" w:type="dxa"/>
              <w:right w:w="108" w:type="dxa"/>
            </w:tcMar>
            <w:vAlign w:val="center"/>
            <w:hideMark/>
          </w:tcPr>
          <w:p w14:paraId="605E434E" w14:textId="77777777" w:rsidR="007D7D7E" w:rsidRPr="00252AC4" w:rsidRDefault="007D7D7E" w:rsidP="008D1545">
            <w:pPr>
              <w:pStyle w:val="TableCell"/>
              <w:jc w:val="center"/>
            </w:pPr>
            <w:r w:rsidRPr="00252AC4">
              <w:t>Mining &amp; Metallurgy</w:t>
            </w:r>
          </w:p>
        </w:tc>
        <w:tc>
          <w:tcPr>
            <w:tcW w:w="599" w:type="pct"/>
            <w:shd w:val="clear" w:color="auto" w:fill="EDF0F7"/>
            <w:tcMar>
              <w:top w:w="0" w:type="dxa"/>
              <w:left w:w="108" w:type="dxa"/>
              <w:bottom w:w="0" w:type="dxa"/>
              <w:right w:w="108" w:type="dxa"/>
            </w:tcMar>
            <w:vAlign w:val="center"/>
            <w:hideMark/>
          </w:tcPr>
          <w:p w14:paraId="1B48FA5A" w14:textId="77777777" w:rsidR="007D7D7E" w:rsidRPr="00252AC4" w:rsidRDefault="007D7D7E" w:rsidP="008D1545">
            <w:pPr>
              <w:pStyle w:val="TableCell"/>
              <w:jc w:val="center"/>
            </w:pPr>
            <w:r w:rsidRPr="00252AC4">
              <w:t>Agriculture, Energy</w:t>
            </w:r>
          </w:p>
        </w:tc>
        <w:tc>
          <w:tcPr>
            <w:tcW w:w="569" w:type="pct"/>
            <w:shd w:val="clear" w:color="auto" w:fill="EDF0F7"/>
            <w:tcMar>
              <w:top w:w="0" w:type="dxa"/>
              <w:left w:w="108" w:type="dxa"/>
              <w:bottom w:w="0" w:type="dxa"/>
              <w:right w:w="108" w:type="dxa"/>
            </w:tcMar>
            <w:vAlign w:val="center"/>
            <w:hideMark/>
          </w:tcPr>
          <w:p w14:paraId="59B92191" w14:textId="77777777" w:rsidR="007D7D7E" w:rsidRPr="00252AC4" w:rsidRDefault="007D7D7E" w:rsidP="008D1545">
            <w:pPr>
              <w:pStyle w:val="TableCell"/>
              <w:jc w:val="center"/>
            </w:pPr>
            <w:r w:rsidRPr="00252AC4">
              <w:t>Mining, Renewable energy</w:t>
            </w:r>
          </w:p>
        </w:tc>
        <w:tc>
          <w:tcPr>
            <w:tcW w:w="553" w:type="pct"/>
            <w:shd w:val="clear" w:color="auto" w:fill="EDF0F7"/>
            <w:tcMar>
              <w:top w:w="0" w:type="dxa"/>
              <w:left w:w="108" w:type="dxa"/>
              <w:bottom w:w="0" w:type="dxa"/>
              <w:right w:w="108" w:type="dxa"/>
            </w:tcMar>
            <w:vAlign w:val="center"/>
            <w:hideMark/>
          </w:tcPr>
          <w:p w14:paraId="2E498D78" w14:textId="77777777" w:rsidR="007D7D7E" w:rsidRPr="00252AC4" w:rsidRDefault="007D7D7E" w:rsidP="008D1545">
            <w:pPr>
              <w:pStyle w:val="TableCell"/>
              <w:jc w:val="center"/>
            </w:pPr>
            <w:r w:rsidRPr="00252AC4">
              <w:t>Energy, Mining, Agriculture</w:t>
            </w:r>
          </w:p>
        </w:tc>
        <w:tc>
          <w:tcPr>
            <w:tcW w:w="655" w:type="pct"/>
            <w:shd w:val="clear" w:color="auto" w:fill="EDF0F7"/>
            <w:tcMar>
              <w:top w:w="0" w:type="dxa"/>
              <w:left w:w="108" w:type="dxa"/>
              <w:bottom w:w="0" w:type="dxa"/>
              <w:right w:w="108" w:type="dxa"/>
            </w:tcMar>
            <w:vAlign w:val="center"/>
            <w:hideMark/>
          </w:tcPr>
          <w:p w14:paraId="56C50D9C" w14:textId="77777777" w:rsidR="007D7D7E" w:rsidRPr="00252AC4" w:rsidRDefault="007D7D7E" w:rsidP="008D1545">
            <w:pPr>
              <w:pStyle w:val="TableCell"/>
              <w:jc w:val="center"/>
            </w:pPr>
            <w:r w:rsidRPr="00252AC4">
              <w:t>Energy</w:t>
            </w:r>
          </w:p>
        </w:tc>
      </w:tr>
      <w:tr w:rsidR="008D1545" w:rsidRPr="00252AC4" w14:paraId="3BDCC04C" w14:textId="77777777" w:rsidTr="008D1545">
        <w:trPr>
          <w:trHeight w:val="1319"/>
          <w:jc w:val="center"/>
        </w:trPr>
        <w:tc>
          <w:tcPr>
            <w:tcW w:w="610" w:type="pct"/>
            <w:shd w:val="clear" w:color="auto" w:fill="FFFFFF"/>
            <w:tcMar>
              <w:top w:w="0" w:type="dxa"/>
              <w:left w:w="108" w:type="dxa"/>
              <w:bottom w:w="0" w:type="dxa"/>
              <w:right w:w="108" w:type="dxa"/>
            </w:tcMar>
            <w:vAlign w:val="center"/>
            <w:hideMark/>
          </w:tcPr>
          <w:p w14:paraId="24FF483B" w14:textId="77777777" w:rsidR="007D7D7E" w:rsidRPr="00252AC4" w:rsidRDefault="007D7D7E" w:rsidP="008D1545">
            <w:pPr>
              <w:pStyle w:val="TableRow"/>
            </w:pPr>
            <w:r w:rsidRPr="00252AC4">
              <w:t>Industry</w:t>
            </w:r>
          </w:p>
        </w:tc>
        <w:tc>
          <w:tcPr>
            <w:tcW w:w="686" w:type="pct"/>
            <w:shd w:val="clear" w:color="auto" w:fill="FFFFFF"/>
            <w:tcMar>
              <w:top w:w="0" w:type="dxa"/>
              <w:left w:w="108" w:type="dxa"/>
              <w:bottom w:w="0" w:type="dxa"/>
              <w:right w:w="108" w:type="dxa"/>
            </w:tcMar>
            <w:vAlign w:val="center"/>
            <w:hideMark/>
          </w:tcPr>
          <w:p w14:paraId="7082C989" w14:textId="77777777" w:rsidR="007D7D7E" w:rsidRPr="00252AC4" w:rsidRDefault="007D7D7E" w:rsidP="008D1545">
            <w:pPr>
              <w:pStyle w:val="TableCell"/>
              <w:jc w:val="center"/>
            </w:pPr>
            <w:r w:rsidRPr="00252AC4">
              <w:t>Infrastructure</w:t>
            </w:r>
          </w:p>
        </w:tc>
        <w:tc>
          <w:tcPr>
            <w:tcW w:w="658" w:type="pct"/>
            <w:shd w:val="clear" w:color="auto" w:fill="FFFFFF"/>
            <w:tcMar>
              <w:top w:w="0" w:type="dxa"/>
              <w:left w:w="108" w:type="dxa"/>
              <w:bottom w:w="0" w:type="dxa"/>
              <w:right w:w="108" w:type="dxa"/>
            </w:tcMar>
            <w:vAlign w:val="center"/>
            <w:hideMark/>
          </w:tcPr>
          <w:p w14:paraId="647A7F42" w14:textId="4FAD57B5" w:rsidR="007D7D7E" w:rsidRPr="00252AC4" w:rsidRDefault="008D1545" w:rsidP="008D1545">
            <w:pPr>
              <w:pStyle w:val="TableCell"/>
              <w:jc w:val="center"/>
            </w:pPr>
            <w:r w:rsidRPr="00252AC4">
              <w:t>Manufacturing of apparel and</w:t>
            </w:r>
            <w:r w:rsidR="007D7D7E" w:rsidRPr="00252AC4">
              <w:t xml:space="preserve"> </w:t>
            </w:r>
            <w:r w:rsidRPr="00252AC4">
              <w:t>footwear, Automotive, Aircraft</w:t>
            </w:r>
            <w:r w:rsidR="007D7D7E" w:rsidRPr="00252AC4">
              <w:t xml:space="preserve"> equipment, Electronics</w:t>
            </w:r>
          </w:p>
        </w:tc>
        <w:tc>
          <w:tcPr>
            <w:tcW w:w="670" w:type="pct"/>
            <w:shd w:val="clear" w:color="auto" w:fill="FFFFFF"/>
            <w:tcMar>
              <w:top w:w="0" w:type="dxa"/>
              <w:left w:w="108" w:type="dxa"/>
              <w:bottom w:w="0" w:type="dxa"/>
              <w:right w:w="108" w:type="dxa"/>
            </w:tcMar>
            <w:vAlign w:val="center"/>
            <w:hideMark/>
          </w:tcPr>
          <w:p w14:paraId="4A70F5CC" w14:textId="1A90D8BC" w:rsidR="007D7D7E" w:rsidRPr="00252AC4" w:rsidRDefault="007D7D7E" w:rsidP="00C3044D">
            <w:pPr>
              <w:pStyle w:val="TableCell"/>
              <w:jc w:val="center"/>
            </w:pPr>
            <w:r w:rsidRPr="00252AC4">
              <w:t>Agribusiness, Machine building, Chemistry and Petro</w:t>
            </w:r>
            <w:r w:rsidR="008D1545" w:rsidRPr="00252AC4">
              <w:t>-</w:t>
            </w:r>
            <w:r w:rsidRPr="00252AC4">
              <w:t>chemistry</w:t>
            </w:r>
          </w:p>
        </w:tc>
        <w:tc>
          <w:tcPr>
            <w:tcW w:w="599" w:type="pct"/>
            <w:shd w:val="clear" w:color="auto" w:fill="FFFFFF"/>
            <w:tcMar>
              <w:top w:w="0" w:type="dxa"/>
              <w:left w:w="108" w:type="dxa"/>
              <w:bottom w:w="0" w:type="dxa"/>
              <w:right w:w="108" w:type="dxa"/>
            </w:tcMar>
            <w:vAlign w:val="center"/>
            <w:hideMark/>
          </w:tcPr>
          <w:p w14:paraId="6A925F62" w14:textId="77777777" w:rsidR="007D7D7E" w:rsidRPr="00252AC4" w:rsidRDefault="007D7D7E" w:rsidP="008D1545">
            <w:pPr>
              <w:pStyle w:val="TableCell"/>
              <w:jc w:val="center"/>
            </w:pPr>
            <w:r w:rsidRPr="00252AC4">
              <w:t>Manufacturing</w:t>
            </w:r>
          </w:p>
        </w:tc>
        <w:tc>
          <w:tcPr>
            <w:tcW w:w="569" w:type="pct"/>
            <w:shd w:val="clear" w:color="auto" w:fill="FFFFFF"/>
            <w:tcMar>
              <w:top w:w="0" w:type="dxa"/>
              <w:left w:w="108" w:type="dxa"/>
              <w:bottom w:w="0" w:type="dxa"/>
              <w:right w:w="108" w:type="dxa"/>
            </w:tcMar>
            <w:vAlign w:val="center"/>
            <w:hideMark/>
          </w:tcPr>
          <w:p w14:paraId="0C622F5C" w14:textId="77777777" w:rsidR="007D7D7E" w:rsidRPr="00252AC4" w:rsidRDefault="007D7D7E" w:rsidP="008D1545">
            <w:pPr>
              <w:pStyle w:val="TableCell"/>
              <w:jc w:val="center"/>
            </w:pPr>
            <w:r w:rsidRPr="00252AC4">
              <w:t>Agribusiness</w:t>
            </w:r>
          </w:p>
        </w:tc>
        <w:tc>
          <w:tcPr>
            <w:tcW w:w="553" w:type="pct"/>
            <w:shd w:val="clear" w:color="auto" w:fill="FFFFFF"/>
            <w:tcMar>
              <w:top w:w="0" w:type="dxa"/>
              <w:left w:w="108" w:type="dxa"/>
              <w:bottom w:w="0" w:type="dxa"/>
              <w:right w:w="108" w:type="dxa"/>
            </w:tcMar>
            <w:vAlign w:val="center"/>
            <w:hideMark/>
          </w:tcPr>
          <w:p w14:paraId="2DBFA075" w14:textId="77777777" w:rsidR="007D7D7E" w:rsidRPr="00252AC4" w:rsidRDefault="007D7D7E" w:rsidP="008D1545">
            <w:pPr>
              <w:pStyle w:val="TableCell"/>
              <w:jc w:val="center"/>
            </w:pPr>
            <w:r w:rsidRPr="00252AC4">
              <w:t>Industry, Transport</w:t>
            </w:r>
          </w:p>
        </w:tc>
        <w:tc>
          <w:tcPr>
            <w:tcW w:w="655" w:type="pct"/>
            <w:shd w:val="clear" w:color="auto" w:fill="FFFFFF"/>
            <w:tcMar>
              <w:top w:w="0" w:type="dxa"/>
              <w:left w:w="108" w:type="dxa"/>
              <w:bottom w:w="0" w:type="dxa"/>
              <w:right w:w="108" w:type="dxa"/>
            </w:tcMar>
            <w:vAlign w:val="center"/>
            <w:hideMark/>
          </w:tcPr>
          <w:p w14:paraId="2B7B7FA6" w14:textId="77777777" w:rsidR="007D7D7E" w:rsidRPr="00252AC4" w:rsidRDefault="007D7D7E" w:rsidP="008D1545">
            <w:pPr>
              <w:pStyle w:val="TableCell"/>
              <w:jc w:val="center"/>
            </w:pPr>
            <w:r w:rsidRPr="00252AC4">
              <w:t>Agribusiness, Manufacturing, Infrastructure, Innovation Technology</w:t>
            </w:r>
          </w:p>
        </w:tc>
      </w:tr>
      <w:tr w:rsidR="008D1545" w:rsidRPr="00252AC4" w14:paraId="380CC4B6" w14:textId="77777777" w:rsidTr="008D1545">
        <w:trPr>
          <w:trHeight w:val="577"/>
          <w:jc w:val="center"/>
        </w:trPr>
        <w:tc>
          <w:tcPr>
            <w:tcW w:w="610" w:type="pct"/>
            <w:shd w:val="clear" w:color="auto" w:fill="EDF0F7"/>
            <w:tcMar>
              <w:top w:w="0" w:type="dxa"/>
              <w:left w:w="108" w:type="dxa"/>
              <w:bottom w:w="0" w:type="dxa"/>
              <w:right w:w="108" w:type="dxa"/>
            </w:tcMar>
            <w:vAlign w:val="center"/>
            <w:hideMark/>
          </w:tcPr>
          <w:p w14:paraId="1EC9F7E8" w14:textId="77777777" w:rsidR="007D7D7E" w:rsidRPr="00252AC4" w:rsidRDefault="007D7D7E" w:rsidP="008D1545">
            <w:pPr>
              <w:pStyle w:val="TableRow"/>
            </w:pPr>
            <w:r w:rsidRPr="00252AC4">
              <w:t>Services</w:t>
            </w:r>
          </w:p>
        </w:tc>
        <w:tc>
          <w:tcPr>
            <w:tcW w:w="686" w:type="pct"/>
            <w:shd w:val="clear" w:color="auto" w:fill="EDF0F7"/>
            <w:tcMar>
              <w:top w:w="0" w:type="dxa"/>
              <w:left w:w="108" w:type="dxa"/>
              <w:bottom w:w="0" w:type="dxa"/>
              <w:right w:w="108" w:type="dxa"/>
            </w:tcMar>
            <w:vAlign w:val="center"/>
            <w:hideMark/>
          </w:tcPr>
          <w:p w14:paraId="45384005" w14:textId="77777777" w:rsidR="007D7D7E" w:rsidRPr="00252AC4" w:rsidRDefault="007D7D7E" w:rsidP="008D1545">
            <w:pPr>
              <w:pStyle w:val="TableCell"/>
              <w:jc w:val="center"/>
            </w:pPr>
            <w:r w:rsidRPr="00252AC4">
              <w:t>Telecommunication, Health, Education</w:t>
            </w:r>
          </w:p>
        </w:tc>
        <w:tc>
          <w:tcPr>
            <w:tcW w:w="658" w:type="pct"/>
            <w:shd w:val="clear" w:color="auto" w:fill="EDF0F7"/>
            <w:tcMar>
              <w:top w:w="0" w:type="dxa"/>
              <w:left w:w="108" w:type="dxa"/>
              <w:bottom w:w="0" w:type="dxa"/>
              <w:right w:w="108" w:type="dxa"/>
            </w:tcMar>
            <w:vAlign w:val="center"/>
            <w:hideMark/>
          </w:tcPr>
          <w:p w14:paraId="19FCD743" w14:textId="77777777" w:rsidR="007D7D7E" w:rsidRPr="00252AC4" w:rsidRDefault="007D7D7E" w:rsidP="008D1545">
            <w:pPr>
              <w:pStyle w:val="TableCell"/>
              <w:jc w:val="center"/>
            </w:pPr>
            <w:r w:rsidRPr="00252AC4">
              <w:t>Hospitality, BPO &amp; IT</w:t>
            </w:r>
          </w:p>
        </w:tc>
        <w:tc>
          <w:tcPr>
            <w:tcW w:w="670" w:type="pct"/>
            <w:shd w:val="clear" w:color="auto" w:fill="EDF0F7"/>
            <w:tcMar>
              <w:top w:w="0" w:type="dxa"/>
              <w:left w:w="108" w:type="dxa"/>
              <w:bottom w:w="0" w:type="dxa"/>
              <w:right w:w="108" w:type="dxa"/>
            </w:tcMar>
            <w:vAlign w:val="center"/>
            <w:hideMark/>
          </w:tcPr>
          <w:p w14:paraId="13DAD7D8" w14:textId="77540972" w:rsidR="007D7D7E" w:rsidRPr="00252AC4" w:rsidRDefault="007D7D7E" w:rsidP="008D1545">
            <w:pPr>
              <w:pStyle w:val="TableCell"/>
              <w:jc w:val="center"/>
            </w:pPr>
          </w:p>
        </w:tc>
        <w:tc>
          <w:tcPr>
            <w:tcW w:w="599" w:type="pct"/>
            <w:shd w:val="clear" w:color="auto" w:fill="EDF0F7"/>
            <w:tcMar>
              <w:top w:w="0" w:type="dxa"/>
              <w:left w:w="108" w:type="dxa"/>
              <w:bottom w:w="0" w:type="dxa"/>
              <w:right w:w="108" w:type="dxa"/>
            </w:tcMar>
            <w:vAlign w:val="center"/>
            <w:hideMark/>
          </w:tcPr>
          <w:p w14:paraId="4D973D47" w14:textId="77777777" w:rsidR="007D7D7E" w:rsidRPr="00252AC4" w:rsidRDefault="007D7D7E" w:rsidP="008D1545">
            <w:pPr>
              <w:pStyle w:val="TableCell"/>
              <w:jc w:val="center"/>
            </w:pPr>
            <w:r w:rsidRPr="00252AC4">
              <w:t>Tourism, ICT</w:t>
            </w:r>
          </w:p>
        </w:tc>
        <w:tc>
          <w:tcPr>
            <w:tcW w:w="569" w:type="pct"/>
            <w:shd w:val="clear" w:color="auto" w:fill="EDF0F7"/>
            <w:tcMar>
              <w:top w:w="0" w:type="dxa"/>
              <w:left w:w="108" w:type="dxa"/>
              <w:bottom w:w="0" w:type="dxa"/>
              <w:right w:w="108" w:type="dxa"/>
            </w:tcMar>
            <w:vAlign w:val="center"/>
            <w:hideMark/>
          </w:tcPr>
          <w:p w14:paraId="3E16B565" w14:textId="77777777" w:rsidR="007D7D7E" w:rsidRPr="00252AC4" w:rsidRDefault="007D7D7E" w:rsidP="008D1545">
            <w:pPr>
              <w:pStyle w:val="TableCell"/>
              <w:jc w:val="center"/>
            </w:pPr>
            <w:r w:rsidRPr="00252AC4">
              <w:t>Tourism</w:t>
            </w:r>
          </w:p>
        </w:tc>
        <w:tc>
          <w:tcPr>
            <w:tcW w:w="553" w:type="pct"/>
            <w:shd w:val="clear" w:color="auto" w:fill="EDF0F7"/>
            <w:tcMar>
              <w:top w:w="0" w:type="dxa"/>
              <w:left w:w="108" w:type="dxa"/>
              <w:bottom w:w="0" w:type="dxa"/>
              <w:right w:w="108" w:type="dxa"/>
            </w:tcMar>
            <w:vAlign w:val="center"/>
            <w:hideMark/>
          </w:tcPr>
          <w:p w14:paraId="0839AD0D" w14:textId="77777777" w:rsidR="007D7D7E" w:rsidRPr="00252AC4" w:rsidRDefault="007D7D7E" w:rsidP="008D1545">
            <w:pPr>
              <w:pStyle w:val="TableCell"/>
              <w:jc w:val="center"/>
            </w:pPr>
            <w:r w:rsidRPr="00252AC4">
              <w:t>Education, Tourism</w:t>
            </w:r>
          </w:p>
        </w:tc>
        <w:tc>
          <w:tcPr>
            <w:tcW w:w="655" w:type="pct"/>
            <w:shd w:val="clear" w:color="auto" w:fill="EDF0F7"/>
            <w:tcMar>
              <w:top w:w="0" w:type="dxa"/>
              <w:left w:w="108" w:type="dxa"/>
              <w:bottom w:w="0" w:type="dxa"/>
              <w:right w:w="108" w:type="dxa"/>
            </w:tcMar>
            <w:vAlign w:val="center"/>
            <w:hideMark/>
          </w:tcPr>
          <w:p w14:paraId="27B07888" w14:textId="57A45E3D" w:rsidR="007D7D7E" w:rsidRPr="00252AC4" w:rsidRDefault="00C87033" w:rsidP="008D1545">
            <w:pPr>
              <w:pStyle w:val="TableCell"/>
              <w:jc w:val="center"/>
            </w:pPr>
            <w:r w:rsidRPr="00252AC4">
              <w:t>Innovation Technology</w:t>
            </w:r>
          </w:p>
        </w:tc>
      </w:tr>
    </w:tbl>
    <w:p w14:paraId="08FC52CE" w14:textId="43ADC97D" w:rsidR="007D7D7E" w:rsidRPr="00252AC4" w:rsidRDefault="007D7D7E" w:rsidP="004F2512">
      <w:pPr>
        <w:pStyle w:val="Sourcenotes"/>
      </w:pPr>
      <w:r w:rsidRPr="00252AC4">
        <w:rPr>
          <w:i/>
        </w:rPr>
        <w:t>Source</w:t>
      </w:r>
      <w:r w:rsidRPr="00252AC4">
        <w:t>: OECD IDB IPA survey of Inv</w:t>
      </w:r>
      <w:r w:rsidR="001423E9" w:rsidRPr="00252AC4">
        <w:t>estment Promotion Agencies (2020</w:t>
      </w:r>
      <w:r w:rsidRPr="00252AC4">
        <w:t>)</w:t>
      </w:r>
    </w:p>
    <w:p w14:paraId="0F063460" w14:textId="268E497B" w:rsidR="00FD42E7" w:rsidRPr="00252AC4" w:rsidRDefault="00FD42E7" w:rsidP="00B96E53">
      <w:pPr>
        <w:pStyle w:val="Heading3"/>
      </w:pPr>
      <w:r w:rsidRPr="00252AC4">
        <w:t>Eurasia I</w:t>
      </w:r>
      <w:r w:rsidR="00C3044D" w:rsidRPr="00252AC4">
        <w:t xml:space="preserve">PAs’ prioritisation strategies </w:t>
      </w:r>
      <w:r w:rsidR="006026C8" w:rsidRPr="00252AC4">
        <w:t xml:space="preserve">mainly </w:t>
      </w:r>
      <w:r w:rsidR="00C3044D" w:rsidRPr="00252AC4">
        <w:t>rely on criteria related to economic diversification and regional development</w:t>
      </w:r>
    </w:p>
    <w:p w14:paraId="4591BB73" w14:textId="1D909FFF" w:rsidR="008F731A" w:rsidRPr="00252AC4" w:rsidRDefault="008F731A" w:rsidP="00FD42E7">
      <w:pPr>
        <w:pStyle w:val="Para0"/>
      </w:pPr>
      <w:r w:rsidRPr="00252AC4">
        <w:t>A</w:t>
      </w:r>
      <w:r w:rsidR="00FD42E7" w:rsidRPr="00252AC4">
        <w:t>ll agencies seek to diversify their economy</w:t>
      </w:r>
      <w:r w:rsidRPr="00252AC4">
        <w:t xml:space="preserve"> and drive regional development when prioritising sectors</w:t>
      </w:r>
      <w:r w:rsidR="00FD42E7" w:rsidRPr="00252AC4">
        <w:t xml:space="preserve"> (</w:t>
      </w:r>
      <w:r w:rsidR="00FD42E7" w:rsidRPr="00252AC4">
        <w:fldChar w:fldCharType="begin"/>
      </w:r>
      <w:r w:rsidR="00FD42E7" w:rsidRPr="00252AC4">
        <w:instrText xml:space="preserve"> REF _Ref30584359 \h </w:instrText>
      </w:r>
      <w:r w:rsidR="00FD42E7" w:rsidRPr="00252AC4">
        <w:fldChar w:fldCharType="separate"/>
      </w:r>
      <w:r w:rsidR="008914FE" w:rsidRPr="00252AC4">
        <w:t>Table </w:t>
      </w:r>
      <w:r w:rsidR="008914FE">
        <w:rPr>
          <w:noProof/>
        </w:rPr>
        <w:t>2</w:t>
      </w:r>
      <w:r w:rsidR="008914FE" w:rsidRPr="00252AC4">
        <w:t>.</w:t>
      </w:r>
      <w:r w:rsidR="008914FE">
        <w:rPr>
          <w:noProof/>
        </w:rPr>
        <w:t>5</w:t>
      </w:r>
      <w:r w:rsidR="00FD42E7" w:rsidRPr="00252AC4">
        <w:fldChar w:fldCharType="end"/>
      </w:r>
      <w:r w:rsidR="00FD42E7" w:rsidRPr="00252AC4">
        <w:t xml:space="preserve">). This result is similar in the MENA region, but significantly lower in LAC (71%) and in the OECD (58%). </w:t>
      </w:r>
      <w:r w:rsidRPr="00252AC4">
        <w:t>This hardly comes a surprise, as d</w:t>
      </w:r>
      <w:r w:rsidR="00FD42E7" w:rsidRPr="00252AC4">
        <w:t xml:space="preserve">iversifying the economic base is a common challenge </w:t>
      </w:r>
      <w:r w:rsidR="007C58CB" w:rsidRPr="00252AC4">
        <w:t>across much</w:t>
      </w:r>
      <w:r w:rsidR="00FD42E7" w:rsidRPr="00252AC4">
        <w:t xml:space="preserve"> of the region, particular</w:t>
      </w:r>
      <w:r w:rsidR="007C58CB" w:rsidRPr="00252AC4">
        <w:t>ly</w:t>
      </w:r>
      <w:r w:rsidR="00FD42E7" w:rsidRPr="00252AC4">
        <w:t xml:space="preserve"> </w:t>
      </w:r>
      <w:r w:rsidRPr="00252AC4">
        <w:t>in</w:t>
      </w:r>
      <w:r w:rsidR="00FD42E7" w:rsidRPr="00252AC4">
        <w:t xml:space="preserve"> Central Asia </w:t>
      </w:r>
      <w:sdt>
        <w:sdtPr>
          <w:id w:val="744070852"/>
          <w:citation/>
        </w:sdtPr>
        <w:sdtEndPr/>
        <w:sdtContent>
          <w:r w:rsidR="00FD42E7" w:rsidRPr="00252AC4">
            <w:fldChar w:fldCharType="begin"/>
          </w:r>
          <w:r w:rsidR="00FD42E7" w:rsidRPr="00252AC4">
            <w:instrText xml:space="preserve"> CITATION Kappa_g2g876fa \l 2057 </w:instrText>
          </w:r>
          <w:r w:rsidR="00FD42E7" w:rsidRPr="00252AC4">
            <w:fldChar w:fldCharType="separate"/>
          </w:r>
          <w:r w:rsidR="00E259C6" w:rsidRPr="00252AC4">
            <w:rPr>
              <w:noProof/>
            </w:rPr>
            <w:t>(</w:t>
          </w:r>
          <w:bookmarkStart w:id="297" w:name="Kappa_g2g876fa_22"/>
          <w:r w:rsidR="00E259C6" w:rsidRPr="00252AC4">
            <w:rPr>
              <w:noProof/>
            </w:rPr>
            <w:t>OECD, 2018</w:t>
          </w:r>
          <w:r w:rsidR="00E259C6" w:rsidRPr="00252AC4">
            <w:rPr>
              <w:noProof/>
              <w:vertAlign w:val="subscript"/>
            </w:rPr>
            <w:t>[22]</w:t>
          </w:r>
          <w:r w:rsidR="00E259C6" w:rsidRPr="00252AC4">
            <w:rPr>
              <w:noProof/>
            </w:rPr>
            <w:t>)</w:t>
          </w:r>
          <w:bookmarkEnd w:id="297"/>
          <w:r w:rsidR="00FD42E7" w:rsidRPr="00252AC4">
            <w:fldChar w:fldCharType="end"/>
          </w:r>
        </w:sdtContent>
      </w:sdt>
      <w:r w:rsidR="00FD42E7" w:rsidRPr="00252AC4">
        <w:t>.</w:t>
      </w:r>
      <w:r w:rsidR="00F20027" w:rsidRPr="00252AC4">
        <w:t xml:space="preserve"> However, there seems to be a contradiction between the method, consisting in using criteria related to diversification, and the result, with the strong presence of primary sectors among priority sectors, as noted above.</w:t>
      </w:r>
      <w:r w:rsidR="00FD42E7" w:rsidRPr="00252AC4">
        <w:t xml:space="preserve"> </w:t>
      </w:r>
      <w:r w:rsidRPr="00252AC4">
        <w:t>In addition to economic diversification, six out of seven IPAs (86%) indicate focusing on FDI driving regional development, in accord with their main mandate as discussed in Chapter</w:t>
      </w:r>
      <w:r w:rsidR="007C58CB" w:rsidRPr="00252AC4">
        <w:t> 1</w:t>
      </w:r>
      <w:r w:rsidRPr="00252AC4">
        <w:t>.</w:t>
      </w:r>
    </w:p>
    <w:p w14:paraId="2508056A" w14:textId="1EEC8852" w:rsidR="00FD42E7" w:rsidRPr="00252AC4" w:rsidRDefault="008F731A" w:rsidP="00FD42E7">
      <w:pPr>
        <w:pStyle w:val="Para0"/>
      </w:pPr>
      <w:r w:rsidRPr="00252AC4">
        <w:t>Eurasia IPAs also try to</w:t>
      </w:r>
      <w:r w:rsidR="00FD42E7" w:rsidRPr="00252AC4">
        <w:t xml:space="preserve"> </w:t>
      </w:r>
      <w:r w:rsidRPr="00252AC4">
        <w:t>target sectors in line with countries’</w:t>
      </w:r>
      <w:r w:rsidR="00FD42E7" w:rsidRPr="00252AC4">
        <w:t xml:space="preserve"> needs, regional potential and domestic capabilities, and that </w:t>
      </w:r>
      <w:r w:rsidRPr="00252AC4">
        <w:t>offer opportunities to upgrade</w:t>
      </w:r>
      <w:r w:rsidR="00FD42E7" w:rsidRPr="00252AC4">
        <w:t xml:space="preserve"> and </w:t>
      </w:r>
      <w:r w:rsidRPr="00252AC4">
        <w:t>drive integration into</w:t>
      </w:r>
      <w:r w:rsidR="00FD42E7" w:rsidRPr="00252AC4">
        <w:t xml:space="preserve"> global value chains. </w:t>
      </w:r>
      <w:r w:rsidRPr="00252AC4">
        <w:t>S</w:t>
      </w:r>
      <w:r w:rsidR="00FD42E7" w:rsidRPr="00252AC4">
        <w:t xml:space="preserve">ix out of seven IPAs (86%) </w:t>
      </w:r>
      <w:r w:rsidRPr="00252AC4">
        <w:t>thus</w:t>
      </w:r>
      <w:r w:rsidR="00FD42E7" w:rsidRPr="00252AC4">
        <w:t xml:space="preserve"> attract FDI where the country has strong domestic capacities, suggesting that </w:t>
      </w:r>
      <w:r w:rsidRPr="00252AC4">
        <w:t>they</w:t>
      </w:r>
      <w:r w:rsidR="00FD42E7" w:rsidRPr="00252AC4">
        <w:t xml:space="preserve"> </w:t>
      </w:r>
      <w:r w:rsidRPr="00252AC4">
        <w:t>seek to strike</w:t>
      </w:r>
      <w:r w:rsidR="00FD42E7" w:rsidRPr="00252AC4">
        <w:t xml:space="preserve"> a balance between </w:t>
      </w:r>
      <w:r w:rsidRPr="00252AC4">
        <w:t>diversification objectives</w:t>
      </w:r>
      <w:r w:rsidR="00FD42E7" w:rsidRPr="00252AC4">
        <w:t xml:space="preserve"> </w:t>
      </w:r>
      <w:r w:rsidRPr="00252AC4">
        <w:t>and leveraging</w:t>
      </w:r>
      <w:r w:rsidR="00FD42E7" w:rsidRPr="00252AC4">
        <w:t xml:space="preserve"> domestic strengths.</w:t>
      </w:r>
    </w:p>
    <w:p w14:paraId="4A6382AD" w14:textId="78DA5935" w:rsidR="00FD42E7" w:rsidRPr="00252AC4" w:rsidRDefault="00FD42E7" w:rsidP="00FD42E7">
      <w:pPr>
        <w:pStyle w:val="Caption"/>
      </w:pPr>
      <w:bookmarkStart w:id="298" w:name="_Ref30584359"/>
      <w:bookmarkStart w:id="299" w:name="_Toc31617769"/>
      <w:bookmarkStart w:id="300" w:name="_Toc31641323"/>
      <w:bookmarkStart w:id="301" w:name="_Toc31650323"/>
      <w:bookmarkStart w:id="302" w:name="_Toc32317028"/>
      <w:bookmarkStart w:id="303" w:name="_Toc32324687"/>
      <w:bookmarkStart w:id="304" w:name="_Toc34647238"/>
      <w:r w:rsidRPr="00252AC4">
        <w:lastRenderedPageBreak/>
        <w:t>Table </w:t>
      </w:r>
      <w:r w:rsidRPr="00252AC4">
        <w:rPr>
          <w:noProof/>
        </w:rPr>
        <w:fldChar w:fldCharType="begin"/>
      </w:r>
      <w:r w:rsidRPr="00252AC4">
        <w:rPr>
          <w:noProof/>
        </w:rPr>
        <w:instrText xml:space="preserve"> STYLEREF 1 \s </w:instrText>
      </w:r>
      <w:r w:rsidRPr="00252AC4">
        <w:rPr>
          <w:noProof/>
        </w:rPr>
        <w:fldChar w:fldCharType="separate"/>
      </w:r>
      <w:r w:rsidR="008914FE">
        <w:rPr>
          <w:noProof/>
        </w:rPr>
        <w:t>2</w:t>
      </w:r>
      <w:r w:rsidRPr="00252AC4">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5</w:t>
      </w:r>
      <w:r w:rsidRPr="00252AC4">
        <w:rPr>
          <w:noProof/>
        </w:rPr>
        <w:fldChar w:fldCharType="end"/>
      </w:r>
      <w:bookmarkEnd w:id="298"/>
      <w:r w:rsidRPr="00252AC4">
        <w:t>. Criteria used for sector prioritisation by IPA and region</w:t>
      </w:r>
      <w:bookmarkEnd w:id="299"/>
      <w:bookmarkEnd w:id="300"/>
      <w:bookmarkEnd w:id="301"/>
      <w:bookmarkEnd w:id="302"/>
      <w:bookmarkEnd w:id="303"/>
      <w:bookmarkEnd w:id="304"/>
    </w:p>
    <w:tbl>
      <w:tblPr>
        <w:tblStyle w:val="OECD"/>
        <w:tblW w:w="9808" w:type="dxa"/>
        <w:tblLook w:val="04A0" w:firstRow="1" w:lastRow="0" w:firstColumn="1" w:lastColumn="0" w:noHBand="0" w:noVBand="1"/>
      </w:tblPr>
      <w:tblGrid>
        <w:gridCol w:w="3590"/>
        <w:gridCol w:w="525"/>
        <w:gridCol w:w="541"/>
        <w:gridCol w:w="517"/>
        <w:gridCol w:w="526"/>
        <w:gridCol w:w="558"/>
        <w:gridCol w:w="494"/>
        <w:gridCol w:w="533"/>
        <w:gridCol w:w="741"/>
        <w:gridCol w:w="637"/>
        <w:gridCol w:w="637"/>
        <w:gridCol w:w="509"/>
      </w:tblGrid>
      <w:tr w:rsidR="00FD42E7" w:rsidRPr="00252AC4" w14:paraId="1CA5FA83" w14:textId="77777777" w:rsidTr="00FD42E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6698F140" w14:textId="77777777" w:rsidR="00FD42E7" w:rsidRPr="00252AC4" w:rsidRDefault="00FD42E7" w:rsidP="00FD42E7">
            <w:pPr>
              <w:pStyle w:val="TableColumn"/>
              <w:rPr>
                <w:lang w:val="en-GB"/>
              </w:rPr>
            </w:pPr>
            <w:r w:rsidRPr="00252AC4">
              <w:rPr>
                <w:lang w:val="en-GB"/>
              </w:rPr>
              <w:t> </w:t>
            </w:r>
          </w:p>
        </w:tc>
        <w:tc>
          <w:tcPr>
            <w:tcW w:w="0" w:type="auto"/>
          </w:tcPr>
          <w:p w14:paraId="146C0C41"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AFG</w:t>
            </w:r>
          </w:p>
        </w:tc>
        <w:tc>
          <w:tcPr>
            <w:tcW w:w="0" w:type="auto"/>
          </w:tcPr>
          <w:p w14:paraId="101ED197"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GEO</w:t>
            </w:r>
          </w:p>
        </w:tc>
        <w:tc>
          <w:tcPr>
            <w:tcW w:w="0" w:type="auto"/>
          </w:tcPr>
          <w:p w14:paraId="095B3545"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KAZ</w:t>
            </w:r>
          </w:p>
        </w:tc>
        <w:tc>
          <w:tcPr>
            <w:tcW w:w="0" w:type="auto"/>
          </w:tcPr>
          <w:p w14:paraId="0B176060"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KGZ</w:t>
            </w:r>
          </w:p>
        </w:tc>
        <w:tc>
          <w:tcPr>
            <w:tcW w:w="0" w:type="auto"/>
          </w:tcPr>
          <w:p w14:paraId="1AD90138"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MNG</w:t>
            </w:r>
          </w:p>
        </w:tc>
        <w:tc>
          <w:tcPr>
            <w:tcW w:w="0" w:type="auto"/>
          </w:tcPr>
          <w:p w14:paraId="1210799E"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TJK</w:t>
            </w:r>
          </w:p>
        </w:tc>
        <w:tc>
          <w:tcPr>
            <w:tcW w:w="0" w:type="auto"/>
          </w:tcPr>
          <w:p w14:paraId="1D1665B0"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UKR</w:t>
            </w:r>
          </w:p>
        </w:tc>
        <w:tc>
          <w:tcPr>
            <w:tcW w:w="0" w:type="auto"/>
            <w:shd w:val="clear" w:color="auto" w:fill="DBE5F1" w:themeFill="accent1" w:themeFillTint="33"/>
            <w:hideMark/>
          </w:tcPr>
          <w:p w14:paraId="7F47C8C1"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szCs w:val="18"/>
                <w:lang w:val="en-GB"/>
              </w:rPr>
            </w:pPr>
            <w:r w:rsidRPr="00252AC4">
              <w:rPr>
                <w:b/>
                <w:szCs w:val="18"/>
                <w:lang w:val="en-GB"/>
              </w:rPr>
              <w:t>Eurasia</w:t>
            </w:r>
          </w:p>
        </w:tc>
        <w:tc>
          <w:tcPr>
            <w:tcW w:w="0" w:type="auto"/>
          </w:tcPr>
          <w:p w14:paraId="7FEDA0AD"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szCs w:val="18"/>
                <w:lang w:val="en-GB"/>
              </w:rPr>
            </w:pPr>
            <w:r w:rsidRPr="00252AC4">
              <w:rPr>
                <w:szCs w:val="18"/>
                <w:lang w:val="en-GB"/>
              </w:rPr>
              <w:t>OECD</w:t>
            </w:r>
          </w:p>
        </w:tc>
        <w:tc>
          <w:tcPr>
            <w:tcW w:w="0" w:type="auto"/>
            <w:hideMark/>
          </w:tcPr>
          <w:p w14:paraId="5A3A03C2"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szCs w:val="18"/>
                <w:lang w:val="en-GB"/>
              </w:rPr>
            </w:pPr>
            <w:r w:rsidRPr="00252AC4">
              <w:rPr>
                <w:szCs w:val="18"/>
                <w:lang w:val="en-GB"/>
              </w:rPr>
              <w:t>MENA</w:t>
            </w:r>
          </w:p>
        </w:tc>
        <w:tc>
          <w:tcPr>
            <w:tcW w:w="0" w:type="auto"/>
            <w:hideMark/>
          </w:tcPr>
          <w:p w14:paraId="7EAF0D81"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szCs w:val="18"/>
                <w:lang w:val="en-GB"/>
              </w:rPr>
            </w:pPr>
            <w:r w:rsidRPr="00252AC4">
              <w:rPr>
                <w:szCs w:val="18"/>
                <w:lang w:val="en-GB"/>
              </w:rPr>
              <w:t>LAC</w:t>
            </w:r>
          </w:p>
        </w:tc>
      </w:tr>
      <w:tr w:rsidR="00FD42E7" w:rsidRPr="00252AC4" w14:paraId="3E657164"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8835C1" w14:textId="77777777" w:rsidR="00FD42E7" w:rsidRPr="00252AC4" w:rsidRDefault="00FD42E7" w:rsidP="00FD42E7">
            <w:pPr>
              <w:pStyle w:val="TableRow"/>
              <w:rPr>
                <w:sz w:val="18"/>
                <w:szCs w:val="18"/>
                <w:lang w:val="en-GB"/>
              </w:rPr>
            </w:pPr>
            <w:r w:rsidRPr="00252AC4">
              <w:rPr>
                <w:sz w:val="18"/>
                <w:szCs w:val="18"/>
                <w:lang w:val="en-GB"/>
              </w:rPr>
              <w:t xml:space="preserve">Potential to Diversify the Economy </w:t>
            </w:r>
          </w:p>
        </w:tc>
        <w:tc>
          <w:tcPr>
            <w:tcW w:w="0" w:type="auto"/>
            <w:vAlign w:val="center"/>
          </w:tcPr>
          <w:p w14:paraId="5282EF80"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42AD8C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ACBAEA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2F8EEE6"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52F1D57B"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2297A721"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2EF34F7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473D589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100%</w:t>
            </w:r>
          </w:p>
        </w:tc>
        <w:tc>
          <w:tcPr>
            <w:tcW w:w="0" w:type="auto"/>
            <w:vAlign w:val="center"/>
          </w:tcPr>
          <w:p w14:paraId="177C34B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58%</w:t>
            </w:r>
          </w:p>
        </w:tc>
        <w:tc>
          <w:tcPr>
            <w:tcW w:w="0" w:type="auto"/>
            <w:vAlign w:val="center"/>
            <w:hideMark/>
          </w:tcPr>
          <w:p w14:paraId="12FFB34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100%</w:t>
            </w:r>
          </w:p>
        </w:tc>
        <w:tc>
          <w:tcPr>
            <w:tcW w:w="0" w:type="auto"/>
            <w:vAlign w:val="center"/>
            <w:hideMark/>
          </w:tcPr>
          <w:p w14:paraId="768DF10D"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71%</w:t>
            </w:r>
          </w:p>
        </w:tc>
      </w:tr>
      <w:tr w:rsidR="00FD42E7" w:rsidRPr="00252AC4" w14:paraId="39349382"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BBD1EF" w14:textId="77777777" w:rsidR="00FD42E7" w:rsidRPr="00252AC4" w:rsidRDefault="00FD42E7" w:rsidP="00FD42E7">
            <w:pPr>
              <w:pStyle w:val="TableRow"/>
              <w:rPr>
                <w:sz w:val="18"/>
                <w:szCs w:val="18"/>
                <w:lang w:val="en-GB"/>
              </w:rPr>
            </w:pPr>
            <w:r w:rsidRPr="00252AC4">
              <w:rPr>
                <w:sz w:val="18"/>
                <w:szCs w:val="18"/>
                <w:lang w:val="en-GB"/>
              </w:rPr>
              <w:t>Regional development/agglomeration effects</w:t>
            </w:r>
          </w:p>
        </w:tc>
        <w:tc>
          <w:tcPr>
            <w:tcW w:w="0" w:type="auto"/>
            <w:vAlign w:val="center"/>
          </w:tcPr>
          <w:p w14:paraId="4471980A"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p>
        </w:tc>
        <w:tc>
          <w:tcPr>
            <w:tcW w:w="0" w:type="auto"/>
            <w:vAlign w:val="center"/>
          </w:tcPr>
          <w:p w14:paraId="54E285C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vAlign w:val="center"/>
          </w:tcPr>
          <w:p w14:paraId="113334C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vAlign w:val="center"/>
          </w:tcPr>
          <w:p w14:paraId="747D92E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vAlign w:val="center"/>
          </w:tcPr>
          <w:p w14:paraId="107ABB5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vAlign w:val="center"/>
          </w:tcPr>
          <w:p w14:paraId="4F7183E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vAlign w:val="center"/>
          </w:tcPr>
          <w:p w14:paraId="50DEB89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color w:val="7030A0"/>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tcPr>
          <w:p w14:paraId="0B5D74F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86%</w:t>
            </w:r>
          </w:p>
        </w:tc>
        <w:tc>
          <w:tcPr>
            <w:tcW w:w="0" w:type="auto"/>
            <w:vAlign w:val="center"/>
          </w:tcPr>
          <w:p w14:paraId="1B5D1354"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48%</w:t>
            </w:r>
          </w:p>
        </w:tc>
        <w:tc>
          <w:tcPr>
            <w:tcW w:w="0" w:type="auto"/>
            <w:vAlign w:val="center"/>
          </w:tcPr>
          <w:p w14:paraId="5CBB510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89%</w:t>
            </w:r>
          </w:p>
        </w:tc>
        <w:tc>
          <w:tcPr>
            <w:tcW w:w="0" w:type="auto"/>
            <w:vAlign w:val="center"/>
          </w:tcPr>
          <w:p w14:paraId="19219A99"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41%</w:t>
            </w:r>
          </w:p>
        </w:tc>
      </w:tr>
      <w:tr w:rsidR="00FD42E7" w:rsidRPr="00252AC4" w14:paraId="4138317A"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0BB759" w14:textId="77777777" w:rsidR="00FD42E7" w:rsidRPr="00252AC4" w:rsidRDefault="00FD42E7" w:rsidP="00FD42E7">
            <w:pPr>
              <w:pStyle w:val="TableRow"/>
              <w:rPr>
                <w:sz w:val="18"/>
                <w:szCs w:val="18"/>
                <w:lang w:val="en-GB"/>
              </w:rPr>
            </w:pPr>
            <w:r w:rsidRPr="00252AC4">
              <w:rPr>
                <w:sz w:val="18"/>
                <w:szCs w:val="18"/>
                <w:lang w:val="en-GB"/>
              </w:rPr>
              <w:t>Strong domestic capacity</w:t>
            </w:r>
          </w:p>
        </w:tc>
        <w:tc>
          <w:tcPr>
            <w:tcW w:w="0" w:type="auto"/>
            <w:vAlign w:val="center"/>
          </w:tcPr>
          <w:p w14:paraId="298591FF"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43EB41D"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7490732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49EAF5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36B915A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57FEC2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7944BA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1F26D5EE"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86%</w:t>
            </w:r>
          </w:p>
        </w:tc>
        <w:tc>
          <w:tcPr>
            <w:tcW w:w="0" w:type="auto"/>
            <w:vAlign w:val="center"/>
          </w:tcPr>
          <w:p w14:paraId="2FE9CEE6"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64%</w:t>
            </w:r>
          </w:p>
        </w:tc>
        <w:tc>
          <w:tcPr>
            <w:tcW w:w="0" w:type="auto"/>
            <w:vAlign w:val="center"/>
            <w:hideMark/>
          </w:tcPr>
          <w:p w14:paraId="37B3135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67%</w:t>
            </w:r>
          </w:p>
        </w:tc>
        <w:tc>
          <w:tcPr>
            <w:tcW w:w="0" w:type="auto"/>
            <w:vAlign w:val="center"/>
            <w:hideMark/>
          </w:tcPr>
          <w:p w14:paraId="6BF8C20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53%</w:t>
            </w:r>
          </w:p>
        </w:tc>
      </w:tr>
      <w:tr w:rsidR="00FD42E7" w:rsidRPr="00252AC4" w14:paraId="6E07BC2B"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CEF24F" w14:textId="77777777" w:rsidR="00FD42E7" w:rsidRPr="00252AC4" w:rsidRDefault="00FD42E7" w:rsidP="00FD42E7">
            <w:pPr>
              <w:pStyle w:val="TableRow"/>
              <w:rPr>
                <w:sz w:val="18"/>
                <w:szCs w:val="18"/>
                <w:lang w:val="en-GB"/>
              </w:rPr>
            </w:pPr>
            <w:r w:rsidRPr="00252AC4">
              <w:rPr>
                <w:sz w:val="18"/>
                <w:szCs w:val="18"/>
                <w:lang w:val="en-GB"/>
              </w:rPr>
              <w:t>Competitive position vis-a-vis other countries</w:t>
            </w:r>
          </w:p>
        </w:tc>
        <w:tc>
          <w:tcPr>
            <w:tcW w:w="0" w:type="auto"/>
            <w:vAlign w:val="center"/>
          </w:tcPr>
          <w:p w14:paraId="55328422"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E03F87A"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96017E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68263AC"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5336740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B0E39BC"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1BC9D18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287878D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86%</w:t>
            </w:r>
          </w:p>
        </w:tc>
        <w:tc>
          <w:tcPr>
            <w:tcW w:w="0" w:type="auto"/>
            <w:vAlign w:val="center"/>
          </w:tcPr>
          <w:p w14:paraId="30C1BF6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58%</w:t>
            </w:r>
          </w:p>
        </w:tc>
        <w:tc>
          <w:tcPr>
            <w:tcW w:w="0" w:type="auto"/>
            <w:vAlign w:val="center"/>
            <w:hideMark/>
          </w:tcPr>
          <w:p w14:paraId="13D8BBB2"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89%</w:t>
            </w:r>
          </w:p>
        </w:tc>
        <w:tc>
          <w:tcPr>
            <w:tcW w:w="0" w:type="auto"/>
            <w:vAlign w:val="center"/>
            <w:hideMark/>
          </w:tcPr>
          <w:p w14:paraId="7CA5570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35%</w:t>
            </w:r>
          </w:p>
        </w:tc>
      </w:tr>
      <w:tr w:rsidR="00FD42E7" w:rsidRPr="00252AC4" w14:paraId="2B053147"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CAB2BC" w14:textId="77777777" w:rsidR="00FD42E7" w:rsidRPr="00252AC4" w:rsidRDefault="00FD42E7" w:rsidP="00FD42E7">
            <w:pPr>
              <w:pStyle w:val="TableRow"/>
              <w:rPr>
                <w:sz w:val="18"/>
                <w:szCs w:val="18"/>
                <w:lang w:val="en-GB"/>
              </w:rPr>
            </w:pPr>
            <w:r w:rsidRPr="00252AC4">
              <w:rPr>
                <w:sz w:val="18"/>
                <w:szCs w:val="18"/>
                <w:lang w:val="en-GB"/>
              </w:rPr>
              <w:t>Strong global demand</w:t>
            </w:r>
          </w:p>
        </w:tc>
        <w:tc>
          <w:tcPr>
            <w:tcW w:w="0" w:type="auto"/>
            <w:vAlign w:val="center"/>
          </w:tcPr>
          <w:p w14:paraId="3037AC8A"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2E3069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3A80D49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7B68FA8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560CE9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6DE12DF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2AD841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05B26B0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71%</w:t>
            </w:r>
          </w:p>
        </w:tc>
        <w:tc>
          <w:tcPr>
            <w:tcW w:w="0" w:type="auto"/>
            <w:vAlign w:val="center"/>
          </w:tcPr>
          <w:p w14:paraId="28C00C2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48%</w:t>
            </w:r>
          </w:p>
        </w:tc>
        <w:tc>
          <w:tcPr>
            <w:tcW w:w="0" w:type="auto"/>
            <w:vAlign w:val="center"/>
            <w:hideMark/>
          </w:tcPr>
          <w:p w14:paraId="6A9F51F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78%</w:t>
            </w:r>
          </w:p>
        </w:tc>
        <w:tc>
          <w:tcPr>
            <w:tcW w:w="0" w:type="auto"/>
            <w:vAlign w:val="center"/>
            <w:hideMark/>
          </w:tcPr>
          <w:p w14:paraId="7D185F1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35%</w:t>
            </w:r>
          </w:p>
        </w:tc>
      </w:tr>
      <w:tr w:rsidR="00FD42E7" w:rsidRPr="00252AC4" w14:paraId="4690B6FF"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40398D" w14:textId="77777777" w:rsidR="00FD42E7" w:rsidRPr="00252AC4" w:rsidRDefault="00FD42E7" w:rsidP="00FD42E7">
            <w:pPr>
              <w:pStyle w:val="TableRow"/>
              <w:rPr>
                <w:sz w:val="18"/>
                <w:szCs w:val="18"/>
                <w:lang w:val="en-GB"/>
              </w:rPr>
            </w:pPr>
            <w:r w:rsidRPr="00252AC4">
              <w:rPr>
                <w:sz w:val="18"/>
                <w:szCs w:val="18"/>
                <w:lang w:val="en-GB"/>
              </w:rPr>
              <w:t>Impact on employment and/or working conditions</w:t>
            </w:r>
          </w:p>
        </w:tc>
        <w:tc>
          <w:tcPr>
            <w:tcW w:w="0" w:type="auto"/>
            <w:vAlign w:val="center"/>
          </w:tcPr>
          <w:p w14:paraId="17EC980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A9070F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24BDE0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391D6E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3CEF7C9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4A8BB11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C16232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284ED6C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71%</w:t>
            </w:r>
          </w:p>
        </w:tc>
        <w:tc>
          <w:tcPr>
            <w:tcW w:w="0" w:type="auto"/>
            <w:vAlign w:val="center"/>
          </w:tcPr>
          <w:p w14:paraId="73913FE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55%</w:t>
            </w:r>
          </w:p>
        </w:tc>
        <w:tc>
          <w:tcPr>
            <w:tcW w:w="0" w:type="auto"/>
            <w:vAlign w:val="center"/>
            <w:hideMark/>
          </w:tcPr>
          <w:p w14:paraId="264DEEB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78%</w:t>
            </w:r>
          </w:p>
        </w:tc>
        <w:tc>
          <w:tcPr>
            <w:tcW w:w="0" w:type="auto"/>
            <w:vAlign w:val="center"/>
            <w:hideMark/>
          </w:tcPr>
          <w:p w14:paraId="16CCB6E2"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71%</w:t>
            </w:r>
          </w:p>
        </w:tc>
      </w:tr>
      <w:tr w:rsidR="00FD42E7" w:rsidRPr="00252AC4" w14:paraId="0927B35D"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C925A3" w14:textId="77777777" w:rsidR="00FD42E7" w:rsidRPr="00252AC4" w:rsidRDefault="00FD42E7" w:rsidP="00FD42E7">
            <w:pPr>
              <w:pStyle w:val="TableRow"/>
              <w:rPr>
                <w:sz w:val="18"/>
                <w:szCs w:val="18"/>
                <w:lang w:val="en-GB"/>
              </w:rPr>
            </w:pPr>
            <w:r w:rsidRPr="00252AC4">
              <w:rPr>
                <w:sz w:val="18"/>
                <w:szCs w:val="18"/>
                <w:lang w:val="en-GB"/>
              </w:rPr>
              <w:t>Green investment</w:t>
            </w:r>
          </w:p>
        </w:tc>
        <w:tc>
          <w:tcPr>
            <w:tcW w:w="0" w:type="auto"/>
            <w:vAlign w:val="center"/>
          </w:tcPr>
          <w:p w14:paraId="17B59F41"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2DAB4D91"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1FCB7C0F"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5C6310C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5F86BCFD"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F0D1FEF"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58EEE7D"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1760030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57%</w:t>
            </w:r>
          </w:p>
        </w:tc>
        <w:tc>
          <w:tcPr>
            <w:tcW w:w="0" w:type="auto"/>
            <w:vAlign w:val="center"/>
          </w:tcPr>
          <w:p w14:paraId="5960362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27%</w:t>
            </w:r>
          </w:p>
        </w:tc>
        <w:tc>
          <w:tcPr>
            <w:tcW w:w="0" w:type="auto"/>
            <w:vAlign w:val="center"/>
            <w:hideMark/>
          </w:tcPr>
          <w:p w14:paraId="5B0A2226"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89%</w:t>
            </w:r>
          </w:p>
        </w:tc>
        <w:tc>
          <w:tcPr>
            <w:tcW w:w="0" w:type="auto"/>
            <w:vAlign w:val="center"/>
            <w:hideMark/>
          </w:tcPr>
          <w:p w14:paraId="2ECCFD8C"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0%</w:t>
            </w:r>
          </w:p>
        </w:tc>
      </w:tr>
      <w:tr w:rsidR="00FD42E7" w:rsidRPr="00252AC4" w14:paraId="6310CB15"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189F8C" w14:textId="77777777" w:rsidR="00FD42E7" w:rsidRPr="00252AC4" w:rsidRDefault="00FD42E7" w:rsidP="00FD42E7">
            <w:pPr>
              <w:pStyle w:val="TableRow"/>
              <w:rPr>
                <w:sz w:val="18"/>
                <w:szCs w:val="18"/>
                <w:lang w:val="en-GB"/>
              </w:rPr>
            </w:pPr>
            <w:r w:rsidRPr="00252AC4">
              <w:rPr>
                <w:sz w:val="18"/>
                <w:szCs w:val="18"/>
                <w:lang w:val="en-GB"/>
              </w:rPr>
              <w:t>Importance/strong links to the rest of the economy</w:t>
            </w:r>
          </w:p>
        </w:tc>
        <w:tc>
          <w:tcPr>
            <w:tcW w:w="0" w:type="auto"/>
            <w:vAlign w:val="center"/>
          </w:tcPr>
          <w:p w14:paraId="72AD9081"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78D8C1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5C451A1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6205B65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10323D32"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7262631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380E8A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4369895C"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57%</w:t>
            </w:r>
          </w:p>
        </w:tc>
        <w:tc>
          <w:tcPr>
            <w:tcW w:w="0" w:type="auto"/>
            <w:vAlign w:val="center"/>
          </w:tcPr>
          <w:p w14:paraId="42C76796"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48%</w:t>
            </w:r>
          </w:p>
        </w:tc>
        <w:tc>
          <w:tcPr>
            <w:tcW w:w="0" w:type="auto"/>
            <w:vAlign w:val="center"/>
            <w:hideMark/>
          </w:tcPr>
          <w:p w14:paraId="76DDC52C"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78%</w:t>
            </w:r>
          </w:p>
        </w:tc>
        <w:tc>
          <w:tcPr>
            <w:tcW w:w="0" w:type="auto"/>
            <w:vAlign w:val="center"/>
            <w:hideMark/>
          </w:tcPr>
          <w:p w14:paraId="34E22777"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65%</w:t>
            </w:r>
          </w:p>
        </w:tc>
      </w:tr>
      <w:tr w:rsidR="00FD42E7" w:rsidRPr="00252AC4" w14:paraId="6C3DEF89"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4BD014" w14:textId="77777777" w:rsidR="00FD42E7" w:rsidRPr="00252AC4" w:rsidRDefault="00FD42E7" w:rsidP="00FD42E7">
            <w:pPr>
              <w:pStyle w:val="TableRow"/>
              <w:rPr>
                <w:sz w:val="18"/>
                <w:szCs w:val="18"/>
                <w:lang w:val="en-GB"/>
              </w:rPr>
            </w:pPr>
            <w:r w:rsidRPr="00252AC4">
              <w:rPr>
                <w:sz w:val="18"/>
                <w:szCs w:val="18"/>
                <w:lang w:val="en-GB"/>
              </w:rPr>
              <w:t>Impact on environment or climate change</w:t>
            </w:r>
          </w:p>
        </w:tc>
        <w:tc>
          <w:tcPr>
            <w:tcW w:w="0" w:type="auto"/>
            <w:vAlign w:val="center"/>
          </w:tcPr>
          <w:p w14:paraId="757A54DF"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7116E56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166B539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2E72CA7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04CDB4FD"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62A4F027"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6C9DE261"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000297C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43%</w:t>
            </w:r>
          </w:p>
        </w:tc>
        <w:tc>
          <w:tcPr>
            <w:tcW w:w="0" w:type="auto"/>
            <w:vAlign w:val="center"/>
          </w:tcPr>
          <w:p w14:paraId="7E848BF8"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21%</w:t>
            </w:r>
          </w:p>
        </w:tc>
        <w:tc>
          <w:tcPr>
            <w:tcW w:w="0" w:type="auto"/>
            <w:vAlign w:val="center"/>
            <w:hideMark/>
          </w:tcPr>
          <w:p w14:paraId="3DFAA68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c>
          <w:tcPr>
            <w:tcW w:w="0" w:type="auto"/>
            <w:vAlign w:val="center"/>
            <w:hideMark/>
          </w:tcPr>
          <w:p w14:paraId="53D34D01"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24%</w:t>
            </w:r>
          </w:p>
        </w:tc>
      </w:tr>
      <w:tr w:rsidR="00FD42E7" w:rsidRPr="00252AC4" w14:paraId="2A9EB126"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1B423F" w14:textId="77777777" w:rsidR="00FD42E7" w:rsidRPr="00252AC4" w:rsidRDefault="00FD42E7" w:rsidP="00FD42E7">
            <w:pPr>
              <w:pStyle w:val="TableRow"/>
              <w:rPr>
                <w:sz w:val="18"/>
                <w:szCs w:val="18"/>
                <w:lang w:val="en-GB"/>
              </w:rPr>
            </w:pPr>
            <w:r w:rsidRPr="00252AC4">
              <w:rPr>
                <w:sz w:val="18"/>
                <w:szCs w:val="18"/>
                <w:lang w:val="en-GB"/>
              </w:rPr>
              <w:t>Existence of market failure</w:t>
            </w:r>
          </w:p>
        </w:tc>
        <w:tc>
          <w:tcPr>
            <w:tcW w:w="0" w:type="auto"/>
            <w:vAlign w:val="center"/>
          </w:tcPr>
          <w:p w14:paraId="73C93EE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0A7E2F5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25EA917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32DA736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018AA1C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3E6CCA7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sz w:val="12"/>
                <w:szCs w:val="12"/>
                <w:lang w:val="en-GB"/>
              </w:rPr>
            </w:pPr>
          </w:p>
        </w:tc>
        <w:tc>
          <w:tcPr>
            <w:tcW w:w="0" w:type="auto"/>
            <w:vAlign w:val="center"/>
          </w:tcPr>
          <w:p w14:paraId="6EA1525C"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3DE1922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29%</w:t>
            </w:r>
          </w:p>
        </w:tc>
        <w:tc>
          <w:tcPr>
            <w:tcW w:w="0" w:type="auto"/>
            <w:vAlign w:val="center"/>
          </w:tcPr>
          <w:p w14:paraId="11AFB576"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21%</w:t>
            </w:r>
          </w:p>
        </w:tc>
        <w:tc>
          <w:tcPr>
            <w:tcW w:w="0" w:type="auto"/>
            <w:vAlign w:val="center"/>
            <w:hideMark/>
          </w:tcPr>
          <w:p w14:paraId="1CD12F8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44%</w:t>
            </w:r>
          </w:p>
        </w:tc>
        <w:tc>
          <w:tcPr>
            <w:tcW w:w="0" w:type="auto"/>
            <w:vAlign w:val="center"/>
            <w:hideMark/>
          </w:tcPr>
          <w:p w14:paraId="201A439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6%</w:t>
            </w:r>
          </w:p>
        </w:tc>
      </w:tr>
      <w:tr w:rsidR="00FD42E7" w:rsidRPr="00252AC4" w14:paraId="3E68DDA6"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FEBD5F" w14:textId="77777777" w:rsidR="00FD42E7" w:rsidRPr="00252AC4" w:rsidRDefault="00FD42E7" w:rsidP="00FD42E7">
            <w:pPr>
              <w:pStyle w:val="TableRow"/>
              <w:rPr>
                <w:sz w:val="18"/>
                <w:szCs w:val="18"/>
                <w:lang w:val="en-GB"/>
              </w:rPr>
            </w:pPr>
            <w:r w:rsidRPr="00252AC4">
              <w:rPr>
                <w:sz w:val="18"/>
                <w:szCs w:val="18"/>
                <w:lang w:val="en-GB"/>
              </w:rPr>
              <w:t>Investors record on RBC</w:t>
            </w:r>
          </w:p>
        </w:tc>
        <w:tc>
          <w:tcPr>
            <w:tcW w:w="0" w:type="auto"/>
            <w:vAlign w:val="center"/>
          </w:tcPr>
          <w:p w14:paraId="5BB3B2B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17DAE73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43E5550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r w:rsidRPr="00252AC4">
              <w:rPr>
                <w:b/>
                <w:color w:val="7030A0"/>
                <w:sz w:val="12"/>
                <w:szCs w:val="12"/>
                <w:lang w:val="en-GB"/>
              </w:rPr>
              <w:sym w:font="Wingdings" w:char="F0FC"/>
            </w:r>
          </w:p>
        </w:tc>
        <w:tc>
          <w:tcPr>
            <w:tcW w:w="0" w:type="auto"/>
            <w:vAlign w:val="center"/>
          </w:tcPr>
          <w:p w14:paraId="4FFB561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78228FD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60F4082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vAlign w:val="center"/>
          </w:tcPr>
          <w:p w14:paraId="0CE8FE02"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b/>
                <w:sz w:val="12"/>
                <w:szCs w:val="12"/>
                <w:lang w:val="en-GB"/>
              </w:rPr>
            </w:pPr>
          </w:p>
        </w:tc>
        <w:tc>
          <w:tcPr>
            <w:tcW w:w="0" w:type="auto"/>
            <w:shd w:val="clear" w:color="auto" w:fill="DBE5F1" w:themeFill="accent1" w:themeFillTint="33"/>
            <w:vAlign w:val="center"/>
            <w:hideMark/>
          </w:tcPr>
          <w:p w14:paraId="61655DA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14%</w:t>
            </w:r>
          </w:p>
        </w:tc>
        <w:tc>
          <w:tcPr>
            <w:tcW w:w="0" w:type="auto"/>
            <w:vAlign w:val="center"/>
          </w:tcPr>
          <w:p w14:paraId="08C6C216"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0%</w:t>
            </w:r>
          </w:p>
        </w:tc>
        <w:tc>
          <w:tcPr>
            <w:tcW w:w="0" w:type="auto"/>
            <w:vAlign w:val="center"/>
            <w:hideMark/>
          </w:tcPr>
          <w:p w14:paraId="4C10877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11%</w:t>
            </w:r>
          </w:p>
        </w:tc>
        <w:tc>
          <w:tcPr>
            <w:tcW w:w="0" w:type="auto"/>
            <w:vAlign w:val="center"/>
            <w:hideMark/>
          </w:tcPr>
          <w:p w14:paraId="312A4A1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0%</w:t>
            </w:r>
          </w:p>
        </w:tc>
      </w:tr>
    </w:tbl>
    <w:p w14:paraId="580BF0DC" w14:textId="3992C7A7" w:rsidR="00FD42E7" w:rsidRPr="00252AC4" w:rsidRDefault="00FD42E7" w:rsidP="00FD42E7">
      <w:pPr>
        <w:pStyle w:val="Sourcenotes"/>
      </w:pPr>
      <w:r w:rsidRPr="00252AC4">
        <w:t xml:space="preserve">Source: </w:t>
      </w:r>
      <w:r w:rsidR="002D0432" w:rsidRPr="00252AC4">
        <w:t>OECD-IDB Survey of Inves</w:t>
      </w:r>
      <w:r w:rsidR="00C21B57" w:rsidRPr="00252AC4">
        <w:t>tment Promotion Agencies (2020)</w:t>
      </w:r>
    </w:p>
    <w:p w14:paraId="5D2413AB" w14:textId="6E7A7032" w:rsidR="00FD42E7" w:rsidRDefault="00FD42E7" w:rsidP="00FD42E7">
      <w:pPr>
        <w:pStyle w:val="Para0"/>
        <w:rPr>
          <w:noProof/>
          <w:lang w:eastAsia="en-GB"/>
        </w:rPr>
      </w:pPr>
      <w:r w:rsidRPr="00252AC4">
        <w:rPr>
          <w:noProof/>
          <w:lang w:eastAsia="en-GB"/>
        </w:rPr>
        <w:t xml:space="preserve">Eurasia IPAs </w:t>
      </w:r>
      <w:r w:rsidR="00857A8E" w:rsidRPr="00252AC4">
        <w:rPr>
          <w:noProof/>
          <w:lang w:eastAsia="en-GB"/>
        </w:rPr>
        <w:t>also use</w:t>
      </w:r>
      <w:r w:rsidRPr="00252AC4">
        <w:rPr>
          <w:noProof/>
          <w:lang w:eastAsia="en-GB"/>
        </w:rPr>
        <w:t xml:space="preserve"> a broad set of criteria </w:t>
      </w:r>
      <w:r w:rsidR="00857A8E" w:rsidRPr="00252AC4">
        <w:rPr>
          <w:noProof/>
          <w:lang w:eastAsia="en-GB"/>
        </w:rPr>
        <w:t>to prioritise</w:t>
      </w:r>
      <w:r w:rsidRPr="00252AC4">
        <w:rPr>
          <w:noProof/>
          <w:lang w:eastAsia="en-GB"/>
        </w:rPr>
        <w:t xml:space="preserve"> investment projects</w:t>
      </w:r>
      <w:r w:rsidR="00857A8E" w:rsidRPr="00252AC4">
        <w:rPr>
          <w:noProof/>
          <w:lang w:eastAsia="en-GB"/>
        </w:rPr>
        <w:t>.</w:t>
      </w:r>
      <w:r w:rsidRPr="00252AC4">
        <w:rPr>
          <w:noProof/>
          <w:lang w:eastAsia="en-GB"/>
        </w:rPr>
        <w:t xml:space="preserve"> </w:t>
      </w:r>
      <w:r w:rsidR="007C58CB" w:rsidRPr="00252AC4">
        <w:rPr>
          <w:noProof/>
          <w:lang w:eastAsia="en-GB"/>
        </w:rPr>
        <w:t>Sector priorities</w:t>
      </w:r>
      <w:r w:rsidRPr="00252AC4">
        <w:rPr>
          <w:noProof/>
          <w:lang w:eastAsia="en-GB"/>
        </w:rPr>
        <w:t>, impact on job creation, impact on exports, sustainability and size of investment</w:t>
      </w:r>
      <w:r w:rsidR="00857A8E" w:rsidRPr="00252AC4">
        <w:rPr>
          <w:noProof/>
          <w:lang w:eastAsia="en-GB"/>
        </w:rPr>
        <w:t xml:space="preserve"> are their top five criteria</w:t>
      </w:r>
      <w:r w:rsidRPr="00252AC4">
        <w:rPr>
          <w:noProof/>
          <w:lang w:eastAsia="en-GB"/>
        </w:rPr>
        <w:t xml:space="preserve"> (</w:t>
      </w:r>
      <w:r w:rsidRPr="00252AC4">
        <w:rPr>
          <w:noProof/>
          <w:lang w:eastAsia="en-GB"/>
        </w:rPr>
        <w:fldChar w:fldCharType="begin"/>
      </w:r>
      <w:r w:rsidRPr="00252AC4">
        <w:rPr>
          <w:noProof/>
          <w:lang w:eastAsia="en-GB"/>
        </w:rPr>
        <w:instrText xml:space="preserve"> REF _Ref30593177 \h </w:instrText>
      </w:r>
      <w:r w:rsidRPr="00252AC4">
        <w:rPr>
          <w:noProof/>
          <w:lang w:eastAsia="en-GB"/>
        </w:rPr>
      </w:r>
      <w:r w:rsidRPr="00252AC4">
        <w:rPr>
          <w:noProof/>
          <w:lang w:eastAsia="en-GB"/>
        </w:rPr>
        <w:fldChar w:fldCharType="separate"/>
      </w:r>
      <w:r w:rsidR="008914FE" w:rsidRPr="00252AC4">
        <w:t>Table </w:t>
      </w:r>
      <w:r w:rsidR="008914FE">
        <w:rPr>
          <w:noProof/>
        </w:rPr>
        <w:t>2</w:t>
      </w:r>
      <w:r w:rsidR="008914FE" w:rsidRPr="00252AC4">
        <w:t>.</w:t>
      </w:r>
      <w:r w:rsidR="008914FE">
        <w:rPr>
          <w:noProof/>
        </w:rPr>
        <w:t>6</w:t>
      </w:r>
      <w:r w:rsidRPr="00252AC4">
        <w:rPr>
          <w:noProof/>
          <w:lang w:eastAsia="en-GB"/>
        </w:rPr>
        <w:fldChar w:fldCharType="end"/>
      </w:r>
      <w:r w:rsidRPr="00252AC4">
        <w:rPr>
          <w:noProof/>
          <w:lang w:eastAsia="en-GB"/>
        </w:rPr>
        <w:t>). Impact on innovation and R&amp;D, regional development and country’s image (all 86%) are also cited by the majority of IPAs. Overall, these criteria appear broadly consis</w:t>
      </w:r>
      <w:r w:rsidR="00857A8E" w:rsidRPr="00252AC4">
        <w:rPr>
          <w:noProof/>
          <w:lang w:eastAsia="en-GB"/>
        </w:rPr>
        <w:t>tent with the crit</w:t>
      </w:r>
      <w:r w:rsidRPr="00252AC4">
        <w:rPr>
          <w:noProof/>
          <w:lang w:eastAsia="en-GB"/>
        </w:rPr>
        <w:t>eria used to target sectors</w:t>
      </w:r>
      <w:r w:rsidR="00857A8E" w:rsidRPr="00252AC4">
        <w:rPr>
          <w:noProof/>
          <w:lang w:eastAsia="en-GB"/>
        </w:rPr>
        <w:t>, for example in the area of employement creation</w:t>
      </w:r>
      <w:r w:rsidRPr="00252AC4">
        <w:rPr>
          <w:noProof/>
          <w:lang w:eastAsia="en-GB"/>
        </w:rPr>
        <w:t xml:space="preserve">. </w:t>
      </w:r>
      <w:r w:rsidR="00857A8E" w:rsidRPr="00252AC4">
        <w:rPr>
          <w:noProof/>
          <w:lang w:eastAsia="en-GB"/>
        </w:rPr>
        <w:t>In some</w:t>
      </w:r>
      <w:r w:rsidRPr="00252AC4">
        <w:rPr>
          <w:noProof/>
          <w:lang w:eastAsia="en-GB"/>
        </w:rPr>
        <w:t xml:space="preserve"> areas</w:t>
      </w:r>
      <w:r w:rsidR="00857A8E" w:rsidRPr="00252AC4">
        <w:rPr>
          <w:noProof/>
          <w:lang w:eastAsia="en-GB"/>
        </w:rPr>
        <w:t>,</w:t>
      </w:r>
      <w:r w:rsidRPr="00252AC4">
        <w:rPr>
          <w:noProof/>
          <w:lang w:eastAsia="en-GB"/>
        </w:rPr>
        <w:t xml:space="preserve"> the alignment is less clear. For example, </w:t>
      </w:r>
      <w:r w:rsidR="00857A8E" w:rsidRPr="00252AC4">
        <w:rPr>
          <w:noProof/>
          <w:lang w:eastAsia="en-GB"/>
        </w:rPr>
        <w:t xml:space="preserve">while few IPAs consider green investment, </w:t>
      </w:r>
      <w:r w:rsidRPr="00252AC4">
        <w:rPr>
          <w:noProof/>
          <w:lang w:eastAsia="en-GB"/>
        </w:rPr>
        <w:t xml:space="preserve">impact on environment </w:t>
      </w:r>
      <w:r w:rsidR="00857A8E" w:rsidRPr="00252AC4">
        <w:rPr>
          <w:noProof/>
          <w:lang w:eastAsia="en-GB"/>
        </w:rPr>
        <w:t>and</w:t>
      </w:r>
      <w:r w:rsidRPr="00252AC4">
        <w:rPr>
          <w:noProof/>
          <w:lang w:eastAsia="en-GB"/>
        </w:rPr>
        <w:t xml:space="preserve"> climate change </w:t>
      </w:r>
      <w:r w:rsidR="00857A8E" w:rsidRPr="00252AC4">
        <w:rPr>
          <w:noProof/>
          <w:lang w:eastAsia="en-GB"/>
        </w:rPr>
        <w:t>as sector prioritisation criteria</w:t>
      </w:r>
      <w:r w:rsidRPr="00252AC4">
        <w:rPr>
          <w:noProof/>
          <w:lang w:eastAsia="en-GB"/>
        </w:rPr>
        <w:t xml:space="preserve">, all IPAs </w:t>
      </w:r>
      <w:r w:rsidR="007C58CB" w:rsidRPr="00252AC4">
        <w:rPr>
          <w:noProof/>
          <w:lang w:eastAsia="en-GB"/>
        </w:rPr>
        <w:t xml:space="preserve">report </w:t>
      </w:r>
      <w:r w:rsidRPr="00252AC4">
        <w:rPr>
          <w:noProof/>
          <w:lang w:eastAsia="en-GB"/>
        </w:rPr>
        <w:t>consider</w:t>
      </w:r>
      <w:r w:rsidR="007C58CB" w:rsidRPr="00252AC4">
        <w:rPr>
          <w:noProof/>
          <w:lang w:eastAsia="en-GB"/>
        </w:rPr>
        <w:t>ing</w:t>
      </w:r>
      <w:r w:rsidRPr="00252AC4">
        <w:rPr>
          <w:noProof/>
          <w:lang w:eastAsia="en-GB"/>
        </w:rPr>
        <w:t xml:space="preserve"> sustainability aspects </w:t>
      </w:r>
      <w:r w:rsidR="00857A8E" w:rsidRPr="00252AC4">
        <w:rPr>
          <w:noProof/>
          <w:lang w:eastAsia="en-GB"/>
        </w:rPr>
        <w:t>when prioritising</w:t>
      </w:r>
      <w:r w:rsidRPr="00252AC4">
        <w:rPr>
          <w:noProof/>
          <w:lang w:eastAsia="en-GB"/>
        </w:rPr>
        <w:t xml:space="preserve"> investment projects.</w:t>
      </w:r>
    </w:p>
    <w:p w14:paraId="32F3E03E" w14:textId="7C6DD9BC" w:rsidR="00D5763A" w:rsidRPr="00252AC4" w:rsidRDefault="00D5763A" w:rsidP="00FD42E7">
      <w:pPr>
        <w:pStyle w:val="Para0"/>
        <w:rPr>
          <w:noProof/>
          <w:lang w:eastAsia="en-GB"/>
        </w:rPr>
      </w:pPr>
      <w:r>
        <w:rPr>
          <w:noProof/>
          <w:lang w:eastAsia="en-GB"/>
        </w:rPr>
        <w:t xml:space="preserve">The COVID-19 crisis is likely to have an impact on </w:t>
      </w:r>
      <w:r w:rsidR="00FA58D7">
        <w:rPr>
          <w:noProof/>
          <w:lang w:eastAsia="en-GB"/>
        </w:rPr>
        <w:t>criteria driving IPA</w:t>
      </w:r>
      <w:r w:rsidR="00720180">
        <w:rPr>
          <w:noProof/>
          <w:lang w:eastAsia="en-GB"/>
        </w:rPr>
        <w:t>s’s selection</w:t>
      </w:r>
      <w:r w:rsidR="00FA58D7">
        <w:rPr>
          <w:noProof/>
          <w:lang w:eastAsia="en-GB"/>
        </w:rPr>
        <w:t xml:space="preserve"> of target sectors and projects</w:t>
      </w:r>
      <w:r>
        <w:rPr>
          <w:noProof/>
          <w:lang w:eastAsia="en-GB"/>
        </w:rPr>
        <w:t>. The crisis is expe</w:t>
      </w:r>
      <w:r w:rsidR="00A078A0">
        <w:rPr>
          <w:noProof/>
          <w:lang w:eastAsia="en-GB"/>
        </w:rPr>
        <w:t>cted to have a major effect on Global Value C</w:t>
      </w:r>
      <w:r>
        <w:rPr>
          <w:noProof/>
          <w:lang w:eastAsia="en-GB"/>
        </w:rPr>
        <w:t>hains</w:t>
      </w:r>
      <w:r w:rsidR="00A078A0">
        <w:rPr>
          <w:noProof/>
          <w:lang w:eastAsia="en-GB"/>
        </w:rPr>
        <w:t xml:space="preserve"> (GVCs)</w:t>
      </w:r>
      <w:r>
        <w:rPr>
          <w:noProof/>
          <w:lang w:eastAsia="en-GB"/>
        </w:rPr>
        <w:t>, as it dramatically exposed their weaknesses, dependencies and bottlenecks</w:t>
      </w:r>
      <w:sdt>
        <w:sdtPr>
          <w:rPr>
            <w:noProof/>
            <w:lang w:eastAsia="en-GB"/>
          </w:rPr>
          <w:id w:val="1861156716"/>
          <w:citation/>
        </w:sdtPr>
        <w:sdtEndPr/>
        <w:sdtContent>
          <w:r>
            <w:rPr>
              <w:noProof/>
              <w:lang w:eastAsia="en-GB"/>
            </w:rPr>
            <w:fldChar w:fldCharType="begin"/>
          </w:r>
          <w:r w:rsidRPr="00A0417B">
            <w:rPr>
              <w:noProof/>
              <w:lang w:eastAsia="en-GB"/>
            </w:rPr>
            <w:instrText xml:space="preserve"> CITATION OEC20 \l 1036 </w:instrText>
          </w:r>
          <w:r>
            <w:rPr>
              <w:noProof/>
              <w:lang w:eastAsia="en-GB"/>
            </w:rPr>
            <w:fldChar w:fldCharType="separate"/>
          </w:r>
          <w:r w:rsidRPr="00A0417B">
            <w:rPr>
              <w:noProof/>
              <w:lang w:eastAsia="en-GB"/>
            </w:rPr>
            <w:t xml:space="preserve"> (OECD, 2020</w:t>
          </w:r>
          <w:r w:rsidRPr="00A0417B">
            <w:rPr>
              <w:noProof/>
              <w:vertAlign w:val="subscript"/>
              <w:lang w:eastAsia="en-GB"/>
            </w:rPr>
            <w:t>[5]</w:t>
          </w:r>
          <w:r w:rsidRPr="00A0417B">
            <w:rPr>
              <w:noProof/>
              <w:lang w:eastAsia="en-GB"/>
            </w:rPr>
            <w:t>)</w:t>
          </w:r>
          <w:r>
            <w:rPr>
              <w:noProof/>
              <w:lang w:eastAsia="en-GB"/>
            </w:rPr>
            <w:fldChar w:fldCharType="end"/>
          </w:r>
        </w:sdtContent>
      </w:sdt>
      <w:r>
        <w:rPr>
          <w:noProof/>
          <w:lang w:eastAsia="en-GB"/>
        </w:rPr>
        <w:t xml:space="preserve">. Some governments have already </w:t>
      </w:r>
      <w:r w:rsidR="00864CEC">
        <w:rPr>
          <w:noProof/>
          <w:lang w:eastAsia="en-GB"/>
        </w:rPr>
        <w:t xml:space="preserve">shared possible intentions to relocate the production of essential goods and services in the name of national safety. Although, as recommended by the OECD and emphasised in the G20 Ministerial Statement, distortionary measures to address the health crisis should be temporary tools, longer-term GVC reconfigurations </w:t>
      </w:r>
      <w:r w:rsidR="00720180">
        <w:rPr>
          <w:noProof/>
          <w:lang w:eastAsia="en-GB"/>
        </w:rPr>
        <w:t>are</w:t>
      </w:r>
      <w:r w:rsidR="00864CEC">
        <w:rPr>
          <w:noProof/>
          <w:lang w:eastAsia="en-GB"/>
        </w:rPr>
        <w:t xml:space="preserve"> likely. In the OECD, IPAs are already taking r</w:t>
      </w:r>
      <w:r w:rsidR="0041358A">
        <w:rPr>
          <w:noProof/>
          <w:lang w:eastAsia="en-GB"/>
        </w:rPr>
        <w:t>e</w:t>
      </w:r>
      <w:r w:rsidR="00864CEC">
        <w:rPr>
          <w:noProof/>
          <w:lang w:eastAsia="en-GB"/>
        </w:rPr>
        <w:t>shoring and near</w:t>
      </w:r>
      <w:r w:rsidR="00720180">
        <w:rPr>
          <w:noProof/>
          <w:lang w:eastAsia="en-GB"/>
        </w:rPr>
        <w:t>-</w:t>
      </w:r>
      <w:r w:rsidR="00864CEC">
        <w:rPr>
          <w:noProof/>
          <w:lang w:eastAsia="en-GB"/>
        </w:rPr>
        <w:t xml:space="preserve">shoring </w:t>
      </w:r>
      <w:r w:rsidR="0041358A">
        <w:rPr>
          <w:noProof/>
          <w:lang w:eastAsia="en-GB"/>
        </w:rPr>
        <w:t>MNE decisions</w:t>
      </w:r>
      <w:r w:rsidR="00864CEC">
        <w:rPr>
          <w:noProof/>
          <w:lang w:eastAsia="en-GB"/>
        </w:rPr>
        <w:t xml:space="preserve"> into account</w:t>
      </w:r>
      <w:r w:rsidR="0041358A">
        <w:rPr>
          <w:noProof/>
          <w:lang w:eastAsia="en-GB"/>
        </w:rPr>
        <w:t>, and planning to adjust their prioritisation strategies in consequence.</w:t>
      </w:r>
      <w:r w:rsidR="003C62C6">
        <w:rPr>
          <w:noProof/>
          <w:lang w:eastAsia="en-GB"/>
        </w:rPr>
        <w:t xml:space="preserve"> </w:t>
      </w:r>
      <w:r w:rsidR="00887DC9">
        <w:rPr>
          <w:noProof/>
          <w:lang w:eastAsia="en-GB"/>
        </w:rPr>
        <w:t xml:space="preserve">This situation </w:t>
      </w:r>
      <w:r w:rsidR="00720180">
        <w:rPr>
          <w:noProof/>
          <w:lang w:eastAsia="en-GB"/>
        </w:rPr>
        <w:t>entail</w:t>
      </w:r>
      <w:r w:rsidR="00887DC9">
        <w:rPr>
          <w:noProof/>
          <w:lang w:eastAsia="en-GB"/>
        </w:rPr>
        <w:t xml:space="preserve">s risks for </w:t>
      </w:r>
      <w:r w:rsidR="00A078A0">
        <w:rPr>
          <w:noProof/>
          <w:lang w:eastAsia="en-GB"/>
        </w:rPr>
        <w:t xml:space="preserve">developing economies and can impede Eurasia governments’ </w:t>
      </w:r>
      <w:r w:rsidR="00D03368">
        <w:rPr>
          <w:noProof/>
          <w:lang w:eastAsia="en-GB"/>
        </w:rPr>
        <w:t xml:space="preserve">current </w:t>
      </w:r>
      <w:r w:rsidR="00A078A0">
        <w:rPr>
          <w:noProof/>
          <w:lang w:eastAsia="en-GB"/>
        </w:rPr>
        <w:t>plans for further integration into GVCs (e.g. in agro-food and manufacturing sectors). Policy-maker</w:t>
      </w:r>
      <w:r w:rsidR="00D03368">
        <w:rPr>
          <w:noProof/>
          <w:lang w:eastAsia="en-GB"/>
        </w:rPr>
        <w:t>s and IPAs will need to take the</w:t>
      </w:r>
      <w:r w:rsidR="00A078A0">
        <w:rPr>
          <w:noProof/>
          <w:lang w:eastAsia="en-GB"/>
        </w:rPr>
        <w:t>s</w:t>
      </w:r>
      <w:r w:rsidR="00D03368">
        <w:rPr>
          <w:noProof/>
          <w:lang w:eastAsia="en-GB"/>
        </w:rPr>
        <w:t>e</w:t>
      </w:r>
      <w:r w:rsidR="00A078A0">
        <w:rPr>
          <w:noProof/>
          <w:lang w:eastAsia="en-GB"/>
        </w:rPr>
        <w:t xml:space="preserve"> new con</w:t>
      </w:r>
      <w:r w:rsidR="00D03368">
        <w:rPr>
          <w:noProof/>
          <w:lang w:eastAsia="en-GB"/>
        </w:rPr>
        <w:t>s</w:t>
      </w:r>
      <w:r w:rsidR="00A078A0">
        <w:rPr>
          <w:noProof/>
          <w:lang w:eastAsia="en-GB"/>
        </w:rPr>
        <w:t>traints into consideration as they redesign their strate</w:t>
      </w:r>
      <w:r w:rsidR="00D03368">
        <w:rPr>
          <w:noProof/>
          <w:lang w:eastAsia="en-GB"/>
        </w:rPr>
        <w:t>gic priorities</w:t>
      </w:r>
      <w:r w:rsidR="00A078A0">
        <w:rPr>
          <w:noProof/>
          <w:lang w:eastAsia="en-GB"/>
        </w:rPr>
        <w:t xml:space="preserve"> to adapt to the crisis.</w:t>
      </w:r>
    </w:p>
    <w:p w14:paraId="1FA0C1DA" w14:textId="5DFDAA4C" w:rsidR="00FD42E7" w:rsidRPr="00252AC4" w:rsidRDefault="00FD42E7" w:rsidP="00FD42E7">
      <w:pPr>
        <w:pStyle w:val="Caption"/>
      </w:pPr>
      <w:bookmarkStart w:id="305" w:name="_Ref30593177"/>
      <w:bookmarkStart w:id="306" w:name="_Toc31617770"/>
      <w:bookmarkStart w:id="307" w:name="_Toc31641324"/>
      <w:bookmarkStart w:id="308" w:name="_Toc31650324"/>
      <w:bookmarkStart w:id="309" w:name="_Toc32317029"/>
      <w:bookmarkStart w:id="310" w:name="_Toc32324688"/>
      <w:bookmarkStart w:id="311" w:name="_Toc34647239"/>
      <w:r w:rsidRPr="00252AC4">
        <w:lastRenderedPageBreak/>
        <w:t>Table </w:t>
      </w:r>
      <w:r w:rsidRPr="00252AC4">
        <w:rPr>
          <w:noProof/>
        </w:rPr>
        <w:fldChar w:fldCharType="begin"/>
      </w:r>
      <w:r w:rsidRPr="00252AC4">
        <w:rPr>
          <w:noProof/>
        </w:rPr>
        <w:instrText xml:space="preserve"> STYLEREF 1 \s </w:instrText>
      </w:r>
      <w:r w:rsidRPr="00252AC4">
        <w:rPr>
          <w:noProof/>
        </w:rPr>
        <w:fldChar w:fldCharType="separate"/>
      </w:r>
      <w:r w:rsidR="008914FE">
        <w:rPr>
          <w:noProof/>
        </w:rPr>
        <w:t>2</w:t>
      </w:r>
      <w:r w:rsidRPr="00252AC4">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6</w:t>
      </w:r>
      <w:r w:rsidRPr="00252AC4">
        <w:rPr>
          <w:noProof/>
        </w:rPr>
        <w:fldChar w:fldCharType="end"/>
      </w:r>
      <w:bookmarkEnd w:id="305"/>
      <w:r w:rsidRPr="00252AC4">
        <w:t>. Criteria used for prioritisation of projects by IPA and region</w:t>
      </w:r>
      <w:bookmarkEnd w:id="306"/>
      <w:bookmarkEnd w:id="307"/>
      <w:bookmarkEnd w:id="308"/>
      <w:bookmarkEnd w:id="309"/>
      <w:bookmarkEnd w:id="310"/>
      <w:bookmarkEnd w:id="311"/>
    </w:p>
    <w:tbl>
      <w:tblPr>
        <w:tblStyle w:val="OECD"/>
        <w:tblW w:w="10033" w:type="dxa"/>
        <w:tblLook w:val="04A0" w:firstRow="1" w:lastRow="0" w:firstColumn="1" w:lastColumn="0" w:noHBand="0" w:noVBand="1"/>
      </w:tblPr>
      <w:tblGrid>
        <w:gridCol w:w="3453"/>
        <w:gridCol w:w="549"/>
        <w:gridCol w:w="565"/>
        <w:gridCol w:w="541"/>
        <w:gridCol w:w="549"/>
        <w:gridCol w:w="583"/>
        <w:gridCol w:w="516"/>
        <w:gridCol w:w="557"/>
        <w:gridCol w:w="774"/>
        <w:gridCol w:w="665"/>
        <w:gridCol w:w="665"/>
        <w:gridCol w:w="616"/>
      </w:tblGrid>
      <w:tr w:rsidR="00FD42E7" w:rsidRPr="00252AC4" w14:paraId="24E9A410" w14:textId="77777777" w:rsidTr="00FD42E7">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75397CDE" w14:textId="77777777" w:rsidR="00FD42E7" w:rsidRPr="00252AC4" w:rsidRDefault="00FD42E7" w:rsidP="00FD42E7">
            <w:pPr>
              <w:pStyle w:val="TableColumn"/>
              <w:rPr>
                <w:lang w:val="en-GB"/>
              </w:rPr>
            </w:pPr>
            <w:r w:rsidRPr="00252AC4">
              <w:rPr>
                <w:lang w:val="en-GB"/>
              </w:rPr>
              <w:t> </w:t>
            </w:r>
          </w:p>
        </w:tc>
        <w:tc>
          <w:tcPr>
            <w:tcW w:w="0" w:type="auto"/>
          </w:tcPr>
          <w:p w14:paraId="39784516"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AFG</w:t>
            </w:r>
          </w:p>
        </w:tc>
        <w:tc>
          <w:tcPr>
            <w:tcW w:w="0" w:type="auto"/>
          </w:tcPr>
          <w:p w14:paraId="55FF4152"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GEO</w:t>
            </w:r>
          </w:p>
        </w:tc>
        <w:tc>
          <w:tcPr>
            <w:tcW w:w="0" w:type="auto"/>
          </w:tcPr>
          <w:p w14:paraId="3C79C8F2"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KAZ</w:t>
            </w:r>
          </w:p>
        </w:tc>
        <w:tc>
          <w:tcPr>
            <w:tcW w:w="0" w:type="auto"/>
          </w:tcPr>
          <w:p w14:paraId="271EC3CF"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KGZ</w:t>
            </w:r>
          </w:p>
        </w:tc>
        <w:tc>
          <w:tcPr>
            <w:tcW w:w="0" w:type="auto"/>
          </w:tcPr>
          <w:p w14:paraId="624A9225"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MNG</w:t>
            </w:r>
          </w:p>
        </w:tc>
        <w:tc>
          <w:tcPr>
            <w:tcW w:w="0" w:type="auto"/>
          </w:tcPr>
          <w:p w14:paraId="61D58D40"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TJK</w:t>
            </w:r>
          </w:p>
        </w:tc>
        <w:tc>
          <w:tcPr>
            <w:tcW w:w="0" w:type="auto"/>
          </w:tcPr>
          <w:p w14:paraId="5898BB19"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UKR</w:t>
            </w:r>
          </w:p>
        </w:tc>
        <w:tc>
          <w:tcPr>
            <w:tcW w:w="0" w:type="auto"/>
            <w:shd w:val="clear" w:color="auto" w:fill="DBE5F1" w:themeFill="accent1" w:themeFillTint="33"/>
            <w:hideMark/>
          </w:tcPr>
          <w:p w14:paraId="764E88AB"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b/>
                <w:lang w:val="en-GB"/>
              </w:rPr>
            </w:pPr>
            <w:r w:rsidRPr="00252AC4">
              <w:rPr>
                <w:b/>
                <w:lang w:val="en-GB"/>
              </w:rPr>
              <w:t>Eurasia</w:t>
            </w:r>
          </w:p>
        </w:tc>
        <w:tc>
          <w:tcPr>
            <w:tcW w:w="0" w:type="auto"/>
          </w:tcPr>
          <w:p w14:paraId="3DDDF91D"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lang w:val="en-GB"/>
              </w:rPr>
            </w:pPr>
            <w:r w:rsidRPr="00252AC4">
              <w:rPr>
                <w:lang w:val="en-GB"/>
              </w:rPr>
              <w:t>OECD</w:t>
            </w:r>
          </w:p>
        </w:tc>
        <w:tc>
          <w:tcPr>
            <w:tcW w:w="0" w:type="auto"/>
            <w:hideMark/>
          </w:tcPr>
          <w:p w14:paraId="07AAA415"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lang w:val="en-GB"/>
              </w:rPr>
            </w:pPr>
            <w:r w:rsidRPr="00252AC4">
              <w:rPr>
                <w:lang w:val="en-GB"/>
              </w:rPr>
              <w:t>MENA</w:t>
            </w:r>
          </w:p>
        </w:tc>
        <w:tc>
          <w:tcPr>
            <w:tcW w:w="0" w:type="auto"/>
            <w:hideMark/>
          </w:tcPr>
          <w:p w14:paraId="3865653D" w14:textId="77777777" w:rsidR="00FD42E7" w:rsidRPr="00252AC4" w:rsidRDefault="00FD42E7" w:rsidP="00FD42E7">
            <w:pPr>
              <w:pStyle w:val="TableColumn"/>
              <w:cnfStyle w:val="100000000000" w:firstRow="1" w:lastRow="0" w:firstColumn="0" w:lastColumn="0" w:oddVBand="0" w:evenVBand="0" w:oddHBand="0" w:evenHBand="0" w:firstRowFirstColumn="0" w:firstRowLastColumn="0" w:lastRowFirstColumn="0" w:lastRowLastColumn="0"/>
              <w:rPr>
                <w:lang w:val="en-GB"/>
              </w:rPr>
            </w:pPr>
            <w:r w:rsidRPr="00252AC4">
              <w:rPr>
                <w:lang w:val="en-GB"/>
              </w:rPr>
              <w:t>LAC</w:t>
            </w:r>
          </w:p>
        </w:tc>
      </w:tr>
      <w:tr w:rsidR="00FD42E7" w:rsidRPr="00252AC4" w14:paraId="06033E9B"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47B78E" w14:textId="77777777" w:rsidR="00FD42E7" w:rsidRPr="00252AC4" w:rsidRDefault="00FD42E7" w:rsidP="00FD42E7">
            <w:pPr>
              <w:pStyle w:val="TableRow"/>
              <w:rPr>
                <w:lang w:val="en-GB"/>
              </w:rPr>
            </w:pPr>
            <w:r w:rsidRPr="00252AC4">
              <w:rPr>
                <w:lang w:val="en-GB"/>
              </w:rPr>
              <w:t>Priority Sector</w:t>
            </w:r>
          </w:p>
        </w:tc>
        <w:tc>
          <w:tcPr>
            <w:tcW w:w="0" w:type="auto"/>
            <w:vAlign w:val="center"/>
          </w:tcPr>
          <w:p w14:paraId="04598FD7"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7AEFE8F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0CA59D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DE4CFBD"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E026890"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D725387"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5FB152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4C6701A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100%</w:t>
            </w:r>
          </w:p>
        </w:tc>
        <w:tc>
          <w:tcPr>
            <w:tcW w:w="0" w:type="auto"/>
            <w:vAlign w:val="center"/>
          </w:tcPr>
          <w:p w14:paraId="26B691D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88%</w:t>
            </w:r>
          </w:p>
        </w:tc>
        <w:tc>
          <w:tcPr>
            <w:tcW w:w="0" w:type="auto"/>
            <w:vAlign w:val="center"/>
            <w:hideMark/>
          </w:tcPr>
          <w:p w14:paraId="4505FE2F"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86%</w:t>
            </w:r>
          </w:p>
        </w:tc>
        <w:tc>
          <w:tcPr>
            <w:tcW w:w="0" w:type="auto"/>
            <w:vAlign w:val="center"/>
            <w:hideMark/>
          </w:tcPr>
          <w:p w14:paraId="11F52E7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78%</w:t>
            </w:r>
          </w:p>
        </w:tc>
      </w:tr>
      <w:tr w:rsidR="00FD42E7" w:rsidRPr="00252AC4" w14:paraId="1613BF0D"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857176" w14:textId="77777777" w:rsidR="00FD42E7" w:rsidRPr="00252AC4" w:rsidRDefault="00FD42E7" w:rsidP="00FD42E7">
            <w:pPr>
              <w:pStyle w:val="TableRow"/>
              <w:rPr>
                <w:lang w:val="en-GB"/>
              </w:rPr>
            </w:pPr>
            <w:r w:rsidRPr="00252AC4">
              <w:rPr>
                <w:lang w:val="en-GB"/>
              </w:rPr>
              <w:t>Impact on job creation</w:t>
            </w:r>
          </w:p>
        </w:tc>
        <w:tc>
          <w:tcPr>
            <w:tcW w:w="0" w:type="auto"/>
            <w:vAlign w:val="center"/>
          </w:tcPr>
          <w:p w14:paraId="2B5E9BB4"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7880814"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8AAD03D"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7C03A05A"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22BA7FD"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FD8622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B3AA32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5391C3F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100%</w:t>
            </w:r>
          </w:p>
        </w:tc>
        <w:tc>
          <w:tcPr>
            <w:tcW w:w="0" w:type="auto"/>
            <w:vAlign w:val="center"/>
          </w:tcPr>
          <w:p w14:paraId="1A18C34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84%</w:t>
            </w:r>
          </w:p>
        </w:tc>
        <w:tc>
          <w:tcPr>
            <w:tcW w:w="0" w:type="auto"/>
            <w:vAlign w:val="center"/>
            <w:hideMark/>
          </w:tcPr>
          <w:p w14:paraId="4308A37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100%</w:t>
            </w:r>
          </w:p>
        </w:tc>
        <w:tc>
          <w:tcPr>
            <w:tcW w:w="0" w:type="auto"/>
            <w:vAlign w:val="center"/>
            <w:hideMark/>
          </w:tcPr>
          <w:p w14:paraId="3D739479"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100%</w:t>
            </w:r>
          </w:p>
        </w:tc>
      </w:tr>
      <w:tr w:rsidR="00FD42E7" w:rsidRPr="00252AC4" w14:paraId="7E7E9509"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950814" w14:textId="77777777" w:rsidR="00FD42E7" w:rsidRPr="00252AC4" w:rsidRDefault="00FD42E7" w:rsidP="00FD42E7">
            <w:pPr>
              <w:pStyle w:val="TableRow"/>
              <w:rPr>
                <w:lang w:val="en-GB"/>
              </w:rPr>
            </w:pPr>
            <w:r w:rsidRPr="00252AC4">
              <w:rPr>
                <w:lang w:val="en-GB"/>
              </w:rPr>
              <w:t>Impact on exports</w:t>
            </w:r>
          </w:p>
        </w:tc>
        <w:tc>
          <w:tcPr>
            <w:tcW w:w="0" w:type="auto"/>
            <w:vAlign w:val="center"/>
          </w:tcPr>
          <w:p w14:paraId="06639D2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690388F"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5D68E8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2327B7CD"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5C3019F"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5221BE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89589B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4BD21E88"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100%</w:t>
            </w:r>
          </w:p>
        </w:tc>
        <w:tc>
          <w:tcPr>
            <w:tcW w:w="0" w:type="auto"/>
            <w:vAlign w:val="center"/>
          </w:tcPr>
          <w:p w14:paraId="56EA1F7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64%</w:t>
            </w:r>
          </w:p>
        </w:tc>
        <w:tc>
          <w:tcPr>
            <w:tcW w:w="0" w:type="auto"/>
            <w:vAlign w:val="center"/>
            <w:hideMark/>
          </w:tcPr>
          <w:p w14:paraId="6EC542A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100%</w:t>
            </w:r>
          </w:p>
        </w:tc>
        <w:tc>
          <w:tcPr>
            <w:tcW w:w="0" w:type="auto"/>
            <w:vAlign w:val="center"/>
            <w:hideMark/>
          </w:tcPr>
          <w:p w14:paraId="209B3CF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78%</w:t>
            </w:r>
          </w:p>
        </w:tc>
      </w:tr>
      <w:tr w:rsidR="00FD42E7" w:rsidRPr="00252AC4" w14:paraId="409F3A47"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287B25" w14:textId="77777777" w:rsidR="00FD42E7" w:rsidRPr="00252AC4" w:rsidRDefault="00FD42E7" w:rsidP="00FD42E7">
            <w:pPr>
              <w:pStyle w:val="TableRow"/>
              <w:rPr>
                <w:lang w:val="en-GB"/>
              </w:rPr>
            </w:pPr>
            <w:r w:rsidRPr="00252AC4">
              <w:rPr>
                <w:lang w:val="en-GB"/>
              </w:rPr>
              <w:t>Sustainability</w:t>
            </w:r>
          </w:p>
        </w:tc>
        <w:tc>
          <w:tcPr>
            <w:tcW w:w="0" w:type="auto"/>
            <w:vAlign w:val="center"/>
          </w:tcPr>
          <w:p w14:paraId="0109247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6C8C3E5"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F0FF9C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2EE9844"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2654597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0CF93899"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FFCFD8E"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3797FE5D"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100%</w:t>
            </w:r>
          </w:p>
        </w:tc>
        <w:tc>
          <w:tcPr>
            <w:tcW w:w="0" w:type="auto"/>
            <w:vAlign w:val="center"/>
          </w:tcPr>
          <w:p w14:paraId="5D05FE17"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52%</w:t>
            </w:r>
          </w:p>
        </w:tc>
        <w:tc>
          <w:tcPr>
            <w:tcW w:w="0" w:type="auto"/>
            <w:vAlign w:val="center"/>
            <w:hideMark/>
          </w:tcPr>
          <w:p w14:paraId="49F19D0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100%</w:t>
            </w:r>
          </w:p>
        </w:tc>
        <w:tc>
          <w:tcPr>
            <w:tcW w:w="0" w:type="auto"/>
            <w:vAlign w:val="center"/>
            <w:hideMark/>
          </w:tcPr>
          <w:p w14:paraId="5523271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44%</w:t>
            </w:r>
          </w:p>
        </w:tc>
      </w:tr>
      <w:tr w:rsidR="00FD42E7" w:rsidRPr="00252AC4" w14:paraId="3ECB3190"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8B93FB" w14:textId="77777777" w:rsidR="00FD42E7" w:rsidRPr="00252AC4" w:rsidRDefault="00FD42E7" w:rsidP="00FD42E7">
            <w:pPr>
              <w:pStyle w:val="TableRow"/>
              <w:rPr>
                <w:lang w:val="en-GB"/>
              </w:rPr>
            </w:pPr>
            <w:r w:rsidRPr="00252AC4">
              <w:rPr>
                <w:lang w:val="en-GB"/>
              </w:rPr>
              <w:t>Size of investment</w:t>
            </w:r>
          </w:p>
        </w:tc>
        <w:tc>
          <w:tcPr>
            <w:tcW w:w="0" w:type="auto"/>
            <w:vAlign w:val="center"/>
          </w:tcPr>
          <w:p w14:paraId="00B8C407"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B44EABA"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2DEDC587"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5BF96D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7209DAC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7F1A814B"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6DF1042"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267F911D"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100%</w:t>
            </w:r>
          </w:p>
        </w:tc>
        <w:tc>
          <w:tcPr>
            <w:tcW w:w="0" w:type="auto"/>
            <w:vAlign w:val="center"/>
          </w:tcPr>
          <w:p w14:paraId="06EED6E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80%</w:t>
            </w:r>
          </w:p>
        </w:tc>
        <w:tc>
          <w:tcPr>
            <w:tcW w:w="0" w:type="auto"/>
            <w:vAlign w:val="center"/>
            <w:hideMark/>
          </w:tcPr>
          <w:p w14:paraId="13B7662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86%</w:t>
            </w:r>
          </w:p>
        </w:tc>
        <w:tc>
          <w:tcPr>
            <w:tcW w:w="0" w:type="auto"/>
            <w:vAlign w:val="center"/>
            <w:hideMark/>
          </w:tcPr>
          <w:p w14:paraId="7DD7119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56%</w:t>
            </w:r>
          </w:p>
        </w:tc>
      </w:tr>
      <w:tr w:rsidR="00FD42E7" w:rsidRPr="00252AC4" w14:paraId="4705EF1A"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vAlign w:val="center"/>
            <w:hideMark/>
          </w:tcPr>
          <w:p w14:paraId="14393B74" w14:textId="77777777" w:rsidR="00FD42E7" w:rsidRPr="00252AC4" w:rsidRDefault="00FD42E7" w:rsidP="00FD42E7">
            <w:pPr>
              <w:pStyle w:val="TableRow"/>
              <w:rPr>
                <w:lang w:val="en-GB"/>
              </w:rPr>
            </w:pPr>
            <w:r w:rsidRPr="00252AC4">
              <w:rPr>
                <w:lang w:val="en-GB"/>
              </w:rPr>
              <w:t>Impact on innovation / R&amp;D</w:t>
            </w:r>
          </w:p>
        </w:tc>
        <w:tc>
          <w:tcPr>
            <w:tcW w:w="0" w:type="auto"/>
            <w:tcBorders>
              <w:bottom w:val="nil"/>
            </w:tcBorders>
            <w:vAlign w:val="center"/>
          </w:tcPr>
          <w:p w14:paraId="72AA9852"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tcBorders>
              <w:bottom w:val="nil"/>
            </w:tcBorders>
            <w:vAlign w:val="center"/>
          </w:tcPr>
          <w:p w14:paraId="15A2710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vAlign w:val="center"/>
          </w:tcPr>
          <w:p w14:paraId="13D81C40"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vAlign w:val="center"/>
          </w:tcPr>
          <w:p w14:paraId="64C087E2"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vAlign w:val="center"/>
          </w:tcPr>
          <w:p w14:paraId="4929D1A0"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vAlign w:val="center"/>
          </w:tcPr>
          <w:p w14:paraId="645BCFD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vAlign w:val="center"/>
          </w:tcPr>
          <w:p w14:paraId="31429BA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bottom w:val="nil"/>
            </w:tcBorders>
            <w:shd w:val="clear" w:color="auto" w:fill="DBE5F1" w:themeFill="accent1" w:themeFillTint="33"/>
            <w:vAlign w:val="center"/>
            <w:hideMark/>
          </w:tcPr>
          <w:p w14:paraId="635ABA0C"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86%</w:t>
            </w:r>
          </w:p>
        </w:tc>
        <w:tc>
          <w:tcPr>
            <w:tcW w:w="0" w:type="auto"/>
            <w:tcBorders>
              <w:bottom w:val="nil"/>
            </w:tcBorders>
            <w:vAlign w:val="center"/>
          </w:tcPr>
          <w:p w14:paraId="2AA050C7"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88%</w:t>
            </w:r>
          </w:p>
        </w:tc>
        <w:tc>
          <w:tcPr>
            <w:tcW w:w="0" w:type="auto"/>
            <w:tcBorders>
              <w:bottom w:val="nil"/>
            </w:tcBorders>
            <w:vAlign w:val="center"/>
            <w:hideMark/>
          </w:tcPr>
          <w:p w14:paraId="6347A3C7"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100%</w:t>
            </w:r>
          </w:p>
        </w:tc>
        <w:tc>
          <w:tcPr>
            <w:tcW w:w="0" w:type="auto"/>
            <w:tcBorders>
              <w:bottom w:val="nil"/>
            </w:tcBorders>
            <w:vAlign w:val="center"/>
            <w:hideMark/>
          </w:tcPr>
          <w:p w14:paraId="4E63000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78%</w:t>
            </w:r>
          </w:p>
        </w:tc>
      </w:tr>
      <w:tr w:rsidR="00FD42E7" w:rsidRPr="00252AC4" w14:paraId="4EBFE294"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hideMark/>
          </w:tcPr>
          <w:p w14:paraId="49B2A65D" w14:textId="77777777" w:rsidR="00FD42E7" w:rsidRPr="00252AC4" w:rsidRDefault="00FD42E7" w:rsidP="00FD42E7">
            <w:pPr>
              <w:pStyle w:val="TableRow"/>
              <w:rPr>
                <w:lang w:val="en-GB"/>
              </w:rPr>
            </w:pPr>
            <w:r w:rsidRPr="00252AC4">
              <w:rPr>
                <w:lang w:val="en-GB"/>
              </w:rPr>
              <w:t>Impact on regional development</w:t>
            </w:r>
          </w:p>
        </w:tc>
        <w:tc>
          <w:tcPr>
            <w:tcW w:w="0" w:type="auto"/>
            <w:tcBorders>
              <w:top w:val="nil"/>
              <w:bottom w:val="nil"/>
            </w:tcBorders>
            <w:vAlign w:val="center"/>
          </w:tcPr>
          <w:p w14:paraId="65A5298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p>
        </w:tc>
        <w:tc>
          <w:tcPr>
            <w:tcW w:w="0" w:type="auto"/>
            <w:tcBorders>
              <w:top w:val="nil"/>
              <w:bottom w:val="nil"/>
            </w:tcBorders>
            <w:vAlign w:val="center"/>
          </w:tcPr>
          <w:p w14:paraId="0C3727E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vAlign w:val="center"/>
          </w:tcPr>
          <w:p w14:paraId="3B02155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vAlign w:val="center"/>
          </w:tcPr>
          <w:p w14:paraId="59FA922F"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vAlign w:val="center"/>
          </w:tcPr>
          <w:p w14:paraId="7CC70982"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vAlign w:val="center"/>
          </w:tcPr>
          <w:p w14:paraId="7AC4CAC4"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vAlign w:val="center"/>
          </w:tcPr>
          <w:p w14:paraId="6AA3BBD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nil"/>
            </w:tcBorders>
            <w:shd w:val="clear" w:color="auto" w:fill="DBE5F1" w:themeFill="accent1" w:themeFillTint="33"/>
            <w:vAlign w:val="center"/>
            <w:hideMark/>
          </w:tcPr>
          <w:p w14:paraId="266ACE1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86%</w:t>
            </w:r>
          </w:p>
        </w:tc>
        <w:tc>
          <w:tcPr>
            <w:tcW w:w="0" w:type="auto"/>
            <w:tcBorders>
              <w:top w:val="nil"/>
              <w:bottom w:val="nil"/>
            </w:tcBorders>
            <w:vAlign w:val="center"/>
          </w:tcPr>
          <w:p w14:paraId="6A71737D"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52%</w:t>
            </w:r>
          </w:p>
        </w:tc>
        <w:tc>
          <w:tcPr>
            <w:tcW w:w="0" w:type="auto"/>
            <w:tcBorders>
              <w:top w:val="nil"/>
              <w:bottom w:val="nil"/>
            </w:tcBorders>
            <w:vAlign w:val="center"/>
            <w:hideMark/>
          </w:tcPr>
          <w:p w14:paraId="1D687D8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100%</w:t>
            </w:r>
          </w:p>
        </w:tc>
        <w:tc>
          <w:tcPr>
            <w:tcW w:w="0" w:type="auto"/>
            <w:tcBorders>
              <w:top w:val="nil"/>
              <w:bottom w:val="nil"/>
            </w:tcBorders>
            <w:vAlign w:val="center"/>
            <w:hideMark/>
          </w:tcPr>
          <w:p w14:paraId="4CA41B8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78%</w:t>
            </w:r>
          </w:p>
        </w:tc>
      </w:tr>
      <w:tr w:rsidR="00FD42E7" w:rsidRPr="00252AC4" w14:paraId="12254784"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6" w:space="0" w:color="7030A0"/>
            </w:tcBorders>
            <w:vAlign w:val="center"/>
            <w:hideMark/>
          </w:tcPr>
          <w:p w14:paraId="326422E1" w14:textId="77777777" w:rsidR="00FD42E7" w:rsidRPr="00252AC4" w:rsidRDefault="00FD42E7" w:rsidP="00FD42E7">
            <w:pPr>
              <w:pStyle w:val="TableRow"/>
              <w:rPr>
                <w:lang w:val="en-GB"/>
              </w:rPr>
            </w:pPr>
            <w:r w:rsidRPr="00252AC4">
              <w:rPr>
                <w:lang w:val="en-GB"/>
              </w:rPr>
              <w:t>Impact on country's image</w:t>
            </w:r>
          </w:p>
        </w:tc>
        <w:tc>
          <w:tcPr>
            <w:tcW w:w="0" w:type="auto"/>
            <w:tcBorders>
              <w:top w:val="nil"/>
              <w:bottom w:val="single" w:sz="6" w:space="0" w:color="7030A0"/>
            </w:tcBorders>
            <w:vAlign w:val="center"/>
          </w:tcPr>
          <w:p w14:paraId="469AE6C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vAlign w:val="center"/>
          </w:tcPr>
          <w:p w14:paraId="3F9466B7"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vAlign w:val="center"/>
          </w:tcPr>
          <w:p w14:paraId="3B354F1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p>
        </w:tc>
        <w:tc>
          <w:tcPr>
            <w:tcW w:w="0" w:type="auto"/>
            <w:tcBorders>
              <w:top w:val="nil"/>
              <w:bottom w:val="single" w:sz="6" w:space="0" w:color="7030A0"/>
            </w:tcBorders>
            <w:vAlign w:val="center"/>
          </w:tcPr>
          <w:p w14:paraId="07276884"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vAlign w:val="center"/>
          </w:tcPr>
          <w:p w14:paraId="0DE156EA"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vAlign w:val="center"/>
          </w:tcPr>
          <w:p w14:paraId="18D0030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vAlign w:val="center"/>
          </w:tcPr>
          <w:p w14:paraId="7F103FC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nil"/>
              <w:bottom w:val="single" w:sz="6" w:space="0" w:color="7030A0"/>
            </w:tcBorders>
            <w:shd w:val="clear" w:color="auto" w:fill="DBE5F1" w:themeFill="accent1" w:themeFillTint="33"/>
            <w:vAlign w:val="center"/>
            <w:hideMark/>
          </w:tcPr>
          <w:p w14:paraId="2D6CF17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86%</w:t>
            </w:r>
          </w:p>
        </w:tc>
        <w:tc>
          <w:tcPr>
            <w:tcW w:w="0" w:type="auto"/>
            <w:tcBorders>
              <w:top w:val="nil"/>
              <w:bottom w:val="single" w:sz="6" w:space="0" w:color="7030A0"/>
            </w:tcBorders>
            <w:vAlign w:val="center"/>
          </w:tcPr>
          <w:p w14:paraId="4778597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52%</w:t>
            </w:r>
          </w:p>
        </w:tc>
        <w:tc>
          <w:tcPr>
            <w:tcW w:w="0" w:type="auto"/>
            <w:tcBorders>
              <w:top w:val="nil"/>
              <w:bottom w:val="single" w:sz="6" w:space="0" w:color="7030A0"/>
            </w:tcBorders>
            <w:vAlign w:val="center"/>
            <w:hideMark/>
          </w:tcPr>
          <w:p w14:paraId="6F0C1D83"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86%</w:t>
            </w:r>
          </w:p>
        </w:tc>
        <w:tc>
          <w:tcPr>
            <w:tcW w:w="0" w:type="auto"/>
            <w:tcBorders>
              <w:top w:val="nil"/>
              <w:bottom w:val="single" w:sz="6" w:space="0" w:color="7030A0"/>
            </w:tcBorders>
            <w:vAlign w:val="center"/>
            <w:hideMark/>
          </w:tcPr>
          <w:p w14:paraId="3ED52626"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56%</w:t>
            </w:r>
          </w:p>
        </w:tc>
      </w:tr>
      <w:tr w:rsidR="00FD42E7" w:rsidRPr="00252AC4" w14:paraId="186D9534"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7030A0"/>
            </w:tcBorders>
            <w:vAlign w:val="center"/>
            <w:hideMark/>
          </w:tcPr>
          <w:p w14:paraId="3B353FE9" w14:textId="77777777" w:rsidR="00FD42E7" w:rsidRPr="00252AC4" w:rsidRDefault="00FD42E7" w:rsidP="00FD42E7">
            <w:pPr>
              <w:pStyle w:val="TableRow"/>
              <w:rPr>
                <w:lang w:val="en-GB"/>
              </w:rPr>
            </w:pPr>
            <w:r w:rsidRPr="00252AC4">
              <w:rPr>
                <w:lang w:val="en-GB"/>
              </w:rPr>
              <w:t>Duration of commitment / investment horizon</w:t>
            </w:r>
          </w:p>
        </w:tc>
        <w:tc>
          <w:tcPr>
            <w:tcW w:w="0" w:type="auto"/>
            <w:tcBorders>
              <w:top w:val="single" w:sz="6" w:space="0" w:color="7030A0"/>
            </w:tcBorders>
            <w:vAlign w:val="center"/>
          </w:tcPr>
          <w:p w14:paraId="04E1A6E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single" w:sz="6" w:space="0" w:color="7030A0"/>
            </w:tcBorders>
            <w:vAlign w:val="center"/>
          </w:tcPr>
          <w:p w14:paraId="5FCC12C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tcBorders>
              <w:top w:val="single" w:sz="6" w:space="0" w:color="7030A0"/>
            </w:tcBorders>
            <w:vAlign w:val="center"/>
          </w:tcPr>
          <w:p w14:paraId="32F84A1C"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tcBorders>
              <w:top w:val="single" w:sz="6" w:space="0" w:color="7030A0"/>
            </w:tcBorders>
            <w:vAlign w:val="center"/>
          </w:tcPr>
          <w:p w14:paraId="7A3FDF66"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single" w:sz="6" w:space="0" w:color="7030A0"/>
            </w:tcBorders>
            <w:vAlign w:val="center"/>
          </w:tcPr>
          <w:p w14:paraId="7F6A33FA"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single" w:sz="6" w:space="0" w:color="7030A0"/>
            </w:tcBorders>
            <w:vAlign w:val="center"/>
          </w:tcPr>
          <w:p w14:paraId="2858FBA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tcBorders>
              <w:top w:val="single" w:sz="6" w:space="0" w:color="7030A0"/>
            </w:tcBorders>
            <w:vAlign w:val="center"/>
          </w:tcPr>
          <w:p w14:paraId="78BA0210"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tcBorders>
              <w:top w:val="single" w:sz="6" w:space="0" w:color="7030A0"/>
            </w:tcBorders>
            <w:shd w:val="clear" w:color="auto" w:fill="DBE5F1" w:themeFill="accent1" w:themeFillTint="33"/>
            <w:vAlign w:val="center"/>
            <w:hideMark/>
          </w:tcPr>
          <w:p w14:paraId="12EE10F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57%</w:t>
            </w:r>
          </w:p>
        </w:tc>
        <w:tc>
          <w:tcPr>
            <w:tcW w:w="0" w:type="auto"/>
            <w:tcBorders>
              <w:top w:val="single" w:sz="6" w:space="0" w:color="7030A0"/>
            </w:tcBorders>
            <w:vAlign w:val="center"/>
          </w:tcPr>
          <w:p w14:paraId="520D454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c>
          <w:tcPr>
            <w:tcW w:w="0" w:type="auto"/>
            <w:tcBorders>
              <w:top w:val="single" w:sz="6" w:space="0" w:color="7030A0"/>
            </w:tcBorders>
            <w:vAlign w:val="center"/>
            <w:hideMark/>
          </w:tcPr>
          <w:p w14:paraId="62273FB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86%</w:t>
            </w:r>
          </w:p>
        </w:tc>
        <w:tc>
          <w:tcPr>
            <w:tcW w:w="0" w:type="auto"/>
            <w:tcBorders>
              <w:top w:val="single" w:sz="6" w:space="0" w:color="7030A0"/>
            </w:tcBorders>
            <w:vAlign w:val="center"/>
            <w:hideMark/>
          </w:tcPr>
          <w:p w14:paraId="16C4D6B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33%</w:t>
            </w:r>
          </w:p>
        </w:tc>
      </w:tr>
      <w:tr w:rsidR="00FD42E7" w:rsidRPr="00252AC4" w14:paraId="6183B6C9"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01AF40" w14:textId="77777777" w:rsidR="00FD42E7" w:rsidRPr="00252AC4" w:rsidRDefault="00FD42E7" w:rsidP="00FD42E7">
            <w:pPr>
              <w:pStyle w:val="TableRow"/>
              <w:rPr>
                <w:lang w:val="en-GB"/>
              </w:rPr>
            </w:pPr>
            <w:r w:rsidRPr="00252AC4">
              <w:rPr>
                <w:lang w:val="en-GB"/>
              </w:rPr>
              <w:t xml:space="preserve">Size of the company </w:t>
            </w:r>
          </w:p>
        </w:tc>
        <w:tc>
          <w:tcPr>
            <w:tcW w:w="0" w:type="auto"/>
            <w:vAlign w:val="center"/>
          </w:tcPr>
          <w:p w14:paraId="3EAD0F67"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034C481"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363336C"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FB896A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0778EF33"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57D192C"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6B3B75D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shd w:val="clear" w:color="auto" w:fill="DBE5F1" w:themeFill="accent1" w:themeFillTint="33"/>
            <w:vAlign w:val="center"/>
            <w:hideMark/>
          </w:tcPr>
          <w:p w14:paraId="63239BA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57%</w:t>
            </w:r>
          </w:p>
        </w:tc>
        <w:tc>
          <w:tcPr>
            <w:tcW w:w="0" w:type="auto"/>
            <w:vAlign w:val="center"/>
          </w:tcPr>
          <w:p w14:paraId="68184A6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48%</w:t>
            </w:r>
          </w:p>
        </w:tc>
        <w:tc>
          <w:tcPr>
            <w:tcW w:w="0" w:type="auto"/>
            <w:vAlign w:val="center"/>
            <w:hideMark/>
          </w:tcPr>
          <w:p w14:paraId="06EC779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29%</w:t>
            </w:r>
          </w:p>
        </w:tc>
        <w:tc>
          <w:tcPr>
            <w:tcW w:w="0" w:type="auto"/>
            <w:vAlign w:val="center"/>
            <w:hideMark/>
          </w:tcPr>
          <w:p w14:paraId="38B3B717"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22%</w:t>
            </w:r>
          </w:p>
        </w:tc>
      </w:tr>
      <w:tr w:rsidR="00FD42E7" w:rsidRPr="00252AC4" w14:paraId="78549B91"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081729" w14:textId="77777777" w:rsidR="00FD42E7" w:rsidRPr="00252AC4" w:rsidRDefault="00FD42E7" w:rsidP="00FD42E7">
            <w:pPr>
              <w:pStyle w:val="TableRow"/>
              <w:rPr>
                <w:lang w:val="en-GB"/>
              </w:rPr>
            </w:pPr>
            <w:r w:rsidRPr="00252AC4">
              <w:rPr>
                <w:lang w:val="en-GB"/>
              </w:rPr>
              <w:t xml:space="preserve">Firm's engagement in internationalisation </w:t>
            </w:r>
          </w:p>
        </w:tc>
        <w:tc>
          <w:tcPr>
            <w:tcW w:w="0" w:type="auto"/>
            <w:vAlign w:val="center"/>
          </w:tcPr>
          <w:p w14:paraId="726D471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54C932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45B6CEC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127B9A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C0A243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6C1B548C"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6F877C83"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3BC09EF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57%</w:t>
            </w:r>
          </w:p>
        </w:tc>
        <w:tc>
          <w:tcPr>
            <w:tcW w:w="0" w:type="auto"/>
            <w:vAlign w:val="center"/>
          </w:tcPr>
          <w:p w14:paraId="679EF01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40%</w:t>
            </w:r>
          </w:p>
        </w:tc>
        <w:tc>
          <w:tcPr>
            <w:tcW w:w="0" w:type="auto"/>
            <w:vAlign w:val="center"/>
            <w:hideMark/>
          </w:tcPr>
          <w:p w14:paraId="576DD9C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86%</w:t>
            </w:r>
          </w:p>
        </w:tc>
        <w:tc>
          <w:tcPr>
            <w:tcW w:w="0" w:type="auto"/>
            <w:vAlign w:val="center"/>
            <w:hideMark/>
          </w:tcPr>
          <w:p w14:paraId="2C489A4F"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r>
      <w:tr w:rsidR="00FD42E7" w:rsidRPr="00252AC4" w14:paraId="2C27DE1F"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E105D5" w14:textId="77777777" w:rsidR="00FD42E7" w:rsidRPr="00252AC4" w:rsidRDefault="00FD42E7" w:rsidP="00FD42E7">
            <w:pPr>
              <w:pStyle w:val="TableRow"/>
              <w:rPr>
                <w:lang w:val="en-GB"/>
              </w:rPr>
            </w:pPr>
            <w:r w:rsidRPr="00252AC4">
              <w:rPr>
                <w:lang w:val="en-GB"/>
              </w:rPr>
              <w:t>Impact on competition</w:t>
            </w:r>
          </w:p>
        </w:tc>
        <w:tc>
          <w:tcPr>
            <w:tcW w:w="0" w:type="auto"/>
            <w:vAlign w:val="center"/>
          </w:tcPr>
          <w:p w14:paraId="33A9957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0BD7F550"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76EAB3EF"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2505C8A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69F010E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39C44987"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A4585F4"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1830A72D"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43%</w:t>
            </w:r>
          </w:p>
        </w:tc>
        <w:tc>
          <w:tcPr>
            <w:tcW w:w="0" w:type="auto"/>
            <w:vAlign w:val="center"/>
          </w:tcPr>
          <w:p w14:paraId="1D8A326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52%</w:t>
            </w:r>
          </w:p>
        </w:tc>
        <w:tc>
          <w:tcPr>
            <w:tcW w:w="0" w:type="auto"/>
            <w:vAlign w:val="center"/>
            <w:hideMark/>
          </w:tcPr>
          <w:p w14:paraId="59BC7714"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71%</w:t>
            </w:r>
          </w:p>
        </w:tc>
        <w:tc>
          <w:tcPr>
            <w:tcW w:w="0" w:type="auto"/>
            <w:vAlign w:val="center"/>
            <w:hideMark/>
          </w:tcPr>
          <w:p w14:paraId="2E31160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44%</w:t>
            </w:r>
          </w:p>
        </w:tc>
      </w:tr>
      <w:tr w:rsidR="00FD42E7" w:rsidRPr="00252AC4" w14:paraId="7DCBC97A"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81063C" w14:textId="77777777" w:rsidR="00FD42E7" w:rsidRPr="00252AC4" w:rsidRDefault="00FD42E7" w:rsidP="00FD42E7">
            <w:pPr>
              <w:pStyle w:val="TableRow"/>
              <w:rPr>
                <w:lang w:val="en-GB"/>
              </w:rPr>
            </w:pPr>
            <w:r w:rsidRPr="00252AC4">
              <w:rPr>
                <w:lang w:val="en-GB"/>
              </w:rPr>
              <w:t>Mode of entry</w:t>
            </w:r>
          </w:p>
        </w:tc>
        <w:tc>
          <w:tcPr>
            <w:tcW w:w="0" w:type="auto"/>
            <w:vAlign w:val="center"/>
          </w:tcPr>
          <w:p w14:paraId="40D8DD66"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AB27555"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0B4C319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051672E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4942B89F"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1FB1882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78C0F238"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1D19351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43%</w:t>
            </w:r>
          </w:p>
        </w:tc>
        <w:tc>
          <w:tcPr>
            <w:tcW w:w="0" w:type="auto"/>
            <w:vAlign w:val="center"/>
          </w:tcPr>
          <w:p w14:paraId="6B15CE9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c>
          <w:tcPr>
            <w:tcW w:w="0" w:type="auto"/>
            <w:vAlign w:val="center"/>
            <w:hideMark/>
          </w:tcPr>
          <w:p w14:paraId="3EA2D1D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43%</w:t>
            </w:r>
          </w:p>
        </w:tc>
        <w:tc>
          <w:tcPr>
            <w:tcW w:w="0" w:type="auto"/>
            <w:vAlign w:val="center"/>
            <w:hideMark/>
          </w:tcPr>
          <w:p w14:paraId="07590970"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22%</w:t>
            </w:r>
          </w:p>
        </w:tc>
      </w:tr>
      <w:tr w:rsidR="00FD42E7" w:rsidRPr="00252AC4" w14:paraId="553CECFD"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FD4B94" w14:textId="77777777" w:rsidR="00FD42E7" w:rsidRPr="00252AC4" w:rsidRDefault="00FD42E7" w:rsidP="00FD42E7">
            <w:pPr>
              <w:pStyle w:val="TableRow"/>
              <w:rPr>
                <w:lang w:val="en-GB"/>
              </w:rPr>
            </w:pPr>
            <w:r w:rsidRPr="00252AC4">
              <w:rPr>
                <w:lang w:val="en-GB"/>
              </w:rPr>
              <w:t xml:space="preserve">Nationality of the investor </w:t>
            </w:r>
          </w:p>
        </w:tc>
        <w:tc>
          <w:tcPr>
            <w:tcW w:w="0" w:type="auto"/>
            <w:vAlign w:val="center"/>
          </w:tcPr>
          <w:p w14:paraId="494922CA"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15C877CD"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6A8B3D6"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107F3B4"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391D2DDD"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2F753939"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3F21138D"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72F7EBE0"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43%</w:t>
            </w:r>
          </w:p>
        </w:tc>
        <w:tc>
          <w:tcPr>
            <w:tcW w:w="0" w:type="auto"/>
            <w:vAlign w:val="center"/>
          </w:tcPr>
          <w:p w14:paraId="2C20E08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36%</w:t>
            </w:r>
          </w:p>
        </w:tc>
        <w:tc>
          <w:tcPr>
            <w:tcW w:w="0" w:type="auto"/>
            <w:vAlign w:val="center"/>
            <w:hideMark/>
          </w:tcPr>
          <w:p w14:paraId="04530B31"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14%</w:t>
            </w:r>
          </w:p>
        </w:tc>
        <w:tc>
          <w:tcPr>
            <w:tcW w:w="0" w:type="auto"/>
            <w:vAlign w:val="center"/>
            <w:hideMark/>
          </w:tcPr>
          <w:p w14:paraId="00E1105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0%</w:t>
            </w:r>
          </w:p>
        </w:tc>
      </w:tr>
      <w:tr w:rsidR="00FD42E7" w:rsidRPr="00252AC4" w14:paraId="783B7150"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5C8AC4" w14:textId="77777777" w:rsidR="00FD42E7" w:rsidRPr="00252AC4" w:rsidRDefault="00FD42E7" w:rsidP="00FD42E7">
            <w:pPr>
              <w:pStyle w:val="TableRow"/>
              <w:rPr>
                <w:lang w:val="en-GB"/>
              </w:rPr>
            </w:pPr>
            <w:r w:rsidRPr="00252AC4">
              <w:rPr>
                <w:lang w:val="en-GB"/>
              </w:rPr>
              <w:t>Impact on wages</w:t>
            </w:r>
          </w:p>
        </w:tc>
        <w:tc>
          <w:tcPr>
            <w:tcW w:w="0" w:type="auto"/>
            <w:vAlign w:val="center"/>
          </w:tcPr>
          <w:p w14:paraId="024452E1"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122C34C4"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44F1116E"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6F368BB7"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1A9AD4C2"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0E0D1E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0BE1199C"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55A019DC"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29%</w:t>
            </w:r>
          </w:p>
        </w:tc>
        <w:tc>
          <w:tcPr>
            <w:tcW w:w="0" w:type="auto"/>
            <w:vAlign w:val="center"/>
          </w:tcPr>
          <w:p w14:paraId="7A0D02DB"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32%</w:t>
            </w:r>
          </w:p>
        </w:tc>
        <w:tc>
          <w:tcPr>
            <w:tcW w:w="0" w:type="auto"/>
            <w:vAlign w:val="center"/>
            <w:hideMark/>
          </w:tcPr>
          <w:p w14:paraId="6033880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57%</w:t>
            </w:r>
          </w:p>
        </w:tc>
        <w:tc>
          <w:tcPr>
            <w:tcW w:w="0" w:type="auto"/>
            <w:vAlign w:val="center"/>
            <w:hideMark/>
          </w:tcPr>
          <w:p w14:paraId="33F5D00E"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r>
      <w:tr w:rsidR="00FD42E7" w:rsidRPr="00252AC4" w14:paraId="0338E46A"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770E2A" w14:textId="77777777" w:rsidR="00FD42E7" w:rsidRPr="00252AC4" w:rsidRDefault="00FD42E7" w:rsidP="00FD42E7">
            <w:pPr>
              <w:pStyle w:val="TableRow"/>
              <w:rPr>
                <w:lang w:val="en-GB"/>
              </w:rPr>
            </w:pPr>
            <w:r w:rsidRPr="00252AC4">
              <w:rPr>
                <w:lang w:val="en-GB"/>
              </w:rPr>
              <w:t>Impact on tax revenue</w:t>
            </w:r>
          </w:p>
        </w:tc>
        <w:tc>
          <w:tcPr>
            <w:tcW w:w="0" w:type="auto"/>
            <w:vAlign w:val="center"/>
          </w:tcPr>
          <w:p w14:paraId="41671DB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2BEC3273"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1F58435D"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181D1B9B"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2FB8D477"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60BB93D3"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1722E12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shd w:val="clear" w:color="auto" w:fill="DBE5F1" w:themeFill="accent1" w:themeFillTint="33"/>
            <w:vAlign w:val="center"/>
            <w:hideMark/>
          </w:tcPr>
          <w:p w14:paraId="3023F39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29%</w:t>
            </w:r>
          </w:p>
        </w:tc>
        <w:tc>
          <w:tcPr>
            <w:tcW w:w="0" w:type="auto"/>
            <w:vAlign w:val="center"/>
          </w:tcPr>
          <w:p w14:paraId="6E45266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20%</w:t>
            </w:r>
          </w:p>
        </w:tc>
        <w:tc>
          <w:tcPr>
            <w:tcW w:w="0" w:type="auto"/>
            <w:vAlign w:val="center"/>
            <w:hideMark/>
          </w:tcPr>
          <w:p w14:paraId="6DDEED85"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43%</w:t>
            </w:r>
          </w:p>
        </w:tc>
        <w:tc>
          <w:tcPr>
            <w:tcW w:w="0" w:type="auto"/>
            <w:vAlign w:val="center"/>
            <w:hideMark/>
          </w:tcPr>
          <w:p w14:paraId="1C4AF8D6"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56%</w:t>
            </w:r>
          </w:p>
        </w:tc>
      </w:tr>
      <w:tr w:rsidR="00FD42E7" w:rsidRPr="00252AC4" w14:paraId="16A460A0"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9F729A" w14:textId="77777777" w:rsidR="00FD42E7" w:rsidRPr="00252AC4" w:rsidRDefault="00FD42E7" w:rsidP="00FD42E7">
            <w:pPr>
              <w:pStyle w:val="TableRow"/>
              <w:rPr>
                <w:lang w:val="en-GB"/>
              </w:rPr>
            </w:pPr>
            <w:r w:rsidRPr="00252AC4">
              <w:rPr>
                <w:lang w:val="en-GB"/>
              </w:rPr>
              <w:t>Impact on domestic firms' production capabilities</w:t>
            </w:r>
          </w:p>
        </w:tc>
        <w:tc>
          <w:tcPr>
            <w:tcW w:w="0" w:type="auto"/>
            <w:vAlign w:val="center"/>
          </w:tcPr>
          <w:p w14:paraId="57FC4B59" w14:textId="77777777" w:rsidR="00FD42E7" w:rsidRPr="00252AC4" w:rsidRDefault="00FD42E7" w:rsidP="00FD42E7">
            <w:pPr>
              <w:pStyle w:val="TableCell"/>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04E3782B" w14:textId="77777777" w:rsidR="00FD42E7" w:rsidRPr="00252AC4" w:rsidRDefault="00FD42E7" w:rsidP="00FD42E7">
            <w:pPr>
              <w:pStyle w:val="TableCell"/>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2585AD24" w14:textId="77777777" w:rsidR="00FD42E7" w:rsidRPr="00252AC4" w:rsidRDefault="00FD42E7" w:rsidP="00FD42E7">
            <w:pPr>
              <w:pStyle w:val="TableCell"/>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144FF54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5A825FCA" w14:textId="77777777" w:rsidR="00FD42E7" w:rsidRPr="00252AC4" w:rsidRDefault="00FD42E7" w:rsidP="00FD42E7">
            <w:pPr>
              <w:pStyle w:val="TableCell"/>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56A1B9E6"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15658D84" w14:textId="77777777" w:rsidR="00FD42E7" w:rsidRPr="00252AC4" w:rsidRDefault="00FD42E7" w:rsidP="00FD42E7">
            <w:pPr>
              <w:pStyle w:val="TableCell"/>
              <w:jc w:val="both"/>
              <w:cnfStyle w:val="000000100000" w:firstRow="0" w:lastRow="0" w:firstColumn="0" w:lastColumn="0" w:oddVBand="0" w:evenVBand="0" w:oddHBand="1" w:evenHBand="0" w:firstRowFirstColumn="0" w:firstRowLastColumn="0" w:lastRowFirstColumn="0" w:lastRowLastColumn="0"/>
              <w:rPr>
                <w:lang w:val="en-GB"/>
              </w:rPr>
            </w:pPr>
          </w:p>
        </w:tc>
        <w:tc>
          <w:tcPr>
            <w:tcW w:w="0" w:type="auto"/>
            <w:shd w:val="clear" w:color="auto" w:fill="DBE5F1" w:themeFill="accent1" w:themeFillTint="33"/>
            <w:vAlign w:val="center"/>
            <w:hideMark/>
          </w:tcPr>
          <w:p w14:paraId="73F2B61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29%</w:t>
            </w:r>
          </w:p>
        </w:tc>
        <w:tc>
          <w:tcPr>
            <w:tcW w:w="0" w:type="auto"/>
            <w:vAlign w:val="center"/>
          </w:tcPr>
          <w:p w14:paraId="413FEECA"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52%</w:t>
            </w:r>
          </w:p>
        </w:tc>
        <w:tc>
          <w:tcPr>
            <w:tcW w:w="0" w:type="auto"/>
            <w:vAlign w:val="center"/>
            <w:hideMark/>
          </w:tcPr>
          <w:p w14:paraId="4CB886D6"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100%</w:t>
            </w:r>
          </w:p>
        </w:tc>
        <w:tc>
          <w:tcPr>
            <w:tcW w:w="0" w:type="auto"/>
            <w:vAlign w:val="center"/>
            <w:hideMark/>
          </w:tcPr>
          <w:p w14:paraId="5E19963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56%</w:t>
            </w:r>
          </w:p>
        </w:tc>
      </w:tr>
      <w:tr w:rsidR="00FD42E7" w:rsidRPr="00252AC4" w14:paraId="2B06F6CF" w14:textId="77777777" w:rsidTr="00FD42E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1B86C8" w14:textId="77777777" w:rsidR="00FD42E7" w:rsidRPr="00252AC4" w:rsidRDefault="00FD42E7" w:rsidP="00FD42E7">
            <w:pPr>
              <w:pStyle w:val="TableRow"/>
              <w:rPr>
                <w:lang w:val="en-GB"/>
              </w:rPr>
            </w:pPr>
            <w:r w:rsidRPr="00252AC4">
              <w:rPr>
                <w:lang w:val="en-GB"/>
              </w:rPr>
              <w:t>Priority country of origin</w:t>
            </w:r>
          </w:p>
        </w:tc>
        <w:tc>
          <w:tcPr>
            <w:tcW w:w="0" w:type="auto"/>
            <w:vAlign w:val="center"/>
          </w:tcPr>
          <w:p w14:paraId="2A0E8A63"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0ADFC8BE"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4624CD28"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0CDF50D9"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6E2D5C16"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5D32AE3A"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p>
        </w:tc>
        <w:tc>
          <w:tcPr>
            <w:tcW w:w="0" w:type="auto"/>
            <w:vAlign w:val="center"/>
          </w:tcPr>
          <w:p w14:paraId="7C52D92F" w14:textId="77777777" w:rsidR="00FD42E7" w:rsidRPr="00252AC4" w:rsidRDefault="00FD42E7" w:rsidP="00FD42E7">
            <w:pPr>
              <w:pStyle w:val="TableCell"/>
              <w:jc w:val="center"/>
              <w:cnfStyle w:val="000000010000" w:firstRow="0" w:lastRow="0" w:firstColumn="0" w:lastColumn="0" w:oddVBand="0" w:evenVBand="0" w:oddHBand="0" w:evenHBand="1" w:firstRowFirstColumn="0" w:firstRowLastColumn="0" w:lastRowFirstColumn="0" w:lastRowLastColumn="0"/>
              <w:rPr>
                <w:lang w:val="en-GB"/>
              </w:rPr>
            </w:pPr>
            <w:r w:rsidRPr="00252AC4">
              <w:rPr>
                <w:b/>
                <w:color w:val="7030A0"/>
                <w:sz w:val="12"/>
                <w:szCs w:val="12"/>
                <w:lang w:val="en-GB"/>
              </w:rPr>
              <w:sym w:font="Wingdings" w:char="F0FC"/>
            </w:r>
          </w:p>
        </w:tc>
        <w:tc>
          <w:tcPr>
            <w:tcW w:w="0" w:type="auto"/>
            <w:shd w:val="clear" w:color="auto" w:fill="DBE5F1" w:themeFill="accent1" w:themeFillTint="33"/>
            <w:vAlign w:val="center"/>
            <w:hideMark/>
          </w:tcPr>
          <w:p w14:paraId="1162D26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b/>
                <w:lang w:val="en-GB"/>
              </w:rPr>
            </w:pPr>
            <w:r w:rsidRPr="00252AC4">
              <w:rPr>
                <w:b/>
                <w:lang w:val="en-GB"/>
              </w:rPr>
              <w:t>29%</w:t>
            </w:r>
          </w:p>
        </w:tc>
        <w:tc>
          <w:tcPr>
            <w:tcW w:w="0" w:type="auto"/>
            <w:vAlign w:val="center"/>
          </w:tcPr>
          <w:p w14:paraId="172F0D8B"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40%</w:t>
            </w:r>
          </w:p>
        </w:tc>
        <w:tc>
          <w:tcPr>
            <w:tcW w:w="0" w:type="auto"/>
            <w:vAlign w:val="center"/>
            <w:hideMark/>
          </w:tcPr>
          <w:p w14:paraId="03274998"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29%</w:t>
            </w:r>
          </w:p>
        </w:tc>
        <w:tc>
          <w:tcPr>
            <w:tcW w:w="0" w:type="auto"/>
            <w:vAlign w:val="center"/>
            <w:hideMark/>
          </w:tcPr>
          <w:p w14:paraId="153EF342" w14:textId="77777777" w:rsidR="00FD42E7" w:rsidRPr="00252AC4" w:rsidRDefault="00FD42E7" w:rsidP="00FD42E7">
            <w:pPr>
              <w:pStyle w:val="TableCell"/>
              <w:cnfStyle w:val="000000010000" w:firstRow="0" w:lastRow="0" w:firstColumn="0" w:lastColumn="0" w:oddVBand="0" w:evenVBand="0" w:oddHBand="0" w:evenHBand="1" w:firstRowFirstColumn="0" w:firstRowLastColumn="0" w:lastRowFirstColumn="0" w:lastRowLastColumn="0"/>
              <w:rPr>
                <w:lang w:val="en-GB"/>
              </w:rPr>
            </w:pPr>
            <w:r w:rsidRPr="00252AC4">
              <w:rPr>
                <w:lang w:val="en-GB"/>
              </w:rPr>
              <w:t>33%</w:t>
            </w:r>
          </w:p>
        </w:tc>
      </w:tr>
      <w:tr w:rsidR="00FD42E7" w:rsidRPr="00252AC4" w14:paraId="5EFE9921" w14:textId="77777777" w:rsidTr="00FD42E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3726C9" w14:textId="77777777" w:rsidR="00FD42E7" w:rsidRPr="00252AC4" w:rsidRDefault="00FD42E7" w:rsidP="00FD42E7">
            <w:pPr>
              <w:pStyle w:val="TableRow"/>
              <w:rPr>
                <w:lang w:val="en-GB"/>
              </w:rPr>
            </w:pPr>
            <w:r w:rsidRPr="00252AC4">
              <w:rPr>
                <w:lang w:val="en-GB"/>
              </w:rPr>
              <w:t>Type of investor (e.g. JV, Private Equity)</w:t>
            </w:r>
          </w:p>
        </w:tc>
        <w:tc>
          <w:tcPr>
            <w:tcW w:w="0" w:type="auto"/>
            <w:vAlign w:val="center"/>
          </w:tcPr>
          <w:p w14:paraId="6FD7C0B6"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4309023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4BA63093"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41A24D45"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0A7B300E" w14:textId="77777777" w:rsidR="00FD42E7" w:rsidRPr="00252AC4" w:rsidRDefault="00FD42E7" w:rsidP="00FD42E7">
            <w:pPr>
              <w:pStyle w:val="TableCell"/>
              <w:jc w:val="center"/>
              <w:cnfStyle w:val="000000100000" w:firstRow="0" w:lastRow="0" w:firstColumn="0" w:lastColumn="0" w:oddVBand="0" w:evenVBand="0" w:oddHBand="1" w:evenHBand="0" w:firstRowFirstColumn="0" w:firstRowLastColumn="0" w:lastRowFirstColumn="0" w:lastRowLastColumn="0"/>
              <w:rPr>
                <w:lang w:val="en-GB"/>
              </w:rPr>
            </w:pPr>
            <w:r w:rsidRPr="00252AC4">
              <w:rPr>
                <w:b/>
                <w:color w:val="7030A0"/>
                <w:sz w:val="12"/>
                <w:szCs w:val="12"/>
                <w:lang w:val="en-GB"/>
              </w:rPr>
              <w:sym w:font="Wingdings" w:char="F0FC"/>
            </w:r>
          </w:p>
        </w:tc>
        <w:tc>
          <w:tcPr>
            <w:tcW w:w="0" w:type="auto"/>
            <w:vAlign w:val="center"/>
          </w:tcPr>
          <w:p w14:paraId="32EF3059"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vAlign w:val="center"/>
          </w:tcPr>
          <w:p w14:paraId="1D1EA711"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p>
        </w:tc>
        <w:tc>
          <w:tcPr>
            <w:tcW w:w="0" w:type="auto"/>
            <w:shd w:val="clear" w:color="auto" w:fill="DBE5F1" w:themeFill="accent1" w:themeFillTint="33"/>
            <w:vAlign w:val="center"/>
            <w:hideMark/>
          </w:tcPr>
          <w:p w14:paraId="3BFBFDC2"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b/>
                <w:lang w:val="en-GB"/>
              </w:rPr>
            </w:pPr>
            <w:r w:rsidRPr="00252AC4">
              <w:rPr>
                <w:b/>
                <w:lang w:val="en-GB"/>
              </w:rPr>
              <w:t>29%</w:t>
            </w:r>
          </w:p>
        </w:tc>
        <w:tc>
          <w:tcPr>
            <w:tcW w:w="0" w:type="auto"/>
            <w:vAlign w:val="center"/>
          </w:tcPr>
          <w:p w14:paraId="4D42D95C"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40%</w:t>
            </w:r>
          </w:p>
        </w:tc>
        <w:tc>
          <w:tcPr>
            <w:tcW w:w="0" w:type="auto"/>
            <w:vAlign w:val="center"/>
            <w:hideMark/>
          </w:tcPr>
          <w:p w14:paraId="18998F1E"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29%</w:t>
            </w:r>
          </w:p>
        </w:tc>
        <w:tc>
          <w:tcPr>
            <w:tcW w:w="0" w:type="auto"/>
            <w:vAlign w:val="center"/>
            <w:hideMark/>
          </w:tcPr>
          <w:p w14:paraId="56142C91" w14:textId="77777777" w:rsidR="00FD42E7" w:rsidRPr="00252AC4" w:rsidRDefault="00FD42E7" w:rsidP="00FD42E7">
            <w:pPr>
              <w:pStyle w:val="TableCell"/>
              <w:cnfStyle w:val="000000100000" w:firstRow="0" w:lastRow="0" w:firstColumn="0" w:lastColumn="0" w:oddVBand="0" w:evenVBand="0" w:oddHBand="1" w:evenHBand="0" w:firstRowFirstColumn="0" w:firstRowLastColumn="0" w:lastRowFirstColumn="0" w:lastRowLastColumn="0"/>
              <w:rPr>
                <w:lang w:val="en-GB"/>
              </w:rPr>
            </w:pPr>
            <w:r w:rsidRPr="00252AC4">
              <w:rPr>
                <w:lang w:val="en-GB"/>
              </w:rPr>
              <w:t>44%</w:t>
            </w:r>
          </w:p>
        </w:tc>
      </w:tr>
    </w:tbl>
    <w:p w14:paraId="68457AC0" w14:textId="11C5D39E" w:rsidR="00FD42E7" w:rsidRPr="00252AC4" w:rsidRDefault="00FD42E7" w:rsidP="00FD42E7">
      <w:pPr>
        <w:pStyle w:val="Sourcenotes"/>
      </w:pPr>
      <w:r w:rsidRPr="00252AC4">
        <w:t xml:space="preserve">Source: </w:t>
      </w:r>
      <w:r w:rsidR="002D0432" w:rsidRPr="00252AC4">
        <w:t>OECD-IDB Survey of Inves</w:t>
      </w:r>
      <w:r w:rsidR="00C21B57" w:rsidRPr="00252AC4">
        <w:t>tment Promotion Agencies (2020)</w:t>
      </w:r>
    </w:p>
    <w:p w14:paraId="4C8309F1" w14:textId="7C44E9B6" w:rsidR="00FD42E7" w:rsidRPr="00252AC4" w:rsidRDefault="00FD42E7" w:rsidP="002F604E">
      <w:pPr>
        <w:pStyle w:val="Heading3"/>
      </w:pPr>
      <w:r w:rsidRPr="00252AC4">
        <w:t>Overall, Eurasia IPAs rely less on internal consultation processes and market studies than OECD IPAs</w:t>
      </w:r>
      <w:r w:rsidR="00C730DF" w:rsidRPr="00252AC4">
        <w:t xml:space="preserve"> for prioritisation purposes</w:t>
      </w:r>
    </w:p>
    <w:p w14:paraId="5A21357F" w14:textId="1CC9599C" w:rsidR="00FD42E7" w:rsidRPr="00252AC4" w:rsidRDefault="00FD42E7" w:rsidP="00FD42E7">
      <w:pPr>
        <w:pStyle w:val="Para0"/>
      </w:pPr>
      <w:r w:rsidRPr="00252AC4">
        <w:t xml:space="preserve">The process of identifying prioritisation strategies can be complex as it involves gathering a broad range of information, and requires co-ordination and communication with </w:t>
      </w:r>
      <w:r w:rsidR="00046B7D" w:rsidRPr="00252AC4">
        <w:t>external partners</w:t>
      </w:r>
      <w:r w:rsidRPr="00252AC4">
        <w:t xml:space="preserve">. </w:t>
      </w:r>
    </w:p>
    <w:p w14:paraId="470E25E6" w14:textId="7659FDD5" w:rsidR="00FD42E7" w:rsidRPr="00252AC4" w:rsidRDefault="00FD42E7" w:rsidP="00FD42E7">
      <w:pPr>
        <w:pStyle w:val="Para0"/>
      </w:pPr>
      <w:r w:rsidRPr="00252AC4">
        <w:t>Eurasia IPAs rely less on internal decision-making processes than IPAs in other regions (</w:t>
      </w:r>
      <w:r w:rsidR="002B5934" w:rsidRPr="00252AC4">
        <w:t>Figure 2.10</w:t>
      </w:r>
      <w:r w:rsidRPr="00252AC4">
        <w:t>). For example, only 25% of the agencies that prioritise sectors or countries consider decisions or views from their supe</w:t>
      </w:r>
      <w:r w:rsidR="00EA3761" w:rsidRPr="00252AC4">
        <w:t>rvisory board in their decision-</w:t>
      </w:r>
      <w:r w:rsidRPr="00252AC4">
        <w:t xml:space="preserve">making process, compared to 45% in the OECD, 44% in MENA and 82% in LAC. </w:t>
      </w:r>
      <w:r w:rsidR="00EA3761" w:rsidRPr="00252AC4">
        <w:t>Staff</w:t>
      </w:r>
      <w:r w:rsidRPr="00252AC4">
        <w:t xml:space="preserve"> views </w:t>
      </w:r>
      <w:r w:rsidR="00EA3761" w:rsidRPr="00252AC4">
        <w:t xml:space="preserve">are also </w:t>
      </w:r>
      <w:r w:rsidRPr="00252AC4">
        <w:t xml:space="preserve">less </w:t>
      </w:r>
      <w:r w:rsidR="00EA3761" w:rsidRPr="00252AC4">
        <w:t xml:space="preserve">considered </w:t>
      </w:r>
      <w:r w:rsidRPr="00252AC4">
        <w:t>in Eurasia than in other regions. Most agencies rely on inputs from the agency’s management (75%), which is broadly in line with other region’s practices.</w:t>
      </w:r>
    </w:p>
    <w:p w14:paraId="04D0BD74" w14:textId="6722EE45" w:rsidR="00FD42E7" w:rsidRPr="00252AC4" w:rsidRDefault="00FD42E7" w:rsidP="00FD42E7">
      <w:pPr>
        <w:pStyle w:val="Para0"/>
      </w:pPr>
      <w:r w:rsidRPr="00252AC4">
        <w:t xml:space="preserve">As regards consultations with external stakeholders, Eurasia IPAs rely more on inputs from domestic firms </w:t>
      </w:r>
      <w:r w:rsidR="007C58CB" w:rsidRPr="00252AC4">
        <w:t>than</w:t>
      </w:r>
      <w:r w:rsidRPr="00252AC4">
        <w:t xml:space="preserve"> OECD IPAs but less on universities, technical institutes and research centres. While the views of international investors appear to be </w:t>
      </w:r>
      <w:r w:rsidR="00EA3761" w:rsidRPr="00252AC4">
        <w:t>well taken into consideration,</w:t>
      </w:r>
      <w:r w:rsidRPr="00252AC4">
        <w:t xml:space="preserve"> in line with the OECD and MENA, few agencies consult local governments (38</w:t>
      </w:r>
      <w:r w:rsidR="00EA3761" w:rsidRPr="00252AC4">
        <w:t>%)</w:t>
      </w:r>
      <w:r w:rsidRPr="00252AC4">
        <w:t xml:space="preserve">. </w:t>
      </w:r>
      <w:r w:rsidR="00EA3761" w:rsidRPr="00252AC4">
        <w:t>Given the focus of Eurasia IPAs on regional development, further</w:t>
      </w:r>
      <w:r w:rsidRPr="00252AC4">
        <w:t xml:space="preserve"> involvement of sub-national stakeholders in the prioritisation process could </w:t>
      </w:r>
      <w:r w:rsidR="00EA3761" w:rsidRPr="00252AC4">
        <w:t>be considered</w:t>
      </w:r>
      <w:r w:rsidRPr="00252AC4">
        <w:t xml:space="preserve">. </w:t>
      </w:r>
    </w:p>
    <w:p w14:paraId="5700B6E6" w14:textId="26986AE0" w:rsidR="00FD42E7" w:rsidRPr="00252AC4" w:rsidRDefault="00FD42E7" w:rsidP="00FD42E7">
      <w:pPr>
        <w:pStyle w:val="Para0"/>
      </w:pPr>
      <w:r w:rsidRPr="00252AC4">
        <w:t>It is noteworthy that market studies tend to be Eurasia IPAs’ main source of information during the process of prioritisation</w:t>
      </w:r>
      <w:r w:rsidR="00C730DF" w:rsidRPr="00252AC4">
        <w:t xml:space="preserve"> and not for investment generation activities</w:t>
      </w:r>
      <w:r w:rsidRPr="00252AC4">
        <w:t xml:space="preserve">. </w:t>
      </w:r>
      <w:r w:rsidR="00C730DF" w:rsidRPr="00252AC4">
        <w:t>A</w:t>
      </w:r>
      <w:r w:rsidRPr="00252AC4">
        <w:t xml:space="preserve">ll surveyed agencies </w:t>
      </w:r>
      <w:r w:rsidR="00115824" w:rsidRPr="00252AC4">
        <w:t>carry out analyse</w:t>
      </w:r>
      <w:r w:rsidRPr="00252AC4">
        <w:t xml:space="preserve">s of domestic supply capacity and seven out of eight agencies (88%) analyse dynamics and developments in global demand. These shares are </w:t>
      </w:r>
      <w:r w:rsidRPr="00252AC4">
        <w:lastRenderedPageBreak/>
        <w:t>significantly lower in other regions, notably in the OECD (45% and 39% respectively). Six out of eight agencies (75%) base their decisions on comparative positioning vis-à-vis competitors, as compared to 55% in the OECD. Identification of market failures features less in IPAs’ decision-making process, as is the case in other regions.</w:t>
      </w:r>
      <w:r w:rsidR="00C730DF" w:rsidRPr="00252AC4">
        <w:t xml:space="preserve"> The results of the survey suggest that Eurasia IPAs tend to use more market studies for selecting priority sectors than for informing potential investors, which can seem surprising. Agencies concerned could envisage further using market data to produce targeted communications tools.</w:t>
      </w:r>
    </w:p>
    <w:p w14:paraId="51757264" w14:textId="40C9981C" w:rsidR="00FD42E7" w:rsidRPr="00252AC4" w:rsidRDefault="00115824" w:rsidP="00FD42E7">
      <w:pPr>
        <w:pStyle w:val="Para0"/>
      </w:pPr>
      <w:r w:rsidRPr="00252AC4">
        <w:t>P</w:t>
      </w:r>
      <w:r w:rsidR="00FD42E7" w:rsidRPr="00252AC4">
        <w:t>olitical considerations also tend to play a</w:t>
      </w:r>
      <w:r w:rsidRPr="00252AC4">
        <w:t xml:space="preserve"> prominent</w:t>
      </w:r>
      <w:r w:rsidR="00FD42E7" w:rsidRPr="00252AC4">
        <w:t xml:space="preserve"> role in </w:t>
      </w:r>
      <w:r w:rsidRPr="00252AC4">
        <w:t>prioritisation processes</w:t>
      </w:r>
      <w:r w:rsidR="00FD42E7" w:rsidRPr="00252AC4">
        <w:t xml:space="preserve">. </w:t>
      </w:r>
      <w:r w:rsidR="005D2858" w:rsidRPr="00252AC4">
        <w:t>Half of</w:t>
      </w:r>
      <w:r w:rsidR="00FD42E7" w:rsidRPr="00252AC4">
        <w:t xml:space="preserve"> IPAs </w:t>
      </w:r>
      <w:r w:rsidRPr="00252AC4">
        <w:t>rely on</w:t>
      </w:r>
      <w:r w:rsidR="00FD42E7" w:rsidRPr="00252AC4">
        <w:t xml:space="preserve"> decisions by a ministry, and the same share rely on national development plans or other government wide strategy, which is broadly in line with OECD and LAC practices. The survey suggests that </w:t>
      </w:r>
      <w:r w:rsidR="00FD42E7" w:rsidRPr="00252AC4">
        <w:rPr>
          <w:i/>
        </w:rPr>
        <w:t>ad</w:t>
      </w:r>
      <w:r w:rsidR="00D830ED" w:rsidRPr="00252AC4">
        <w:rPr>
          <w:i/>
        </w:rPr>
        <w:t xml:space="preserve"> </w:t>
      </w:r>
      <w:r w:rsidR="00FD42E7" w:rsidRPr="00252AC4">
        <w:rPr>
          <w:i/>
        </w:rPr>
        <w:t>hoc</w:t>
      </w:r>
      <w:r w:rsidR="00FD42E7" w:rsidRPr="00252AC4">
        <w:t xml:space="preserve"> political agendas (50%) and specific laws or decrees (38%) play a more important role in Eurasia than in other regions.</w:t>
      </w:r>
    </w:p>
    <w:p w14:paraId="4550B238" w14:textId="762F7FC0" w:rsidR="00EE5187" w:rsidRPr="00252AC4" w:rsidRDefault="00EE5187" w:rsidP="0051394F">
      <w:pPr>
        <w:pStyle w:val="Caption"/>
      </w:pPr>
      <w:bookmarkStart w:id="312" w:name="_Toc34647266"/>
      <w:bookmarkStart w:id="313" w:name="_Ref30670256"/>
      <w:bookmarkStart w:id="314" w:name="_Toc31617752"/>
      <w:bookmarkStart w:id="315" w:name="_Toc31641352"/>
      <w:bookmarkStart w:id="316" w:name="_Toc31650352"/>
      <w:bookmarkStart w:id="317" w:name="_Toc32317056"/>
      <w:bookmarkStart w:id="318" w:name="_Toc32324715"/>
      <w:r w:rsidRPr="00252AC4">
        <w:t xml:space="preserve">Figure </w:t>
      </w:r>
      <w:r w:rsidR="009915F6">
        <w:fldChar w:fldCharType="begin"/>
      </w:r>
      <w:r w:rsidR="009915F6">
        <w:instrText xml:space="preserve"> STYLEREF 1 \s </w:instrText>
      </w:r>
      <w:r w:rsidR="009915F6">
        <w:fldChar w:fldCharType="separate"/>
      </w:r>
      <w:r w:rsidR="008914FE">
        <w:rPr>
          <w:noProof/>
        </w:rPr>
        <w:t>2</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10</w:t>
      </w:r>
      <w:r w:rsidRPr="00252AC4">
        <w:rPr>
          <w:noProof/>
        </w:rPr>
        <w:fldChar w:fldCharType="end"/>
      </w:r>
      <w:r w:rsidRPr="00252AC4">
        <w:t>. Inputs used in the process of sector and country prioritisation by region</w:t>
      </w:r>
      <w:bookmarkEnd w:id="312"/>
    </w:p>
    <w:p w14:paraId="747F1883" w14:textId="09CE0391" w:rsidR="00EE5187" w:rsidRPr="00252AC4" w:rsidRDefault="00EE5187" w:rsidP="00EE5187">
      <w:pPr>
        <w:pStyle w:val="Figure"/>
        <w:rPr>
          <w:noProof/>
          <w:lang w:eastAsia="en-GB"/>
        </w:rPr>
      </w:pPr>
      <w:r w:rsidRPr="00252AC4">
        <w:rPr>
          <w:noProof/>
          <w:lang w:eastAsia="en-GB"/>
        </w:rPr>
        <w:drawing>
          <wp:inline distT="0" distB="0" distL="0" distR="0" wp14:anchorId="4C2114E6" wp14:editId="77A5B29D">
            <wp:extent cx="5904230" cy="3019808"/>
            <wp:effectExtent l="0" t="0" r="127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4230" cy="3019808"/>
                    </a:xfrm>
                    <a:prstGeom prst="rect">
                      <a:avLst/>
                    </a:prstGeom>
                    <a:noFill/>
                    <a:ln>
                      <a:noFill/>
                    </a:ln>
                  </pic:spPr>
                </pic:pic>
              </a:graphicData>
            </a:graphic>
          </wp:inline>
        </w:drawing>
      </w:r>
    </w:p>
    <w:p w14:paraId="08F1B333" w14:textId="5E96552F" w:rsidR="00EE5187" w:rsidRPr="00252AC4" w:rsidRDefault="00EE5187" w:rsidP="0051394F">
      <w:pPr>
        <w:pStyle w:val="Sourcenotes"/>
      </w:pPr>
      <w:r w:rsidRPr="00252AC4">
        <w:rPr>
          <w:i/>
        </w:rPr>
        <w:t>Note</w:t>
      </w:r>
      <w:r w:rsidRPr="00252AC4">
        <w:t>: The figure illustrates the number of agencies of each region that considers specific inputs for their targeting strategies, as a share of all agencies that engage in sector or country prioritisation.</w:t>
      </w:r>
    </w:p>
    <w:p w14:paraId="3B745CE8" w14:textId="48CEA558" w:rsidR="00EE5187" w:rsidRPr="00252AC4" w:rsidRDefault="00EE5187" w:rsidP="0051394F">
      <w:pPr>
        <w:pStyle w:val="Sourcenotes"/>
      </w:pPr>
      <w:r w:rsidRPr="00252AC4">
        <w:rPr>
          <w:i/>
        </w:rPr>
        <w:t>Source</w:t>
      </w:r>
      <w:r w:rsidRPr="00252AC4">
        <w:t>: OECD-IDB Survey of Inves</w:t>
      </w:r>
      <w:r w:rsidR="00C21B57" w:rsidRPr="00252AC4">
        <w:t>tment Promotion Agencies (2020)</w:t>
      </w:r>
    </w:p>
    <w:bookmarkEnd w:id="313"/>
    <w:bookmarkEnd w:id="314"/>
    <w:bookmarkEnd w:id="315"/>
    <w:bookmarkEnd w:id="316"/>
    <w:bookmarkEnd w:id="317"/>
    <w:bookmarkEnd w:id="318"/>
    <w:p w14:paraId="3082B5C4" w14:textId="4439D348" w:rsidR="001D3BDB" w:rsidRPr="00252AC4" w:rsidRDefault="001D3BDB">
      <w:pPr>
        <w:spacing w:line="276" w:lineRule="auto"/>
        <w:jc w:val="left"/>
      </w:pPr>
      <w:r w:rsidRPr="00252AC4">
        <w:br w:type="page"/>
      </w:r>
    </w:p>
    <w:p w14:paraId="796B5CE6" w14:textId="2A8F99BD" w:rsidR="00FD42E7" w:rsidRPr="00252AC4" w:rsidRDefault="00E96ABF" w:rsidP="001D3BDB">
      <w:pPr>
        <w:pStyle w:val="Heading9"/>
      </w:pPr>
      <w:bookmarkStart w:id="319" w:name="_Ref31646640"/>
      <w:bookmarkStart w:id="320" w:name="_Ref31645756"/>
      <w:bookmarkStart w:id="321" w:name="_Toc31650312"/>
      <w:bookmarkStart w:id="322" w:name="_Toc32317013"/>
      <w:bookmarkStart w:id="323" w:name="_Toc32324672"/>
      <w:bookmarkStart w:id="324" w:name="_Toc40103027"/>
      <w:r w:rsidRPr="00252AC4">
        <w:lastRenderedPageBreak/>
        <w:t>Shares of activities performed within each core function</w:t>
      </w:r>
      <w:bookmarkEnd w:id="319"/>
      <w:bookmarkEnd w:id="320"/>
      <w:bookmarkEnd w:id="321"/>
      <w:bookmarkEnd w:id="322"/>
      <w:bookmarkEnd w:id="323"/>
      <w:bookmarkEnd w:id="324"/>
    </w:p>
    <w:p w14:paraId="26DC594A" w14:textId="36DC78A2" w:rsidR="001D3BDB" w:rsidRPr="00252AC4" w:rsidRDefault="001D3BDB" w:rsidP="001D3BDB">
      <w:pPr>
        <w:pStyle w:val="Caption"/>
      </w:pPr>
      <w:bookmarkStart w:id="325" w:name="_Toc31617785"/>
      <w:bookmarkStart w:id="326" w:name="_Toc31641314"/>
      <w:r w:rsidRPr="00252AC4">
        <w:t xml:space="preserve">Annex Table </w:t>
      </w:r>
      <w:r w:rsidR="009915F6">
        <w:fldChar w:fldCharType="begin"/>
      </w:r>
      <w:r w:rsidR="009915F6">
        <w:instrText xml:space="preserve"> STYLEREF 9 \s </w:instrText>
      </w:r>
      <w:r w:rsidR="009915F6">
        <w:fldChar w:fldCharType="separate"/>
      </w:r>
      <w:r w:rsidR="008914FE">
        <w:rPr>
          <w:noProof/>
        </w:rPr>
        <w:t>2.A</w:t>
      </w:r>
      <w:r w:rsidR="009915F6">
        <w:rPr>
          <w:noProof/>
        </w:rPr>
        <w:fldChar w:fldCharType="end"/>
      </w:r>
      <w:r w:rsidRPr="00252AC4">
        <w:t>.</w:t>
      </w:r>
      <w:r w:rsidRPr="00252AC4">
        <w:rPr>
          <w:noProof/>
        </w:rPr>
        <w:fldChar w:fldCharType="begin"/>
      </w:r>
      <w:r w:rsidRPr="00252AC4">
        <w:rPr>
          <w:noProof/>
        </w:rPr>
        <w:instrText xml:space="preserve"> SEQ Annex_Table \* ARABIC \s 9 </w:instrText>
      </w:r>
      <w:r w:rsidRPr="00252AC4">
        <w:rPr>
          <w:noProof/>
        </w:rPr>
        <w:fldChar w:fldCharType="separate"/>
      </w:r>
      <w:r w:rsidR="008914FE">
        <w:rPr>
          <w:noProof/>
        </w:rPr>
        <w:t>1</w:t>
      </w:r>
      <w:r w:rsidRPr="00252AC4">
        <w:rPr>
          <w:noProof/>
        </w:rPr>
        <w:fldChar w:fldCharType="end"/>
      </w:r>
      <w:r w:rsidRPr="00252AC4">
        <w:t xml:space="preserve">. Average share of activities carried out </w:t>
      </w:r>
      <w:r w:rsidR="00C21B57" w:rsidRPr="00252AC4">
        <w:br/>
      </w:r>
      <w:r w:rsidRPr="00252AC4">
        <w:t>within each core function by region</w:t>
      </w:r>
    </w:p>
    <w:tbl>
      <w:tblPr>
        <w:tblW w:w="7938" w:type="dxa"/>
        <w:jc w:val="center"/>
        <w:tblBorders>
          <w:top w:val="single" w:sz="12" w:space="0" w:color="4F81BD"/>
          <w:bottom w:val="single" w:sz="12" w:space="0" w:color="000000"/>
        </w:tblBorders>
        <w:tblCellMar>
          <w:left w:w="0" w:type="dxa"/>
          <w:right w:w="0" w:type="dxa"/>
        </w:tblCellMar>
        <w:tblLook w:val="04A0" w:firstRow="1" w:lastRow="0" w:firstColumn="1" w:lastColumn="0" w:noHBand="0" w:noVBand="1"/>
      </w:tblPr>
      <w:tblGrid>
        <w:gridCol w:w="3922"/>
        <w:gridCol w:w="1171"/>
        <w:gridCol w:w="1007"/>
        <w:gridCol w:w="1020"/>
        <w:gridCol w:w="818"/>
      </w:tblGrid>
      <w:tr w:rsidR="001D3BDB" w:rsidRPr="00252AC4" w14:paraId="18A49FDD" w14:textId="77777777" w:rsidTr="00E96ABF">
        <w:trPr>
          <w:jc w:val="center"/>
        </w:trPr>
        <w:tc>
          <w:tcPr>
            <w:tcW w:w="0" w:type="auto"/>
            <w:tcBorders>
              <w:bottom w:val="single" w:sz="8" w:space="0" w:color="000000"/>
            </w:tcBorders>
            <w:shd w:val="clear" w:color="auto" w:fill="FFFFFF"/>
            <w:tcMar>
              <w:top w:w="0" w:type="dxa"/>
              <w:left w:w="108" w:type="dxa"/>
              <w:bottom w:w="0" w:type="dxa"/>
              <w:right w:w="108" w:type="dxa"/>
            </w:tcMar>
            <w:vAlign w:val="center"/>
            <w:hideMark/>
          </w:tcPr>
          <w:p w14:paraId="5FA25F26" w14:textId="77777777" w:rsidR="001D3BDB" w:rsidRPr="00252AC4" w:rsidRDefault="001D3BDB">
            <w:pPr>
              <w:pStyle w:val="TableColumn"/>
            </w:pPr>
            <w:r w:rsidRPr="00252AC4">
              <w:t> </w:t>
            </w:r>
          </w:p>
        </w:tc>
        <w:tc>
          <w:tcPr>
            <w:tcW w:w="0" w:type="auto"/>
            <w:tcBorders>
              <w:bottom w:val="single" w:sz="8" w:space="0" w:color="000000"/>
            </w:tcBorders>
            <w:shd w:val="clear" w:color="auto" w:fill="DBE5F1" w:themeFill="accent1" w:themeFillTint="33"/>
            <w:tcMar>
              <w:top w:w="0" w:type="dxa"/>
              <w:left w:w="108" w:type="dxa"/>
              <w:bottom w:w="0" w:type="dxa"/>
              <w:right w:w="108" w:type="dxa"/>
            </w:tcMar>
            <w:vAlign w:val="center"/>
            <w:hideMark/>
          </w:tcPr>
          <w:p w14:paraId="73292857" w14:textId="77777777" w:rsidR="001D3BDB" w:rsidRPr="00252AC4" w:rsidRDefault="001D3BDB">
            <w:pPr>
              <w:pStyle w:val="TableColumn"/>
              <w:rPr>
                <w:b/>
              </w:rPr>
            </w:pPr>
            <w:r w:rsidRPr="00252AC4">
              <w:rPr>
                <w:rFonts w:cs="Calibri"/>
                <w:b/>
                <w:szCs w:val="20"/>
                <w:lang w:eastAsia="en-GB"/>
              </w:rPr>
              <w:t>Eurasia</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0CFD9542" w14:textId="77777777" w:rsidR="001D3BDB" w:rsidRPr="00252AC4" w:rsidRDefault="001D3BDB">
            <w:pPr>
              <w:pStyle w:val="TableColumn"/>
              <w:rPr>
                <w:b/>
              </w:rPr>
            </w:pPr>
            <w:r w:rsidRPr="00252AC4">
              <w:rPr>
                <w:rFonts w:cs="Calibri"/>
                <w:b/>
                <w:szCs w:val="20"/>
                <w:lang w:eastAsia="en-GB"/>
              </w:rPr>
              <w:t>OECD</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7753BDFE" w14:textId="77777777" w:rsidR="001D3BDB" w:rsidRPr="00252AC4" w:rsidRDefault="001D3BDB">
            <w:pPr>
              <w:pStyle w:val="TableColumn"/>
              <w:rPr>
                <w:b/>
              </w:rPr>
            </w:pPr>
            <w:r w:rsidRPr="00252AC4">
              <w:rPr>
                <w:rFonts w:cs="Calibri"/>
                <w:b/>
                <w:szCs w:val="20"/>
                <w:lang w:eastAsia="en-GB"/>
              </w:rPr>
              <w:t>MENA</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62ACC23E" w14:textId="77777777" w:rsidR="001D3BDB" w:rsidRPr="00252AC4" w:rsidRDefault="001D3BDB">
            <w:pPr>
              <w:pStyle w:val="TableColumn"/>
              <w:rPr>
                <w:b/>
              </w:rPr>
            </w:pPr>
            <w:r w:rsidRPr="00252AC4">
              <w:rPr>
                <w:rFonts w:cs="Calibri"/>
                <w:b/>
                <w:szCs w:val="20"/>
                <w:lang w:eastAsia="en-GB"/>
              </w:rPr>
              <w:t>LAC</w:t>
            </w:r>
          </w:p>
        </w:tc>
      </w:tr>
      <w:tr w:rsidR="001D3BDB" w:rsidRPr="00252AC4" w14:paraId="57CE629E" w14:textId="77777777" w:rsidTr="00E96ABF">
        <w:trPr>
          <w:jc w:val="center"/>
        </w:trPr>
        <w:tc>
          <w:tcPr>
            <w:tcW w:w="0" w:type="auto"/>
            <w:shd w:val="clear" w:color="auto" w:fill="EDF0F7"/>
            <w:tcMar>
              <w:top w:w="0" w:type="dxa"/>
              <w:left w:w="108" w:type="dxa"/>
              <w:bottom w:w="0" w:type="dxa"/>
              <w:right w:w="108" w:type="dxa"/>
            </w:tcMar>
            <w:hideMark/>
          </w:tcPr>
          <w:p w14:paraId="7E95A4DE" w14:textId="77777777" w:rsidR="001D3BDB" w:rsidRPr="00252AC4" w:rsidRDefault="001D3BDB">
            <w:pPr>
              <w:pStyle w:val="TableRow"/>
              <w:jc w:val="both"/>
            </w:pPr>
            <w:r w:rsidRPr="00252AC4">
              <w:rPr>
                <w:rFonts w:cs="Calibri"/>
                <w:szCs w:val="20"/>
                <w:lang w:eastAsia="en-GB"/>
              </w:rPr>
              <w:t>Image building</w:t>
            </w:r>
          </w:p>
        </w:tc>
        <w:tc>
          <w:tcPr>
            <w:tcW w:w="0" w:type="auto"/>
            <w:shd w:val="clear" w:color="auto" w:fill="DBE5F1" w:themeFill="accent1" w:themeFillTint="33"/>
            <w:tcMar>
              <w:top w:w="0" w:type="dxa"/>
              <w:left w:w="108" w:type="dxa"/>
              <w:bottom w:w="0" w:type="dxa"/>
              <w:right w:w="108" w:type="dxa"/>
            </w:tcMar>
            <w:hideMark/>
          </w:tcPr>
          <w:p w14:paraId="4DE2D2B5" w14:textId="77777777" w:rsidR="001D3BDB" w:rsidRPr="00252AC4" w:rsidRDefault="001D3BDB">
            <w:pPr>
              <w:pStyle w:val="TableCell"/>
              <w:jc w:val="center"/>
              <w:rPr>
                <w:b/>
              </w:rPr>
            </w:pPr>
            <w:r w:rsidRPr="00252AC4">
              <w:rPr>
                <w:rFonts w:cs="Calibri"/>
                <w:b/>
                <w:szCs w:val="20"/>
                <w:lang w:eastAsia="en-GB"/>
              </w:rPr>
              <w:t>84%</w:t>
            </w:r>
          </w:p>
        </w:tc>
        <w:tc>
          <w:tcPr>
            <w:tcW w:w="0" w:type="auto"/>
            <w:shd w:val="clear" w:color="auto" w:fill="EDF0F7"/>
            <w:tcMar>
              <w:top w:w="0" w:type="dxa"/>
              <w:left w:w="108" w:type="dxa"/>
              <w:bottom w:w="0" w:type="dxa"/>
              <w:right w:w="108" w:type="dxa"/>
            </w:tcMar>
            <w:hideMark/>
          </w:tcPr>
          <w:p w14:paraId="11BA3F8D" w14:textId="77777777" w:rsidR="001D3BDB" w:rsidRPr="00252AC4" w:rsidRDefault="001D3BDB">
            <w:pPr>
              <w:pStyle w:val="TableCell"/>
              <w:jc w:val="center"/>
            </w:pPr>
            <w:r w:rsidRPr="00252AC4">
              <w:rPr>
                <w:rFonts w:cs="Calibri"/>
                <w:szCs w:val="20"/>
                <w:lang w:eastAsia="en-GB"/>
              </w:rPr>
              <w:t>84%</w:t>
            </w:r>
          </w:p>
        </w:tc>
        <w:tc>
          <w:tcPr>
            <w:tcW w:w="0" w:type="auto"/>
            <w:shd w:val="clear" w:color="auto" w:fill="EDF0F7"/>
            <w:tcMar>
              <w:top w:w="0" w:type="dxa"/>
              <w:left w:w="108" w:type="dxa"/>
              <w:bottom w:w="0" w:type="dxa"/>
              <w:right w:w="108" w:type="dxa"/>
            </w:tcMar>
            <w:hideMark/>
          </w:tcPr>
          <w:p w14:paraId="3124B6E0" w14:textId="77777777" w:rsidR="001D3BDB" w:rsidRPr="00252AC4" w:rsidRDefault="001D3BDB">
            <w:pPr>
              <w:pStyle w:val="TableCell"/>
              <w:jc w:val="center"/>
            </w:pPr>
            <w:r w:rsidRPr="00252AC4">
              <w:rPr>
                <w:rFonts w:cs="Calibri"/>
                <w:szCs w:val="20"/>
                <w:lang w:eastAsia="en-GB"/>
              </w:rPr>
              <w:t>92%</w:t>
            </w:r>
          </w:p>
        </w:tc>
        <w:tc>
          <w:tcPr>
            <w:tcW w:w="0" w:type="auto"/>
            <w:shd w:val="clear" w:color="auto" w:fill="EDF0F7"/>
            <w:tcMar>
              <w:top w:w="0" w:type="dxa"/>
              <w:left w:w="108" w:type="dxa"/>
              <w:bottom w:w="0" w:type="dxa"/>
              <w:right w:w="108" w:type="dxa"/>
            </w:tcMar>
            <w:hideMark/>
          </w:tcPr>
          <w:p w14:paraId="6888811F" w14:textId="77777777" w:rsidR="001D3BDB" w:rsidRPr="00252AC4" w:rsidRDefault="001D3BDB">
            <w:pPr>
              <w:pStyle w:val="TableCell"/>
              <w:jc w:val="center"/>
            </w:pPr>
            <w:r w:rsidRPr="00252AC4">
              <w:rPr>
                <w:rFonts w:cs="Calibri"/>
                <w:szCs w:val="20"/>
                <w:lang w:eastAsia="en-GB"/>
              </w:rPr>
              <w:t>82%</w:t>
            </w:r>
          </w:p>
        </w:tc>
      </w:tr>
      <w:tr w:rsidR="001D3BDB" w:rsidRPr="00252AC4" w14:paraId="4F5E7439" w14:textId="77777777" w:rsidTr="00E96ABF">
        <w:trPr>
          <w:jc w:val="center"/>
        </w:trPr>
        <w:tc>
          <w:tcPr>
            <w:tcW w:w="0" w:type="auto"/>
            <w:shd w:val="clear" w:color="auto" w:fill="FFFFFF"/>
            <w:tcMar>
              <w:top w:w="0" w:type="dxa"/>
              <w:left w:w="108" w:type="dxa"/>
              <w:bottom w:w="0" w:type="dxa"/>
              <w:right w:w="108" w:type="dxa"/>
            </w:tcMar>
            <w:hideMark/>
          </w:tcPr>
          <w:p w14:paraId="23AA37DE" w14:textId="77777777" w:rsidR="001D3BDB" w:rsidRPr="00252AC4" w:rsidRDefault="001D3BDB">
            <w:pPr>
              <w:pStyle w:val="TableRow"/>
              <w:jc w:val="both"/>
            </w:pPr>
            <w:r w:rsidRPr="00252AC4">
              <w:rPr>
                <w:rFonts w:cs="Calibri"/>
                <w:szCs w:val="20"/>
                <w:lang w:eastAsia="en-GB"/>
              </w:rPr>
              <w:t>Investment generation</w:t>
            </w:r>
          </w:p>
        </w:tc>
        <w:tc>
          <w:tcPr>
            <w:tcW w:w="0" w:type="auto"/>
            <w:shd w:val="clear" w:color="auto" w:fill="DBE5F1" w:themeFill="accent1" w:themeFillTint="33"/>
            <w:tcMar>
              <w:top w:w="0" w:type="dxa"/>
              <w:left w:w="108" w:type="dxa"/>
              <w:bottom w:w="0" w:type="dxa"/>
              <w:right w:w="108" w:type="dxa"/>
            </w:tcMar>
            <w:hideMark/>
          </w:tcPr>
          <w:p w14:paraId="542E0BC6" w14:textId="77777777" w:rsidR="001D3BDB" w:rsidRPr="00252AC4" w:rsidRDefault="001D3BDB">
            <w:pPr>
              <w:pStyle w:val="TableCell"/>
              <w:jc w:val="center"/>
              <w:rPr>
                <w:b/>
              </w:rPr>
            </w:pPr>
            <w:r w:rsidRPr="00252AC4">
              <w:rPr>
                <w:rFonts w:cs="Calibri"/>
                <w:b/>
                <w:szCs w:val="20"/>
                <w:lang w:eastAsia="en-GB"/>
              </w:rPr>
              <w:t>90%</w:t>
            </w:r>
          </w:p>
        </w:tc>
        <w:tc>
          <w:tcPr>
            <w:tcW w:w="0" w:type="auto"/>
            <w:shd w:val="clear" w:color="auto" w:fill="FFFFFF"/>
            <w:tcMar>
              <w:top w:w="0" w:type="dxa"/>
              <w:left w:w="108" w:type="dxa"/>
              <w:bottom w:w="0" w:type="dxa"/>
              <w:right w:w="108" w:type="dxa"/>
            </w:tcMar>
            <w:hideMark/>
          </w:tcPr>
          <w:p w14:paraId="058699C1" w14:textId="77777777" w:rsidR="001D3BDB" w:rsidRPr="00252AC4" w:rsidRDefault="001D3BDB">
            <w:pPr>
              <w:pStyle w:val="TableCell"/>
              <w:jc w:val="center"/>
            </w:pPr>
            <w:r w:rsidRPr="00252AC4">
              <w:rPr>
                <w:rFonts w:cs="Calibri"/>
                <w:szCs w:val="20"/>
                <w:lang w:eastAsia="en-GB"/>
              </w:rPr>
              <w:t>92%</w:t>
            </w:r>
          </w:p>
        </w:tc>
        <w:tc>
          <w:tcPr>
            <w:tcW w:w="0" w:type="auto"/>
            <w:shd w:val="clear" w:color="auto" w:fill="FFFFFF"/>
            <w:tcMar>
              <w:top w:w="0" w:type="dxa"/>
              <w:left w:w="108" w:type="dxa"/>
              <w:bottom w:w="0" w:type="dxa"/>
              <w:right w:w="108" w:type="dxa"/>
            </w:tcMar>
            <w:hideMark/>
          </w:tcPr>
          <w:p w14:paraId="17C52708" w14:textId="77777777" w:rsidR="001D3BDB" w:rsidRPr="00252AC4" w:rsidRDefault="001D3BDB">
            <w:pPr>
              <w:pStyle w:val="TableCell"/>
              <w:jc w:val="center"/>
            </w:pPr>
            <w:r w:rsidRPr="00252AC4">
              <w:rPr>
                <w:rFonts w:cs="Calibri"/>
                <w:szCs w:val="20"/>
                <w:lang w:eastAsia="en-GB"/>
              </w:rPr>
              <w:t>92%</w:t>
            </w:r>
          </w:p>
        </w:tc>
        <w:tc>
          <w:tcPr>
            <w:tcW w:w="0" w:type="auto"/>
            <w:shd w:val="clear" w:color="auto" w:fill="FFFFFF"/>
            <w:tcMar>
              <w:top w:w="0" w:type="dxa"/>
              <w:left w:w="108" w:type="dxa"/>
              <w:bottom w:w="0" w:type="dxa"/>
              <w:right w:w="108" w:type="dxa"/>
            </w:tcMar>
            <w:hideMark/>
          </w:tcPr>
          <w:p w14:paraId="01770DF0" w14:textId="77777777" w:rsidR="001D3BDB" w:rsidRPr="00252AC4" w:rsidRDefault="001D3BDB">
            <w:pPr>
              <w:pStyle w:val="TableCell"/>
              <w:jc w:val="center"/>
            </w:pPr>
            <w:r w:rsidRPr="00252AC4">
              <w:rPr>
                <w:rFonts w:cs="Calibri"/>
                <w:szCs w:val="20"/>
                <w:lang w:eastAsia="en-GB"/>
              </w:rPr>
              <w:t>90%</w:t>
            </w:r>
          </w:p>
        </w:tc>
      </w:tr>
      <w:tr w:rsidR="001D3BDB" w:rsidRPr="00252AC4" w14:paraId="16ADCDA5" w14:textId="77777777" w:rsidTr="00E96ABF">
        <w:trPr>
          <w:jc w:val="center"/>
        </w:trPr>
        <w:tc>
          <w:tcPr>
            <w:tcW w:w="0" w:type="auto"/>
            <w:shd w:val="clear" w:color="auto" w:fill="EDF0F7"/>
            <w:tcMar>
              <w:top w:w="0" w:type="dxa"/>
              <w:left w:w="108" w:type="dxa"/>
              <w:bottom w:w="0" w:type="dxa"/>
              <w:right w:w="108" w:type="dxa"/>
            </w:tcMar>
            <w:hideMark/>
          </w:tcPr>
          <w:p w14:paraId="759D85D9" w14:textId="77777777" w:rsidR="001D3BDB" w:rsidRPr="00252AC4" w:rsidRDefault="001D3BDB">
            <w:pPr>
              <w:pStyle w:val="TableRow"/>
              <w:jc w:val="both"/>
            </w:pPr>
            <w:r w:rsidRPr="00252AC4">
              <w:rPr>
                <w:rFonts w:cs="Calibri"/>
                <w:szCs w:val="20"/>
                <w:lang w:eastAsia="en-GB"/>
              </w:rPr>
              <w:t>Investment facilitation and retention</w:t>
            </w:r>
          </w:p>
        </w:tc>
        <w:tc>
          <w:tcPr>
            <w:tcW w:w="0" w:type="auto"/>
            <w:shd w:val="clear" w:color="auto" w:fill="DBE5F1" w:themeFill="accent1" w:themeFillTint="33"/>
            <w:tcMar>
              <w:top w:w="0" w:type="dxa"/>
              <w:left w:w="108" w:type="dxa"/>
              <w:bottom w:w="0" w:type="dxa"/>
              <w:right w:w="108" w:type="dxa"/>
            </w:tcMar>
            <w:hideMark/>
          </w:tcPr>
          <w:p w14:paraId="3724C4A7" w14:textId="77777777" w:rsidR="001D3BDB" w:rsidRPr="00252AC4" w:rsidRDefault="001D3BDB">
            <w:pPr>
              <w:pStyle w:val="TableCell"/>
              <w:jc w:val="center"/>
              <w:rPr>
                <w:b/>
              </w:rPr>
            </w:pPr>
            <w:r w:rsidRPr="00252AC4">
              <w:rPr>
                <w:rFonts w:cs="Calibri"/>
                <w:b/>
                <w:szCs w:val="20"/>
                <w:lang w:eastAsia="en-GB"/>
              </w:rPr>
              <w:t>46%</w:t>
            </w:r>
          </w:p>
        </w:tc>
        <w:tc>
          <w:tcPr>
            <w:tcW w:w="0" w:type="auto"/>
            <w:shd w:val="clear" w:color="auto" w:fill="EDF0F7"/>
            <w:tcMar>
              <w:top w:w="0" w:type="dxa"/>
              <w:left w:w="108" w:type="dxa"/>
              <w:bottom w:w="0" w:type="dxa"/>
              <w:right w:w="108" w:type="dxa"/>
            </w:tcMar>
            <w:hideMark/>
          </w:tcPr>
          <w:p w14:paraId="18990706" w14:textId="77777777" w:rsidR="001D3BDB" w:rsidRPr="00252AC4" w:rsidRDefault="001D3BDB">
            <w:pPr>
              <w:pStyle w:val="TableCell"/>
              <w:jc w:val="center"/>
            </w:pPr>
            <w:r w:rsidRPr="00252AC4">
              <w:rPr>
                <w:rFonts w:cs="Calibri"/>
                <w:szCs w:val="20"/>
                <w:lang w:eastAsia="en-GB"/>
              </w:rPr>
              <w:t>47%</w:t>
            </w:r>
          </w:p>
        </w:tc>
        <w:tc>
          <w:tcPr>
            <w:tcW w:w="0" w:type="auto"/>
            <w:shd w:val="clear" w:color="auto" w:fill="EDF0F7"/>
            <w:tcMar>
              <w:top w:w="0" w:type="dxa"/>
              <w:left w:w="108" w:type="dxa"/>
              <w:bottom w:w="0" w:type="dxa"/>
              <w:right w:w="108" w:type="dxa"/>
            </w:tcMar>
            <w:hideMark/>
          </w:tcPr>
          <w:p w14:paraId="41AF282D" w14:textId="77777777" w:rsidR="001D3BDB" w:rsidRPr="00252AC4" w:rsidRDefault="001D3BDB">
            <w:pPr>
              <w:pStyle w:val="TableCell"/>
              <w:jc w:val="center"/>
            </w:pPr>
            <w:r w:rsidRPr="00252AC4">
              <w:rPr>
                <w:rFonts w:cs="Calibri"/>
                <w:szCs w:val="20"/>
                <w:lang w:eastAsia="en-GB"/>
              </w:rPr>
              <w:t>52%</w:t>
            </w:r>
          </w:p>
        </w:tc>
        <w:tc>
          <w:tcPr>
            <w:tcW w:w="0" w:type="auto"/>
            <w:shd w:val="clear" w:color="auto" w:fill="EDF0F7"/>
            <w:tcMar>
              <w:top w:w="0" w:type="dxa"/>
              <w:left w:w="108" w:type="dxa"/>
              <w:bottom w:w="0" w:type="dxa"/>
              <w:right w:w="108" w:type="dxa"/>
            </w:tcMar>
            <w:hideMark/>
          </w:tcPr>
          <w:p w14:paraId="77A52C9F" w14:textId="77777777" w:rsidR="001D3BDB" w:rsidRPr="00252AC4" w:rsidRDefault="001D3BDB">
            <w:pPr>
              <w:pStyle w:val="TableCell"/>
              <w:jc w:val="center"/>
            </w:pPr>
            <w:r w:rsidRPr="00252AC4">
              <w:rPr>
                <w:rFonts w:cs="Calibri"/>
                <w:szCs w:val="20"/>
                <w:lang w:eastAsia="en-GB"/>
              </w:rPr>
              <w:t>28%</w:t>
            </w:r>
          </w:p>
        </w:tc>
      </w:tr>
      <w:tr w:rsidR="001D3BDB" w:rsidRPr="00252AC4" w14:paraId="1394C295" w14:textId="77777777" w:rsidTr="00E96ABF">
        <w:trPr>
          <w:jc w:val="center"/>
        </w:trPr>
        <w:tc>
          <w:tcPr>
            <w:tcW w:w="0" w:type="auto"/>
            <w:shd w:val="clear" w:color="auto" w:fill="FFFFFF"/>
            <w:tcMar>
              <w:top w:w="0" w:type="dxa"/>
              <w:left w:w="108" w:type="dxa"/>
              <w:bottom w:w="0" w:type="dxa"/>
              <w:right w:w="108" w:type="dxa"/>
            </w:tcMar>
            <w:hideMark/>
          </w:tcPr>
          <w:p w14:paraId="24B6EC6A" w14:textId="77777777" w:rsidR="001D3BDB" w:rsidRPr="00252AC4" w:rsidRDefault="001D3BDB">
            <w:pPr>
              <w:pStyle w:val="TableRow"/>
              <w:jc w:val="both"/>
            </w:pPr>
            <w:r w:rsidRPr="00252AC4">
              <w:rPr>
                <w:rFonts w:cs="Calibri"/>
                <w:szCs w:val="20"/>
                <w:lang w:eastAsia="en-GB"/>
              </w:rPr>
              <w:t>Policy advocacy</w:t>
            </w:r>
          </w:p>
        </w:tc>
        <w:tc>
          <w:tcPr>
            <w:tcW w:w="0" w:type="auto"/>
            <w:shd w:val="clear" w:color="auto" w:fill="DBE5F1" w:themeFill="accent1" w:themeFillTint="33"/>
            <w:tcMar>
              <w:top w:w="0" w:type="dxa"/>
              <w:left w:w="108" w:type="dxa"/>
              <w:bottom w:w="0" w:type="dxa"/>
              <w:right w:w="108" w:type="dxa"/>
            </w:tcMar>
            <w:hideMark/>
          </w:tcPr>
          <w:p w14:paraId="18985E33" w14:textId="77777777" w:rsidR="001D3BDB" w:rsidRPr="00252AC4" w:rsidRDefault="001D3BDB">
            <w:pPr>
              <w:pStyle w:val="TableCell"/>
              <w:jc w:val="center"/>
              <w:rPr>
                <w:b/>
              </w:rPr>
            </w:pPr>
            <w:r w:rsidRPr="00252AC4">
              <w:rPr>
                <w:rFonts w:cs="Calibri"/>
                <w:b/>
                <w:szCs w:val="20"/>
                <w:lang w:eastAsia="en-GB"/>
              </w:rPr>
              <w:t>70%</w:t>
            </w:r>
          </w:p>
        </w:tc>
        <w:tc>
          <w:tcPr>
            <w:tcW w:w="0" w:type="auto"/>
            <w:shd w:val="clear" w:color="auto" w:fill="FFFFFF"/>
            <w:tcMar>
              <w:top w:w="0" w:type="dxa"/>
              <w:left w:w="108" w:type="dxa"/>
              <w:bottom w:w="0" w:type="dxa"/>
              <w:right w:w="108" w:type="dxa"/>
            </w:tcMar>
            <w:hideMark/>
          </w:tcPr>
          <w:p w14:paraId="28628D24" w14:textId="77777777" w:rsidR="001D3BDB" w:rsidRPr="00252AC4" w:rsidRDefault="001D3BDB">
            <w:pPr>
              <w:pStyle w:val="TableCell"/>
              <w:jc w:val="center"/>
            </w:pPr>
            <w:r w:rsidRPr="00252AC4">
              <w:rPr>
                <w:rFonts w:cs="Calibri"/>
                <w:szCs w:val="20"/>
                <w:lang w:eastAsia="en-GB"/>
              </w:rPr>
              <w:t>75%</w:t>
            </w:r>
          </w:p>
        </w:tc>
        <w:tc>
          <w:tcPr>
            <w:tcW w:w="0" w:type="auto"/>
            <w:shd w:val="clear" w:color="auto" w:fill="FFFFFF"/>
            <w:tcMar>
              <w:top w:w="0" w:type="dxa"/>
              <w:left w:w="108" w:type="dxa"/>
              <w:bottom w:w="0" w:type="dxa"/>
              <w:right w:w="108" w:type="dxa"/>
            </w:tcMar>
            <w:hideMark/>
          </w:tcPr>
          <w:p w14:paraId="67CD63E9" w14:textId="77777777" w:rsidR="001D3BDB" w:rsidRPr="00252AC4" w:rsidRDefault="001D3BDB">
            <w:pPr>
              <w:pStyle w:val="TableCell"/>
              <w:jc w:val="center"/>
            </w:pPr>
            <w:r w:rsidRPr="00252AC4">
              <w:rPr>
                <w:rFonts w:cs="Calibri"/>
                <w:szCs w:val="20"/>
                <w:lang w:eastAsia="en-GB"/>
              </w:rPr>
              <w:t>90%</w:t>
            </w:r>
          </w:p>
        </w:tc>
        <w:tc>
          <w:tcPr>
            <w:tcW w:w="0" w:type="auto"/>
            <w:shd w:val="clear" w:color="auto" w:fill="FFFFFF"/>
            <w:tcMar>
              <w:top w:w="0" w:type="dxa"/>
              <w:left w:w="108" w:type="dxa"/>
              <w:bottom w:w="0" w:type="dxa"/>
              <w:right w:w="108" w:type="dxa"/>
            </w:tcMar>
            <w:hideMark/>
          </w:tcPr>
          <w:p w14:paraId="4D7EC693" w14:textId="77777777" w:rsidR="001D3BDB" w:rsidRPr="00252AC4" w:rsidRDefault="001D3BDB">
            <w:pPr>
              <w:pStyle w:val="TableCell"/>
              <w:jc w:val="center"/>
            </w:pPr>
            <w:r w:rsidRPr="00252AC4">
              <w:rPr>
                <w:rFonts w:cs="Calibri"/>
                <w:szCs w:val="20"/>
                <w:lang w:eastAsia="en-GB"/>
              </w:rPr>
              <w:t>60%</w:t>
            </w:r>
          </w:p>
        </w:tc>
      </w:tr>
    </w:tbl>
    <w:p w14:paraId="1D2FA009" w14:textId="213A7D37" w:rsidR="001D3BDB" w:rsidRPr="00252AC4" w:rsidRDefault="001D3BDB" w:rsidP="001D3BDB">
      <w:pPr>
        <w:pStyle w:val="Sourcenotes"/>
      </w:pPr>
      <w:r w:rsidRPr="00252AC4">
        <w:rPr>
          <w:i/>
        </w:rPr>
        <w:t>Source</w:t>
      </w:r>
      <w:r w:rsidRPr="00252AC4">
        <w:t xml:space="preserve">: </w:t>
      </w:r>
      <w:r w:rsidR="006E2DA1" w:rsidRPr="00252AC4">
        <w:t xml:space="preserve">Authors’ calculation based on </w:t>
      </w:r>
      <w:r w:rsidRPr="00252AC4">
        <w:t>OECD-IDB Survey of Inves</w:t>
      </w:r>
      <w:r w:rsidR="00C21B57" w:rsidRPr="00252AC4">
        <w:t>tment Promotion Agencies (2020)</w:t>
      </w:r>
    </w:p>
    <w:p w14:paraId="52290AD3" w14:textId="6E39B777" w:rsidR="00F67246" w:rsidRPr="00252AC4" w:rsidRDefault="00E96ABF" w:rsidP="00E96ABF">
      <w:pPr>
        <w:pStyle w:val="Heading9"/>
      </w:pPr>
      <w:bookmarkStart w:id="327" w:name="_Toc31650313"/>
      <w:bookmarkStart w:id="328" w:name="_Toc32317014"/>
      <w:bookmarkStart w:id="329" w:name="_Toc32324673"/>
      <w:bookmarkStart w:id="330" w:name="_Toc40103028"/>
      <w:r w:rsidRPr="00252AC4">
        <w:lastRenderedPageBreak/>
        <w:t>Overview of Eurasia IPAs’ targeting approaches</w:t>
      </w:r>
      <w:bookmarkEnd w:id="327"/>
      <w:bookmarkEnd w:id="328"/>
      <w:bookmarkEnd w:id="329"/>
      <w:bookmarkEnd w:id="330"/>
    </w:p>
    <w:p w14:paraId="7964DA24" w14:textId="68C864AC" w:rsidR="001D3BDB" w:rsidRPr="00252AC4" w:rsidRDefault="001D3BDB" w:rsidP="00F67246">
      <w:pPr>
        <w:pStyle w:val="Caption"/>
      </w:pPr>
      <w:r w:rsidRPr="00252AC4">
        <w:t xml:space="preserve">Annex Table </w:t>
      </w:r>
      <w:r w:rsidR="009915F6">
        <w:fldChar w:fldCharType="begin"/>
      </w:r>
      <w:r w:rsidR="009915F6">
        <w:instrText xml:space="preserve"> STYLEREF 9 \s </w:instrText>
      </w:r>
      <w:r w:rsidR="009915F6">
        <w:fldChar w:fldCharType="separate"/>
      </w:r>
      <w:r w:rsidR="008914FE">
        <w:rPr>
          <w:noProof/>
        </w:rPr>
        <w:t>2.B</w:t>
      </w:r>
      <w:r w:rsidR="009915F6">
        <w:rPr>
          <w:noProof/>
        </w:rPr>
        <w:fldChar w:fldCharType="end"/>
      </w:r>
      <w:r w:rsidRPr="00252AC4">
        <w:t>.</w:t>
      </w:r>
      <w:r w:rsidRPr="00252AC4">
        <w:rPr>
          <w:noProof/>
        </w:rPr>
        <w:fldChar w:fldCharType="begin"/>
      </w:r>
      <w:r w:rsidRPr="00252AC4">
        <w:rPr>
          <w:noProof/>
        </w:rPr>
        <w:instrText xml:space="preserve"> SEQ Annex_Table \* ARABIC \s 9 </w:instrText>
      </w:r>
      <w:r w:rsidRPr="00252AC4">
        <w:rPr>
          <w:noProof/>
        </w:rPr>
        <w:fldChar w:fldCharType="separate"/>
      </w:r>
      <w:r w:rsidR="008914FE">
        <w:rPr>
          <w:noProof/>
        </w:rPr>
        <w:t>1</w:t>
      </w:r>
      <w:r w:rsidRPr="00252AC4">
        <w:rPr>
          <w:noProof/>
        </w:rPr>
        <w:fldChar w:fldCharType="end"/>
      </w:r>
      <w:r w:rsidRPr="00252AC4">
        <w:t xml:space="preserve">. Overview of Eurasia IPAs’ targeting </w:t>
      </w:r>
      <w:r w:rsidR="00E96ABF" w:rsidRPr="00252AC4">
        <w:t>approaches</w:t>
      </w:r>
    </w:p>
    <w:tbl>
      <w:tblPr>
        <w:tblW w:w="7938" w:type="dxa"/>
        <w:jc w:val="center"/>
        <w:tblBorders>
          <w:top w:val="single" w:sz="12" w:space="0" w:color="4F81BD"/>
          <w:bottom w:val="single" w:sz="12" w:space="0" w:color="000000"/>
        </w:tblBorders>
        <w:tblCellMar>
          <w:left w:w="0" w:type="dxa"/>
          <w:right w:w="0" w:type="dxa"/>
        </w:tblCellMar>
        <w:tblLook w:val="04A0" w:firstRow="1" w:lastRow="0" w:firstColumn="1" w:lastColumn="0" w:noHBand="0" w:noVBand="1"/>
      </w:tblPr>
      <w:tblGrid>
        <w:gridCol w:w="1912"/>
        <w:gridCol w:w="1382"/>
        <w:gridCol w:w="1631"/>
        <w:gridCol w:w="1444"/>
        <w:gridCol w:w="1569"/>
      </w:tblGrid>
      <w:tr w:rsidR="001D3BDB" w:rsidRPr="00252AC4" w14:paraId="7BA92A32" w14:textId="77777777" w:rsidTr="001D3BDB">
        <w:trPr>
          <w:jc w:val="center"/>
        </w:trPr>
        <w:tc>
          <w:tcPr>
            <w:tcW w:w="0" w:type="auto"/>
            <w:tcBorders>
              <w:bottom w:val="single" w:sz="8" w:space="0" w:color="000000"/>
            </w:tcBorders>
            <w:shd w:val="clear" w:color="auto" w:fill="FFFFFF"/>
            <w:tcMar>
              <w:top w:w="0" w:type="dxa"/>
              <w:left w:w="108" w:type="dxa"/>
              <w:bottom w:w="0" w:type="dxa"/>
              <w:right w:w="108" w:type="dxa"/>
            </w:tcMar>
            <w:vAlign w:val="center"/>
            <w:hideMark/>
          </w:tcPr>
          <w:p w14:paraId="3AFA651B" w14:textId="77777777" w:rsidR="001D3BDB" w:rsidRPr="00252AC4" w:rsidRDefault="001D3BDB">
            <w:pPr>
              <w:pStyle w:val="TableColumn"/>
            </w:pPr>
            <w:r w:rsidRPr="00252AC4">
              <w:rPr>
                <w:szCs w:val="20"/>
                <w:lang w:eastAsia="en-GB"/>
              </w:rPr>
              <w:t>Country</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330588DD" w14:textId="77777777" w:rsidR="001D3BDB" w:rsidRPr="00252AC4" w:rsidRDefault="001D3BDB">
            <w:pPr>
              <w:pStyle w:val="TableColumn"/>
            </w:pPr>
            <w:r w:rsidRPr="00252AC4">
              <w:rPr>
                <w:szCs w:val="20"/>
                <w:lang w:eastAsia="en-GB"/>
              </w:rPr>
              <w:t>Sectors</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766047C5" w14:textId="77777777" w:rsidR="001D3BDB" w:rsidRPr="00252AC4" w:rsidRDefault="001D3BDB">
            <w:pPr>
              <w:pStyle w:val="TableColumn"/>
            </w:pPr>
            <w:r w:rsidRPr="00252AC4">
              <w:rPr>
                <w:szCs w:val="20"/>
                <w:lang w:eastAsia="en-GB"/>
              </w:rPr>
              <w:t>Countries</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66AE4753" w14:textId="77777777" w:rsidR="001D3BDB" w:rsidRPr="00252AC4" w:rsidRDefault="001D3BDB">
            <w:pPr>
              <w:pStyle w:val="TableColumn"/>
            </w:pPr>
            <w:r w:rsidRPr="00252AC4">
              <w:rPr>
                <w:szCs w:val="20"/>
                <w:lang w:eastAsia="en-GB"/>
              </w:rPr>
              <w:t>Projects</w:t>
            </w:r>
          </w:p>
        </w:tc>
        <w:tc>
          <w:tcPr>
            <w:tcW w:w="0" w:type="auto"/>
            <w:tcBorders>
              <w:bottom w:val="single" w:sz="8" w:space="0" w:color="000000"/>
            </w:tcBorders>
            <w:shd w:val="clear" w:color="auto" w:fill="FFFFFF"/>
            <w:tcMar>
              <w:top w:w="0" w:type="dxa"/>
              <w:left w:w="108" w:type="dxa"/>
              <w:bottom w:w="0" w:type="dxa"/>
              <w:right w:w="108" w:type="dxa"/>
            </w:tcMar>
            <w:vAlign w:val="center"/>
            <w:hideMark/>
          </w:tcPr>
          <w:p w14:paraId="46F3379C" w14:textId="77777777" w:rsidR="001D3BDB" w:rsidRPr="00252AC4" w:rsidRDefault="001D3BDB">
            <w:pPr>
              <w:pStyle w:val="TableColumn"/>
            </w:pPr>
            <w:r w:rsidRPr="00252AC4">
              <w:rPr>
                <w:szCs w:val="20"/>
                <w:lang w:eastAsia="en-GB"/>
              </w:rPr>
              <w:t>Investors</w:t>
            </w:r>
          </w:p>
        </w:tc>
      </w:tr>
      <w:tr w:rsidR="001D3BDB" w:rsidRPr="00252AC4" w14:paraId="59463215" w14:textId="77777777" w:rsidTr="001D3BDB">
        <w:trPr>
          <w:jc w:val="center"/>
        </w:trPr>
        <w:tc>
          <w:tcPr>
            <w:tcW w:w="0" w:type="auto"/>
            <w:shd w:val="clear" w:color="auto" w:fill="EDF0F7"/>
            <w:tcMar>
              <w:top w:w="0" w:type="dxa"/>
              <w:left w:w="108" w:type="dxa"/>
              <w:bottom w:w="0" w:type="dxa"/>
              <w:right w:w="108" w:type="dxa"/>
            </w:tcMar>
            <w:hideMark/>
          </w:tcPr>
          <w:p w14:paraId="23C4A7CB" w14:textId="77777777" w:rsidR="001D3BDB" w:rsidRPr="00252AC4" w:rsidRDefault="001D3BDB" w:rsidP="006E2DA1">
            <w:pPr>
              <w:pStyle w:val="TableRow"/>
            </w:pPr>
            <w:r w:rsidRPr="00252AC4">
              <w:rPr>
                <w:szCs w:val="20"/>
                <w:lang w:eastAsia="en-GB"/>
              </w:rPr>
              <w:t>Afghanistan</w:t>
            </w:r>
          </w:p>
        </w:tc>
        <w:tc>
          <w:tcPr>
            <w:tcW w:w="0" w:type="auto"/>
            <w:shd w:val="clear" w:color="auto" w:fill="EDF0F7"/>
            <w:tcMar>
              <w:top w:w="0" w:type="dxa"/>
              <w:left w:w="108" w:type="dxa"/>
              <w:bottom w:w="0" w:type="dxa"/>
              <w:right w:w="108" w:type="dxa"/>
            </w:tcMar>
            <w:hideMark/>
          </w:tcPr>
          <w:p w14:paraId="4A65D250"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3F423069" w14:textId="77777777" w:rsidR="001D3BDB" w:rsidRPr="00252AC4" w:rsidRDefault="001D3BDB">
            <w:pPr>
              <w:pStyle w:val="TableCell"/>
              <w:jc w:val="center"/>
            </w:pPr>
            <w:r w:rsidRPr="00252AC4">
              <w:rPr>
                <w:szCs w:val="20"/>
                <w:lang w:eastAsia="en-GB"/>
              </w:rPr>
              <w:t>No</w:t>
            </w:r>
          </w:p>
        </w:tc>
        <w:tc>
          <w:tcPr>
            <w:tcW w:w="0" w:type="auto"/>
            <w:shd w:val="clear" w:color="auto" w:fill="EDF0F7"/>
            <w:tcMar>
              <w:top w:w="0" w:type="dxa"/>
              <w:left w:w="108" w:type="dxa"/>
              <w:bottom w:w="0" w:type="dxa"/>
              <w:right w:w="108" w:type="dxa"/>
            </w:tcMar>
            <w:hideMark/>
          </w:tcPr>
          <w:p w14:paraId="694814D1"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0D538C9E" w14:textId="77777777" w:rsidR="001D3BDB" w:rsidRPr="00252AC4" w:rsidRDefault="001D3BDB">
            <w:pPr>
              <w:pStyle w:val="TableCell"/>
              <w:jc w:val="center"/>
            </w:pPr>
            <w:r w:rsidRPr="00252AC4">
              <w:rPr>
                <w:szCs w:val="20"/>
                <w:lang w:eastAsia="en-GB"/>
              </w:rPr>
              <w:t>Yes</w:t>
            </w:r>
          </w:p>
        </w:tc>
      </w:tr>
      <w:tr w:rsidR="001D3BDB" w:rsidRPr="00252AC4" w14:paraId="5D253414" w14:textId="77777777" w:rsidTr="001D3BDB">
        <w:trPr>
          <w:jc w:val="center"/>
        </w:trPr>
        <w:tc>
          <w:tcPr>
            <w:tcW w:w="0" w:type="auto"/>
            <w:shd w:val="clear" w:color="auto" w:fill="FFFFFF"/>
            <w:tcMar>
              <w:top w:w="0" w:type="dxa"/>
              <w:left w:w="108" w:type="dxa"/>
              <w:bottom w:w="0" w:type="dxa"/>
              <w:right w:w="108" w:type="dxa"/>
            </w:tcMar>
            <w:hideMark/>
          </w:tcPr>
          <w:p w14:paraId="74FC41AB" w14:textId="77777777" w:rsidR="001D3BDB" w:rsidRPr="00252AC4" w:rsidRDefault="001D3BDB" w:rsidP="006E2DA1">
            <w:pPr>
              <w:pStyle w:val="TableRow"/>
            </w:pPr>
            <w:r w:rsidRPr="00252AC4">
              <w:rPr>
                <w:szCs w:val="20"/>
                <w:lang w:eastAsia="en-GB"/>
              </w:rPr>
              <w:t>Azerbaijan</w:t>
            </w:r>
          </w:p>
        </w:tc>
        <w:tc>
          <w:tcPr>
            <w:tcW w:w="0" w:type="auto"/>
            <w:shd w:val="clear" w:color="auto" w:fill="FFFFFF"/>
            <w:tcMar>
              <w:top w:w="0" w:type="dxa"/>
              <w:left w:w="108" w:type="dxa"/>
              <w:bottom w:w="0" w:type="dxa"/>
              <w:right w:w="108" w:type="dxa"/>
            </w:tcMar>
            <w:hideMark/>
          </w:tcPr>
          <w:p w14:paraId="0C70287F"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45CE4EDA"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16B3DC50"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0D1797BF" w14:textId="77777777" w:rsidR="001D3BDB" w:rsidRPr="00252AC4" w:rsidRDefault="001D3BDB">
            <w:pPr>
              <w:pStyle w:val="TableCell"/>
              <w:jc w:val="center"/>
            </w:pPr>
            <w:r w:rsidRPr="00252AC4">
              <w:rPr>
                <w:szCs w:val="20"/>
                <w:lang w:eastAsia="en-GB"/>
              </w:rPr>
              <w:t>No</w:t>
            </w:r>
          </w:p>
        </w:tc>
      </w:tr>
      <w:tr w:rsidR="001D3BDB" w:rsidRPr="00252AC4" w14:paraId="51491F63" w14:textId="77777777" w:rsidTr="001D3BDB">
        <w:trPr>
          <w:jc w:val="center"/>
        </w:trPr>
        <w:tc>
          <w:tcPr>
            <w:tcW w:w="0" w:type="auto"/>
            <w:shd w:val="clear" w:color="auto" w:fill="EDF0F7"/>
            <w:tcMar>
              <w:top w:w="0" w:type="dxa"/>
              <w:left w:w="108" w:type="dxa"/>
              <w:bottom w:w="0" w:type="dxa"/>
              <w:right w:w="108" w:type="dxa"/>
            </w:tcMar>
            <w:hideMark/>
          </w:tcPr>
          <w:p w14:paraId="774BDE38" w14:textId="77777777" w:rsidR="001D3BDB" w:rsidRPr="00252AC4" w:rsidRDefault="001D3BDB" w:rsidP="006E2DA1">
            <w:pPr>
              <w:pStyle w:val="TableRow"/>
            </w:pPr>
            <w:r w:rsidRPr="00252AC4">
              <w:rPr>
                <w:szCs w:val="20"/>
                <w:lang w:eastAsia="en-GB"/>
              </w:rPr>
              <w:t>Belarus</w:t>
            </w:r>
          </w:p>
        </w:tc>
        <w:tc>
          <w:tcPr>
            <w:tcW w:w="0" w:type="auto"/>
            <w:shd w:val="clear" w:color="auto" w:fill="EDF0F7"/>
            <w:tcMar>
              <w:top w:w="0" w:type="dxa"/>
              <w:left w:w="108" w:type="dxa"/>
              <w:bottom w:w="0" w:type="dxa"/>
              <w:right w:w="108" w:type="dxa"/>
            </w:tcMar>
            <w:hideMark/>
          </w:tcPr>
          <w:p w14:paraId="34990D52" w14:textId="77777777" w:rsidR="001D3BDB" w:rsidRPr="00252AC4" w:rsidRDefault="001D3BDB">
            <w:pPr>
              <w:pStyle w:val="TableCell"/>
              <w:jc w:val="center"/>
            </w:pPr>
            <w:r w:rsidRPr="00252AC4">
              <w:rPr>
                <w:szCs w:val="20"/>
                <w:lang w:eastAsia="en-GB"/>
              </w:rPr>
              <w:t>No</w:t>
            </w:r>
          </w:p>
        </w:tc>
        <w:tc>
          <w:tcPr>
            <w:tcW w:w="0" w:type="auto"/>
            <w:shd w:val="clear" w:color="auto" w:fill="EDF0F7"/>
            <w:tcMar>
              <w:top w:w="0" w:type="dxa"/>
              <w:left w:w="108" w:type="dxa"/>
              <w:bottom w:w="0" w:type="dxa"/>
              <w:right w:w="108" w:type="dxa"/>
            </w:tcMar>
            <w:hideMark/>
          </w:tcPr>
          <w:p w14:paraId="6EA0C9BE" w14:textId="77777777" w:rsidR="001D3BDB" w:rsidRPr="00252AC4" w:rsidRDefault="001D3BDB">
            <w:pPr>
              <w:pStyle w:val="TableCell"/>
              <w:jc w:val="center"/>
            </w:pPr>
            <w:r w:rsidRPr="00252AC4">
              <w:rPr>
                <w:szCs w:val="20"/>
                <w:lang w:eastAsia="en-GB"/>
              </w:rPr>
              <w:t>No</w:t>
            </w:r>
          </w:p>
        </w:tc>
        <w:tc>
          <w:tcPr>
            <w:tcW w:w="0" w:type="auto"/>
            <w:shd w:val="clear" w:color="auto" w:fill="EDF0F7"/>
            <w:tcMar>
              <w:top w:w="0" w:type="dxa"/>
              <w:left w:w="108" w:type="dxa"/>
              <w:bottom w:w="0" w:type="dxa"/>
              <w:right w:w="108" w:type="dxa"/>
            </w:tcMar>
            <w:hideMark/>
          </w:tcPr>
          <w:p w14:paraId="29687EC1" w14:textId="77777777" w:rsidR="001D3BDB" w:rsidRPr="00252AC4" w:rsidRDefault="001D3BDB">
            <w:pPr>
              <w:pStyle w:val="TableCell"/>
              <w:jc w:val="center"/>
            </w:pPr>
            <w:r w:rsidRPr="00252AC4">
              <w:rPr>
                <w:szCs w:val="20"/>
                <w:lang w:eastAsia="en-GB"/>
              </w:rPr>
              <w:t>No</w:t>
            </w:r>
          </w:p>
        </w:tc>
        <w:tc>
          <w:tcPr>
            <w:tcW w:w="0" w:type="auto"/>
            <w:shd w:val="clear" w:color="auto" w:fill="EDF0F7"/>
            <w:tcMar>
              <w:top w:w="0" w:type="dxa"/>
              <w:left w:w="108" w:type="dxa"/>
              <w:bottom w:w="0" w:type="dxa"/>
              <w:right w:w="108" w:type="dxa"/>
            </w:tcMar>
            <w:hideMark/>
          </w:tcPr>
          <w:p w14:paraId="28D367FD" w14:textId="77777777" w:rsidR="001D3BDB" w:rsidRPr="00252AC4" w:rsidRDefault="001D3BDB">
            <w:pPr>
              <w:pStyle w:val="TableCell"/>
              <w:jc w:val="center"/>
            </w:pPr>
            <w:r w:rsidRPr="00252AC4">
              <w:rPr>
                <w:szCs w:val="20"/>
                <w:lang w:eastAsia="en-GB"/>
              </w:rPr>
              <w:t>No</w:t>
            </w:r>
          </w:p>
        </w:tc>
      </w:tr>
      <w:tr w:rsidR="001D3BDB" w:rsidRPr="00252AC4" w14:paraId="4F8C1180" w14:textId="77777777" w:rsidTr="001D3BDB">
        <w:trPr>
          <w:jc w:val="center"/>
        </w:trPr>
        <w:tc>
          <w:tcPr>
            <w:tcW w:w="0" w:type="auto"/>
            <w:shd w:val="clear" w:color="auto" w:fill="FFFFFF"/>
            <w:tcMar>
              <w:top w:w="0" w:type="dxa"/>
              <w:left w:w="108" w:type="dxa"/>
              <w:bottom w:w="0" w:type="dxa"/>
              <w:right w:w="108" w:type="dxa"/>
            </w:tcMar>
            <w:hideMark/>
          </w:tcPr>
          <w:p w14:paraId="7D4607EE" w14:textId="77777777" w:rsidR="001D3BDB" w:rsidRPr="00252AC4" w:rsidRDefault="001D3BDB" w:rsidP="006E2DA1">
            <w:pPr>
              <w:pStyle w:val="TableRow"/>
            </w:pPr>
            <w:r w:rsidRPr="00252AC4">
              <w:rPr>
                <w:szCs w:val="20"/>
                <w:lang w:eastAsia="en-GB"/>
              </w:rPr>
              <w:t>Georgia</w:t>
            </w:r>
          </w:p>
        </w:tc>
        <w:tc>
          <w:tcPr>
            <w:tcW w:w="0" w:type="auto"/>
            <w:shd w:val="clear" w:color="auto" w:fill="FFFFFF"/>
            <w:tcMar>
              <w:top w:w="0" w:type="dxa"/>
              <w:left w:w="108" w:type="dxa"/>
              <w:bottom w:w="0" w:type="dxa"/>
              <w:right w:w="108" w:type="dxa"/>
            </w:tcMar>
            <w:hideMark/>
          </w:tcPr>
          <w:p w14:paraId="02AB360B"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7D44EBC8"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581642CE"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690DC003" w14:textId="77777777" w:rsidR="001D3BDB" w:rsidRPr="00252AC4" w:rsidRDefault="001D3BDB">
            <w:pPr>
              <w:pStyle w:val="TableCell"/>
              <w:jc w:val="center"/>
            </w:pPr>
            <w:r w:rsidRPr="00252AC4">
              <w:rPr>
                <w:szCs w:val="20"/>
                <w:lang w:eastAsia="en-GB"/>
              </w:rPr>
              <w:t>No</w:t>
            </w:r>
          </w:p>
        </w:tc>
      </w:tr>
      <w:tr w:rsidR="001D3BDB" w:rsidRPr="00252AC4" w14:paraId="6E9974E8" w14:textId="77777777" w:rsidTr="001D3BDB">
        <w:trPr>
          <w:jc w:val="center"/>
        </w:trPr>
        <w:tc>
          <w:tcPr>
            <w:tcW w:w="0" w:type="auto"/>
            <w:shd w:val="clear" w:color="auto" w:fill="EDF0F7"/>
            <w:tcMar>
              <w:top w:w="0" w:type="dxa"/>
              <w:left w:w="108" w:type="dxa"/>
              <w:bottom w:w="0" w:type="dxa"/>
              <w:right w:w="108" w:type="dxa"/>
            </w:tcMar>
            <w:hideMark/>
          </w:tcPr>
          <w:p w14:paraId="4B88303E" w14:textId="77777777" w:rsidR="001D3BDB" w:rsidRPr="00252AC4" w:rsidRDefault="001D3BDB" w:rsidP="006E2DA1">
            <w:pPr>
              <w:pStyle w:val="TableRow"/>
            </w:pPr>
            <w:r w:rsidRPr="00252AC4">
              <w:rPr>
                <w:szCs w:val="20"/>
                <w:lang w:eastAsia="en-GB"/>
              </w:rPr>
              <w:t>Kazakhstan</w:t>
            </w:r>
          </w:p>
        </w:tc>
        <w:tc>
          <w:tcPr>
            <w:tcW w:w="0" w:type="auto"/>
            <w:shd w:val="clear" w:color="auto" w:fill="EDF0F7"/>
            <w:tcMar>
              <w:top w:w="0" w:type="dxa"/>
              <w:left w:w="108" w:type="dxa"/>
              <w:bottom w:w="0" w:type="dxa"/>
              <w:right w:w="108" w:type="dxa"/>
            </w:tcMar>
            <w:hideMark/>
          </w:tcPr>
          <w:p w14:paraId="42AFA512"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675C889E"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63F1F082"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53A4A6A2" w14:textId="77777777" w:rsidR="001D3BDB" w:rsidRPr="00252AC4" w:rsidRDefault="001D3BDB">
            <w:pPr>
              <w:pStyle w:val="TableCell"/>
              <w:jc w:val="center"/>
            </w:pPr>
            <w:r w:rsidRPr="00252AC4">
              <w:rPr>
                <w:szCs w:val="20"/>
                <w:lang w:eastAsia="en-GB"/>
              </w:rPr>
              <w:t>No</w:t>
            </w:r>
          </w:p>
        </w:tc>
      </w:tr>
      <w:tr w:rsidR="001D3BDB" w:rsidRPr="00252AC4" w14:paraId="1F11AB98" w14:textId="77777777" w:rsidTr="001D3BDB">
        <w:trPr>
          <w:jc w:val="center"/>
        </w:trPr>
        <w:tc>
          <w:tcPr>
            <w:tcW w:w="0" w:type="auto"/>
            <w:shd w:val="clear" w:color="auto" w:fill="FFFFFF"/>
            <w:tcMar>
              <w:top w:w="0" w:type="dxa"/>
              <w:left w:w="108" w:type="dxa"/>
              <w:bottom w:w="0" w:type="dxa"/>
              <w:right w:w="108" w:type="dxa"/>
            </w:tcMar>
            <w:hideMark/>
          </w:tcPr>
          <w:p w14:paraId="1026E33E" w14:textId="77777777" w:rsidR="001D3BDB" w:rsidRPr="00252AC4" w:rsidRDefault="001D3BDB" w:rsidP="006E2DA1">
            <w:pPr>
              <w:pStyle w:val="TableRow"/>
            </w:pPr>
            <w:r w:rsidRPr="00252AC4">
              <w:rPr>
                <w:szCs w:val="20"/>
                <w:lang w:eastAsia="en-GB"/>
              </w:rPr>
              <w:t>Kyrgyzstan</w:t>
            </w:r>
          </w:p>
        </w:tc>
        <w:tc>
          <w:tcPr>
            <w:tcW w:w="0" w:type="auto"/>
            <w:shd w:val="clear" w:color="auto" w:fill="FFFFFF"/>
            <w:tcMar>
              <w:top w:w="0" w:type="dxa"/>
              <w:left w:w="108" w:type="dxa"/>
              <w:bottom w:w="0" w:type="dxa"/>
              <w:right w:w="108" w:type="dxa"/>
            </w:tcMar>
            <w:hideMark/>
          </w:tcPr>
          <w:p w14:paraId="3EE877D9"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774A8DC1"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022D21B9"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18736C62" w14:textId="77777777" w:rsidR="001D3BDB" w:rsidRPr="00252AC4" w:rsidRDefault="001D3BDB">
            <w:pPr>
              <w:pStyle w:val="TableCell"/>
              <w:jc w:val="center"/>
            </w:pPr>
            <w:r w:rsidRPr="00252AC4">
              <w:rPr>
                <w:szCs w:val="20"/>
                <w:lang w:eastAsia="en-GB"/>
              </w:rPr>
              <w:t>Yes</w:t>
            </w:r>
          </w:p>
        </w:tc>
      </w:tr>
      <w:tr w:rsidR="001D3BDB" w:rsidRPr="00252AC4" w14:paraId="385B6745" w14:textId="77777777" w:rsidTr="001D3BDB">
        <w:trPr>
          <w:jc w:val="center"/>
        </w:trPr>
        <w:tc>
          <w:tcPr>
            <w:tcW w:w="0" w:type="auto"/>
            <w:shd w:val="clear" w:color="auto" w:fill="EDF0F7"/>
            <w:tcMar>
              <w:top w:w="0" w:type="dxa"/>
              <w:left w:w="108" w:type="dxa"/>
              <w:bottom w:w="0" w:type="dxa"/>
              <w:right w:w="108" w:type="dxa"/>
            </w:tcMar>
            <w:hideMark/>
          </w:tcPr>
          <w:p w14:paraId="03F0B559" w14:textId="77777777" w:rsidR="001D3BDB" w:rsidRPr="00252AC4" w:rsidRDefault="001D3BDB" w:rsidP="006E2DA1">
            <w:pPr>
              <w:pStyle w:val="TableRow"/>
            </w:pPr>
            <w:r w:rsidRPr="00252AC4">
              <w:rPr>
                <w:szCs w:val="20"/>
                <w:lang w:eastAsia="en-GB"/>
              </w:rPr>
              <w:t>Mongolia</w:t>
            </w:r>
          </w:p>
        </w:tc>
        <w:tc>
          <w:tcPr>
            <w:tcW w:w="0" w:type="auto"/>
            <w:shd w:val="clear" w:color="auto" w:fill="EDF0F7"/>
            <w:tcMar>
              <w:top w:w="0" w:type="dxa"/>
              <w:left w:w="108" w:type="dxa"/>
              <w:bottom w:w="0" w:type="dxa"/>
              <w:right w:w="108" w:type="dxa"/>
            </w:tcMar>
            <w:hideMark/>
          </w:tcPr>
          <w:p w14:paraId="4469C39D"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2882454A" w14:textId="77777777" w:rsidR="001D3BDB" w:rsidRPr="00252AC4" w:rsidRDefault="001D3BDB">
            <w:pPr>
              <w:pStyle w:val="TableCell"/>
              <w:jc w:val="center"/>
            </w:pPr>
            <w:r w:rsidRPr="00252AC4">
              <w:rPr>
                <w:szCs w:val="20"/>
                <w:lang w:eastAsia="en-GB"/>
              </w:rPr>
              <w:t>No</w:t>
            </w:r>
          </w:p>
        </w:tc>
        <w:tc>
          <w:tcPr>
            <w:tcW w:w="0" w:type="auto"/>
            <w:shd w:val="clear" w:color="auto" w:fill="EDF0F7"/>
            <w:tcMar>
              <w:top w:w="0" w:type="dxa"/>
              <w:left w:w="108" w:type="dxa"/>
              <w:bottom w:w="0" w:type="dxa"/>
              <w:right w:w="108" w:type="dxa"/>
            </w:tcMar>
            <w:hideMark/>
          </w:tcPr>
          <w:p w14:paraId="28A8E6E6"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72AED62D" w14:textId="77777777" w:rsidR="001D3BDB" w:rsidRPr="00252AC4" w:rsidRDefault="001D3BDB">
            <w:pPr>
              <w:pStyle w:val="TableCell"/>
              <w:jc w:val="center"/>
            </w:pPr>
            <w:r w:rsidRPr="00252AC4">
              <w:rPr>
                <w:szCs w:val="20"/>
                <w:lang w:eastAsia="en-GB"/>
              </w:rPr>
              <w:t>No</w:t>
            </w:r>
          </w:p>
        </w:tc>
      </w:tr>
      <w:tr w:rsidR="001D3BDB" w:rsidRPr="00252AC4" w14:paraId="3EE022D1" w14:textId="77777777" w:rsidTr="001D3BDB">
        <w:trPr>
          <w:jc w:val="center"/>
        </w:trPr>
        <w:tc>
          <w:tcPr>
            <w:tcW w:w="0" w:type="auto"/>
            <w:shd w:val="clear" w:color="auto" w:fill="FFFFFF"/>
            <w:tcMar>
              <w:top w:w="0" w:type="dxa"/>
              <w:left w:w="108" w:type="dxa"/>
              <w:bottom w:w="0" w:type="dxa"/>
              <w:right w:w="108" w:type="dxa"/>
            </w:tcMar>
            <w:hideMark/>
          </w:tcPr>
          <w:p w14:paraId="2595A3B3" w14:textId="77777777" w:rsidR="001D3BDB" w:rsidRPr="00252AC4" w:rsidRDefault="001D3BDB" w:rsidP="006E2DA1">
            <w:pPr>
              <w:pStyle w:val="TableRow"/>
            </w:pPr>
            <w:r w:rsidRPr="00252AC4">
              <w:rPr>
                <w:szCs w:val="20"/>
                <w:lang w:eastAsia="en-GB"/>
              </w:rPr>
              <w:t>Tajikistan</w:t>
            </w:r>
          </w:p>
        </w:tc>
        <w:tc>
          <w:tcPr>
            <w:tcW w:w="0" w:type="auto"/>
            <w:shd w:val="clear" w:color="auto" w:fill="FFFFFF"/>
            <w:tcMar>
              <w:top w:w="0" w:type="dxa"/>
              <w:left w:w="108" w:type="dxa"/>
              <w:bottom w:w="0" w:type="dxa"/>
              <w:right w:w="108" w:type="dxa"/>
            </w:tcMar>
            <w:hideMark/>
          </w:tcPr>
          <w:p w14:paraId="78B5D780"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731942A8"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2B1F1C4C"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638D4D6C" w14:textId="77777777" w:rsidR="001D3BDB" w:rsidRPr="00252AC4" w:rsidRDefault="001D3BDB">
            <w:pPr>
              <w:pStyle w:val="TableCell"/>
              <w:jc w:val="center"/>
            </w:pPr>
            <w:r w:rsidRPr="00252AC4">
              <w:rPr>
                <w:szCs w:val="20"/>
                <w:lang w:eastAsia="en-GB"/>
              </w:rPr>
              <w:t>No</w:t>
            </w:r>
          </w:p>
        </w:tc>
      </w:tr>
      <w:tr w:rsidR="001D3BDB" w:rsidRPr="00252AC4" w14:paraId="23ADAFAD" w14:textId="77777777" w:rsidTr="001D3BDB">
        <w:trPr>
          <w:jc w:val="center"/>
        </w:trPr>
        <w:tc>
          <w:tcPr>
            <w:tcW w:w="0" w:type="auto"/>
            <w:shd w:val="clear" w:color="auto" w:fill="EDF0F7"/>
            <w:tcMar>
              <w:top w:w="0" w:type="dxa"/>
              <w:left w:w="108" w:type="dxa"/>
              <w:bottom w:w="0" w:type="dxa"/>
              <w:right w:w="108" w:type="dxa"/>
            </w:tcMar>
            <w:hideMark/>
          </w:tcPr>
          <w:p w14:paraId="37A48C0F" w14:textId="77777777" w:rsidR="001D3BDB" w:rsidRPr="00252AC4" w:rsidRDefault="001D3BDB" w:rsidP="006E2DA1">
            <w:pPr>
              <w:pStyle w:val="TableRow"/>
            </w:pPr>
            <w:r w:rsidRPr="00252AC4">
              <w:rPr>
                <w:szCs w:val="20"/>
                <w:lang w:eastAsia="en-GB"/>
              </w:rPr>
              <w:t>Ukraine</w:t>
            </w:r>
          </w:p>
        </w:tc>
        <w:tc>
          <w:tcPr>
            <w:tcW w:w="0" w:type="auto"/>
            <w:shd w:val="clear" w:color="auto" w:fill="EDF0F7"/>
            <w:tcMar>
              <w:top w:w="0" w:type="dxa"/>
              <w:left w:w="108" w:type="dxa"/>
              <w:bottom w:w="0" w:type="dxa"/>
              <w:right w:w="108" w:type="dxa"/>
            </w:tcMar>
            <w:hideMark/>
          </w:tcPr>
          <w:p w14:paraId="3E9DF703"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4D1A0694"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7A7B4975" w14:textId="77777777" w:rsidR="001D3BDB" w:rsidRPr="00252AC4" w:rsidRDefault="001D3BDB">
            <w:pPr>
              <w:pStyle w:val="TableCell"/>
              <w:jc w:val="center"/>
            </w:pPr>
            <w:r w:rsidRPr="00252AC4">
              <w:rPr>
                <w:szCs w:val="20"/>
                <w:lang w:eastAsia="en-GB"/>
              </w:rPr>
              <w:t>Yes</w:t>
            </w:r>
          </w:p>
        </w:tc>
        <w:tc>
          <w:tcPr>
            <w:tcW w:w="0" w:type="auto"/>
            <w:shd w:val="clear" w:color="auto" w:fill="EDF0F7"/>
            <w:tcMar>
              <w:top w:w="0" w:type="dxa"/>
              <w:left w:w="108" w:type="dxa"/>
              <w:bottom w:w="0" w:type="dxa"/>
              <w:right w:w="108" w:type="dxa"/>
            </w:tcMar>
            <w:hideMark/>
          </w:tcPr>
          <w:p w14:paraId="66BE0AB5" w14:textId="77777777" w:rsidR="001D3BDB" w:rsidRPr="00252AC4" w:rsidRDefault="001D3BDB">
            <w:pPr>
              <w:pStyle w:val="TableCell"/>
              <w:jc w:val="center"/>
            </w:pPr>
            <w:r w:rsidRPr="00252AC4">
              <w:rPr>
                <w:szCs w:val="20"/>
                <w:lang w:eastAsia="en-GB"/>
              </w:rPr>
              <w:t>Yes</w:t>
            </w:r>
          </w:p>
        </w:tc>
      </w:tr>
      <w:tr w:rsidR="001D3BDB" w:rsidRPr="00252AC4" w14:paraId="05E6C35C" w14:textId="77777777" w:rsidTr="001D3BDB">
        <w:trPr>
          <w:jc w:val="center"/>
        </w:trPr>
        <w:tc>
          <w:tcPr>
            <w:tcW w:w="0" w:type="auto"/>
            <w:shd w:val="clear" w:color="auto" w:fill="FFFFFF"/>
            <w:tcMar>
              <w:top w:w="0" w:type="dxa"/>
              <w:left w:w="108" w:type="dxa"/>
              <w:bottom w:w="0" w:type="dxa"/>
              <w:right w:w="108" w:type="dxa"/>
            </w:tcMar>
            <w:hideMark/>
          </w:tcPr>
          <w:p w14:paraId="5939453B" w14:textId="77777777" w:rsidR="001D3BDB" w:rsidRPr="00252AC4" w:rsidRDefault="001D3BDB" w:rsidP="006E2DA1">
            <w:pPr>
              <w:pStyle w:val="TableRow"/>
            </w:pPr>
            <w:r w:rsidRPr="00252AC4">
              <w:rPr>
                <w:szCs w:val="20"/>
                <w:lang w:eastAsia="en-GB"/>
              </w:rPr>
              <w:t>Uzbekistan</w:t>
            </w:r>
          </w:p>
        </w:tc>
        <w:tc>
          <w:tcPr>
            <w:tcW w:w="0" w:type="auto"/>
            <w:shd w:val="clear" w:color="auto" w:fill="FFFFFF"/>
            <w:tcMar>
              <w:top w:w="0" w:type="dxa"/>
              <w:left w:w="108" w:type="dxa"/>
              <w:bottom w:w="0" w:type="dxa"/>
              <w:right w:w="108" w:type="dxa"/>
            </w:tcMar>
            <w:hideMark/>
          </w:tcPr>
          <w:p w14:paraId="0521C9EB"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7C4BFBE8" w14:textId="77777777" w:rsidR="001D3BDB" w:rsidRPr="00252AC4" w:rsidRDefault="001D3BDB">
            <w:pPr>
              <w:pStyle w:val="TableCell"/>
              <w:jc w:val="center"/>
            </w:pPr>
            <w:r w:rsidRPr="00252AC4">
              <w:rPr>
                <w:szCs w:val="20"/>
                <w:lang w:eastAsia="en-GB"/>
              </w:rPr>
              <w:t>Yes</w:t>
            </w:r>
          </w:p>
        </w:tc>
        <w:tc>
          <w:tcPr>
            <w:tcW w:w="0" w:type="auto"/>
            <w:shd w:val="clear" w:color="auto" w:fill="FFFFFF"/>
            <w:tcMar>
              <w:top w:w="0" w:type="dxa"/>
              <w:left w:w="108" w:type="dxa"/>
              <w:bottom w:w="0" w:type="dxa"/>
              <w:right w:w="108" w:type="dxa"/>
            </w:tcMar>
            <w:hideMark/>
          </w:tcPr>
          <w:p w14:paraId="0A0BF4B0" w14:textId="77777777" w:rsidR="001D3BDB" w:rsidRPr="00252AC4" w:rsidRDefault="001D3BDB">
            <w:pPr>
              <w:pStyle w:val="TableCell"/>
              <w:jc w:val="center"/>
            </w:pPr>
            <w:r w:rsidRPr="00252AC4">
              <w:rPr>
                <w:szCs w:val="20"/>
                <w:lang w:eastAsia="en-GB"/>
              </w:rPr>
              <w:t>No</w:t>
            </w:r>
          </w:p>
        </w:tc>
        <w:tc>
          <w:tcPr>
            <w:tcW w:w="0" w:type="auto"/>
            <w:shd w:val="clear" w:color="auto" w:fill="FFFFFF"/>
            <w:tcMar>
              <w:top w:w="0" w:type="dxa"/>
              <w:left w:w="108" w:type="dxa"/>
              <w:bottom w:w="0" w:type="dxa"/>
              <w:right w:w="108" w:type="dxa"/>
            </w:tcMar>
            <w:hideMark/>
          </w:tcPr>
          <w:p w14:paraId="07B6ABBA" w14:textId="77777777" w:rsidR="001D3BDB" w:rsidRPr="00252AC4" w:rsidRDefault="001D3BDB">
            <w:pPr>
              <w:pStyle w:val="TableCell"/>
              <w:jc w:val="center"/>
            </w:pPr>
            <w:r w:rsidRPr="00252AC4">
              <w:rPr>
                <w:szCs w:val="20"/>
                <w:lang w:eastAsia="en-GB"/>
              </w:rPr>
              <w:t>No</w:t>
            </w:r>
          </w:p>
        </w:tc>
      </w:tr>
    </w:tbl>
    <w:p w14:paraId="578AC2CA" w14:textId="1F64A4A4" w:rsidR="001D3BDB" w:rsidRPr="00252AC4" w:rsidRDefault="001D3BDB" w:rsidP="001D3BDB">
      <w:pPr>
        <w:pStyle w:val="Sourcenotes"/>
      </w:pPr>
      <w:r w:rsidRPr="00252AC4">
        <w:rPr>
          <w:i/>
        </w:rPr>
        <w:t>Source</w:t>
      </w:r>
      <w:r w:rsidRPr="00252AC4">
        <w:t xml:space="preserve">: </w:t>
      </w:r>
      <w:r w:rsidR="00F67246" w:rsidRPr="00252AC4">
        <w:t>OECD-IDB Survey of Inves</w:t>
      </w:r>
      <w:r w:rsidR="00C21B57" w:rsidRPr="00252AC4">
        <w:t>tment Promotion Agencies (2020)</w:t>
      </w:r>
    </w:p>
    <w:p w14:paraId="5160D16B" w14:textId="648C8D19" w:rsidR="00B43315" w:rsidRPr="00252AC4" w:rsidRDefault="00624CFA" w:rsidP="00BC3D9D">
      <w:pPr>
        <w:pStyle w:val="Heading1"/>
        <w:rPr>
          <w:rFonts w:hint="eastAsia"/>
        </w:rPr>
      </w:pPr>
      <w:bookmarkStart w:id="331" w:name="_Toc31650314"/>
      <w:bookmarkStart w:id="332" w:name="_Toc32317015"/>
      <w:bookmarkStart w:id="333" w:name="_Toc32324674"/>
      <w:bookmarkStart w:id="334" w:name="_Toc40103029"/>
      <w:r w:rsidRPr="00252AC4">
        <w:lastRenderedPageBreak/>
        <w:t>Monitoring and evaluation</w:t>
      </w:r>
      <w:bookmarkEnd w:id="325"/>
      <w:bookmarkEnd w:id="326"/>
      <w:bookmarkEnd w:id="331"/>
      <w:bookmarkEnd w:id="332"/>
      <w:bookmarkEnd w:id="333"/>
      <w:bookmarkEnd w:id="334"/>
    </w:p>
    <w:p w14:paraId="7CE9E549" w14:textId="3C43651D" w:rsidR="00FC7237" w:rsidRPr="00252AC4" w:rsidRDefault="00973C35" w:rsidP="002C75F3">
      <w:pPr>
        <w:pStyle w:val="Abstract"/>
      </w:pPr>
      <w:r w:rsidRPr="00252AC4">
        <w:t xml:space="preserve">Eurasia IPAs engage in monitoring and evaluation activities as much as their peers in other </w:t>
      </w:r>
      <w:r w:rsidR="0064267C" w:rsidRPr="00252AC4">
        <w:t>regions.</w:t>
      </w:r>
      <w:r w:rsidR="00646370" w:rsidRPr="00252AC4">
        <w:t xml:space="preserve"> More than half of Eurasia IPAs have dedicated evaluation units that report to the IPA head or investment committee</w:t>
      </w:r>
      <w:r w:rsidR="00903586" w:rsidRPr="00252AC4">
        <w:t xml:space="preserve">, and </w:t>
      </w:r>
      <w:r w:rsidR="00646370" w:rsidRPr="00252AC4">
        <w:t xml:space="preserve">the </w:t>
      </w:r>
      <w:r w:rsidR="00903586" w:rsidRPr="00252AC4">
        <w:t>number of methods and indicators</w:t>
      </w:r>
      <w:r w:rsidR="00646370" w:rsidRPr="00252AC4">
        <w:t xml:space="preserve"> </w:t>
      </w:r>
      <w:r w:rsidR="00A67782" w:rsidRPr="00252AC4">
        <w:t xml:space="preserve">used are </w:t>
      </w:r>
      <w:r w:rsidR="00646370" w:rsidRPr="00252AC4">
        <w:t>in line with OECD practices</w:t>
      </w:r>
      <w:r w:rsidR="00903586" w:rsidRPr="00252AC4">
        <w:t>.</w:t>
      </w:r>
      <w:r w:rsidRPr="00252AC4">
        <w:t xml:space="preserve"> They however tend to focus more on output as opposed to outcome indicators, </w:t>
      </w:r>
      <w:r w:rsidR="008E12F5" w:rsidRPr="00252AC4">
        <w:t>although</w:t>
      </w:r>
      <w:r w:rsidR="00A67782" w:rsidRPr="00252AC4">
        <w:t xml:space="preserve"> </w:t>
      </w:r>
      <w:r w:rsidR="0029700D" w:rsidRPr="00252AC4">
        <w:t xml:space="preserve">the latter are not clearly aligned with their mandates and prioritisation strategies. </w:t>
      </w:r>
      <w:r w:rsidR="00A67782" w:rsidRPr="00252AC4">
        <w:t>In addition, o</w:t>
      </w:r>
      <w:r w:rsidR="0029700D" w:rsidRPr="00252AC4">
        <w:t xml:space="preserve">nly few IPAs </w:t>
      </w:r>
      <w:r w:rsidRPr="00252AC4">
        <w:t>are equipped with data-tracking tools such as Customer Relationship Management (CRM)</w:t>
      </w:r>
      <w:r w:rsidR="004B39E3">
        <w:t>, while such systems are particularly enabling in the digitalisation of processes</w:t>
      </w:r>
      <w:r w:rsidRPr="00252AC4">
        <w:t xml:space="preserve">. </w:t>
      </w:r>
      <w:r w:rsidR="00A67782" w:rsidRPr="00252AC4">
        <w:t>Enhancing the usage of and s</w:t>
      </w:r>
      <w:r w:rsidRPr="00252AC4">
        <w:t>trengthening data-tracking systems</w:t>
      </w:r>
      <w:r w:rsidR="00A67782" w:rsidRPr="00252AC4">
        <w:t xml:space="preserve"> in the region</w:t>
      </w:r>
      <w:r w:rsidRPr="00252AC4">
        <w:t xml:space="preserve"> </w:t>
      </w:r>
      <w:r w:rsidR="00646370" w:rsidRPr="00252AC4">
        <w:t>could facilitate the collection of good-quality data, enable IPAs to better track their activities and results</w:t>
      </w:r>
      <w:r w:rsidR="008E12F5" w:rsidRPr="00252AC4">
        <w:t xml:space="preserve">, and allow </w:t>
      </w:r>
      <w:r w:rsidR="00522E47" w:rsidRPr="00252AC4">
        <w:t>extending</w:t>
      </w:r>
      <w:r w:rsidR="008E12F5" w:rsidRPr="00252AC4">
        <w:t xml:space="preserve"> investment promotion’s contribution to sustainable development and the promotion of responsible business conduct</w:t>
      </w:r>
      <w:r w:rsidR="00646370" w:rsidRPr="00252AC4">
        <w:t>.</w:t>
      </w:r>
      <w:r w:rsidR="004B39E3">
        <w:t xml:space="preserve"> It would also enable Eurasia IPAs to “stay in the game” as the COVID-19 crisis is already accelerating the digitalisation of investment promotion activities in many </w:t>
      </w:r>
      <w:r w:rsidR="00462174">
        <w:t>economies</w:t>
      </w:r>
      <w:r w:rsidR="004B39E3">
        <w:t>.</w:t>
      </w:r>
    </w:p>
    <w:p w14:paraId="3E90DD00" w14:textId="6AA12F5C" w:rsidR="0065770E" w:rsidRPr="00252AC4" w:rsidRDefault="0065770E" w:rsidP="0065770E">
      <w:pPr>
        <w:pStyle w:val="Para0"/>
      </w:pPr>
      <w:r w:rsidRPr="00252AC4">
        <w:t xml:space="preserve">The purpose of monitoring and evaluation (M&amp;E), in the context of investment promotion, is manifold. First, like most organisations, the success of IPAs rely, among other aspects, on the efficient allocation of their resources, which can be guided by cost and benefit analyses. In this perspective, well-designed M&amp;E methods and indicators can help improve overall investment promotion and facilitation strategies, and propose corrective measures to improve process effectiveness </w:t>
      </w:r>
      <w:sdt>
        <w:sdtPr>
          <w:id w:val="422006058"/>
          <w:citation/>
        </w:sdtPr>
        <w:sdtEndPr/>
        <w:sdtContent>
          <w:r w:rsidRPr="00252AC4">
            <w:fldChar w:fldCharType="begin"/>
          </w:r>
          <w:r w:rsidRPr="00252AC4">
            <w:instrText xml:space="preserve"> CITATION Kappa_g2g3e67f \l 2057 </w:instrText>
          </w:r>
          <w:r w:rsidRPr="00252AC4">
            <w:fldChar w:fldCharType="separate"/>
          </w:r>
          <w:bookmarkStart w:id="335" w:name="Kappa_g2g3e67f_5"/>
          <w:r w:rsidR="00E259C6" w:rsidRPr="00252AC4">
            <w:rPr>
              <w:noProof/>
            </w:rPr>
            <w:t>(OECD, 2015</w:t>
          </w:r>
          <w:r w:rsidR="00E259C6" w:rsidRPr="00252AC4">
            <w:rPr>
              <w:noProof/>
              <w:vertAlign w:val="subscript"/>
            </w:rPr>
            <w:t>[5]</w:t>
          </w:r>
          <w:r w:rsidR="00E259C6" w:rsidRPr="00252AC4">
            <w:rPr>
              <w:noProof/>
            </w:rPr>
            <w:t>)</w:t>
          </w:r>
          <w:bookmarkEnd w:id="335"/>
          <w:r w:rsidRPr="00252AC4">
            <w:fldChar w:fldCharType="end"/>
          </w:r>
        </w:sdtContent>
      </w:sdt>
      <w:r w:rsidRPr="00252AC4">
        <w:t xml:space="preserve">. Second, systematic monitoring of the agency’s performance will help to anchor a culture of results orientation, and provide a basis for organisational learning through experience, benchmarking exercises, and knowledge generation </w:t>
      </w:r>
      <w:sdt>
        <w:sdtPr>
          <w:id w:val="2038928125"/>
          <w:citation/>
        </w:sdtPr>
        <w:sdtEndPr/>
        <w:sdtContent>
          <w:r w:rsidRPr="00252AC4">
            <w:fldChar w:fldCharType="begin"/>
          </w:r>
          <w:r w:rsidRPr="00252AC4">
            <w:instrText xml:space="preserve"> CITATION Mendeley_TA3dH6ihQza5YwFBu9ChhA \l 2057 </w:instrText>
          </w:r>
          <w:r w:rsidRPr="00252AC4">
            <w:fldChar w:fldCharType="separate"/>
          </w:r>
          <w:r w:rsidR="00E259C6" w:rsidRPr="00252AC4">
            <w:rPr>
              <w:noProof/>
            </w:rPr>
            <w:t>(UNCTAD, 2016</w:t>
          </w:r>
          <w:r w:rsidR="00E259C6" w:rsidRPr="00252AC4">
            <w:rPr>
              <w:noProof/>
              <w:vertAlign w:val="subscript"/>
            </w:rPr>
            <w:t>[23]</w:t>
          </w:r>
          <w:r w:rsidR="00E259C6" w:rsidRPr="00252AC4">
            <w:rPr>
              <w:noProof/>
            </w:rPr>
            <w:t>)</w:t>
          </w:r>
          <w:r w:rsidRPr="00252AC4">
            <w:fldChar w:fldCharType="end"/>
          </w:r>
        </w:sdtContent>
      </w:sdt>
      <w:r w:rsidRPr="00252AC4">
        <w:t xml:space="preserve">. Third, well designed M&amp;E indicators can serve as an effective communication tool to report to main stakeholders, and ensure transparency and accountability, especially in the context of public spending </w:t>
      </w:r>
      <w:sdt>
        <w:sdtPr>
          <w:id w:val="318622095"/>
          <w:citation/>
        </w:sdtPr>
        <w:sdtEndPr/>
        <w:sdtContent>
          <w:r w:rsidRPr="00252AC4">
            <w:fldChar w:fldCharType="begin"/>
          </w:r>
          <w:r w:rsidRPr="00252AC4">
            <w:instrText xml:space="preserve"> CITATION Kappa_g27a2751 \l 2057 </w:instrText>
          </w:r>
          <w:r w:rsidRPr="00252AC4">
            <w:fldChar w:fldCharType="separate"/>
          </w:r>
          <w:bookmarkStart w:id="336" w:name="Kappa_g27a2751_26"/>
          <w:r w:rsidR="00E259C6" w:rsidRPr="00252AC4">
            <w:rPr>
              <w:noProof/>
            </w:rPr>
            <w:t>(Schumann, 2016</w:t>
          </w:r>
          <w:r w:rsidR="00E259C6" w:rsidRPr="00252AC4">
            <w:rPr>
              <w:noProof/>
              <w:vertAlign w:val="subscript"/>
            </w:rPr>
            <w:t>[24]</w:t>
          </w:r>
          <w:r w:rsidR="00E259C6" w:rsidRPr="00252AC4">
            <w:rPr>
              <w:noProof/>
            </w:rPr>
            <w:t>)</w:t>
          </w:r>
          <w:bookmarkEnd w:id="336"/>
          <w:r w:rsidRPr="00252AC4">
            <w:fldChar w:fldCharType="end"/>
          </w:r>
        </w:sdtContent>
      </w:sdt>
      <w:r w:rsidRPr="00252AC4">
        <w:t xml:space="preserve">. Demonstrating impact, efficiency and effectiveness can be particularly important during political cycles or economic downturns, when the nature of IPAs is often called into question </w:t>
      </w:r>
      <w:sdt>
        <w:sdtPr>
          <w:id w:val="-1624302148"/>
          <w:citation/>
        </w:sdtPr>
        <w:sdtEndPr/>
        <w:sdtContent>
          <w:r w:rsidRPr="00252AC4">
            <w:fldChar w:fldCharType="begin"/>
          </w:r>
          <w:r w:rsidRPr="00252AC4">
            <w:instrText xml:space="preserve">CITATION Mendeley_tcEPOjatsz__e7ShMwPpBNQ \l 2057 </w:instrText>
          </w:r>
          <w:r w:rsidRPr="00252AC4">
            <w:fldChar w:fldCharType="separate"/>
          </w:r>
          <w:bookmarkStart w:id="337" w:name="Mendeley_tcEPOjatsz__e7ShMwPpBNQ_7"/>
          <w:r w:rsidR="00E259C6" w:rsidRPr="00252AC4">
            <w:rPr>
              <w:noProof/>
            </w:rPr>
            <w:t>(Loewendahl, 2001</w:t>
          </w:r>
          <w:r w:rsidR="00E259C6" w:rsidRPr="00252AC4">
            <w:rPr>
              <w:noProof/>
              <w:vertAlign w:val="subscript"/>
            </w:rPr>
            <w:t>[7]</w:t>
          </w:r>
          <w:r w:rsidR="00E259C6" w:rsidRPr="00252AC4">
            <w:rPr>
              <w:noProof/>
            </w:rPr>
            <w:t>)</w:t>
          </w:r>
          <w:bookmarkEnd w:id="337"/>
          <w:r w:rsidRPr="00252AC4">
            <w:fldChar w:fldCharType="end"/>
          </w:r>
        </w:sdtContent>
      </w:sdt>
      <w:r w:rsidRPr="00252AC4">
        <w:t xml:space="preserve">, while tighter budgets have generally increased the pressure to report and demonstrate success </w:t>
      </w:r>
      <w:sdt>
        <w:sdtPr>
          <w:id w:val="-1848475844"/>
          <w:citation/>
        </w:sdtPr>
        <w:sdtEndPr/>
        <w:sdtContent>
          <w:r w:rsidRPr="00252AC4">
            <w:fldChar w:fldCharType="begin"/>
          </w:r>
          <w:r w:rsidRPr="00252AC4">
            <w:instrText xml:space="preserve"> CITATION OEC18 \l 1036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w:t>
      </w:r>
    </w:p>
    <w:p w14:paraId="06661C9A" w14:textId="3F104EDA" w:rsidR="00395CD4" w:rsidRPr="00252AC4" w:rsidRDefault="00395CD4" w:rsidP="0065770E">
      <w:pPr>
        <w:pStyle w:val="Para0"/>
      </w:pPr>
      <w:r w:rsidRPr="00252AC4">
        <w:t>Monitoring and evaluating are two complementary actions both relating to performance assessment and improvement. While monitoring is a continu</w:t>
      </w:r>
      <w:r w:rsidR="00C12E91" w:rsidRPr="00252AC4">
        <w:t>ous</w:t>
      </w:r>
      <w:r w:rsidRPr="00252AC4">
        <w:t xml:space="preserve"> process that focuses on ongoing activity and measures its progress, evaluation deals with completed tasks or activities. Both rely on the collection of appropriate data and information, and can provide guidance for performance imp</w:t>
      </w:r>
      <w:r w:rsidR="00B67338" w:rsidRPr="00252AC4">
        <w:t>rovement through</w:t>
      </w:r>
      <w:r w:rsidRPr="00252AC4">
        <w:t xml:space="preserve"> corrective actions.</w:t>
      </w:r>
    </w:p>
    <w:p w14:paraId="567B1F2B" w14:textId="7CBE0EBB" w:rsidR="0065770E" w:rsidRPr="00252AC4" w:rsidRDefault="00462250" w:rsidP="0065770E">
      <w:pPr>
        <w:pStyle w:val="Para0"/>
      </w:pPr>
      <w:r w:rsidRPr="00252AC4">
        <w:t xml:space="preserve">Enhancing M&amp;E approaches is a popular topic among </w:t>
      </w:r>
      <w:r w:rsidR="0065770E" w:rsidRPr="00252AC4">
        <w:t>OECD IPAs</w:t>
      </w:r>
      <w:r w:rsidRPr="00252AC4">
        <w:t>, in a context of pressure to demonstrate effective use of public budgets</w:t>
      </w:r>
      <w:r w:rsidR="00972C3E" w:rsidRPr="00252AC4">
        <w:t xml:space="preserve"> but also to better measure the outcomes of </w:t>
      </w:r>
      <w:r w:rsidR="00AD3BA4" w:rsidRPr="00252AC4">
        <w:t xml:space="preserve">foreign </w:t>
      </w:r>
      <w:r w:rsidR="00972C3E" w:rsidRPr="00252AC4">
        <w:t xml:space="preserve">investment </w:t>
      </w:r>
      <w:r w:rsidR="00AD3BA4" w:rsidRPr="00252AC4">
        <w:t>attraction</w:t>
      </w:r>
      <w:r w:rsidR="0065770E" w:rsidRPr="00252AC4">
        <w:t xml:space="preserve">. </w:t>
      </w:r>
      <w:r w:rsidR="00972C3E" w:rsidRPr="00252AC4">
        <w:t>Among main challenges for performance measurement, IPAs mention the</w:t>
      </w:r>
      <w:r w:rsidR="0065770E" w:rsidRPr="00252AC4">
        <w:t xml:space="preserve"> design and </w:t>
      </w:r>
      <w:r w:rsidRPr="00252AC4">
        <w:t xml:space="preserve">systematic usage </w:t>
      </w:r>
      <w:r w:rsidR="0065770E" w:rsidRPr="00252AC4">
        <w:t>of data tracking tools, access to relevant</w:t>
      </w:r>
      <w:r w:rsidRPr="00252AC4">
        <w:t xml:space="preserve"> and reliable</w:t>
      </w:r>
      <w:r w:rsidR="0065770E" w:rsidRPr="00252AC4">
        <w:t xml:space="preserve"> data, and engaging in partnerships with external stakeholders to improve </w:t>
      </w:r>
      <w:r w:rsidRPr="00252AC4">
        <w:t>the</w:t>
      </w:r>
      <w:r w:rsidR="0065770E" w:rsidRPr="00252AC4">
        <w:t xml:space="preserve"> M&amp;E function </w:t>
      </w:r>
      <w:sdt>
        <w:sdtPr>
          <w:id w:val="-906685393"/>
          <w:citation/>
        </w:sdtPr>
        <w:sdtEndPr/>
        <w:sdtContent>
          <w:r w:rsidR="0065770E" w:rsidRPr="00252AC4">
            <w:fldChar w:fldCharType="begin"/>
          </w:r>
          <w:r w:rsidR="0065770E" w:rsidRPr="00252AC4">
            <w:instrText xml:space="preserve"> CITATION OEC19 \l 2057 </w:instrText>
          </w:r>
          <w:r w:rsidR="0065770E" w:rsidRPr="00252AC4">
            <w:fldChar w:fldCharType="separate"/>
          </w:r>
          <w:r w:rsidR="00E259C6" w:rsidRPr="00252AC4">
            <w:rPr>
              <w:noProof/>
            </w:rPr>
            <w:t>(</w:t>
          </w:r>
          <w:bookmarkStart w:id="338" w:name="OEC19_25"/>
          <w:r w:rsidR="00E259C6" w:rsidRPr="00252AC4">
            <w:rPr>
              <w:noProof/>
            </w:rPr>
            <w:t>OECD, 2019</w:t>
          </w:r>
          <w:r w:rsidR="00E259C6" w:rsidRPr="00252AC4">
            <w:rPr>
              <w:noProof/>
              <w:vertAlign w:val="subscript"/>
            </w:rPr>
            <w:t>[25]</w:t>
          </w:r>
          <w:r w:rsidR="00E259C6" w:rsidRPr="00252AC4">
            <w:rPr>
              <w:noProof/>
            </w:rPr>
            <w:t>)</w:t>
          </w:r>
          <w:bookmarkEnd w:id="338"/>
          <w:r w:rsidR="0065770E" w:rsidRPr="00252AC4">
            <w:fldChar w:fldCharType="end"/>
          </w:r>
        </w:sdtContent>
      </w:sdt>
      <w:r w:rsidR="00972C3E" w:rsidRPr="00252AC4">
        <w:t xml:space="preserve">. IPAs are also well positioned to contribute to the measurement of </w:t>
      </w:r>
      <w:r w:rsidR="0065770E" w:rsidRPr="00252AC4">
        <w:t>FDI</w:t>
      </w:r>
      <w:r w:rsidR="00972C3E" w:rsidRPr="00252AC4">
        <w:t xml:space="preserve"> benefits in relation to the Sustainable D</w:t>
      </w:r>
      <w:r w:rsidR="0065770E" w:rsidRPr="00252AC4">
        <w:t>evelopment</w:t>
      </w:r>
      <w:r w:rsidR="00972C3E" w:rsidRPr="00252AC4">
        <w:t xml:space="preserve"> Goals</w:t>
      </w:r>
      <w:r w:rsidR="00AD3BA4" w:rsidRPr="00252AC4">
        <w:t xml:space="preserve"> (SDGs)</w:t>
      </w:r>
      <w:r w:rsidR="00972C3E" w:rsidRPr="00252AC4">
        <w:t xml:space="preserve"> in their domestic economies, in areas such as employment and job quality, innovation and green growth.</w:t>
      </w:r>
      <w:r w:rsidR="0065770E" w:rsidRPr="00252AC4">
        <w:t xml:space="preserve"> </w:t>
      </w:r>
      <w:r w:rsidR="00AD3BA4" w:rsidRPr="00252AC4">
        <w:t xml:space="preserve">Such contribution necessitates the design of new and relevant indicators. This specific topic </w:t>
      </w:r>
      <w:r w:rsidR="00AD3BA4" w:rsidRPr="00252AC4">
        <w:lastRenderedPageBreak/>
        <w:t>is not discussed at length in this chapter, and is covered by</w:t>
      </w:r>
      <w:r w:rsidR="00972C3E" w:rsidRPr="00252AC4">
        <w:t xml:space="preserve"> recent OECD work</w:t>
      </w:r>
      <w:r w:rsidR="0065770E" w:rsidRPr="00252AC4">
        <w:t xml:space="preserve"> </w:t>
      </w:r>
      <w:r w:rsidR="00972C3E" w:rsidRPr="00252AC4">
        <w:t>on</w:t>
      </w:r>
      <w:r w:rsidR="0065770E" w:rsidRPr="00252AC4">
        <w:t xml:space="preserve"> FDI Qualities </w:t>
      </w:r>
      <w:sdt>
        <w:sdtPr>
          <w:id w:val="1306353995"/>
          <w:citation/>
        </w:sdtPr>
        <w:sdtEndPr/>
        <w:sdtContent>
          <w:r w:rsidR="0065770E" w:rsidRPr="00252AC4">
            <w:fldChar w:fldCharType="begin"/>
          </w:r>
          <w:r w:rsidR="0065770E" w:rsidRPr="00252AC4">
            <w:instrText xml:space="preserve">CITATION Mendeley_WKiTcmWWTTeUA42Wopv3BA \l 2057 </w:instrText>
          </w:r>
          <w:r w:rsidR="0065770E" w:rsidRPr="00252AC4">
            <w:fldChar w:fldCharType="separate"/>
          </w:r>
          <w:bookmarkStart w:id="339" w:name="Mendeley_WKiTcmWWTTeUA42Wopv3BA_27"/>
          <w:r w:rsidR="00E259C6" w:rsidRPr="00252AC4">
            <w:rPr>
              <w:noProof/>
            </w:rPr>
            <w:t>(</w:t>
          </w:r>
          <w:bookmarkStart w:id="340" w:name="Mendeley_WKiTcmWWTTeUA42Wopv3BA_26"/>
          <w:r w:rsidR="00E259C6" w:rsidRPr="00252AC4">
            <w:rPr>
              <w:noProof/>
            </w:rPr>
            <w:t>OECD, 2019</w:t>
          </w:r>
          <w:r w:rsidR="00E259C6" w:rsidRPr="00252AC4">
            <w:rPr>
              <w:noProof/>
              <w:vertAlign w:val="subscript"/>
            </w:rPr>
            <w:t>[26]</w:t>
          </w:r>
          <w:r w:rsidR="00E259C6" w:rsidRPr="00252AC4">
            <w:rPr>
              <w:noProof/>
            </w:rPr>
            <w:t>)</w:t>
          </w:r>
          <w:bookmarkEnd w:id="340"/>
          <w:bookmarkEnd w:id="339"/>
          <w:r w:rsidR="0065770E" w:rsidRPr="00252AC4">
            <w:fldChar w:fldCharType="end"/>
          </w:r>
        </w:sdtContent>
      </w:sdt>
      <w:r w:rsidR="0065770E" w:rsidRPr="00252AC4">
        <w:t xml:space="preserve">. </w:t>
      </w:r>
      <w:r w:rsidR="00AD3BA4" w:rsidRPr="00252AC4">
        <w:t>It can nevertheless affect IPAs’ M&amp;E functions by calling for new definitions of performance and the emergence of new strategic goal definitions</w:t>
      </w:r>
      <w:r w:rsidR="0065770E" w:rsidRPr="00252AC4">
        <w:t>.</w:t>
      </w:r>
    </w:p>
    <w:p w14:paraId="3B2A5E0A" w14:textId="4B253EBE" w:rsidR="0065770E" w:rsidRPr="00252AC4" w:rsidRDefault="0065770E" w:rsidP="0065770E">
      <w:pPr>
        <w:pStyle w:val="Para0"/>
      </w:pPr>
      <w:r w:rsidRPr="00252AC4">
        <w:t xml:space="preserve">This chapter </w:t>
      </w:r>
      <w:r w:rsidR="00D01BCC" w:rsidRPr="00252AC4">
        <w:t>describes</w:t>
      </w:r>
      <w:r w:rsidR="00AD3BA4" w:rsidRPr="00252AC4">
        <w:t xml:space="preserve"> M&amp;E trends among Eurasia IPAs. It starts by assessing their</w:t>
      </w:r>
      <w:r w:rsidRPr="00252AC4">
        <w:t xml:space="preserve"> </w:t>
      </w:r>
      <w:r w:rsidR="00AD3BA4" w:rsidRPr="00252AC4">
        <w:t>overall</w:t>
      </w:r>
      <w:r w:rsidRPr="00252AC4">
        <w:t xml:space="preserve"> level of engagement in </w:t>
      </w:r>
      <w:r w:rsidR="00AD3BA4" w:rsidRPr="00252AC4">
        <w:t xml:space="preserve">M&amp;E activities by looking at their M&amp;E function’s </w:t>
      </w:r>
      <w:r w:rsidRPr="00252AC4">
        <w:t>organisational setting</w:t>
      </w:r>
      <w:r w:rsidR="00AD3BA4" w:rsidRPr="00252AC4">
        <w:t>s,</w:t>
      </w:r>
      <w:r w:rsidRPr="00252AC4">
        <w:t xml:space="preserve"> </w:t>
      </w:r>
      <w:r w:rsidR="00056CD5" w:rsidRPr="00252AC4">
        <w:t xml:space="preserve">as well as the </w:t>
      </w:r>
      <w:r w:rsidR="00E847B5" w:rsidRPr="00252AC4">
        <w:t>volumes</w:t>
      </w:r>
      <w:r w:rsidR="00056CD5" w:rsidRPr="00252AC4">
        <w:t xml:space="preserve"> of </w:t>
      </w:r>
      <w:r w:rsidRPr="00252AC4">
        <w:t>methodologies and indicators</w:t>
      </w:r>
      <w:r w:rsidR="00E847B5" w:rsidRPr="00252AC4">
        <w:t xml:space="preserve"> they rely on</w:t>
      </w:r>
      <w:r w:rsidRPr="00252AC4">
        <w:t xml:space="preserve">. It then </w:t>
      </w:r>
      <w:r w:rsidR="00056CD5" w:rsidRPr="00252AC4">
        <w:t xml:space="preserve">goes into the details of the how </w:t>
      </w:r>
      <w:r w:rsidR="00591D7E" w:rsidRPr="00252AC4">
        <w:t xml:space="preserve">Eurasia IPAs conduct their </w:t>
      </w:r>
      <w:r w:rsidR="00056CD5" w:rsidRPr="00252AC4">
        <w:t xml:space="preserve">M&amp;E activities, and </w:t>
      </w:r>
      <w:r w:rsidRPr="00252AC4">
        <w:t xml:space="preserve">identifies areas where </w:t>
      </w:r>
      <w:r w:rsidR="00591D7E" w:rsidRPr="00252AC4">
        <w:t>their</w:t>
      </w:r>
      <w:r w:rsidR="00056CD5" w:rsidRPr="00252AC4">
        <w:t xml:space="preserve"> </w:t>
      </w:r>
      <w:r w:rsidRPr="00252AC4">
        <w:t>capabilities could be strengthened.</w:t>
      </w:r>
    </w:p>
    <w:p w14:paraId="636687DD" w14:textId="7CF6E57C" w:rsidR="0065770E" w:rsidRPr="00252AC4" w:rsidRDefault="00A762B7" w:rsidP="002F604E">
      <w:pPr>
        <w:pStyle w:val="Heading2"/>
        <w:rPr>
          <w:rFonts w:hint="eastAsia"/>
        </w:rPr>
      </w:pPr>
      <w:bookmarkStart w:id="341" w:name="_Toc31617786"/>
      <w:bookmarkStart w:id="342" w:name="_Toc31641315"/>
      <w:bookmarkStart w:id="343" w:name="_Toc31650315"/>
      <w:bookmarkStart w:id="344" w:name="_Toc32317016"/>
      <w:bookmarkStart w:id="345" w:name="_Toc32324675"/>
      <w:bookmarkStart w:id="346" w:name="_Toc40103030"/>
      <w:r w:rsidRPr="00252AC4">
        <w:t>Overall l</w:t>
      </w:r>
      <w:r w:rsidR="004E3AAA" w:rsidRPr="00252AC4">
        <w:t>evel of engagement in Monitoring and E</w:t>
      </w:r>
      <w:r w:rsidR="0065770E" w:rsidRPr="00252AC4">
        <w:t>valuation</w:t>
      </w:r>
      <w:bookmarkEnd w:id="341"/>
      <w:bookmarkEnd w:id="342"/>
      <w:bookmarkEnd w:id="343"/>
      <w:bookmarkEnd w:id="344"/>
      <w:bookmarkEnd w:id="345"/>
      <w:bookmarkEnd w:id="346"/>
    </w:p>
    <w:p w14:paraId="29F2FB7A" w14:textId="2B0E4747" w:rsidR="004E3AAA" w:rsidRPr="00252AC4" w:rsidRDefault="004E3AAA" w:rsidP="004E3AAA">
      <w:pPr>
        <w:pStyle w:val="Para0"/>
      </w:pPr>
      <w:r w:rsidRPr="00252AC4">
        <w:t xml:space="preserve">The level of engagement </w:t>
      </w:r>
      <w:r w:rsidR="003B3D4B" w:rsidRPr="00252AC4">
        <w:t xml:space="preserve">of IPAs </w:t>
      </w:r>
      <w:r w:rsidRPr="00252AC4">
        <w:t xml:space="preserve">in M&amp;E activities </w:t>
      </w:r>
      <w:r w:rsidR="003B3D4B" w:rsidRPr="00252AC4">
        <w:t>can be defined by the extent to which the M&amp;E functions is structured and formalised, and by the number of methods and indicators</w:t>
      </w:r>
      <w:r w:rsidR="00252AC4">
        <w:t xml:space="preserve"> on which</w:t>
      </w:r>
      <w:r w:rsidR="003B3D4B" w:rsidRPr="00252AC4">
        <w:t xml:space="preserve"> IPAs rely. This comparison enables to identify overall trends, but has its limits, as it does not go into the details of </w:t>
      </w:r>
      <w:r w:rsidR="00FA3BBC" w:rsidRPr="00252AC4">
        <w:t>processes, methodologies and indicators’ quality</w:t>
      </w:r>
      <w:r w:rsidR="003B3D4B" w:rsidRPr="00252AC4">
        <w:t>.</w:t>
      </w:r>
    </w:p>
    <w:p w14:paraId="6F770824" w14:textId="6554DF4D" w:rsidR="0065770E" w:rsidRPr="00252AC4" w:rsidRDefault="0065770E" w:rsidP="002F604E">
      <w:pPr>
        <w:pStyle w:val="Heading3"/>
      </w:pPr>
      <w:r w:rsidRPr="00252AC4">
        <w:t xml:space="preserve">Eurasia IPAs’ </w:t>
      </w:r>
      <w:r w:rsidR="009F7E6A" w:rsidRPr="00252AC4">
        <w:t>overall level of engagement in M&amp;E activities appears</w:t>
      </w:r>
      <w:r w:rsidRPr="00252AC4">
        <w:t xml:space="preserve"> in line with practices</w:t>
      </w:r>
      <w:r w:rsidR="009F7E6A" w:rsidRPr="00252AC4">
        <w:t xml:space="preserve"> of their peers in other regions</w:t>
      </w:r>
    </w:p>
    <w:p w14:paraId="44804BA2" w14:textId="14E6AF40" w:rsidR="0065770E" w:rsidRPr="00252AC4" w:rsidRDefault="00D01BCC" w:rsidP="0068773E">
      <w:pPr>
        <w:pStyle w:val="Para0"/>
      </w:pPr>
      <w:r w:rsidRPr="00252AC4">
        <w:t xml:space="preserve">As </w:t>
      </w:r>
      <w:r w:rsidR="0068773E" w:rsidRPr="00252AC4">
        <w:t xml:space="preserve">in other regions, </w:t>
      </w:r>
      <w:r w:rsidR="00607B6F" w:rsidRPr="00252AC4">
        <w:t xml:space="preserve">more than half of </w:t>
      </w:r>
      <w:r w:rsidR="0068773E" w:rsidRPr="00252AC4">
        <w:t xml:space="preserve">Eurasia IPAs have dedicated evaluation units that report to the IPA head or investment committee. Having a dedicated unit for M&amp;E can help ensure relative independence and neutrality of the function, a sensitive topic in most organisations </w:t>
      </w:r>
      <w:sdt>
        <w:sdtPr>
          <w:id w:val="-896740066"/>
          <w:citation/>
        </w:sdtPr>
        <w:sdtEndPr/>
        <w:sdtContent>
          <w:r w:rsidR="0068773E" w:rsidRPr="00252AC4">
            <w:fldChar w:fldCharType="begin"/>
          </w:r>
          <w:r w:rsidR="0068773E" w:rsidRPr="00252AC4">
            <w:instrText xml:space="preserve"> CITATION Mendeley_DQLjew5tDDWTg7augA_7oA \l 2057 </w:instrText>
          </w:r>
          <w:r w:rsidR="0068773E" w:rsidRPr="00252AC4">
            <w:fldChar w:fldCharType="separate"/>
          </w:r>
          <w:r w:rsidR="00E259C6" w:rsidRPr="00252AC4">
            <w:rPr>
              <w:noProof/>
            </w:rPr>
            <w:t>(</w:t>
          </w:r>
          <w:bookmarkStart w:id="347" w:name="Mendeley_DQLjew5tDDWTg7augA_7oA_27"/>
          <w:r w:rsidR="00E259C6" w:rsidRPr="00252AC4">
            <w:rPr>
              <w:noProof/>
            </w:rPr>
            <w:t>Weaver, 2010</w:t>
          </w:r>
          <w:r w:rsidR="00E259C6" w:rsidRPr="00252AC4">
            <w:rPr>
              <w:noProof/>
              <w:vertAlign w:val="subscript"/>
            </w:rPr>
            <w:t>[27]</w:t>
          </w:r>
          <w:r w:rsidR="00E259C6" w:rsidRPr="00252AC4">
            <w:rPr>
              <w:noProof/>
            </w:rPr>
            <w:t>)</w:t>
          </w:r>
          <w:bookmarkEnd w:id="347"/>
          <w:r w:rsidR="0068773E" w:rsidRPr="00252AC4">
            <w:fldChar w:fldCharType="end"/>
          </w:r>
        </w:sdtContent>
      </w:sdt>
      <w:r w:rsidR="0068773E" w:rsidRPr="00252AC4">
        <w:t>.</w:t>
      </w:r>
      <w:r w:rsidR="005D2858" w:rsidRPr="00252AC4">
        <w:t xml:space="preserve"> It can also be a horizontal function in agencies carrying multiple mandates.</w:t>
      </w:r>
      <w:r w:rsidR="0068773E" w:rsidRPr="00252AC4">
        <w:t xml:space="preserve"> </w:t>
      </w:r>
      <w:r w:rsidR="0065770E" w:rsidRPr="00252AC4">
        <w:t>Six out of ten Eurasia IPAs indicate having a dedicated evaluation unit (</w:t>
      </w:r>
      <w:r w:rsidR="008D1D21" w:rsidRPr="00252AC4">
        <w:t>Figure 3.1</w:t>
      </w:r>
      <w:r w:rsidR="0065770E" w:rsidRPr="00252AC4">
        <w:t xml:space="preserve">). This share is very similar in the OECD (63%) and MENA (70%) region, but significantly lower in LAC (42%). </w:t>
      </w:r>
      <w:r w:rsidRPr="00252AC4">
        <w:t>Sixty percent</w:t>
      </w:r>
      <w:r w:rsidR="0068773E" w:rsidRPr="00252AC4">
        <w:t xml:space="preserve"> of these </w:t>
      </w:r>
      <w:r w:rsidR="0065770E" w:rsidRPr="00252AC4">
        <w:t>evaluation units report direc</w:t>
      </w:r>
      <w:r w:rsidR="0068773E" w:rsidRPr="00252AC4">
        <w:t>tly to the IPA’s head or board</w:t>
      </w:r>
      <w:r w:rsidR="0065770E" w:rsidRPr="00252AC4">
        <w:t xml:space="preserve">, </w:t>
      </w:r>
      <w:r w:rsidR="0068773E" w:rsidRPr="00252AC4">
        <w:t>and the rest</w:t>
      </w:r>
      <w:r w:rsidR="0065770E" w:rsidRPr="00252AC4">
        <w:t xml:space="preserve"> </w:t>
      </w:r>
      <w:r w:rsidR="0068773E" w:rsidRPr="00252AC4">
        <w:t>report</w:t>
      </w:r>
      <w:r w:rsidR="00252AC4">
        <w:t xml:space="preserve"> </w:t>
      </w:r>
      <w:r w:rsidR="00252AC4" w:rsidRPr="00252AC4">
        <w:t>either</w:t>
      </w:r>
      <w:r w:rsidR="0068773E" w:rsidRPr="00252AC4">
        <w:t xml:space="preserve"> </w:t>
      </w:r>
      <w:r w:rsidR="0065770E" w:rsidRPr="00252AC4">
        <w:t xml:space="preserve">to </w:t>
      </w:r>
      <w:r w:rsidR="0068773E" w:rsidRPr="00252AC4">
        <w:t xml:space="preserve">the </w:t>
      </w:r>
      <w:r w:rsidR="0065770E" w:rsidRPr="00252AC4">
        <w:t xml:space="preserve">IPAs’ management or to the Chair of the </w:t>
      </w:r>
      <w:r w:rsidR="0068773E" w:rsidRPr="00252AC4">
        <w:t xml:space="preserve">Investment </w:t>
      </w:r>
      <w:r w:rsidR="0065770E" w:rsidRPr="00252AC4">
        <w:t>Committee</w:t>
      </w:r>
      <w:r w:rsidR="0068773E" w:rsidRPr="00252AC4">
        <w:t xml:space="preserve"> that oversees the IPA</w:t>
      </w:r>
      <w:r w:rsidR="0065770E" w:rsidRPr="00252AC4">
        <w:t xml:space="preserve">. </w:t>
      </w:r>
      <w:r w:rsidR="00607B6F" w:rsidRPr="00252AC4">
        <w:t xml:space="preserve">Some of the smaller or recently created IPAs of the regions, like Afghanistan, </w:t>
      </w:r>
      <w:r w:rsidR="001E18AF" w:rsidRPr="00252AC4">
        <w:t>Georgia</w:t>
      </w:r>
      <w:r w:rsidR="00607B6F" w:rsidRPr="00252AC4">
        <w:t xml:space="preserve"> and </w:t>
      </w:r>
      <w:r w:rsidR="001E18AF" w:rsidRPr="00252AC4">
        <w:t>Uzbekistan</w:t>
      </w:r>
      <w:r w:rsidR="00607B6F" w:rsidRPr="00252AC4">
        <w:t>, do not have an evaluation unit</w:t>
      </w:r>
      <w:r w:rsidR="007B66FC" w:rsidRPr="00252AC4">
        <w:t>.</w:t>
      </w:r>
      <w:r w:rsidR="00DA2E81" w:rsidRPr="00252AC4">
        <w:t xml:space="preserve"> Even when the agency is small and does not have the resources to have a dedicated evaluation unit, having a focal point for M&amp;E can be useful</w:t>
      </w:r>
      <w:sdt>
        <w:sdtPr>
          <w:id w:val="292572097"/>
          <w:citation/>
        </w:sdtPr>
        <w:sdtEndPr/>
        <w:sdtContent>
          <w:r w:rsidR="00C67876" w:rsidRPr="00252AC4">
            <w:fldChar w:fldCharType="begin"/>
          </w:r>
          <w:r w:rsidR="00C67876" w:rsidRPr="00252AC4">
            <w:instrText xml:space="preserve"> CITATION Mendeley_TA3dH6ihQza5YwFBu9ChhA \l 2057 </w:instrText>
          </w:r>
          <w:r w:rsidR="00C67876" w:rsidRPr="00252AC4">
            <w:fldChar w:fldCharType="separate"/>
          </w:r>
          <w:bookmarkStart w:id="348" w:name="Mendeley_TA3dH6ihQza5YwFBu9ChhA_24"/>
          <w:r w:rsidR="00E259C6" w:rsidRPr="00252AC4">
            <w:rPr>
              <w:noProof/>
            </w:rPr>
            <w:t xml:space="preserve"> (</w:t>
          </w:r>
          <w:bookmarkStart w:id="349" w:name="Mendeley_TA3dH6ihQza5YwFBu9ChhA_23"/>
          <w:r w:rsidR="00E259C6" w:rsidRPr="00252AC4">
            <w:rPr>
              <w:noProof/>
            </w:rPr>
            <w:t>UNCTAD, 2016</w:t>
          </w:r>
          <w:r w:rsidR="00E259C6" w:rsidRPr="00252AC4">
            <w:rPr>
              <w:noProof/>
              <w:vertAlign w:val="subscript"/>
            </w:rPr>
            <w:t>[23]</w:t>
          </w:r>
          <w:r w:rsidR="00E259C6" w:rsidRPr="00252AC4">
            <w:rPr>
              <w:noProof/>
            </w:rPr>
            <w:t>)</w:t>
          </w:r>
          <w:bookmarkEnd w:id="349"/>
          <w:bookmarkEnd w:id="348"/>
          <w:r w:rsidR="00C67876" w:rsidRPr="00252AC4">
            <w:fldChar w:fldCharType="end"/>
          </w:r>
        </w:sdtContent>
      </w:sdt>
      <w:r w:rsidR="00DA2E81" w:rsidRPr="00252AC4">
        <w:t>.</w:t>
      </w:r>
    </w:p>
    <w:p w14:paraId="673D4FA9" w14:textId="432A2B55" w:rsidR="008D1D21" w:rsidRPr="00252AC4" w:rsidRDefault="008D1D21" w:rsidP="0051394F">
      <w:pPr>
        <w:pStyle w:val="Caption"/>
      </w:pPr>
      <w:bookmarkStart w:id="350" w:name="_Toc34647267"/>
      <w:bookmarkStart w:id="351" w:name="_Ref29994129"/>
      <w:bookmarkStart w:id="352" w:name="_Toc31617753"/>
      <w:bookmarkStart w:id="353" w:name="_Toc31641353"/>
      <w:bookmarkStart w:id="354" w:name="_Toc31650353"/>
      <w:bookmarkStart w:id="355" w:name="_Toc32317057"/>
      <w:bookmarkStart w:id="356" w:name="_Toc32324716"/>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w:t>
      </w:r>
      <w:r w:rsidRPr="00252AC4">
        <w:rPr>
          <w:noProof/>
        </w:rPr>
        <w:fldChar w:fldCharType="end"/>
      </w:r>
      <w:r w:rsidRPr="00252AC4">
        <w:t>. IPAs with dedicated evaluation unit and reporting lines</w:t>
      </w:r>
      <w:bookmarkEnd w:id="350"/>
    </w:p>
    <w:p w14:paraId="0AC1F05B" w14:textId="325429BD" w:rsidR="008D1D21" w:rsidRPr="00252AC4" w:rsidRDefault="008D1D21" w:rsidP="008D1D21">
      <w:pPr>
        <w:pStyle w:val="Figure"/>
        <w:rPr>
          <w:noProof/>
          <w:lang w:eastAsia="en-GB"/>
        </w:rPr>
      </w:pPr>
      <w:r w:rsidRPr="00252AC4">
        <w:rPr>
          <w:noProof/>
          <w:lang w:eastAsia="en-GB"/>
        </w:rPr>
        <w:drawing>
          <wp:inline distT="0" distB="0" distL="0" distR="0" wp14:anchorId="2DDF2A10" wp14:editId="3C4858B6">
            <wp:extent cx="5636679" cy="1885207"/>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40878" cy="1886611"/>
                    </a:xfrm>
                    <a:prstGeom prst="rect">
                      <a:avLst/>
                    </a:prstGeom>
                    <a:noFill/>
                    <a:ln>
                      <a:noFill/>
                    </a:ln>
                  </pic:spPr>
                </pic:pic>
              </a:graphicData>
            </a:graphic>
          </wp:inline>
        </w:drawing>
      </w:r>
    </w:p>
    <w:p w14:paraId="22EA7F04" w14:textId="77777777" w:rsidR="008D1D21" w:rsidRPr="00252AC4" w:rsidRDefault="008D1D21" w:rsidP="008D1D21">
      <w:pPr>
        <w:pStyle w:val="Sourcenotes"/>
      </w:pPr>
      <w:r w:rsidRPr="00252AC4">
        <w:rPr>
          <w:i/>
        </w:rPr>
        <w:t>Note:</w:t>
      </w:r>
      <w:r w:rsidRPr="00252AC4">
        <w:t xml:space="preserve"> Panel B answers are based on five Eurasia IPAs; (*) Chair of the Investment Committee to which the IPA reports.</w:t>
      </w:r>
    </w:p>
    <w:p w14:paraId="19177746" w14:textId="3E73E4D0" w:rsidR="008D1D21" w:rsidRPr="00252AC4" w:rsidRDefault="008D1D21" w:rsidP="008D1D21">
      <w:pPr>
        <w:pStyle w:val="Sourcenotes"/>
      </w:pPr>
      <w:r w:rsidRPr="00252AC4">
        <w:rPr>
          <w:i/>
        </w:rPr>
        <w:t xml:space="preserve">Sources: </w:t>
      </w:r>
      <w:r w:rsidRPr="00252AC4">
        <w:t>OECD-IDB Survey of Inves</w:t>
      </w:r>
      <w:r w:rsidR="00C21B57" w:rsidRPr="00252AC4">
        <w:t>tment Promotion Agencies (2020)</w:t>
      </w:r>
    </w:p>
    <w:bookmarkEnd w:id="351"/>
    <w:bookmarkEnd w:id="352"/>
    <w:bookmarkEnd w:id="353"/>
    <w:bookmarkEnd w:id="354"/>
    <w:bookmarkEnd w:id="355"/>
    <w:bookmarkEnd w:id="356"/>
    <w:p w14:paraId="367B9D30" w14:textId="19F1E3ED" w:rsidR="00252445" w:rsidRPr="00252AC4" w:rsidRDefault="00137F97" w:rsidP="00252445">
      <w:pPr>
        <w:pStyle w:val="Para0"/>
      </w:pPr>
      <w:r w:rsidRPr="00252AC4">
        <w:lastRenderedPageBreak/>
        <w:t xml:space="preserve">On average, </w:t>
      </w:r>
      <w:r w:rsidR="00BA68FD" w:rsidRPr="00252AC4">
        <w:t xml:space="preserve">Eurasia IPAs use as many different M&amp;E methods as their peers in the OECD. </w:t>
      </w:r>
      <w:r w:rsidR="0065770E" w:rsidRPr="00252AC4">
        <w:t xml:space="preserve">To assess their effectiveness and impact in attracting inward FDI, IPAs </w:t>
      </w:r>
      <w:r w:rsidR="00AC6021" w:rsidRPr="00252AC4">
        <w:t xml:space="preserve">can </w:t>
      </w:r>
      <w:r w:rsidR="0065770E" w:rsidRPr="00252AC4">
        <w:t>rely on a wide set of evaluation methodologies</w:t>
      </w:r>
      <w:r w:rsidR="00AC6021" w:rsidRPr="00252AC4">
        <w:t xml:space="preserve">, such as benchmarking, econometric </w:t>
      </w:r>
      <w:r w:rsidR="00BA68FD" w:rsidRPr="00252AC4">
        <w:t>assessments</w:t>
      </w:r>
      <w:r w:rsidR="00AC6021" w:rsidRPr="00252AC4">
        <w:t xml:space="preserve">, and </w:t>
      </w:r>
      <w:r w:rsidR="00BA68FD" w:rsidRPr="00252AC4">
        <w:t>client feedback collection</w:t>
      </w:r>
      <w:r w:rsidR="0065770E" w:rsidRPr="00252AC4">
        <w:t xml:space="preserve">. Eurasia IPAs </w:t>
      </w:r>
      <w:r w:rsidRPr="00252AC4">
        <w:t>employ</w:t>
      </w:r>
      <w:r w:rsidR="0065770E" w:rsidRPr="00252AC4">
        <w:t>, on average, 3.9 methods (out of a list of 8 propositions), compared to 4 in the OECD, 5.5 in MENA and 2.8 in LAC</w:t>
      </w:r>
      <w:r w:rsidR="000319CE" w:rsidRPr="00252AC4">
        <w:t xml:space="preserve"> (Figure 3.2</w:t>
      </w:r>
      <w:r w:rsidR="005D2858" w:rsidRPr="00252AC4">
        <w:t>)</w:t>
      </w:r>
      <w:r w:rsidR="00252445" w:rsidRPr="00252AC4">
        <w:t>.</w:t>
      </w:r>
    </w:p>
    <w:p w14:paraId="198FE4A2" w14:textId="3224CFB5" w:rsidR="0041667F" w:rsidRPr="00252AC4" w:rsidRDefault="0041667F" w:rsidP="00BD0163">
      <w:pPr>
        <w:pStyle w:val="Caption"/>
      </w:pPr>
      <w:bookmarkStart w:id="357" w:name="_Toc34647268"/>
      <w:bookmarkStart w:id="358" w:name="_Toc31641354"/>
      <w:bookmarkStart w:id="359" w:name="_Toc31650354"/>
      <w:bookmarkStart w:id="360" w:name="_Toc32317058"/>
      <w:bookmarkStart w:id="361" w:name="_Toc32324717"/>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2</w:t>
      </w:r>
      <w:r w:rsidRPr="00252AC4">
        <w:rPr>
          <w:noProof/>
        </w:rPr>
        <w:fldChar w:fldCharType="end"/>
      </w:r>
      <w:r w:rsidRPr="00252AC4">
        <w:t>. Total number of M&amp;E methods</w:t>
      </w:r>
      <w:bookmarkEnd w:id="357"/>
    </w:p>
    <w:p w14:paraId="0066FA2A" w14:textId="22A55721" w:rsidR="0041667F" w:rsidRPr="00252AC4" w:rsidRDefault="0041667F" w:rsidP="0041667F">
      <w:pPr>
        <w:pStyle w:val="CaptionSubtitle"/>
      </w:pPr>
      <w:r w:rsidRPr="00252AC4">
        <w:t>Eurasia IPAs' figures and regional averages</w:t>
      </w:r>
      <w:r w:rsidR="00C21B57" w:rsidRPr="00252AC4">
        <w:t>.</w:t>
      </w:r>
    </w:p>
    <w:p w14:paraId="598EB67A" w14:textId="15455D82" w:rsidR="0041667F" w:rsidRPr="00252AC4" w:rsidRDefault="007D75DD" w:rsidP="0041667F">
      <w:pPr>
        <w:pStyle w:val="Figure"/>
        <w:rPr>
          <w:noProof/>
          <w:lang w:eastAsia="en-GB"/>
        </w:rPr>
      </w:pPr>
      <w:r w:rsidRPr="00252AC4">
        <w:rPr>
          <w:noProof/>
          <w:lang w:eastAsia="en-GB"/>
        </w:rPr>
        <w:object w:dxaOrig="9410" w:dyaOrig="4820" w14:anchorId="5CDB4486">
          <v:shape id="_x0000_i1047" type="#_x0000_t75" style="width:380.75pt;height:194.2pt" o:ole="">
            <v:imagedata r:id="rId71" o:title=""/>
          </v:shape>
          <o:OLEObject Type="Link" ProgID="Excel.Sheet.12" ShapeID="_x0000_i1047" DrawAspect="Content" r:id="rId72" UpdateMode="Always">
            <o:LinkType>EnhancedMetaFile</o:LinkType>
            <o:LockedField>false</o:LockedField>
          </o:OLEObject>
        </w:object>
      </w:r>
    </w:p>
    <w:p w14:paraId="58667441" w14:textId="75F6CBCD" w:rsidR="0041667F" w:rsidRPr="00252AC4" w:rsidRDefault="0041667F" w:rsidP="00BD0163">
      <w:pPr>
        <w:pStyle w:val="Sourcenotes"/>
      </w:pPr>
      <w:r w:rsidRPr="00252AC4">
        <w:rPr>
          <w:i/>
        </w:rPr>
        <w:t>Source</w:t>
      </w:r>
      <w:r w:rsidRPr="00252AC4">
        <w:t>: OECD-IDB survey of Investment Promotion Agencies (2020)</w:t>
      </w:r>
    </w:p>
    <w:bookmarkEnd w:id="358"/>
    <w:bookmarkEnd w:id="359"/>
    <w:bookmarkEnd w:id="360"/>
    <w:bookmarkEnd w:id="361"/>
    <w:p w14:paraId="305331D3" w14:textId="78862565" w:rsidR="0065770E" w:rsidRPr="00252AC4" w:rsidRDefault="0065770E" w:rsidP="00EA63D7">
      <w:pPr>
        <w:pStyle w:val="Para0"/>
      </w:pPr>
      <w:r w:rsidRPr="00252AC4">
        <w:t>Most agencies use these methodologies on a monthly or quarterly basis, which is more frequent than in the OECD, where most evaluation analysis is conducted annually</w:t>
      </w:r>
      <w:r w:rsidR="00124758" w:rsidRPr="00252AC4">
        <w:t xml:space="preserve"> </w:t>
      </w:r>
      <w:r w:rsidR="0005111B" w:rsidRPr="00252AC4">
        <w:t>(</w:t>
      </w:r>
      <w:r w:rsidR="00EA63D7" w:rsidRPr="00252AC4">
        <w:t>Figure 3.3</w:t>
      </w:r>
      <w:r w:rsidR="0005111B" w:rsidRPr="00252AC4">
        <w:t>)</w:t>
      </w:r>
      <w:r w:rsidRPr="00252AC4">
        <w:t xml:space="preserve">. </w:t>
      </w:r>
      <w:r w:rsidR="00BA68FD" w:rsidRPr="00252AC4">
        <w:t xml:space="preserve">This is consistent with the fact that IPAs in the region tend to produce more activity reports than their </w:t>
      </w:r>
      <w:r w:rsidR="0023380A" w:rsidRPr="00252AC4">
        <w:t>peers</w:t>
      </w:r>
      <w:r w:rsidR="00BA68FD" w:rsidRPr="00252AC4">
        <w:t xml:space="preserve"> </w:t>
      </w:r>
      <w:r w:rsidR="00D01BCC" w:rsidRPr="00252AC4">
        <w:t>(cf</w:t>
      </w:r>
      <w:r w:rsidR="000319CE" w:rsidRPr="00252AC4">
        <w:t>.</w:t>
      </w:r>
      <w:r w:rsidR="00BA68FD" w:rsidRPr="00252AC4">
        <w:t xml:space="preserve"> Chapter 1</w:t>
      </w:r>
      <w:r w:rsidR="00D01BCC" w:rsidRPr="00252AC4">
        <w:t>)</w:t>
      </w:r>
      <w:r w:rsidRPr="00252AC4">
        <w:t>.</w:t>
      </w:r>
    </w:p>
    <w:p w14:paraId="4B1504A5" w14:textId="0D49CC33" w:rsidR="00C4055F" w:rsidRPr="00252AC4" w:rsidRDefault="00C4055F" w:rsidP="0051394F">
      <w:pPr>
        <w:pStyle w:val="Caption"/>
      </w:pPr>
      <w:bookmarkStart w:id="362" w:name="_Toc34647269"/>
      <w:bookmarkStart w:id="363" w:name="_Ref32238066"/>
      <w:bookmarkStart w:id="364" w:name="_Toc31641355"/>
      <w:bookmarkStart w:id="365" w:name="_Toc31650355"/>
      <w:bookmarkStart w:id="366" w:name="_Ref32238063"/>
      <w:bookmarkStart w:id="367" w:name="_Toc32317059"/>
      <w:bookmarkStart w:id="368" w:name="_Toc32324718"/>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3</w:t>
      </w:r>
      <w:r w:rsidRPr="00252AC4">
        <w:rPr>
          <w:noProof/>
        </w:rPr>
        <w:fldChar w:fldCharType="end"/>
      </w:r>
      <w:r w:rsidRPr="00252AC4">
        <w:t>. Frequency of M&amp;E indicator generation by region</w:t>
      </w:r>
      <w:bookmarkEnd w:id="362"/>
    </w:p>
    <w:p w14:paraId="1B3E8BDD" w14:textId="6A3C6C6A" w:rsidR="00C4055F" w:rsidRPr="00252AC4" w:rsidRDefault="00C4055F" w:rsidP="00C4055F">
      <w:pPr>
        <w:pStyle w:val="CaptionSubtitle"/>
      </w:pPr>
      <w:r w:rsidRPr="00252AC4">
        <w:t>Average shares of indicators produced within indicated timeframes</w:t>
      </w:r>
      <w:r w:rsidR="00C21B57" w:rsidRPr="00252AC4">
        <w:t>.</w:t>
      </w:r>
    </w:p>
    <w:p w14:paraId="66E8D4E6" w14:textId="37233891" w:rsidR="00C4055F" w:rsidRPr="00252AC4" w:rsidRDefault="007D75DD" w:rsidP="00C4055F">
      <w:pPr>
        <w:pStyle w:val="Figure"/>
        <w:rPr>
          <w:noProof/>
          <w:lang w:eastAsia="en-GB"/>
        </w:rPr>
      </w:pPr>
      <w:r w:rsidRPr="00252AC4">
        <w:rPr>
          <w:noProof/>
          <w:lang w:eastAsia="en-GB"/>
        </w:rPr>
        <w:object w:dxaOrig="7500" w:dyaOrig="4320" w14:anchorId="73601C64">
          <v:shape id="_x0000_i1048" type="#_x0000_t75" style="width:319.1pt;height:182.75pt" o:ole="">
            <v:imagedata r:id="rId73" o:title=""/>
          </v:shape>
          <o:OLEObject Type="Link" ProgID="Excel.Sheet.12" ShapeID="_x0000_i1048" DrawAspect="Content" r:id="rId74" UpdateMode="Always">
            <o:LinkType>EnhancedMetaFile</o:LinkType>
            <o:LockedField>false</o:LockedField>
          </o:OLEObject>
        </w:object>
      </w:r>
    </w:p>
    <w:p w14:paraId="1F8068C4" w14:textId="36F276D9" w:rsidR="00C4055F" w:rsidRPr="00252AC4" w:rsidRDefault="00C4055F" w:rsidP="0051394F">
      <w:pPr>
        <w:pStyle w:val="Sourcenotes"/>
      </w:pPr>
      <w:r w:rsidRPr="00252AC4">
        <w:rPr>
          <w:i/>
        </w:rPr>
        <w:t>Source</w:t>
      </w:r>
      <w:r w:rsidRPr="00252AC4">
        <w:t>: OECD-IDB Survey of Investment Promotion Agencies (</w:t>
      </w:r>
      <w:r w:rsidR="00C21B57" w:rsidRPr="00252AC4">
        <w:t>2020)</w:t>
      </w:r>
    </w:p>
    <w:bookmarkEnd w:id="363"/>
    <w:bookmarkEnd w:id="364"/>
    <w:bookmarkEnd w:id="365"/>
    <w:bookmarkEnd w:id="366"/>
    <w:bookmarkEnd w:id="367"/>
    <w:bookmarkEnd w:id="368"/>
    <w:p w14:paraId="035F7D8C" w14:textId="20BD593E" w:rsidR="007A3E07" w:rsidRPr="00252AC4" w:rsidRDefault="0065770E" w:rsidP="007A3E07">
      <w:pPr>
        <w:pStyle w:val="Para0"/>
      </w:pPr>
      <w:r w:rsidRPr="00252AC4">
        <w:lastRenderedPageBreak/>
        <w:t xml:space="preserve">Eurasia IPAs use </w:t>
      </w:r>
      <w:r w:rsidR="00010675" w:rsidRPr="00252AC4">
        <w:t xml:space="preserve">on average </w:t>
      </w:r>
      <w:r w:rsidRPr="00252AC4">
        <w:t xml:space="preserve">11 different </w:t>
      </w:r>
      <w:r w:rsidR="00D01BCC" w:rsidRPr="00252AC4">
        <w:t xml:space="preserve">key performance indicators (KPIs) </w:t>
      </w:r>
      <w:r w:rsidRPr="00252AC4">
        <w:t>to measure their performance and impact on the economy, in line with OECD practices</w:t>
      </w:r>
      <w:r w:rsidR="007B295C" w:rsidRPr="00252AC4">
        <w:t xml:space="preserve"> (</w:t>
      </w:r>
      <w:r w:rsidR="00E12852" w:rsidRPr="00252AC4">
        <w:t>Figure 3.4</w:t>
      </w:r>
      <w:r w:rsidR="007B295C" w:rsidRPr="00252AC4">
        <w:t>)</w:t>
      </w:r>
      <w:r w:rsidRPr="00252AC4">
        <w:t xml:space="preserve">. </w:t>
      </w:r>
      <w:r w:rsidR="00010675" w:rsidRPr="00252AC4">
        <w:t>This average</w:t>
      </w:r>
      <w:r w:rsidRPr="00252AC4">
        <w:t xml:space="preserve"> hide</w:t>
      </w:r>
      <w:r w:rsidR="00010675" w:rsidRPr="00252AC4">
        <w:t>s</w:t>
      </w:r>
      <w:r w:rsidRPr="00252AC4">
        <w:t xml:space="preserve"> wide discrepancies across IPAs</w:t>
      </w:r>
      <w:r w:rsidR="00010675" w:rsidRPr="00252AC4">
        <w:t xml:space="preserve"> however. </w:t>
      </w:r>
      <w:r w:rsidR="00D01BCC" w:rsidRPr="00252AC4">
        <w:t>KPIs</w:t>
      </w:r>
      <w:r w:rsidR="007B295C" w:rsidRPr="00252AC4">
        <w:t xml:space="preserve"> are metrics that measure organisational performance and success in reaching target objectives. They can measure performance at the level of an entire organisation, a unit, an activity or a project </w:t>
      </w:r>
      <w:sdt>
        <w:sdtPr>
          <w:id w:val="-106120505"/>
          <w:citation/>
        </w:sdtPr>
        <w:sdtEndPr/>
        <w:sdtContent>
          <w:r w:rsidR="007B295C" w:rsidRPr="00252AC4">
            <w:fldChar w:fldCharType="begin"/>
          </w:r>
          <w:r w:rsidR="007B295C" w:rsidRPr="00252AC4">
            <w:instrText xml:space="preserve"> CITATION OEC18 \l 2057 </w:instrText>
          </w:r>
          <w:r w:rsidR="007B295C"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007B295C" w:rsidRPr="00252AC4">
            <w:fldChar w:fldCharType="end"/>
          </w:r>
        </w:sdtContent>
      </w:sdt>
      <w:r w:rsidR="007B295C" w:rsidRPr="00252AC4">
        <w:t xml:space="preserve">. </w:t>
      </w:r>
      <w:r w:rsidR="00010675" w:rsidRPr="00252AC4">
        <w:t>Broadly</w:t>
      </w:r>
      <w:r w:rsidR="007B295C" w:rsidRPr="00252AC4">
        <w:t xml:space="preserve"> speaking</w:t>
      </w:r>
      <w:r w:rsidR="00010675" w:rsidRPr="00252AC4">
        <w:t xml:space="preserve">, </w:t>
      </w:r>
      <w:r w:rsidR="007B295C" w:rsidRPr="00252AC4">
        <w:t xml:space="preserve">Eurasia IPAs </w:t>
      </w:r>
      <w:r w:rsidR="00010675" w:rsidRPr="00252AC4">
        <w:t xml:space="preserve">can be divided into two groups: IPAs using </w:t>
      </w:r>
      <w:r w:rsidRPr="00252AC4">
        <w:t xml:space="preserve">11 </w:t>
      </w:r>
      <w:r w:rsidR="00010675" w:rsidRPr="00252AC4">
        <w:t>or more indicators,</w:t>
      </w:r>
      <w:r w:rsidRPr="00252AC4">
        <w:t xml:space="preserve"> and </w:t>
      </w:r>
      <w:r w:rsidR="00010675" w:rsidRPr="00252AC4">
        <w:t>those using</w:t>
      </w:r>
      <w:r w:rsidRPr="00252AC4">
        <w:t xml:space="preserve"> </w:t>
      </w:r>
      <w:r w:rsidR="002A308D" w:rsidRPr="00252AC4">
        <w:t xml:space="preserve">6 or </w:t>
      </w:r>
      <w:r w:rsidR="00D01BCC" w:rsidRPr="00252AC4">
        <w:t>fewer</w:t>
      </w:r>
      <w:r w:rsidRPr="00252AC4">
        <w:t xml:space="preserve">. </w:t>
      </w:r>
      <w:r w:rsidR="002A308D" w:rsidRPr="00252AC4">
        <w:t xml:space="preserve">The existence of a dedicated evaluation unit </w:t>
      </w:r>
      <w:r w:rsidR="0094645D" w:rsidRPr="00252AC4">
        <w:t>may have to do with</w:t>
      </w:r>
      <w:r w:rsidR="002A308D" w:rsidRPr="00252AC4">
        <w:t xml:space="preserve"> the breadth of indicators used, </w:t>
      </w:r>
      <w:r w:rsidRPr="00252AC4">
        <w:t xml:space="preserve">as agencies with </w:t>
      </w:r>
      <w:r w:rsidR="002A308D" w:rsidRPr="00252AC4">
        <w:t xml:space="preserve">such </w:t>
      </w:r>
      <w:r w:rsidRPr="00252AC4">
        <w:t xml:space="preserve">a unit </w:t>
      </w:r>
      <w:r w:rsidR="002A308D" w:rsidRPr="00252AC4">
        <w:t>use</w:t>
      </w:r>
      <w:r w:rsidRPr="00252AC4">
        <w:t xml:space="preserve"> 14 indicators on average, </w:t>
      </w:r>
      <w:r w:rsidR="002A308D" w:rsidRPr="00252AC4">
        <w:t>whereas th</w:t>
      </w:r>
      <w:r w:rsidR="00D01BCC" w:rsidRPr="00252AC4">
        <w:t>e</w:t>
      </w:r>
      <w:r w:rsidR="002A308D" w:rsidRPr="00252AC4">
        <w:t xml:space="preserve"> average is</w:t>
      </w:r>
      <w:r w:rsidRPr="00252AC4">
        <w:t xml:space="preserve"> </w:t>
      </w:r>
      <w:r w:rsidR="00D01BCC" w:rsidRPr="00252AC4">
        <w:t>seven</w:t>
      </w:r>
      <w:r w:rsidR="002A308D" w:rsidRPr="00252AC4">
        <w:t xml:space="preserve"> among the </w:t>
      </w:r>
      <w:r w:rsidR="000060B9" w:rsidRPr="00252AC4">
        <w:t>remaining IPAs</w:t>
      </w:r>
      <w:r w:rsidR="002A308D" w:rsidRPr="00252AC4">
        <w:t>.</w:t>
      </w:r>
      <w:r w:rsidR="0094645D" w:rsidRPr="00252AC4">
        <w:t xml:space="preserve"> </w:t>
      </w:r>
      <w:r w:rsidR="00522E47" w:rsidRPr="00252AC4">
        <w:t xml:space="preserve">In </w:t>
      </w:r>
      <w:r w:rsidR="0094645D" w:rsidRPr="00252AC4">
        <w:t>Tajikistan</w:t>
      </w:r>
      <w:r w:rsidR="00522E47" w:rsidRPr="00252AC4">
        <w:t>, the</w:t>
      </w:r>
      <w:r w:rsidR="007F666A" w:rsidRPr="00252AC4">
        <w:t xml:space="preserve"> </w:t>
      </w:r>
      <w:r w:rsidR="00522E47" w:rsidRPr="00252AC4">
        <w:t>SCISPM</w:t>
      </w:r>
      <w:r w:rsidR="0094645D" w:rsidRPr="00252AC4">
        <w:t xml:space="preserve"> not only uses the highest number of indicators in Eurasia, it also surpasses Latvia, the OECD agency with the highest number of indicators (23).</w:t>
      </w:r>
    </w:p>
    <w:p w14:paraId="7DBC1238" w14:textId="4DD4627B" w:rsidR="004A27BF" w:rsidRPr="00252AC4" w:rsidRDefault="004A27BF" w:rsidP="00BD0163">
      <w:pPr>
        <w:pStyle w:val="Caption"/>
      </w:pPr>
      <w:bookmarkStart w:id="369" w:name="_Toc34647270"/>
      <w:bookmarkStart w:id="370" w:name="_Ref31630535"/>
      <w:bookmarkStart w:id="371" w:name="_Toc31641356"/>
      <w:bookmarkStart w:id="372" w:name="_Toc31650356"/>
      <w:bookmarkStart w:id="373" w:name="_Toc32317060"/>
      <w:bookmarkStart w:id="374" w:name="_Toc32324719"/>
      <w:r w:rsidRPr="00252AC4">
        <w:t xml:space="preserve">Figure </w:t>
      </w:r>
      <w:r w:rsidR="009915F6">
        <w:fldChar w:fldCharType="begin"/>
      </w:r>
      <w:r w:rsidR="009915F6">
        <w:instrText xml:space="preserve"> STYLEREF 1 </w:instrText>
      </w:r>
      <w:r w:rsidR="009915F6">
        <w:instrText xml:space="preserve">\s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4</w:t>
      </w:r>
      <w:r w:rsidRPr="00252AC4">
        <w:rPr>
          <w:noProof/>
        </w:rPr>
        <w:fldChar w:fldCharType="end"/>
      </w:r>
      <w:r w:rsidRPr="00252AC4">
        <w:t>. Total number of indicators used</w:t>
      </w:r>
      <w:bookmarkEnd w:id="369"/>
    </w:p>
    <w:p w14:paraId="2E045DA4" w14:textId="7A5DEEDB" w:rsidR="004A27BF" w:rsidRPr="00252AC4" w:rsidRDefault="007D75DD" w:rsidP="004A27BF">
      <w:pPr>
        <w:pStyle w:val="Figure"/>
        <w:rPr>
          <w:noProof/>
          <w:lang w:eastAsia="en-GB"/>
        </w:rPr>
      </w:pPr>
      <w:r w:rsidRPr="00252AC4">
        <w:rPr>
          <w:noProof/>
          <w:lang w:eastAsia="en-GB"/>
        </w:rPr>
        <w:object w:dxaOrig="9550" w:dyaOrig="4780" w14:anchorId="245B3AD9">
          <v:shape id="_x0000_i1049" type="#_x0000_t75" style="width:372pt;height:186.55pt" o:ole="">
            <v:imagedata r:id="rId75" o:title=""/>
          </v:shape>
          <o:OLEObject Type="Link" ProgID="Excel.Sheet.12" ShapeID="_x0000_i1049" DrawAspect="Content" r:id="rId76" UpdateMode="Always">
            <o:LinkType>EnhancedMetaFile</o:LinkType>
            <o:LockedField>false</o:LockedField>
          </o:OLEObject>
        </w:object>
      </w:r>
    </w:p>
    <w:p w14:paraId="59D92E41" w14:textId="77777777" w:rsidR="004A27BF" w:rsidRPr="00252AC4" w:rsidRDefault="004A27BF" w:rsidP="004A27BF">
      <w:pPr>
        <w:pStyle w:val="Sourcenotes"/>
        <w:rPr>
          <w:i/>
        </w:rPr>
      </w:pPr>
      <w:r w:rsidRPr="00252AC4">
        <w:rPr>
          <w:i/>
        </w:rPr>
        <w:t>Source</w:t>
      </w:r>
      <w:r w:rsidRPr="00252AC4">
        <w:t>: OECD-IDB survey of Investment Promotion Agencies (2020)</w:t>
      </w:r>
    </w:p>
    <w:p w14:paraId="554112B9" w14:textId="60633AF2" w:rsidR="004A27BF" w:rsidRPr="00252AC4" w:rsidRDefault="004A27BF" w:rsidP="00BD0163">
      <w:pPr>
        <w:pStyle w:val="Sourcenotes"/>
      </w:pPr>
    </w:p>
    <w:p w14:paraId="3D85EF8A" w14:textId="1061A0D2" w:rsidR="0065770E" w:rsidRPr="00252AC4" w:rsidRDefault="00B33A0A" w:rsidP="002F604E">
      <w:pPr>
        <w:pStyle w:val="Heading2"/>
        <w:rPr>
          <w:rFonts w:hint="eastAsia"/>
        </w:rPr>
      </w:pPr>
      <w:bookmarkStart w:id="375" w:name="_Toc31617787"/>
      <w:bookmarkStart w:id="376" w:name="_Toc31641316"/>
      <w:bookmarkStart w:id="377" w:name="_Toc31650316"/>
      <w:bookmarkStart w:id="378" w:name="_Toc32317017"/>
      <w:bookmarkStart w:id="379" w:name="_Toc32324676"/>
      <w:bookmarkStart w:id="380" w:name="_Toc40103031"/>
      <w:bookmarkEnd w:id="370"/>
      <w:bookmarkEnd w:id="371"/>
      <w:bookmarkEnd w:id="372"/>
      <w:bookmarkEnd w:id="373"/>
      <w:bookmarkEnd w:id="374"/>
      <w:r w:rsidRPr="00252AC4">
        <w:t>Monitoring and Evaluation activities</w:t>
      </w:r>
      <w:bookmarkEnd w:id="375"/>
      <w:bookmarkEnd w:id="376"/>
      <w:bookmarkEnd w:id="377"/>
      <w:bookmarkEnd w:id="378"/>
      <w:bookmarkEnd w:id="379"/>
      <w:bookmarkEnd w:id="380"/>
    </w:p>
    <w:p w14:paraId="6FC1C932" w14:textId="1857DB73" w:rsidR="00B33A0A" w:rsidRPr="00252AC4" w:rsidRDefault="009932A7" w:rsidP="00B33A0A">
      <w:pPr>
        <w:pStyle w:val="Para0"/>
      </w:pPr>
      <w:r w:rsidRPr="00252AC4">
        <w:t>To conduct their M&amp;E activities, IPAs can rely on a number of data tracking and collection tools, methods and indicators, as well as processes to use results and improve the performance</w:t>
      </w:r>
      <w:r w:rsidR="00AE785C" w:rsidRPr="00252AC4">
        <w:t>. The quality of these different elements are pivotal in the effectiveness and impact of the M&amp;E function, and eventually contribute to the transparency and accountability of IPAs.</w:t>
      </w:r>
    </w:p>
    <w:p w14:paraId="56435AD2" w14:textId="0668FBB2" w:rsidR="0065770E" w:rsidRPr="00252AC4" w:rsidRDefault="0065770E" w:rsidP="002F604E">
      <w:pPr>
        <w:pStyle w:val="Heading3"/>
      </w:pPr>
      <w:r w:rsidRPr="00252AC4">
        <w:t xml:space="preserve">Eurasia IPAs </w:t>
      </w:r>
      <w:r w:rsidR="00790F91" w:rsidRPr="00252AC4">
        <w:t xml:space="preserve">rely </w:t>
      </w:r>
      <w:r w:rsidR="008B1251" w:rsidRPr="00252AC4">
        <w:t>on client surveys, consultations and quality control assessments</w:t>
      </w:r>
      <w:r w:rsidR="00B81C07" w:rsidRPr="00252AC4">
        <w:t xml:space="preserve">, but resort less to </w:t>
      </w:r>
      <w:r w:rsidR="00CA783D" w:rsidRPr="00252AC4">
        <w:t>benchmarking</w:t>
      </w:r>
      <w:r w:rsidR="008B1251" w:rsidRPr="00252AC4">
        <w:t xml:space="preserve"> than OECD agencies</w:t>
      </w:r>
    </w:p>
    <w:p w14:paraId="2B1AFB99" w14:textId="5FD6EECF" w:rsidR="0065770E" w:rsidRPr="00252AC4" w:rsidRDefault="00D45572" w:rsidP="00D45572">
      <w:pPr>
        <w:pStyle w:val="Para0"/>
      </w:pPr>
      <w:bookmarkStart w:id="381" w:name="_Ref29994407"/>
      <w:r w:rsidRPr="00252AC4">
        <w:t xml:space="preserve">Overall, </w:t>
      </w:r>
      <w:r w:rsidR="0065770E" w:rsidRPr="00252AC4">
        <w:t xml:space="preserve">IPAs in Eurasia </w:t>
      </w:r>
      <w:r w:rsidRPr="00252AC4">
        <w:t xml:space="preserve">mainly </w:t>
      </w:r>
      <w:r w:rsidR="0065770E" w:rsidRPr="00252AC4">
        <w:t>rely on customer satisfaction surveys (80%)</w:t>
      </w:r>
      <w:r w:rsidR="001304E9" w:rsidRPr="00252AC4">
        <w:t>,</w:t>
      </w:r>
      <w:r w:rsidR="0065770E" w:rsidRPr="00252AC4">
        <w:t xml:space="preserve"> client consultations (70%)</w:t>
      </w:r>
      <w:r w:rsidR="001304E9" w:rsidRPr="00252AC4">
        <w:t xml:space="preserve"> and quality-control assessment (70%)</w:t>
      </w:r>
      <w:r w:rsidR="0065770E" w:rsidRPr="00252AC4">
        <w:t xml:space="preserve"> to rate and assess the agency’s performance (</w:t>
      </w:r>
      <w:r w:rsidR="00DA6A7D" w:rsidRPr="00252AC4">
        <w:t>Figure 3.5</w:t>
      </w:r>
      <w:r w:rsidR="0065770E" w:rsidRPr="00252AC4">
        <w:t xml:space="preserve">). Although these can be good tools to measure the agency’s effectiveness, they entail a number of challenges, notably related to design quality, response rates, data reliability and quality of answers, among others. </w:t>
      </w:r>
      <w:r w:rsidR="001304E9" w:rsidRPr="00252AC4">
        <w:t xml:space="preserve">Quality-control assessments involve the measurement of time to answer requests, as well as response quality. </w:t>
      </w:r>
      <w:r w:rsidR="0049096E" w:rsidRPr="00252AC4">
        <w:t>T</w:t>
      </w:r>
      <w:r w:rsidR="001304E9" w:rsidRPr="00252AC4">
        <w:t>he data collection process supporting quality-control assessment is unclear as few IPAs have CRM tools</w:t>
      </w:r>
      <w:r w:rsidR="0049096E" w:rsidRPr="00252AC4">
        <w:t>, as discussed later in this chapter</w:t>
      </w:r>
      <w:r w:rsidR="001304E9" w:rsidRPr="00252AC4">
        <w:t xml:space="preserve">. There are good chances that these </w:t>
      </w:r>
      <w:r w:rsidR="001304E9" w:rsidRPr="00252AC4">
        <w:lastRenderedPageBreak/>
        <w:t>indicators are required in IPAs’ activity reports</w:t>
      </w:r>
      <w:r w:rsidR="007E6786" w:rsidRPr="00252AC4">
        <w:t xml:space="preserve"> to their Ministry in charge</w:t>
      </w:r>
      <w:r w:rsidR="001304E9" w:rsidRPr="00252AC4">
        <w:t>. In MENA countries, such assessments are required by law</w:t>
      </w:r>
      <w:sdt>
        <w:sdtPr>
          <w:id w:val="413751943"/>
          <w:citation/>
        </w:sdtPr>
        <w:sdtEndPr/>
        <w:sdtContent>
          <w:r w:rsidR="00B42B75" w:rsidRPr="00252AC4">
            <w:fldChar w:fldCharType="begin"/>
          </w:r>
          <w:r w:rsidR="00B42B75" w:rsidRPr="00252AC4">
            <w:instrText xml:space="preserve"> CITATION Placeholder1 \l 2057 </w:instrText>
          </w:r>
          <w:r w:rsidR="00B42B75" w:rsidRPr="00252AC4">
            <w:fldChar w:fldCharType="separate"/>
          </w:r>
          <w:bookmarkStart w:id="382" w:name="Placeholder1_15"/>
          <w:r w:rsidR="00E259C6" w:rsidRPr="00252AC4">
            <w:rPr>
              <w:noProof/>
            </w:rPr>
            <w:t xml:space="preserve"> (OECD, 2019</w:t>
          </w:r>
          <w:r w:rsidR="00E259C6" w:rsidRPr="00252AC4">
            <w:rPr>
              <w:noProof/>
              <w:vertAlign w:val="subscript"/>
            </w:rPr>
            <w:t>[8]</w:t>
          </w:r>
          <w:r w:rsidR="00E259C6" w:rsidRPr="00252AC4">
            <w:rPr>
              <w:noProof/>
            </w:rPr>
            <w:t>)</w:t>
          </w:r>
          <w:bookmarkEnd w:id="382"/>
          <w:r w:rsidR="00B42B75" w:rsidRPr="00252AC4">
            <w:fldChar w:fldCharType="end"/>
          </w:r>
        </w:sdtContent>
      </w:sdt>
      <w:r w:rsidR="001304E9" w:rsidRPr="00252AC4">
        <w:t xml:space="preserve">. </w:t>
      </w:r>
      <w:r w:rsidR="007E6786" w:rsidRPr="00252AC4">
        <w:t>On the other hand, l</w:t>
      </w:r>
      <w:r w:rsidRPr="00252AC4">
        <w:t>ess than half of</w:t>
      </w:r>
      <w:r w:rsidR="0065770E" w:rsidRPr="00252AC4">
        <w:t xml:space="preserve"> Eurasia IPAs use benchmarking</w:t>
      </w:r>
      <w:r w:rsidR="007E6786" w:rsidRPr="00252AC4">
        <w:t>,</w:t>
      </w:r>
      <w:r w:rsidRPr="00252AC4">
        <w:t xml:space="preserve"> contrarily to</w:t>
      </w:r>
      <w:r w:rsidR="0065770E" w:rsidRPr="00252AC4">
        <w:t xml:space="preserve"> </w:t>
      </w:r>
      <w:r w:rsidRPr="00252AC4">
        <w:t xml:space="preserve">IPAs in the </w:t>
      </w:r>
      <w:r w:rsidR="0065770E" w:rsidRPr="00252AC4">
        <w:t>OECD (78%), MENA (70%) and LAC (53%).</w:t>
      </w:r>
      <w:r w:rsidR="006751FF" w:rsidRPr="00252AC4">
        <w:t xml:space="preserve"> This report </w:t>
      </w:r>
      <w:r w:rsidR="008B31E2" w:rsidRPr="00252AC4">
        <w:t>could</w:t>
      </w:r>
      <w:r w:rsidR="006751FF" w:rsidRPr="00252AC4">
        <w:t xml:space="preserve"> be a stepping-stone in this regard, and encourage Eurasia</w:t>
      </w:r>
      <w:r w:rsidR="008B31E2" w:rsidRPr="00252AC4">
        <w:t xml:space="preserve"> IPAs</w:t>
      </w:r>
      <w:r w:rsidR="006751FF" w:rsidRPr="00252AC4">
        <w:t xml:space="preserve"> to engage further in </w:t>
      </w:r>
      <w:r w:rsidR="008B31E2" w:rsidRPr="00252AC4">
        <w:t xml:space="preserve">peer-to-peer </w:t>
      </w:r>
      <w:r w:rsidR="006751FF" w:rsidRPr="00252AC4">
        <w:t>exchanges as a basis for self-evaluation, as well as identification of new ideas and practices</w:t>
      </w:r>
      <w:r w:rsidR="008B31E2" w:rsidRPr="00252AC4">
        <w:t xml:space="preserve"> in their field</w:t>
      </w:r>
      <w:r w:rsidR="0065770E" w:rsidRPr="00252AC4">
        <w:t>.</w:t>
      </w:r>
    </w:p>
    <w:p w14:paraId="4532EA22" w14:textId="6EB4D46F" w:rsidR="0065770E" w:rsidRPr="00252AC4" w:rsidRDefault="00D01BCC" w:rsidP="0065770E">
      <w:pPr>
        <w:pStyle w:val="Para0"/>
      </w:pPr>
      <w:r w:rsidRPr="00252AC4">
        <w:t xml:space="preserve">As </w:t>
      </w:r>
      <w:r w:rsidR="0003610C" w:rsidRPr="00252AC4">
        <w:t xml:space="preserve">in </w:t>
      </w:r>
      <w:r w:rsidR="00AD3AB3" w:rsidRPr="00252AC4">
        <w:t xml:space="preserve">the </w:t>
      </w:r>
      <w:r w:rsidR="0065770E" w:rsidRPr="00252AC4">
        <w:t>MENA</w:t>
      </w:r>
      <w:r w:rsidR="00AD3AB3" w:rsidRPr="00252AC4">
        <w:t xml:space="preserve"> region</w:t>
      </w:r>
      <w:r w:rsidR="0065770E" w:rsidRPr="00252AC4">
        <w:t xml:space="preserve">, </w:t>
      </w:r>
      <w:r w:rsidR="0003610C" w:rsidRPr="00252AC4">
        <w:t xml:space="preserve">there are more </w:t>
      </w:r>
      <w:r w:rsidR="0065770E" w:rsidRPr="00252AC4">
        <w:t>IPAs</w:t>
      </w:r>
      <w:r w:rsidR="0003610C" w:rsidRPr="00252AC4">
        <w:t xml:space="preserve"> in Eurasia</w:t>
      </w:r>
      <w:r w:rsidR="0065770E" w:rsidRPr="00252AC4">
        <w:t xml:space="preserve"> </w:t>
      </w:r>
      <w:r w:rsidR="0003610C" w:rsidRPr="00252AC4">
        <w:t>using</w:t>
      </w:r>
      <w:r w:rsidR="0065770E" w:rsidRPr="00252AC4">
        <w:t xml:space="preserve"> econometric assessments than </w:t>
      </w:r>
      <w:r w:rsidR="0003610C" w:rsidRPr="00252AC4">
        <w:t>in the</w:t>
      </w:r>
      <w:r w:rsidR="0065770E" w:rsidRPr="00252AC4">
        <w:t xml:space="preserve"> OECD (</w:t>
      </w:r>
      <w:r w:rsidR="0003610C" w:rsidRPr="00252AC4">
        <w:t xml:space="preserve">respectively </w:t>
      </w:r>
      <w:r w:rsidR="0065770E" w:rsidRPr="00252AC4">
        <w:t xml:space="preserve">30% </w:t>
      </w:r>
      <w:r w:rsidR="0003610C" w:rsidRPr="00252AC4">
        <w:t>and</w:t>
      </w:r>
      <w:r w:rsidR="0065770E" w:rsidRPr="00252AC4">
        <w:t xml:space="preserve"> 16%</w:t>
      </w:r>
      <w:r w:rsidR="0003610C" w:rsidRPr="00252AC4">
        <w:t xml:space="preserve"> of the samples</w:t>
      </w:r>
      <w:r w:rsidR="0065770E" w:rsidRPr="00252AC4">
        <w:t xml:space="preserve">). </w:t>
      </w:r>
      <w:r w:rsidR="0003610C" w:rsidRPr="00252AC4">
        <w:t xml:space="preserve">In addition, </w:t>
      </w:r>
      <w:r w:rsidR="0065770E" w:rsidRPr="00252AC4">
        <w:t>two out of</w:t>
      </w:r>
      <w:r w:rsidR="0003610C" w:rsidRPr="00252AC4">
        <w:t xml:space="preserve"> three Eurasia agencies using</w:t>
      </w:r>
      <w:r w:rsidR="0065770E" w:rsidRPr="00252AC4">
        <w:t xml:space="preserve"> econometric techniques have fewer financial resources than the average Eurasia IPA,</w:t>
      </w:r>
      <w:r w:rsidR="0003610C" w:rsidRPr="00252AC4">
        <w:t xml:space="preserve"> while these types of methodologies tend to be relatively resource- and skill-intensive. In the OECD, some leading IPAs use </w:t>
      </w:r>
      <w:r w:rsidR="001D3512" w:rsidRPr="00252AC4">
        <w:t>econometric assessments</w:t>
      </w:r>
      <w:r w:rsidR="0003610C" w:rsidRPr="00252AC4">
        <w:t xml:space="preserve"> every few years, typically to support the definition of strategic orientations</w:t>
      </w:r>
      <w:sdt>
        <w:sdtPr>
          <w:id w:val="-912621940"/>
          <w:citation/>
        </w:sdtPr>
        <w:sdtEndPr/>
        <w:sdtContent>
          <w:r w:rsidR="0003610C" w:rsidRPr="00252AC4">
            <w:fldChar w:fldCharType="begin"/>
          </w:r>
          <w:r w:rsidR="0003610C" w:rsidRPr="00252AC4">
            <w:instrText xml:space="preserve"> CITATION Mon19 \l 1036 </w:instrText>
          </w:r>
          <w:r w:rsidR="0003610C" w:rsidRPr="00252AC4">
            <w:fldChar w:fldCharType="separate"/>
          </w:r>
          <w:r w:rsidR="00E259C6" w:rsidRPr="00252AC4">
            <w:rPr>
              <w:noProof/>
            </w:rPr>
            <w:t xml:space="preserve"> (</w:t>
          </w:r>
          <w:bookmarkStart w:id="383" w:name="Mon19_28"/>
          <w:r w:rsidR="00E259C6" w:rsidRPr="00252AC4">
            <w:rPr>
              <w:noProof/>
            </w:rPr>
            <w:t>Sztajerowska, 2019</w:t>
          </w:r>
          <w:r w:rsidR="00E259C6" w:rsidRPr="00252AC4">
            <w:rPr>
              <w:noProof/>
              <w:vertAlign w:val="subscript"/>
            </w:rPr>
            <w:t>[28]</w:t>
          </w:r>
          <w:r w:rsidR="00E259C6" w:rsidRPr="00252AC4">
            <w:rPr>
              <w:noProof/>
            </w:rPr>
            <w:t>)</w:t>
          </w:r>
          <w:bookmarkEnd w:id="383"/>
          <w:r w:rsidR="0003610C" w:rsidRPr="00252AC4">
            <w:fldChar w:fldCharType="end"/>
          </w:r>
        </w:sdtContent>
      </w:sdt>
      <w:r w:rsidR="0003610C" w:rsidRPr="00252AC4">
        <w:t>.</w:t>
      </w:r>
      <w:r w:rsidR="0065770E" w:rsidRPr="00252AC4">
        <w:t xml:space="preserve"> </w:t>
      </w:r>
      <w:r w:rsidR="0003610C" w:rsidRPr="00252AC4">
        <w:t>Overall, this finding is somewhat surprising</w:t>
      </w:r>
      <w:r w:rsidR="00D45572" w:rsidRPr="00252AC4">
        <w:t>.</w:t>
      </w:r>
    </w:p>
    <w:p w14:paraId="32B3A973" w14:textId="5E01BE58" w:rsidR="00DA6A7D" w:rsidRPr="00252AC4" w:rsidRDefault="00DA6A7D" w:rsidP="0051394F">
      <w:pPr>
        <w:pStyle w:val="Caption"/>
      </w:pPr>
      <w:bookmarkStart w:id="384" w:name="_Toc34647271"/>
      <w:bookmarkStart w:id="385" w:name="_Ref30253075"/>
      <w:bookmarkStart w:id="386" w:name="_Toc31617757"/>
      <w:bookmarkStart w:id="387" w:name="_Toc31641357"/>
      <w:bookmarkStart w:id="388" w:name="_Toc31650357"/>
      <w:bookmarkStart w:id="389" w:name="_Toc32317061"/>
      <w:bookmarkStart w:id="390" w:name="_Toc32324720"/>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5</w:t>
      </w:r>
      <w:r w:rsidRPr="00252AC4">
        <w:rPr>
          <w:noProof/>
        </w:rPr>
        <w:fldChar w:fldCharType="end"/>
      </w:r>
      <w:r w:rsidRPr="00252AC4">
        <w:t xml:space="preserve">. </w:t>
      </w:r>
      <w:r w:rsidR="00DD395C" w:rsidRPr="00252AC4">
        <w:t>IPAs’ evaluation methodologies</w:t>
      </w:r>
      <w:bookmarkEnd w:id="384"/>
    </w:p>
    <w:p w14:paraId="3B381177" w14:textId="7BD2E1A1" w:rsidR="00DD395C" w:rsidRPr="00252AC4" w:rsidRDefault="00DD395C" w:rsidP="00DD395C">
      <w:pPr>
        <w:pStyle w:val="CaptionSubtitle"/>
      </w:pPr>
      <w:r w:rsidRPr="00252AC4">
        <w:t>In % of IPAs</w:t>
      </w:r>
      <w:r w:rsidR="00C21B57" w:rsidRPr="00252AC4">
        <w:t>.</w:t>
      </w:r>
    </w:p>
    <w:p w14:paraId="737E4214" w14:textId="5886ABBE" w:rsidR="00DA6A7D" w:rsidRPr="00252AC4" w:rsidRDefault="007D75DD" w:rsidP="00DA6A7D">
      <w:pPr>
        <w:pStyle w:val="Figure"/>
        <w:rPr>
          <w:noProof/>
          <w:lang w:eastAsia="en-GB"/>
        </w:rPr>
      </w:pPr>
      <w:r w:rsidRPr="00252AC4">
        <w:rPr>
          <w:noProof/>
          <w:lang w:eastAsia="en-GB"/>
        </w:rPr>
        <w:object w:dxaOrig="10470" w:dyaOrig="7300" w14:anchorId="76EB8413">
          <v:shape id="_x0000_i1050" type="#_x0000_t75" style="width:415.65pt;height:290.2pt" o:ole="">
            <v:imagedata r:id="rId77" o:title=""/>
          </v:shape>
          <o:OLEObject Type="Link" ProgID="Excel.Sheet.12" ShapeID="_x0000_i1050" DrawAspect="Content" r:id="rId78" UpdateMode="Always">
            <o:LinkType>EnhancedMetaFile</o:LinkType>
            <o:LockedField>false</o:LockedField>
          </o:OLEObject>
        </w:object>
      </w:r>
    </w:p>
    <w:p w14:paraId="029BAAAF" w14:textId="339A8136" w:rsidR="00DA6A7D" w:rsidRPr="00252AC4" w:rsidRDefault="00DA6A7D" w:rsidP="0051394F">
      <w:pPr>
        <w:pStyle w:val="Sourcenotes"/>
      </w:pPr>
      <w:r w:rsidRPr="00252AC4">
        <w:rPr>
          <w:i/>
        </w:rPr>
        <w:t>Source</w:t>
      </w:r>
      <w:r w:rsidRPr="00252AC4">
        <w:t xml:space="preserve">: </w:t>
      </w:r>
      <w:r w:rsidR="00DD395C" w:rsidRPr="00252AC4">
        <w:t>OECD-IDB Survey of Investment Pr</w:t>
      </w:r>
      <w:r w:rsidR="00C21B57" w:rsidRPr="00252AC4">
        <w:t>omotion Agencies (2020)</w:t>
      </w:r>
    </w:p>
    <w:bookmarkEnd w:id="381"/>
    <w:bookmarkEnd w:id="385"/>
    <w:bookmarkEnd w:id="386"/>
    <w:bookmarkEnd w:id="387"/>
    <w:bookmarkEnd w:id="388"/>
    <w:bookmarkEnd w:id="389"/>
    <w:bookmarkEnd w:id="390"/>
    <w:p w14:paraId="62668A55" w14:textId="38A99FCC" w:rsidR="0065770E" w:rsidRPr="00252AC4" w:rsidRDefault="00261351" w:rsidP="002F604E">
      <w:pPr>
        <w:pStyle w:val="Heading3"/>
      </w:pPr>
      <w:r w:rsidRPr="00252AC4">
        <w:t xml:space="preserve">In contrast </w:t>
      </w:r>
      <w:r w:rsidR="00D01BCC" w:rsidRPr="00252AC4">
        <w:t xml:space="preserve">to </w:t>
      </w:r>
      <w:r w:rsidR="0065770E" w:rsidRPr="00252AC4">
        <w:t xml:space="preserve">other regions, Eurasia IPAs </w:t>
      </w:r>
      <w:r w:rsidRPr="00252AC4">
        <w:t>use more</w:t>
      </w:r>
      <w:r w:rsidR="0065770E" w:rsidRPr="00252AC4">
        <w:t xml:space="preserve"> output t</w:t>
      </w:r>
      <w:r w:rsidRPr="00252AC4">
        <w:t>han outcome M&amp;E indicators</w:t>
      </w:r>
      <w:r w:rsidR="00C94B43" w:rsidRPr="00252AC4">
        <w:t xml:space="preserve"> on average</w:t>
      </w:r>
    </w:p>
    <w:p w14:paraId="12D5BF77" w14:textId="7C15BFE0" w:rsidR="0065770E" w:rsidRPr="00252AC4" w:rsidRDefault="0065770E" w:rsidP="0065770E">
      <w:pPr>
        <w:pStyle w:val="Para0"/>
      </w:pPr>
      <w:r w:rsidRPr="00252AC4">
        <w:t xml:space="preserve">M&amp;E indicators can be </w:t>
      </w:r>
      <w:r w:rsidR="00F26523" w:rsidRPr="00252AC4">
        <w:t>categorised</w:t>
      </w:r>
      <w:r w:rsidRPr="00252AC4">
        <w:t xml:space="preserve"> into output and outcome indicators. Output indicators directly relate to the agency’s </w:t>
      </w:r>
      <w:r w:rsidR="00B647C9" w:rsidRPr="00252AC4">
        <w:t xml:space="preserve">activities </w:t>
      </w:r>
      <w:r w:rsidRPr="00252AC4">
        <w:t>(</w:t>
      </w:r>
      <w:r w:rsidR="00F26523" w:rsidRPr="00252AC4">
        <w:t>i.e.</w:t>
      </w:r>
      <w:r w:rsidRPr="00252AC4">
        <w:t xml:space="preserve"> number of campa</w:t>
      </w:r>
      <w:r w:rsidR="00F26523" w:rsidRPr="00252AC4">
        <w:t>igns launched), processes (i.e.</w:t>
      </w:r>
      <w:r w:rsidRPr="00252AC4">
        <w:t xml:space="preserve"> tim</w:t>
      </w:r>
      <w:r w:rsidR="00F26523" w:rsidRPr="00252AC4">
        <w:t>e to respond) and results (i.e. number</w:t>
      </w:r>
      <w:r w:rsidRPr="00252AC4">
        <w:t xml:space="preserve"> of assisted firms), and measure IPAs’ effectiveness</w:t>
      </w:r>
      <w:r w:rsidR="00F26523" w:rsidRPr="00252AC4">
        <w:t xml:space="preserve"> and efficiency in achieving their</w:t>
      </w:r>
      <w:r w:rsidRPr="00252AC4">
        <w:t xml:space="preserve"> target objectives </w:t>
      </w:r>
      <w:sdt>
        <w:sdtPr>
          <w:id w:val="46885633"/>
          <w:citation/>
        </w:sdtPr>
        <w:sdtEndPr/>
        <w:sdtContent>
          <w:r w:rsidRPr="00252AC4">
            <w:fldChar w:fldCharType="begin"/>
          </w:r>
          <w:r w:rsidRPr="00252AC4">
            <w:instrText xml:space="preserve"> CITATION OEC18 \l 2057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 xml:space="preserve">. In contrast, outcome indicators measure </w:t>
      </w:r>
      <w:r w:rsidR="00F26523" w:rsidRPr="00252AC4">
        <w:t xml:space="preserve">the realisation of expected </w:t>
      </w:r>
      <w:r w:rsidRPr="00252AC4">
        <w:t xml:space="preserve">effects </w:t>
      </w:r>
      <w:r w:rsidR="00F26523" w:rsidRPr="00252AC4">
        <w:t>of</w:t>
      </w:r>
      <w:r w:rsidRPr="00252AC4">
        <w:t xml:space="preserve"> IPA’s </w:t>
      </w:r>
      <w:r w:rsidR="0094645D" w:rsidRPr="00252AC4">
        <w:t>actions</w:t>
      </w:r>
      <w:r w:rsidRPr="00252AC4">
        <w:t xml:space="preserve">. </w:t>
      </w:r>
      <w:r w:rsidRPr="00252AC4">
        <w:lastRenderedPageBreak/>
        <w:t xml:space="preserve">They </w:t>
      </w:r>
      <w:r w:rsidR="00F26523" w:rsidRPr="00252AC4">
        <w:t xml:space="preserve">typically </w:t>
      </w:r>
      <w:r w:rsidRPr="00252AC4">
        <w:t xml:space="preserve">reflect the </w:t>
      </w:r>
      <w:r w:rsidR="00F26523" w:rsidRPr="00252AC4">
        <w:t>policy objectives underlying</w:t>
      </w:r>
      <w:r w:rsidRPr="00252AC4">
        <w:t xml:space="preserve"> IPAs’ actions</w:t>
      </w:r>
      <w:r w:rsidR="00F26523" w:rsidRPr="00252AC4">
        <w:t>,</w:t>
      </w:r>
      <w:r w:rsidRPr="00252AC4">
        <w:t xml:space="preserve"> such as </w:t>
      </w:r>
      <w:r w:rsidR="00F26523" w:rsidRPr="00252AC4">
        <w:t>job creation</w:t>
      </w:r>
      <w:r w:rsidRPr="00252AC4">
        <w:t xml:space="preserve">, regional development, or business climate reforms </w:t>
      </w:r>
      <w:sdt>
        <w:sdtPr>
          <w:id w:val="-1421863775"/>
          <w:citation/>
        </w:sdtPr>
        <w:sdtEndPr/>
        <w:sdtContent>
          <w:r w:rsidRPr="00252AC4">
            <w:fldChar w:fldCharType="begin"/>
          </w:r>
          <w:r w:rsidRPr="00252AC4">
            <w:instrText xml:space="preserve"> CITATION Kappa_g27a2751 \l 2057 </w:instrText>
          </w:r>
          <w:r w:rsidRPr="00252AC4">
            <w:fldChar w:fldCharType="separate"/>
          </w:r>
          <w:bookmarkStart w:id="391" w:name="Kappa_g27a2751_25"/>
          <w:r w:rsidR="00E259C6" w:rsidRPr="00252AC4">
            <w:rPr>
              <w:noProof/>
            </w:rPr>
            <w:t>(</w:t>
          </w:r>
          <w:bookmarkStart w:id="392" w:name="Kappa_g27a2751_24"/>
          <w:r w:rsidR="00E259C6" w:rsidRPr="00252AC4">
            <w:rPr>
              <w:noProof/>
            </w:rPr>
            <w:t>Schumann, 2016</w:t>
          </w:r>
          <w:r w:rsidR="00E259C6" w:rsidRPr="00252AC4">
            <w:rPr>
              <w:noProof/>
              <w:vertAlign w:val="subscript"/>
            </w:rPr>
            <w:t>[24]</w:t>
          </w:r>
          <w:r w:rsidR="00E259C6" w:rsidRPr="00252AC4">
            <w:rPr>
              <w:noProof/>
            </w:rPr>
            <w:t>)</w:t>
          </w:r>
          <w:bookmarkEnd w:id="392"/>
          <w:bookmarkEnd w:id="391"/>
          <w:r w:rsidRPr="00252AC4">
            <w:fldChar w:fldCharType="end"/>
          </w:r>
        </w:sdtContent>
      </w:sdt>
      <w:r w:rsidRPr="00252AC4">
        <w:t>.</w:t>
      </w:r>
    </w:p>
    <w:p w14:paraId="770E8F84" w14:textId="43A2E5DF" w:rsidR="00B647C9" w:rsidRPr="00252AC4" w:rsidRDefault="0065770E" w:rsidP="0094645D">
      <w:pPr>
        <w:pStyle w:val="Para0"/>
      </w:pPr>
      <w:r w:rsidRPr="00252AC4">
        <w:t xml:space="preserve">In contrast </w:t>
      </w:r>
      <w:r w:rsidR="00B647C9" w:rsidRPr="00252AC4">
        <w:t xml:space="preserve">to </w:t>
      </w:r>
      <w:r w:rsidRPr="00252AC4">
        <w:t xml:space="preserve">other regions, Eurasia IPAs </w:t>
      </w:r>
      <w:r w:rsidR="00FE249F" w:rsidRPr="00252AC4">
        <w:t xml:space="preserve">tend to </w:t>
      </w:r>
      <w:r w:rsidRPr="00252AC4">
        <w:t xml:space="preserve">use more output than outcome indicators, with the </w:t>
      </w:r>
      <w:r w:rsidR="00FE249F" w:rsidRPr="00252AC4">
        <w:t xml:space="preserve">notable </w:t>
      </w:r>
      <w:r w:rsidRPr="00252AC4">
        <w:t xml:space="preserve">exceptions of </w:t>
      </w:r>
      <w:r w:rsidR="007F666A" w:rsidRPr="00252AC4">
        <w:t>Tajikistan</w:t>
      </w:r>
      <w:r w:rsidR="000302B9" w:rsidRPr="00252AC4">
        <w:t>’s SCISPM</w:t>
      </w:r>
      <w:r w:rsidR="007F666A" w:rsidRPr="00252AC4">
        <w:t xml:space="preserve"> </w:t>
      </w:r>
      <w:r w:rsidRPr="00252AC4">
        <w:t>and the Investment Promotion and Protection Agency of the Kyrgyz Republic</w:t>
      </w:r>
      <w:r w:rsidR="00FE249F" w:rsidRPr="00252AC4">
        <w:t xml:space="preserve"> (</w:t>
      </w:r>
      <w:r w:rsidR="00E457C1" w:rsidRPr="00252AC4">
        <w:t>Figure 3.6</w:t>
      </w:r>
      <w:r w:rsidR="00FE249F" w:rsidRPr="00252AC4">
        <w:t>)</w:t>
      </w:r>
      <w:r w:rsidRPr="00252AC4">
        <w:t xml:space="preserve">. Some of the Central Asian countries use a high number of output indicators compared to regional averages, </w:t>
      </w:r>
      <w:r w:rsidR="00B32499" w:rsidRPr="00252AC4">
        <w:t xml:space="preserve">notably </w:t>
      </w:r>
      <w:r w:rsidR="007F666A" w:rsidRPr="00252AC4">
        <w:t>Tajikistan</w:t>
      </w:r>
      <w:r w:rsidR="00B32499" w:rsidRPr="00252AC4">
        <w:t xml:space="preserve">, which uses </w:t>
      </w:r>
      <w:r w:rsidRPr="00252AC4">
        <w:t xml:space="preserve">14 different indicators. </w:t>
      </w:r>
      <w:r w:rsidR="00B32499" w:rsidRPr="00252AC4">
        <w:t xml:space="preserve">OECD work with governmental agencies in the region has found, in some instances, that there could be tendencies to “flood” reporting systems </w:t>
      </w:r>
      <w:r w:rsidR="00BA794F" w:rsidRPr="00252AC4">
        <w:t xml:space="preserve">with long lists of indicators, </w:t>
      </w:r>
      <w:r w:rsidR="00B32499" w:rsidRPr="00252AC4">
        <w:t xml:space="preserve">mostly </w:t>
      </w:r>
      <w:r w:rsidR="00BA794F" w:rsidRPr="00252AC4">
        <w:t xml:space="preserve">focused </w:t>
      </w:r>
      <w:r w:rsidR="00B32499" w:rsidRPr="00252AC4">
        <w:t>on process</w:t>
      </w:r>
      <w:r w:rsidRPr="00252AC4">
        <w:t xml:space="preserve">. </w:t>
      </w:r>
    </w:p>
    <w:p w14:paraId="170BA781" w14:textId="667FA2E8" w:rsidR="0065770E" w:rsidRPr="00252AC4" w:rsidRDefault="0065770E" w:rsidP="0094645D">
      <w:pPr>
        <w:pStyle w:val="Para0"/>
      </w:pPr>
      <w:r w:rsidRPr="00252AC4">
        <w:t xml:space="preserve">While reporting is </w:t>
      </w:r>
      <w:r w:rsidR="00B32499" w:rsidRPr="00252AC4">
        <w:t>a fundamental process in any organisation</w:t>
      </w:r>
      <w:r w:rsidRPr="00252AC4">
        <w:t xml:space="preserve">, </w:t>
      </w:r>
      <w:r w:rsidR="00B32499" w:rsidRPr="00252AC4">
        <w:t>focus</w:t>
      </w:r>
      <w:r w:rsidR="00BA794F" w:rsidRPr="00252AC4">
        <w:t>ing</w:t>
      </w:r>
      <w:r w:rsidR="00B32499" w:rsidRPr="00252AC4">
        <w:t xml:space="preserve"> on a </w:t>
      </w:r>
      <w:r w:rsidRPr="00252AC4">
        <w:t>limit</w:t>
      </w:r>
      <w:r w:rsidR="00B32499" w:rsidRPr="00252AC4">
        <w:t>ed</w:t>
      </w:r>
      <w:r w:rsidRPr="00252AC4">
        <w:t xml:space="preserve"> number of </w:t>
      </w:r>
      <w:r w:rsidR="00B32499" w:rsidRPr="00252AC4">
        <w:t xml:space="preserve">meaningful </w:t>
      </w:r>
      <w:r w:rsidRPr="00252AC4">
        <w:t>indicators</w:t>
      </w:r>
      <w:r w:rsidR="00BA794F" w:rsidRPr="00252AC4">
        <w:t xml:space="preserve"> has its advantages</w:t>
      </w:r>
      <w:r w:rsidRPr="00252AC4">
        <w:t xml:space="preserve">. </w:t>
      </w:r>
      <w:r w:rsidR="00B647C9" w:rsidRPr="00252AC4">
        <w:t>R</w:t>
      </w:r>
      <w:r w:rsidRPr="00252AC4">
        <w:t xml:space="preserve">eporting </w:t>
      </w:r>
      <w:r w:rsidR="00B04030" w:rsidRPr="00252AC4">
        <w:t>can be</w:t>
      </w:r>
      <w:r w:rsidRPr="00252AC4">
        <w:t xml:space="preserve"> time- and resource-consuming</w:t>
      </w:r>
      <w:r w:rsidR="00B32499" w:rsidRPr="00252AC4">
        <w:t xml:space="preserve"> both for the entity producing the report, and for the administration at the receiving end</w:t>
      </w:r>
      <w:r w:rsidRPr="00252AC4">
        <w:t xml:space="preserve">. </w:t>
      </w:r>
      <w:r w:rsidR="00B647C9" w:rsidRPr="00252AC4">
        <w:t>Targeting</w:t>
      </w:r>
      <w:r w:rsidRPr="00252AC4">
        <w:t xml:space="preserve"> a lower, but meaningful number of</w:t>
      </w:r>
      <w:r w:rsidR="00B70EE6" w:rsidRPr="00252AC4">
        <w:t xml:space="preserve"> </w:t>
      </w:r>
      <w:r w:rsidRPr="00252AC4">
        <w:t>indicators can help convey strategic directions and better focus organisational efforts according to the policy priorities of the decision-makers.</w:t>
      </w:r>
      <w:r w:rsidR="00112F52" w:rsidRPr="00252AC4">
        <w:t xml:space="preserve"> </w:t>
      </w:r>
      <w:r w:rsidR="00DE4BEF" w:rsidRPr="00252AC4">
        <w:t>In this regard, the definition of strategic targets has its importance, because as it provides directions for operations, it also guides the definition of M&amp;E indicators.</w:t>
      </w:r>
      <w:r w:rsidR="003F0BC2" w:rsidRPr="00252AC4">
        <w:t xml:space="preserve"> </w:t>
      </w:r>
      <w:r w:rsidR="00DE4BEF" w:rsidRPr="00252AC4">
        <w:t>As highlighted in the first chapter, strategic target definition is not as widespread in Eurasia as it is in the OECD.</w:t>
      </w:r>
    </w:p>
    <w:p w14:paraId="4F29B0B5" w14:textId="16595B31" w:rsidR="00E457C1" w:rsidRPr="00252AC4" w:rsidRDefault="00E457C1" w:rsidP="0051394F">
      <w:pPr>
        <w:pStyle w:val="Caption"/>
      </w:pPr>
      <w:bookmarkStart w:id="393" w:name="_Toc34647272"/>
      <w:bookmarkStart w:id="394" w:name="_Ref30066108"/>
      <w:bookmarkStart w:id="395" w:name="_Toc31617758"/>
      <w:bookmarkStart w:id="396" w:name="_Toc31641358"/>
      <w:bookmarkStart w:id="397" w:name="_Toc31650358"/>
      <w:bookmarkStart w:id="398" w:name="_Toc32317062"/>
      <w:bookmarkStart w:id="399" w:name="_Toc32324721"/>
      <w:bookmarkStart w:id="400" w:name="_Ref29394442"/>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6</w:t>
      </w:r>
      <w:r w:rsidRPr="00252AC4">
        <w:rPr>
          <w:noProof/>
        </w:rPr>
        <w:fldChar w:fldCharType="end"/>
      </w:r>
      <w:r w:rsidRPr="00252AC4">
        <w:t>. Number of output and outcome indicators used by IPAs</w:t>
      </w:r>
      <w:bookmarkEnd w:id="393"/>
    </w:p>
    <w:p w14:paraId="6055021D" w14:textId="3078EC67" w:rsidR="00E457C1" w:rsidRPr="00252AC4" w:rsidRDefault="007D75DD" w:rsidP="00E457C1">
      <w:pPr>
        <w:pStyle w:val="Figure"/>
        <w:rPr>
          <w:noProof/>
          <w:lang w:eastAsia="en-GB"/>
        </w:rPr>
      </w:pPr>
      <w:r w:rsidRPr="00252AC4">
        <w:rPr>
          <w:noProof/>
          <w:lang w:eastAsia="en-GB"/>
        </w:rPr>
        <w:object w:dxaOrig="8050" w:dyaOrig="4680" w14:anchorId="0CC5DC65">
          <v:shape id="_x0000_i1051" type="#_x0000_t75" style="width:341.45pt;height:199.65pt" o:ole="">
            <v:imagedata r:id="rId79" o:title=""/>
          </v:shape>
          <o:OLEObject Type="Link" ProgID="Excel.Sheet.12" ShapeID="_x0000_i1051" DrawAspect="Content" r:id="rId80" UpdateMode="Always">
            <o:LinkType>EnhancedMetaFile</o:LinkType>
            <o:LockedField>false</o:LockedField>
          </o:OLEObject>
        </w:object>
      </w:r>
    </w:p>
    <w:p w14:paraId="186C4DBB" w14:textId="0DB55C4F" w:rsidR="00E457C1" w:rsidRPr="00252AC4" w:rsidRDefault="00E457C1" w:rsidP="0051394F">
      <w:pPr>
        <w:pStyle w:val="Sourcenotes"/>
      </w:pPr>
      <w:r w:rsidRPr="00252AC4">
        <w:rPr>
          <w:i/>
        </w:rPr>
        <w:t>Note</w:t>
      </w:r>
      <w:r w:rsidRPr="00252AC4">
        <w:t>: Breakdown between outcome and output indicators based on OECD definition.</w:t>
      </w:r>
    </w:p>
    <w:p w14:paraId="0DEEC5F8" w14:textId="4681558E" w:rsidR="00E457C1" w:rsidRPr="00252AC4" w:rsidRDefault="00E457C1" w:rsidP="0051394F">
      <w:pPr>
        <w:pStyle w:val="Sourcenotes"/>
      </w:pPr>
      <w:r w:rsidRPr="00252AC4">
        <w:rPr>
          <w:i/>
        </w:rPr>
        <w:t>Source</w:t>
      </w:r>
      <w:r w:rsidRPr="00252AC4">
        <w:t>: OECD-IDB Survey of Inves</w:t>
      </w:r>
      <w:r w:rsidR="00C21B57" w:rsidRPr="00252AC4">
        <w:t>tment Promotion Agencies (2020)</w:t>
      </w:r>
    </w:p>
    <w:bookmarkEnd w:id="394"/>
    <w:bookmarkEnd w:id="395"/>
    <w:bookmarkEnd w:id="396"/>
    <w:bookmarkEnd w:id="397"/>
    <w:bookmarkEnd w:id="398"/>
    <w:bookmarkEnd w:id="399"/>
    <w:bookmarkEnd w:id="400"/>
    <w:p w14:paraId="2AF2D9D2" w14:textId="1B0CF6E5" w:rsidR="0065770E" w:rsidRPr="00252AC4" w:rsidRDefault="0089289B" w:rsidP="00B04030">
      <w:pPr>
        <w:pStyle w:val="Para0"/>
      </w:pPr>
      <w:r w:rsidRPr="00252AC4">
        <w:t xml:space="preserve">Eurasia IPAs’ top five output indicators </w:t>
      </w:r>
      <w:r w:rsidR="00B04030" w:rsidRPr="00252AC4">
        <w:t>focus</w:t>
      </w:r>
      <w:r w:rsidRPr="00252AC4">
        <w:t xml:space="preserve"> on internal process performance (</w:t>
      </w:r>
      <w:r w:rsidR="003C1550" w:rsidRPr="00252AC4">
        <w:t>Figure 3.7</w:t>
      </w:r>
      <w:r w:rsidRPr="00252AC4">
        <w:t>)</w:t>
      </w:r>
      <w:r w:rsidR="00B04030" w:rsidRPr="00252AC4">
        <w:t xml:space="preserve">, whereas, </w:t>
      </w:r>
      <w:r w:rsidR="00B647C9" w:rsidRPr="00252AC4">
        <w:t xml:space="preserve">as </w:t>
      </w:r>
      <w:r w:rsidR="00B04030" w:rsidRPr="00252AC4">
        <w:t>in other regions, productivity measures are less followed</w:t>
      </w:r>
      <w:r w:rsidRPr="00252AC4">
        <w:t>. There are</w:t>
      </w:r>
      <w:r w:rsidR="0065770E" w:rsidRPr="00252AC4">
        <w:t xml:space="preserve"> strong similarities across regions, </w:t>
      </w:r>
      <w:r w:rsidRPr="00252AC4">
        <w:t>as a large majority of IPAs track</w:t>
      </w:r>
      <w:r w:rsidR="0065770E" w:rsidRPr="00252AC4">
        <w:t xml:space="preserve"> the number of projects and investing firms, followed by client satisfaction and the time to respond. Uzbekistan’s </w:t>
      </w:r>
      <w:r w:rsidR="00B04030" w:rsidRPr="00252AC4">
        <w:t xml:space="preserve">IPA is the </w:t>
      </w:r>
      <w:r w:rsidR="0065770E" w:rsidRPr="00252AC4">
        <w:t>only agency that does not monitor the number of investment projects. The agency focuses on tracking the time to respond and replies to enquiries</w:t>
      </w:r>
      <w:r w:rsidR="00B04030" w:rsidRPr="00252AC4">
        <w:t>,</w:t>
      </w:r>
      <w:r w:rsidR="0065770E" w:rsidRPr="00252AC4">
        <w:t xml:space="preserve"> as well as time to organise visits and market studies.</w:t>
      </w:r>
      <w:r w:rsidR="00B04030" w:rsidRPr="00252AC4">
        <w:t xml:space="preserve"> The overall focus of Eurasia M&amp;E functions on tracking internal processes may reflect the need to encourage and improve staff performance in relatively new organisations, although, as highlighted above, IPAs should make sure to strike a balance between the costs and benefits of their M&amp;E approach.</w:t>
      </w:r>
    </w:p>
    <w:p w14:paraId="527AF61E" w14:textId="55C6EE24" w:rsidR="003C1550" w:rsidRPr="00252AC4" w:rsidRDefault="003C1550" w:rsidP="003C1550">
      <w:pPr>
        <w:pStyle w:val="Caption"/>
      </w:pPr>
      <w:bookmarkStart w:id="401" w:name="_Toc34647273"/>
      <w:bookmarkStart w:id="402" w:name="_Ref28944624"/>
      <w:bookmarkStart w:id="403" w:name="_Toc31617759"/>
      <w:bookmarkStart w:id="404" w:name="_Toc31641359"/>
      <w:bookmarkStart w:id="405" w:name="_Toc31650359"/>
      <w:bookmarkStart w:id="406" w:name="_Toc32317063"/>
      <w:bookmarkStart w:id="407" w:name="_Toc32324722"/>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7</w:t>
      </w:r>
      <w:r w:rsidRPr="00252AC4">
        <w:rPr>
          <w:noProof/>
        </w:rPr>
        <w:fldChar w:fldCharType="end"/>
      </w:r>
      <w:r w:rsidRPr="00252AC4">
        <w:t>. Top five Output indicators in Eurasia and usage comparison with other regions</w:t>
      </w:r>
      <w:bookmarkEnd w:id="401"/>
    </w:p>
    <w:p w14:paraId="2FB0FB94" w14:textId="275D7818" w:rsidR="00C21B57" w:rsidRPr="00252AC4" w:rsidRDefault="00C21B57" w:rsidP="00C21B57">
      <w:pPr>
        <w:pStyle w:val="CaptionSubtitle"/>
      </w:pPr>
      <w:r w:rsidRPr="00252AC4">
        <w:t>In % of IPAs.</w:t>
      </w:r>
    </w:p>
    <w:p w14:paraId="7DB42C93" w14:textId="58608164" w:rsidR="003C1550" w:rsidRPr="00252AC4" w:rsidRDefault="007D75DD" w:rsidP="003C1550">
      <w:pPr>
        <w:pStyle w:val="Figure"/>
        <w:rPr>
          <w:noProof/>
          <w:lang w:eastAsia="en-GB"/>
        </w:rPr>
      </w:pPr>
      <w:r w:rsidRPr="00252AC4">
        <w:rPr>
          <w:noProof/>
          <w:lang w:eastAsia="en-GB"/>
        </w:rPr>
        <w:object w:dxaOrig="7560" w:dyaOrig="4980" w14:anchorId="09FD6941">
          <v:shape id="_x0000_i1052" type="#_x0000_t75" style="width:326.2pt;height:215.45pt" o:ole="">
            <v:imagedata r:id="rId81" o:title=""/>
          </v:shape>
          <o:OLEObject Type="Link" ProgID="Excel.Sheet.12" ShapeID="_x0000_i1052" DrawAspect="Content" r:id="rId82" UpdateMode="Always">
            <o:LinkType>EnhancedMetaFile</o:LinkType>
            <o:LockedField>false</o:LockedField>
          </o:OLEObject>
        </w:object>
      </w:r>
    </w:p>
    <w:p w14:paraId="32A6E023" w14:textId="6552AF14" w:rsidR="003C1550" w:rsidRPr="00252AC4" w:rsidRDefault="003C1550" w:rsidP="003C1550">
      <w:pPr>
        <w:pStyle w:val="Sourcenotes"/>
      </w:pPr>
      <w:r w:rsidRPr="00252AC4">
        <w:rPr>
          <w:i/>
        </w:rPr>
        <w:t>Source</w:t>
      </w:r>
      <w:r w:rsidRPr="00252AC4">
        <w:t>: OECD-IDB Survey of Inves</w:t>
      </w:r>
      <w:r w:rsidR="00C21B57" w:rsidRPr="00252AC4">
        <w:t>tment Promotion Agencies (2020)</w:t>
      </w:r>
    </w:p>
    <w:p w14:paraId="1E65C4D7" w14:textId="77777777" w:rsidR="003C1550" w:rsidRPr="00252AC4" w:rsidRDefault="003C1550" w:rsidP="003C1550">
      <w:pPr>
        <w:pStyle w:val="Sourcenotes"/>
      </w:pPr>
    </w:p>
    <w:bookmarkEnd w:id="402"/>
    <w:bookmarkEnd w:id="403"/>
    <w:bookmarkEnd w:id="404"/>
    <w:bookmarkEnd w:id="405"/>
    <w:bookmarkEnd w:id="406"/>
    <w:bookmarkEnd w:id="407"/>
    <w:p w14:paraId="33AE7163" w14:textId="15025DD2" w:rsidR="0065770E" w:rsidRPr="00252AC4" w:rsidRDefault="002C7D3F" w:rsidP="002F604E">
      <w:pPr>
        <w:pStyle w:val="Heading3"/>
      </w:pPr>
      <w:r w:rsidRPr="00252AC4">
        <w:t xml:space="preserve">Better data would enable </w:t>
      </w:r>
      <w:r w:rsidR="00B647C9" w:rsidRPr="00252AC4">
        <w:t>Eurasia IPAs to better</w:t>
      </w:r>
      <w:r w:rsidRPr="00252AC4">
        <w:t xml:space="preserve"> track </w:t>
      </w:r>
      <w:r w:rsidR="008C7DA2" w:rsidRPr="00252AC4">
        <w:t xml:space="preserve">outcome indicators in relations to their </w:t>
      </w:r>
      <w:r w:rsidRPr="00252AC4">
        <w:t xml:space="preserve">strategic </w:t>
      </w:r>
      <w:r w:rsidR="008C7DA2" w:rsidRPr="00252AC4">
        <w:t>priorities</w:t>
      </w:r>
    </w:p>
    <w:p w14:paraId="46409F5B" w14:textId="367F4A8F" w:rsidR="0065770E" w:rsidRPr="00252AC4" w:rsidRDefault="0065770E" w:rsidP="00C168E9">
      <w:pPr>
        <w:pStyle w:val="Para0"/>
      </w:pPr>
      <w:r w:rsidRPr="00252AC4">
        <w:t>Similar to OECD IPAs (81%), most Eurasia IPAs focus on tracking the total amount of FDI inflows received (90%)</w:t>
      </w:r>
      <w:r w:rsidR="004C2234" w:rsidRPr="00252AC4">
        <w:t xml:space="preserve"> (</w:t>
      </w:r>
      <w:r w:rsidR="001C2BA0" w:rsidRPr="00252AC4">
        <w:t>Figure 3.8</w:t>
      </w:r>
      <w:r w:rsidR="004C2234" w:rsidRPr="00252AC4">
        <w:t>)</w:t>
      </w:r>
      <w:r w:rsidRPr="00252AC4">
        <w:t>. The</w:t>
      </w:r>
      <w:r w:rsidR="00C168E9" w:rsidRPr="00252AC4">
        <w:t>ir</w:t>
      </w:r>
      <w:r w:rsidRPr="00252AC4">
        <w:t xml:space="preserve"> second most </w:t>
      </w:r>
      <w:r w:rsidR="00C168E9" w:rsidRPr="00252AC4">
        <w:t>favoured</w:t>
      </w:r>
      <w:r w:rsidRPr="00252AC4">
        <w:t xml:space="preserve"> indicator relates to country’s image</w:t>
      </w:r>
      <w:r w:rsidR="00C168E9" w:rsidRPr="00252AC4">
        <w:t>, which</w:t>
      </w:r>
      <w:r w:rsidR="005225FA" w:rsidRPr="00252AC4">
        <w:t xml:space="preserve"> is consistent with their </w:t>
      </w:r>
      <w:r w:rsidR="0015557F" w:rsidRPr="00252AC4">
        <w:t xml:space="preserve">tendency to </w:t>
      </w:r>
      <w:r w:rsidR="005225FA" w:rsidRPr="00252AC4">
        <w:t>focus on</w:t>
      </w:r>
      <w:r w:rsidRPr="00252AC4">
        <w:t xml:space="preserve"> image building</w:t>
      </w:r>
      <w:r w:rsidR="0015557F" w:rsidRPr="00252AC4">
        <w:t xml:space="preserve"> in general, as detailed in Chapter 2</w:t>
      </w:r>
      <w:r w:rsidRPr="00252AC4">
        <w:t xml:space="preserve">. Eurasia IPAs </w:t>
      </w:r>
      <w:r w:rsidR="0015557F" w:rsidRPr="00252AC4">
        <w:t>also monitor</w:t>
      </w:r>
      <w:r w:rsidRPr="00252AC4">
        <w:t xml:space="preserve"> business climate reforms more closely than OECD IPAs (</w:t>
      </w:r>
      <w:r w:rsidR="0015557F" w:rsidRPr="00252AC4">
        <w:t xml:space="preserve">respectively </w:t>
      </w:r>
      <w:r w:rsidRPr="00252AC4">
        <w:t xml:space="preserve">60% </w:t>
      </w:r>
      <w:r w:rsidR="0015557F" w:rsidRPr="00252AC4">
        <w:t>and</w:t>
      </w:r>
      <w:r w:rsidRPr="00252AC4">
        <w:t xml:space="preserve"> 28%</w:t>
      </w:r>
      <w:r w:rsidR="0015557F" w:rsidRPr="00252AC4">
        <w:t xml:space="preserve"> of the samples</w:t>
      </w:r>
      <w:r w:rsidRPr="00252AC4">
        <w:t>). By contrast,</w:t>
      </w:r>
      <w:r w:rsidR="0015557F" w:rsidRPr="00252AC4">
        <w:t xml:space="preserve"> they track</w:t>
      </w:r>
      <w:r w:rsidRPr="00252AC4">
        <w:t xml:space="preserve"> job and innovation related indicators less </w:t>
      </w:r>
      <w:r w:rsidR="0015557F" w:rsidRPr="00252AC4">
        <w:t>than their peers in</w:t>
      </w:r>
      <w:r w:rsidRPr="00252AC4">
        <w:t xml:space="preserve"> other regions. It is also noteworthy that </w:t>
      </w:r>
      <w:r w:rsidR="0015557F" w:rsidRPr="00252AC4">
        <w:t>in spite of their mandates to contribute to regional development, only 40% of Eurasia</w:t>
      </w:r>
      <w:r w:rsidRPr="00252AC4">
        <w:t xml:space="preserve"> </w:t>
      </w:r>
      <w:r w:rsidR="0015557F" w:rsidRPr="00252AC4">
        <w:t xml:space="preserve">IPAs </w:t>
      </w:r>
      <w:r w:rsidRPr="00252AC4">
        <w:t xml:space="preserve">track </w:t>
      </w:r>
      <w:r w:rsidR="0015557F" w:rsidRPr="00252AC4">
        <w:t>related indicators</w:t>
      </w:r>
      <w:r w:rsidRPr="00252AC4">
        <w:t>.</w:t>
      </w:r>
      <w:r w:rsidR="004C3912" w:rsidRPr="00252AC4">
        <w:t xml:space="preserve"> </w:t>
      </w:r>
      <w:r w:rsidR="00B647C9" w:rsidRPr="00252AC4">
        <w:t xml:space="preserve">As </w:t>
      </w:r>
      <w:r w:rsidR="004C3912" w:rsidRPr="00252AC4">
        <w:t>in the OECD, the tracking of indicators related to green investment and Responsible Business Conduct (RBC) are marginal in Eurasia</w:t>
      </w:r>
      <w:r w:rsidRPr="00252AC4">
        <w:t>.</w:t>
      </w:r>
    </w:p>
    <w:p w14:paraId="60F05D9B" w14:textId="35F49E46" w:rsidR="001C2BA0" w:rsidRPr="00252AC4" w:rsidRDefault="001C2BA0" w:rsidP="0051394F">
      <w:pPr>
        <w:pStyle w:val="Caption"/>
      </w:pPr>
      <w:bookmarkStart w:id="408" w:name="_Toc34647274"/>
      <w:bookmarkStart w:id="409" w:name="_Ref31631905"/>
      <w:bookmarkStart w:id="410" w:name="_Toc31617760"/>
      <w:bookmarkStart w:id="411" w:name="_Toc31641360"/>
      <w:bookmarkStart w:id="412" w:name="_Toc31650360"/>
      <w:bookmarkStart w:id="413" w:name="_Toc32317064"/>
      <w:bookmarkStart w:id="414" w:name="_Toc32324723"/>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8</w:t>
      </w:r>
      <w:r w:rsidRPr="00252AC4">
        <w:rPr>
          <w:noProof/>
        </w:rPr>
        <w:fldChar w:fldCharType="end"/>
      </w:r>
      <w:r w:rsidRPr="00252AC4">
        <w:t>. Top five Outcome Indicators</w:t>
      </w:r>
      <w:bookmarkEnd w:id="408"/>
    </w:p>
    <w:p w14:paraId="0043F9C6" w14:textId="477F0D4E" w:rsidR="001C2BA0" w:rsidRPr="00252AC4" w:rsidRDefault="001C2BA0" w:rsidP="0051394F">
      <w:pPr>
        <w:pStyle w:val="CaptionSubtitle"/>
      </w:pPr>
      <w:r w:rsidRPr="00252AC4">
        <w:t>In % of IPAs</w:t>
      </w:r>
      <w:r w:rsidR="00CC5B2F" w:rsidRPr="00252AC4">
        <w:t>.</w:t>
      </w:r>
    </w:p>
    <w:p w14:paraId="0ADF0B1E" w14:textId="490463BC" w:rsidR="001C2BA0" w:rsidRPr="00252AC4" w:rsidRDefault="007D75DD" w:rsidP="001C2BA0">
      <w:pPr>
        <w:pStyle w:val="Figure"/>
        <w:rPr>
          <w:noProof/>
          <w:lang w:eastAsia="en-GB"/>
        </w:rPr>
      </w:pPr>
      <w:r w:rsidRPr="00252AC4">
        <w:rPr>
          <w:noProof/>
          <w:lang w:eastAsia="en-GB"/>
        </w:rPr>
        <w:object w:dxaOrig="7330" w:dyaOrig="4390" w14:anchorId="05EE6C81">
          <v:shape id="_x0000_i1053" type="#_x0000_t75" style="width:331.1pt;height:198pt" o:ole="">
            <v:imagedata r:id="rId83" o:title=""/>
          </v:shape>
          <o:OLEObject Type="Link" ProgID="Excel.Sheet.12" ShapeID="_x0000_i1053" DrawAspect="Content" r:id="rId84" UpdateMode="Always">
            <o:LinkType>EnhancedMetaFile</o:LinkType>
            <o:LockedField>false</o:LockedField>
          </o:OLEObject>
        </w:object>
      </w:r>
    </w:p>
    <w:p w14:paraId="5677F92F" w14:textId="44D91870" w:rsidR="001C2BA0" w:rsidRPr="00252AC4" w:rsidRDefault="001C2BA0" w:rsidP="0051394F">
      <w:pPr>
        <w:pStyle w:val="Sourcenotes"/>
      </w:pPr>
      <w:r w:rsidRPr="00252AC4">
        <w:rPr>
          <w:i/>
        </w:rPr>
        <w:t>Source</w:t>
      </w:r>
      <w:r w:rsidRPr="00252AC4">
        <w:t>: OECD-IDB Survey of Inves</w:t>
      </w:r>
      <w:r w:rsidR="00CC5B2F" w:rsidRPr="00252AC4">
        <w:t>tment Promotion Agencies (2020)</w:t>
      </w:r>
    </w:p>
    <w:bookmarkEnd w:id="409"/>
    <w:bookmarkEnd w:id="410"/>
    <w:bookmarkEnd w:id="411"/>
    <w:bookmarkEnd w:id="412"/>
    <w:bookmarkEnd w:id="413"/>
    <w:bookmarkEnd w:id="414"/>
    <w:p w14:paraId="7B648E81" w14:textId="0D0DA68F" w:rsidR="00505085" w:rsidRPr="00252AC4" w:rsidRDefault="0065770E" w:rsidP="00505085">
      <w:pPr>
        <w:pStyle w:val="Para0"/>
      </w:pPr>
      <w:r w:rsidRPr="00252AC4">
        <w:t xml:space="preserve">For M&amp;E indicators to be relevant, they should be consistent with the agency’s overall mandates, as well as the target objectives of the unit, activity or project they relate to </w:t>
      </w:r>
      <w:sdt>
        <w:sdtPr>
          <w:id w:val="1895999485"/>
          <w:citation/>
        </w:sdtPr>
        <w:sdtEndPr/>
        <w:sdtContent>
          <w:r w:rsidRPr="00252AC4">
            <w:fldChar w:fldCharType="begin"/>
          </w:r>
          <w:r w:rsidRPr="00252AC4">
            <w:instrText xml:space="preserve"> CITATION OEC18 \l 2057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 The majority of surveyed IPAs use total FDI as outcome indicator (90%) and have some correspondin</w:t>
      </w:r>
      <w:r w:rsidR="009E5762" w:rsidRPr="00252AC4">
        <w:t>g prioritisation criteria (i.e.</w:t>
      </w:r>
      <w:r w:rsidRPr="00252AC4">
        <w:t xml:space="preserve"> size of investment) (</w:t>
      </w:r>
      <w:r w:rsidR="00FA2EBF" w:rsidRPr="00252AC4">
        <w:t>Figure 3.9</w:t>
      </w:r>
      <w:r w:rsidRPr="00252AC4">
        <w:t xml:space="preserve">). The alignment is much weaker regarding remaining evaluation indicators such as jobs (50%), regional development (47%), innovation (35%), exports (30%) and green investment (30%). In contrast, outcome indicators align better with the agency’s formal mandates, as the same share of agencies tracking innovation related and export related indicators indicated innovation and export promotion as official mandates. Overall, regional development appears to be among the least aligned outcome indicators. </w:t>
      </w:r>
      <w:r w:rsidR="00154906" w:rsidRPr="00252AC4">
        <w:t>Similar gaps between target objectives and outcomes indicators used for M&amp;E are observed</w:t>
      </w:r>
      <w:r w:rsidR="005D2858" w:rsidRPr="00252AC4">
        <w:t xml:space="preserve"> in OECD countries</w:t>
      </w:r>
      <w:r w:rsidR="00154906" w:rsidRPr="00252AC4">
        <w:t>, and find their explanation in</w:t>
      </w:r>
      <w:r w:rsidRPr="00252AC4">
        <w:t xml:space="preserve"> a lack of data-availability</w:t>
      </w:r>
      <w:sdt>
        <w:sdtPr>
          <w:id w:val="294804539"/>
          <w:citation/>
        </w:sdtPr>
        <w:sdtEndPr/>
        <w:sdtContent>
          <w:r w:rsidR="00154906" w:rsidRPr="00252AC4">
            <w:fldChar w:fldCharType="begin"/>
          </w:r>
          <w:r w:rsidR="00154906" w:rsidRPr="00252AC4">
            <w:instrText xml:space="preserve"> CITATION OEC18 \l 1036 </w:instrText>
          </w:r>
          <w:r w:rsidR="00154906" w:rsidRPr="00252AC4">
            <w:fldChar w:fldCharType="separate"/>
          </w:r>
          <w:r w:rsidR="00E259C6" w:rsidRPr="00252AC4">
            <w:rPr>
              <w:noProof/>
            </w:rPr>
            <w:t xml:space="preserve"> (</w:t>
          </w:r>
          <w:bookmarkStart w:id="415" w:name="OEC18_3"/>
          <w:r w:rsidR="00E259C6" w:rsidRPr="00252AC4">
            <w:rPr>
              <w:noProof/>
            </w:rPr>
            <w:t>OECD, 2018</w:t>
          </w:r>
          <w:r w:rsidR="00E259C6" w:rsidRPr="00252AC4">
            <w:rPr>
              <w:noProof/>
              <w:vertAlign w:val="subscript"/>
            </w:rPr>
            <w:t>[3]</w:t>
          </w:r>
          <w:r w:rsidR="00E259C6" w:rsidRPr="00252AC4">
            <w:rPr>
              <w:noProof/>
            </w:rPr>
            <w:t>)</w:t>
          </w:r>
          <w:bookmarkEnd w:id="415"/>
          <w:r w:rsidR="00154906" w:rsidRPr="00252AC4">
            <w:fldChar w:fldCharType="end"/>
          </w:r>
        </w:sdtContent>
      </w:sdt>
      <w:r w:rsidRPr="00252AC4">
        <w:t xml:space="preserve">. </w:t>
      </w:r>
      <w:r w:rsidR="005D086D" w:rsidRPr="00252AC4">
        <w:t>This is particularly true of sub-national data</w:t>
      </w:r>
      <w:r w:rsidRPr="00252AC4">
        <w:t xml:space="preserve">. </w:t>
      </w:r>
      <w:r w:rsidR="005D086D" w:rsidRPr="00252AC4">
        <w:t>In Eurasia, the development of better systems to track and collect reliable statistical data based on international standards is a pre-requisite</w:t>
      </w:r>
      <w:r w:rsidR="00505085" w:rsidRPr="00252AC4">
        <w:t xml:space="preserve"> to the development of more robust outcome indicators, including relating to the SDGs.</w:t>
      </w:r>
      <w:r w:rsidR="00B91157" w:rsidRPr="00252AC4">
        <w:t xml:space="preserve"> This is a rather long-term endeavour.</w:t>
      </w:r>
      <w:r w:rsidR="00822B33">
        <w:t xml:space="preserve"> </w:t>
      </w:r>
      <w:r w:rsidR="00F80611">
        <w:t>It</w:t>
      </w:r>
      <w:r w:rsidR="00822B33">
        <w:t xml:space="preserve"> could however help governments monitor the effects of policy measures on foreign investment and </w:t>
      </w:r>
      <w:r w:rsidR="00D9260B">
        <w:t>contribution of FDI to economic recovery</w:t>
      </w:r>
      <w:r w:rsidR="00822B33">
        <w:t>.</w:t>
      </w:r>
    </w:p>
    <w:p w14:paraId="01350ECC" w14:textId="0380897E" w:rsidR="004570FD" w:rsidRPr="00252AC4" w:rsidRDefault="004570FD" w:rsidP="0051394F">
      <w:pPr>
        <w:pStyle w:val="Caption"/>
      </w:pPr>
      <w:bookmarkStart w:id="416" w:name="_Toc34647275"/>
      <w:bookmarkStart w:id="417" w:name="_Ref28966848"/>
      <w:bookmarkStart w:id="418" w:name="_Toc31617761"/>
      <w:bookmarkStart w:id="419" w:name="_Toc31641361"/>
      <w:bookmarkStart w:id="420" w:name="_Toc31650361"/>
      <w:bookmarkStart w:id="421" w:name="_Toc32317065"/>
      <w:bookmarkStart w:id="422" w:name="_Toc32324724"/>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9</w:t>
      </w:r>
      <w:r w:rsidRPr="00252AC4">
        <w:rPr>
          <w:noProof/>
        </w:rPr>
        <w:fldChar w:fldCharType="end"/>
      </w:r>
      <w:r w:rsidRPr="00252AC4">
        <w:t>. Strategic alignment of IPAs’ outcome indicators</w:t>
      </w:r>
      <w:bookmarkEnd w:id="416"/>
    </w:p>
    <w:p w14:paraId="7ECFFF60" w14:textId="3122AF34" w:rsidR="004570FD" w:rsidRPr="00252AC4" w:rsidRDefault="00CC5B2F" w:rsidP="004570FD">
      <w:pPr>
        <w:pStyle w:val="CaptionSubtitle"/>
      </w:pPr>
      <w:r w:rsidRPr="00252AC4">
        <w:t xml:space="preserve">In </w:t>
      </w:r>
      <w:r w:rsidR="004570FD" w:rsidRPr="00252AC4">
        <w:t>% of IPAs</w:t>
      </w:r>
      <w:r w:rsidRPr="00252AC4">
        <w:t>.</w:t>
      </w:r>
    </w:p>
    <w:p w14:paraId="16237244" w14:textId="78E00626" w:rsidR="004570FD" w:rsidRPr="00252AC4" w:rsidRDefault="007D75DD" w:rsidP="004570FD">
      <w:pPr>
        <w:pStyle w:val="Figure"/>
        <w:rPr>
          <w:noProof/>
          <w:lang w:eastAsia="en-GB"/>
        </w:rPr>
      </w:pPr>
      <w:r w:rsidRPr="00252AC4">
        <w:rPr>
          <w:noProof/>
          <w:lang w:eastAsia="en-GB"/>
        </w:rPr>
        <w:object w:dxaOrig="7310" w:dyaOrig="4390" w14:anchorId="6871A4DF">
          <v:shape id="_x0000_i1054" type="#_x0000_t75" style="width:339.8pt;height:202.35pt" o:ole="">
            <v:imagedata r:id="rId85" o:title=""/>
          </v:shape>
          <o:OLEObject Type="Link" ProgID="Excel.Sheet.12" ShapeID="_x0000_i1054" DrawAspect="Content" r:id="rId86" UpdateMode="Always">
            <o:LinkType>EnhancedMetaFile</o:LinkType>
            <o:LockedField>false</o:LockedField>
          </o:OLEObject>
        </w:object>
      </w:r>
    </w:p>
    <w:p w14:paraId="2E1EE469" w14:textId="6FB7106C" w:rsidR="004570FD" w:rsidRPr="00252AC4" w:rsidRDefault="004570FD" w:rsidP="004570FD">
      <w:pPr>
        <w:pStyle w:val="Sourcenotes"/>
      </w:pPr>
      <w:r w:rsidRPr="00252AC4">
        <w:rPr>
          <w:i/>
        </w:rPr>
        <w:t>Note</w:t>
      </w:r>
      <w:r w:rsidRPr="00252AC4">
        <w:t xml:space="preserve">: The figure displays the share of IPAs that use a specific outcome indicator that corresponds to a given mandate/targeting strategy. In particular, the following project prioritisation criteria were used (following the order of columns in the graph): 1) size of investment, 2) impact on job creation, 3) impact on regional development, 4) impact on innovation/R&amp;D, 5) impact on exports, and 5) sustainability. Regarding mandates, we used FDI promotion to align with total FDI, regional development promotion to match with regional development indicators, innovation promotion for innovation related evaluation indicators, export promotion to match export related indicators and green investment promotion to align with sustainability related evaluation indicators. </w:t>
      </w:r>
    </w:p>
    <w:p w14:paraId="722D4E42" w14:textId="0674CF79" w:rsidR="004570FD" w:rsidRPr="00252AC4" w:rsidRDefault="004570FD" w:rsidP="0051394F">
      <w:pPr>
        <w:pStyle w:val="Sourcenotes"/>
      </w:pPr>
      <w:r w:rsidRPr="00252AC4">
        <w:rPr>
          <w:i/>
        </w:rPr>
        <w:t>Source</w:t>
      </w:r>
      <w:r w:rsidRPr="00252AC4">
        <w:t>: OECD-IDB Survey of Inves</w:t>
      </w:r>
      <w:r w:rsidR="00CC5B2F" w:rsidRPr="00252AC4">
        <w:t>tment Promotion Agencies (2020)</w:t>
      </w:r>
    </w:p>
    <w:bookmarkEnd w:id="417"/>
    <w:bookmarkEnd w:id="418"/>
    <w:bookmarkEnd w:id="419"/>
    <w:bookmarkEnd w:id="420"/>
    <w:bookmarkEnd w:id="421"/>
    <w:bookmarkEnd w:id="422"/>
    <w:p w14:paraId="5490322C" w14:textId="4BD7685C" w:rsidR="0065770E" w:rsidRPr="00252AC4" w:rsidRDefault="00992F0A" w:rsidP="002F604E">
      <w:pPr>
        <w:pStyle w:val="Heading3"/>
      </w:pPr>
      <w:r w:rsidRPr="00252AC4">
        <w:t xml:space="preserve">Eurasia IPAs could consider investing in </w:t>
      </w:r>
      <w:r w:rsidR="00FC7287" w:rsidRPr="00252AC4">
        <w:t>CRM systems to enhance their data tracking</w:t>
      </w:r>
      <w:r w:rsidR="007668B3" w:rsidRPr="00252AC4">
        <w:t xml:space="preserve"> systems</w:t>
      </w:r>
      <w:r w:rsidR="004E1AEC">
        <w:t>,</w:t>
      </w:r>
      <w:r w:rsidR="00FC7287" w:rsidRPr="00252AC4">
        <w:t xml:space="preserve"> </w:t>
      </w:r>
      <w:r w:rsidR="007668B3" w:rsidRPr="00252AC4">
        <w:t xml:space="preserve">improve their </w:t>
      </w:r>
      <w:r w:rsidR="00FC7287" w:rsidRPr="00252AC4">
        <w:t>M&amp;E functions</w:t>
      </w:r>
      <w:r w:rsidR="004E1AEC">
        <w:t xml:space="preserve"> and strengthen their digital capabilities</w:t>
      </w:r>
    </w:p>
    <w:p w14:paraId="3AE1B06E" w14:textId="20F32316" w:rsidR="0065770E" w:rsidRPr="00252AC4" w:rsidRDefault="0065770E" w:rsidP="0065770E">
      <w:pPr>
        <w:pStyle w:val="Para0"/>
        <w:rPr>
          <w:i/>
        </w:rPr>
      </w:pPr>
      <w:r w:rsidRPr="00252AC4">
        <w:t>As discussed in the previous section, the collection of good quality data is a critical element in the area of monitoring and evaluation</w:t>
      </w:r>
      <w:r w:rsidR="007668B3" w:rsidRPr="00252AC4">
        <w:t>.</w:t>
      </w:r>
      <w:r w:rsidRPr="00252AC4">
        <w:t xml:space="preserve"> </w:t>
      </w:r>
      <w:r w:rsidR="007668B3" w:rsidRPr="00252AC4">
        <w:t>W</w:t>
      </w:r>
      <w:r w:rsidRPr="00252AC4">
        <w:t>ell-designed tools and processes</w:t>
      </w:r>
      <w:r w:rsidR="007668B3" w:rsidRPr="00252AC4">
        <w:t>,</w:t>
      </w:r>
      <w:r w:rsidRPr="00252AC4">
        <w:t xml:space="preserve"> such as </w:t>
      </w:r>
      <w:r w:rsidR="007668B3" w:rsidRPr="00252AC4">
        <w:t>Customer Relationship M</w:t>
      </w:r>
      <w:r w:rsidRPr="00252AC4">
        <w:t>anagement (CRM) systems</w:t>
      </w:r>
      <w:r w:rsidR="007668B3" w:rsidRPr="00252AC4">
        <w:t>, can greatly facilitate this collection</w:t>
      </w:r>
      <w:r w:rsidRPr="00252AC4">
        <w:t xml:space="preserve">. </w:t>
      </w:r>
      <w:r w:rsidR="007668B3" w:rsidRPr="00252AC4">
        <w:t xml:space="preserve">In Eurasia, </w:t>
      </w:r>
      <w:r w:rsidRPr="00252AC4">
        <w:t xml:space="preserve">only </w:t>
      </w:r>
      <w:r w:rsidR="007668B3" w:rsidRPr="00252AC4">
        <w:t xml:space="preserve">40% </w:t>
      </w:r>
      <w:r w:rsidR="00D07C6D" w:rsidRPr="00252AC4">
        <w:t xml:space="preserve">of </w:t>
      </w:r>
      <w:r w:rsidRPr="00252AC4">
        <w:t xml:space="preserve">IPAs </w:t>
      </w:r>
      <w:r w:rsidR="007668B3" w:rsidRPr="00252AC4">
        <w:t>rely on</w:t>
      </w:r>
      <w:r w:rsidRPr="00252AC4">
        <w:t xml:space="preserve"> a CRM system to track and monitor their activities. </w:t>
      </w:r>
      <w:r w:rsidR="00EB59CC" w:rsidRPr="00252AC4">
        <w:t xml:space="preserve">By contrast, </w:t>
      </w:r>
      <w:r w:rsidRPr="00252AC4">
        <w:t>91%</w:t>
      </w:r>
      <w:r w:rsidR="00EB59CC" w:rsidRPr="00252AC4">
        <w:t xml:space="preserve"> of IPAs </w:t>
      </w:r>
      <w:r w:rsidRPr="00252AC4">
        <w:t>in the OECD</w:t>
      </w:r>
      <w:r w:rsidR="00EB59CC" w:rsidRPr="00252AC4">
        <w:t xml:space="preserve"> do so</w:t>
      </w:r>
      <w:r w:rsidRPr="00252AC4">
        <w:t>,</w:t>
      </w:r>
      <w:r w:rsidR="00EB59CC" w:rsidRPr="00252AC4">
        <w:t xml:space="preserve"> as do</w:t>
      </w:r>
      <w:r w:rsidRPr="00252AC4">
        <w:t xml:space="preserve"> 80% in the MENA region and 63% in LAC. </w:t>
      </w:r>
      <w:r w:rsidR="00EC0A8B" w:rsidRPr="00252AC4">
        <w:t xml:space="preserve">Data shows that </w:t>
      </w:r>
      <w:r w:rsidRPr="00252AC4">
        <w:t>CRM system</w:t>
      </w:r>
      <w:r w:rsidR="007668B3" w:rsidRPr="00252AC4">
        <w:t>s usage</w:t>
      </w:r>
      <w:r w:rsidRPr="00252AC4">
        <w:t xml:space="preserve"> </w:t>
      </w:r>
      <w:r w:rsidR="00EC0A8B" w:rsidRPr="00252AC4">
        <w:t>is correlated with</w:t>
      </w:r>
      <w:r w:rsidRPr="00252AC4">
        <w:t xml:space="preserve"> </w:t>
      </w:r>
      <w:r w:rsidR="007668B3" w:rsidRPr="00252AC4">
        <w:t>budget size</w:t>
      </w:r>
      <w:r w:rsidRPr="00252AC4">
        <w:t xml:space="preserve"> </w:t>
      </w:r>
      <w:r w:rsidR="00C63CCB" w:rsidRPr="00252AC4">
        <w:t>(</w:t>
      </w:r>
      <w:r w:rsidR="00867CDF" w:rsidRPr="00252AC4">
        <w:t>Figure 3.10</w:t>
      </w:r>
      <w:r w:rsidR="00C63CCB" w:rsidRPr="00252AC4">
        <w:t>)</w:t>
      </w:r>
      <w:r w:rsidRPr="00252AC4">
        <w:t xml:space="preserve">. CRM implementation </w:t>
      </w:r>
      <w:r w:rsidR="007668B3" w:rsidRPr="00252AC4">
        <w:t>is indeed an investment</w:t>
      </w:r>
      <w:r w:rsidRPr="00252AC4">
        <w:t xml:space="preserve">, as </w:t>
      </w:r>
      <w:r w:rsidR="007668B3" w:rsidRPr="00252AC4">
        <w:t>it not only requires purchasing</w:t>
      </w:r>
      <w:r w:rsidRPr="00252AC4">
        <w:t xml:space="preserve"> software licence</w:t>
      </w:r>
      <w:r w:rsidR="007668B3" w:rsidRPr="00252AC4">
        <w:t>s</w:t>
      </w:r>
      <w:r w:rsidRPr="00252AC4">
        <w:t xml:space="preserve">, </w:t>
      </w:r>
      <w:r w:rsidR="007668B3" w:rsidRPr="00252AC4">
        <w:t>but also transform</w:t>
      </w:r>
      <w:r w:rsidR="00D3389B" w:rsidRPr="00252AC4">
        <w:t>ing</w:t>
      </w:r>
      <w:r w:rsidR="007668B3" w:rsidRPr="00252AC4">
        <w:t xml:space="preserve"> existing processes and train</w:t>
      </w:r>
      <w:r w:rsidR="00D3389B" w:rsidRPr="00252AC4">
        <w:t>ing</w:t>
      </w:r>
      <w:r w:rsidR="007668B3" w:rsidRPr="00252AC4">
        <w:t xml:space="preserve"> staff</w:t>
      </w:r>
      <w:r w:rsidRPr="00252AC4">
        <w:t xml:space="preserve">. </w:t>
      </w:r>
      <w:r w:rsidR="007668B3" w:rsidRPr="00252AC4">
        <w:t xml:space="preserve">It is nevertheless worth </w:t>
      </w:r>
      <w:r w:rsidR="002D5A4C" w:rsidRPr="00252AC4">
        <w:t>weighing</w:t>
      </w:r>
      <w:r w:rsidR="007668B3" w:rsidRPr="00252AC4">
        <w:t xml:space="preserve"> </w:t>
      </w:r>
      <w:r w:rsidR="002D5A4C" w:rsidRPr="00252AC4">
        <w:t>its</w:t>
      </w:r>
      <w:r w:rsidR="007668B3" w:rsidRPr="00252AC4">
        <w:t xml:space="preserve"> </w:t>
      </w:r>
      <w:r w:rsidR="00D3389B" w:rsidRPr="00252AC4">
        <w:t>costs and benefits</w:t>
      </w:r>
      <w:r w:rsidR="004F3A73" w:rsidRPr="00252AC4">
        <w:t xml:space="preserve">, considering the potential gains in data reliability, time, and overall </w:t>
      </w:r>
      <w:r w:rsidR="00375811" w:rsidRPr="00252AC4">
        <w:t>efficiency</w:t>
      </w:r>
      <w:r w:rsidR="004F3A73" w:rsidRPr="00252AC4">
        <w:t>.</w:t>
      </w:r>
    </w:p>
    <w:p w14:paraId="4C97DA1D" w14:textId="45945C77" w:rsidR="00FC6B02" w:rsidRPr="00252AC4" w:rsidRDefault="00FC6B02" w:rsidP="0051394F">
      <w:pPr>
        <w:pStyle w:val="Caption"/>
      </w:pPr>
      <w:bookmarkStart w:id="423" w:name="_Toc34647276"/>
      <w:bookmarkStart w:id="424" w:name="_Ref30161690"/>
      <w:bookmarkStart w:id="425" w:name="_Toc31617762"/>
      <w:bookmarkStart w:id="426" w:name="_Toc31641362"/>
      <w:bookmarkStart w:id="427" w:name="_Toc31650362"/>
      <w:bookmarkStart w:id="428" w:name="_Toc32317066"/>
      <w:bookmarkStart w:id="429" w:name="_Toc32324725"/>
      <w:r w:rsidRPr="00252AC4">
        <w:lastRenderedPageBreak/>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10</w:t>
      </w:r>
      <w:r w:rsidRPr="00252AC4">
        <w:rPr>
          <w:noProof/>
        </w:rPr>
        <w:fldChar w:fldCharType="end"/>
      </w:r>
      <w:r w:rsidRPr="00252AC4">
        <w:t>. Existence of a CRM system and IPAs’ promotion budget</w:t>
      </w:r>
      <w:bookmarkEnd w:id="423"/>
    </w:p>
    <w:p w14:paraId="5959FBD2" w14:textId="1CAE276F" w:rsidR="00FC6B02" w:rsidRPr="00252AC4" w:rsidRDefault="00FC6B02" w:rsidP="00FC6B02">
      <w:pPr>
        <w:pStyle w:val="Figure"/>
        <w:rPr>
          <w:noProof/>
          <w:lang w:eastAsia="en-GB"/>
        </w:rPr>
      </w:pPr>
      <w:r w:rsidRPr="00252AC4">
        <w:rPr>
          <w:noProof/>
          <w:lang w:eastAsia="en-GB"/>
        </w:rPr>
        <w:drawing>
          <wp:inline distT="0" distB="0" distL="0" distR="0" wp14:anchorId="1079B628" wp14:editId="1A08231E">
            <wp:extent cx="4817678" cy="2381021"/>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5133" cy="2384706"/>
                    </a:xfrm>
                    <a:prstGeom prst="rect">
                      <a:avLst/>
                    </a:prstGeom>
                    <a:noFill/>
                    <a:ln>
                      <a:noFill/>
                    </a:ln>
                  </pic:spPr>
                </pic:pic>
              </a:graphicData>
            </a:graphic>
          </wp:inline>
        </w:drawing>
      </w:r>
    </w:p>
    <w:p w14:paraId="3EEE1C73" w14:textId="35760196" w:rsidR="00FC6B02" w:rsidRPr="00252AC4" w:rsidRDefault="00FC6B02" w:rsidP="0051394F">
      <w:pPr>
        <w:pStyle w:val="Sourcenotes"/>
      </w:pPr>
      <w:r w:rsidRPr="00252AC4">
        <w:rPr>
          <w:i/>
        </w:rPr>
        <w:t>Note</w:t>
      </w:r>
      <w:r w:rsidRPr="00252AC4">
        <w:t>: The graph illustrates kernel density estimates reflecting the distribution of investment promotion budgets of agencies with and without CRM systems.</w:t>
      </w:r>
    </w:p>
    <w:p w14:paraId="4FC63328" w14:textId="2A3F0829" w:rsidR="00FC6B02" w:rsidRPr="00252AC4" w:rsidRDefault="00FC6B02" w:rsidP="0051394F">
      <w:pPr>
        <w:pStyle w:val="Sourcenotes"/>
      </w:pPr>
      <w:r w:rsidRPr="00252AC4">
        <w:rPr>
          <w:i/>
        </w:rPr>
        <w:t>Source</w:t>
      </w:r>
      <w:r w:rsidRPr="00252AC4">
        <w:t>: OECD-IDB Survey of Inves</w:t>
      </w:r>
      <w:r w:rsidR="00CC5B2F" w:rsidRPr="00252AC4">
        <w:t>tment Promotion Agencies (2020)</w:t>
      </w:r>
    </w:p>
    <w:bookmarkEnd w:id="424"/>
    <w:bookmarkEnd w:id="425"/>
    <w:bookmarkEnd w:id="426"/>
    <w:bookmarkEnd w:id="427"/>
    <w:bookmarkEnd w:id="428"/>
    <w:bookmarkEnd w:id="429"/>
    <w:p w14:paraId="03182FF6" w14:textId="074064A7" w:rsidR="0061378A" w:rsidRPr="00252AC4" w:rsidRDefault="002D5A4C" w:rsidP="0061378A">
      <w:pPr>
        <w:pStyle w:val="Para0"/>
      </w:pPr>
      <w:r w:rsidRPr="00252AC4">
        <w:t>Eurasia IPAs equipped with CRM systems could consider expanding their usage</w:t>
      </w:r>
      <w:r w:rsidR="004B7461" w:rsidRPr="00252AC4">
        <w:t xml:space="preserve"> as they gain experience with their systems</w:t>
      </w:r>
      <w:r w:rsidRPr="00252AC4">
        <w:t xml:space="preserve">. </w:t>
      </w:r>
      <w:r w:rsidR="0065770E" w:rsidRPr="00252AC4">
        <w:t xml:space="preserve">The </w:t>
      </w:r>
      <w:r w:rsidR="0031514D" w:rsidRPr="00252AC4">
        <w:t>results of the OECD-IDB survey suggest</w:t>
      </w:r>
      <w:r w:rsidR="0065770E" w:rsidRPr="00252AC4">
        <w:t xml:space="preserve"> that </w:t>
      </w:r>
      <w:r w:rsidRPr="00252AC4">
        <w:t>they tend to</w:t>
      </w:r>
      <w:r w:rsidR="0065770E" w:rsidRPr="00252AC4">
        <w:t xml:space="preserve"> use </w:t>
      </w:r>
      <w:r w:rsidRPr="00252AC4">
        <w:t>them</w:t>
      </w:r>
      <w:r w:rsidR="0065770E" w:rsidRPr="00252AC4">
        <w:t xml:space="preserve"> less than IPAs from other regions</w:t>
      </w:r>
      <w:r w:rsidR="004B7461" w:rsidRPr="00252AC4">
        <w:t>, although this</w:t>
      </w:r>
      <w:r w:rsidR="007F4E84" w:rsidRPr="00252AC4">
        <w:t xml:space="preserve"> can be partly due to recent CR</w:t>
      </w:r>
      <w:r w:rsidR="004B7461" w:rsidRPr="00252AC4">
        <w:t>M software acquisition</w:t>
      </w:r>
      <w:r w:rsidR="007F4E84" w:rsidRPr="00252AC4">
        <w:t xml:space="preserve"> (</w:t>
      </w:r>
      <w:r w:rsidR="00D32D4A" w:rsidRPr="00252AC4">
        <w:fldChar w:fldCharType="begin"/>
      </w:r>
      <w:r w:rsidR="00D32D4A" w:rsidRPr="00252AC4">
        <w:instrText xml:space="preserve"> REF _Ref31625019 \h </w:instrText>
      </w:r>
      <w:r w:rsidR="00D32D4A" w:rsidRPr="00252AC4">
        <w:fldChar w:fldCharType="separate"/>
      </w:r>
      <w:r w:rsidR="008914FE" w:rsidRPr="00252AC4">
        <w:t xml:space="preserve">Table </w:t>
      </w:r>
      <w:r w:rsidR="008914FE">
        <w:rPr>
          <w:noProof/>
        </w:rPr>
        <w:t>3</w:t>
      </w:r>
      <w:r w:rsidR="008914FE" w:rsidRPr="00252AC4">
        <w:t>.</w:t>
      </w:r>
      <w:r w:rsidR="008914FE">
        <w:rPr>
          <w:noProof/>
        </w:rPr>
        <w:t>1</w:t>
      </w:r>
      <w:r w:rsidR="00D32D4A" w:rsidRPr="00252AC4">
        <w:fldChar w:fldCharType="end"/>
      </w:r>
      <w:r w:rsidR="007F4E84" w:rsidRPr="00252AC4">
        <w:t>)</w:t>
      </w:r>
      <w:r w:rsidR="0065770E" w:rsidRPr="00252AC4">
        <w:t xml:space="preserve">. </w:t>
      </w:r>
      <w:r w:rsidR="007F666A" w:rsidRPr="00252AC4">
        <w:t>Tajikistan</w:t>
      </w:r>
      <w:r w:rsidR="0031514D" w:rsidRPr="00252AC4">
        <w:t>’s</w:t>
      </w:r>
      <w:r w:rsidR="0065770E" w:rsidRPr="00252AC4">
        <w:t xml:space="preserve"> CRM </w:t>
      </w:r>
      <w:r w:rsidR="0031514D" w:rsidRPr="00252AC4">
        <w:t xml:space="preserve">is the only system covering </w:t>
      </w:r>
      <w:r w:rsidR="0065770E" w:rsidRPr="00252AC4">
        <w:t xml:space="preserve">all its organisational units, whereas half of </w:t>
      </w:r>
      <w:r w:rsidR="0031514D" w:rsidRPr="00252AC4">
        <w:t>OECD</w:t>
      </w:r>
      <w:r w:rsidR="0065770E" w:rsidRPr="00252AC4">
        <w:t xml:space="preserve"> </w:t>
      </w:r>
      <w:r w:rsidR="0031514D" w:rsidRPr="00252AC4">
        <w:t>IPAs</w:t>
      </w:r>
      <w:r w:rsidRPr="00252AC4">
        <w:t>’</w:t>
      </w:r>
      <w:r w:rsidR="0065770E" w:rsidRPr="00252AC4">
        <w:t xml:space="preserve"> CRM </w:t>
      </w:r>
      <w:r w:rsidR="0031514D" w:rsidRPr="00252AC4">
        <w:t>tracking have a full coverage</w:t>
      </w:r>
      <w:r w:rsidR="0065770E" w:rsidRPr="00252AC4">
        <w:t xml:space="preserve">. </w:t>
      </w:r>
      <w:r w:rsidR="0031514D" w:rsidRPr="00252AC4">
        <w:t xml:space="preserve">At </w:t>
      </w:r>
      <w:r w:rsidR="0065770E" w:rsidRPr="00252AC4">
        <w:t>Kazakh Invest</w:t>
      </w:r>
      <w:r w:rsidR="0031514D" w:rsidRPr="00252AC4">
        <w:t>,</w:t>
      </w:r>
      <w:r w:rsidR="0065770E" w:rsidRPr="00252AC4">
        <w:t xml:space="preserve"> </w:t>
      </w:r>
      <w:r w:rsidR="0031514D" w:rsidRPr="00252AC4">
        <w:t>the</w:t>
      </w:r>
      <w:r w:rsidR="0065770E" w:rsidRPr="00252AC4">
        <w:t xml:space="preserve"> CRM covers some units of the agency, notably the investment generation and investment facilitation departments, which are the two core functions </w:t>
      </w:r>
      <w:r w:rsidR="00120BCB" w:rsidRPr="00252AC4">
        <w:t>in which</w:t>
      </w:r>
      <w:r w:rsidR="0065770E" w:rsidRPr="00252AC4">
        <w:t xml:space="preserve"> OECD IPAs</w:t>
      </w:r>
      <w:r w:rsidR="00120BCB" w:rsidRPr="00252AC4">
        <w:t xml:space="preserve"> track most activities</w:t>
      </w:r>
      <w:sdt>
        <w:sdtPr>
          <w:id w:val="-1479445887"/>
          <w:citation/>
        </w:sdtPr>
        <w:sdtEndPr/>
        <w:sdtContent>
          <w:r w:rsidR="00120BCB" w:rsidRPr="00252AC4">
            <w:fldChar w:fldCharType="begin"/>
          </w:r>
          <w:r w:rsidR="00120BCB" w:rsidRPr="00252AC4">
            <w:instrText xml:space="preserve"> CITATION OEC18 \l 1036 </w:instrText>
          </w:r>
          <w:r w:rsidR="00120BCB" w:rsidRPr="00252AC4">
            <w:fldChar w:fldCharType="separate"/>
          </w:r>
          <w:r w:rsidR="00E259C6" w:rsidRPr="00252AC4">
            <w:rPr>
              <w:noProof/>
            </w:rPr>
            <w:t xml:space="preserve"> (OECD, 2018</w:t>
          </w:r>
          <w:r w:rsidR="00E259C6" w:rsidRPr="00252AC4">
            <w:rPr>
              <w:noProof/>
              <w:vertAlign w:val="subscript"/>
            </w:rPr>
            <w:t>[3]</w:t>
          </w:r>
          <w:r w:rsidR="00E259C6" w:rsidRPr="00252AC4">
            <w:rPr>
              <w:noProof/>
            </w:rPr>
            <w:t>)</w:t>
          </w:r>
          <w:r w:rsidR="00120BCB" w:rsidRPr="00252AC4">
            <w:fldChar w:fldCharType="end"/>
          </w:r>
        </w:sdtContent>
      </w:sdt>
      <w:r w:rsidR="0065770E" w:rsidRPr="00252AC4">
        <w:t>.</w:t>
      </w:r>
    </w:p>
    <w:p w14:paraId="4B500C36" w14:textId="3EF290A0" w:rsidR="0061378A" w:rsidRPr="00252AC4" w:rsidRDefault="0061378A" w:rsidP="0061378A">
      <w:pPr>
        <w:pStyle w:val="Caption"/>
      </w:pPr>
      <w:bookmarkStart w:id="430" w:name="_Ref31625019"/>
      <w:bookmarkStart w:id="431" w:name="_Toc31641325"/>
      <w:bookmarkStart w:id="432" w:name="_Toc31650325"/>
      <w:bookmarkStart w:id="433" w:name="_Toc32317030"/>
      <w:bookmarkStart w:id="434" w:name="_Toc34647240"/>
      <w:bookmarkStart w:id="435" w:name="_Toc32324689"/>
      <w:r w:rsidRPr="00252AC4">
        <w:t xml:space="preserve">Table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1</w:t>
      </w:r>
      <w:r w:rsidRPr="00252AC4">
        <w:rPr>
          <w:noProof/>
        </w:rPr>
        <w:fldChar w:fldCharType="end"/>
      </w:r>
      <w:bookmarkEnd w:id="430"/>
      <w:r w:rsidRPr="00252AC4">
        <w:t>. Overview of Eurasia IPAs’ CRM systems</w:t>
      </w:r>
      <w:bookmarkEnd w:id="431"/>
      <w:bookmarkEnd w:id="432"/>
      <w:bookmarkEnd w:id="433"/>
      <w:bookmarkEnd w:id="434"/>
    </w:p>
    <w:tbl>
      <w:tblPr>
        <w:tblW w:w="7938" w:type="dxa"/>
        <w:jc w:val="center"/>
        <w:tblBorders>
          <w:top w:val="single" w:sz="12" w:space="0" w:color="4F81BD"/>
          <w:bottom w:val="single" w:sz="12" w:space="0" w:color="000000"/>
        </w:tblBorders>
        <w:tblCellMar>
          <w:left w:w="0" w:type="dxa"/>
          <w:right w:w="0" w:type="dxa"/>
        </w:tblCellMar>
        <w:tblLook w:val="04A0" w:firstRow="1" w:lastRow="0" w:firstColumn="1" w:lastColumn="0" w:noHBand="0" w:noVBand="1"/>
      </w:tblPr>
      <w:tblGrid>
        <w:gridCol w:w="1955"/>
        <w:gridCol w:w="1495"/>
        <w:gridCol w:w="1496"/>
        <w:gridCol w:w="1496"/>
        <w:gridCol w:w="1496"/>
      </w:tblGrid>
      <w:tr w:rsidR="0061378A" w:rsidRPr="00252AC4" w14:paraId="667F888A" w14:textId="77777777" w:rsidTr="0061378A">
        <w:trPr>
          <w:jc w:val="center"/>
        </w:trPr>
        <w:tc>
          <w:tcPr>
            <w:tcW w:w="0" w:type="auto"/>
            <w:tcBorders>
              <w:bottom w:val="single" w:sz="8" w:space="0" w:color="000000"/>
            </w:tcBorders>
            <w:shd w:val="clear" w:color="auto" w:fill="FFFFFF"/>
            <w:tcMar>
              <w:top w:w="0" w:type="dxa"/>
              <w:left w:w="108" w:type="dxa"/>
              <w:bottom w:w="0" w:type="dxa"/>
              <w:right w:w="108" w:type="dxa"/>
            </w:tcMar>
            <w:vAlign w:val="center"/>
            <w:hideMark/>
          </w:tcPr>
          <w:bookmarkEnd w:id="435"/>
          <w:p w14:paraId="54137026" w14:textId="77777777" w:rsidR="0061378A" w:rsidRPr="00252AC4" w:rsidRDefault="0061378A">
            <w:pPr>
              <w:pStyle w:val="TableColumn"/>
            </w:pPr>
            <w:r w:rsidRPr="00252AC4">
              <w:t> </w:t>
            </w:r>
          </w:p>
        </w:tc>
        <w:tc>
          <w:tcPr>
            <w:tcW w:w="1495" w:type="dxa"/>
            <w:tcBorders>
              <w:bottom w:val="single" w:sz="8" w:space="0" w:color="000000"/>
            </w:tcBorders>
            <w:shd w:val="clear" w:color="auto" w:fill="FFFFFF"/>
            <w:tcMar>
              <w:top w:w="0" w:type="dxa"/>
              <w:left w:w="108" w:type="dxa"/>
              <w:bottom w:w="0" w:type="dxa"/>
              <w:right w:w="108" w:type="dxa"/>
            </w:tcMar>
            <w:vAlign w:val="center"/>
            <w:hideMark/>
          </w:tcPr>
          <w:p w14:paraId="08C24670" w14:textId="77777777" w:rsidR="0061378A" w:rsidRPr="00252AC4" w:rsidRDefault="0061378A">
            <w:pPr>
              <w:pStyle w:val="TableColumn"/>
              <w:rPr>
                <w:b/>
              </w:rPr>
            </w:pPr>
            <w:r w:rsidRPr="00252AC4">
              <w:rPr>
                <w:rFonts w:cs="Calibri"/>
                <w:b/>
              </w:rPr>
              <w:t>Azerbaijan</w:t>
            </w:r>
          </w:p>
        </w:tc>
        <w:tc>
          <w:tcPr>
            <w:tcW w:w="1496" w:type="dxa"/>
            <w:tcBorders>
              <w:bottom w:val="single" w:sz="8" w:space="0" w:color="000000"/>
            </w:tcBorders>
            <w:shd w:val="clear" w:color="auto" w:fill="FFFFFF"/>
            <w:tcMar>
              <w:top w:w="0" w:type="dxa"/>
              <w:left w:w="108" w:type="dxa"/>
              <w:bottom w:w="0" w:type="dxa"/>
              <w:right w:w="108" w:type="dxa"/>
            </w:tcMar>
            <w:vAlign w:val="center"/>
            <w:hideMark/>
          </w:tcPr>
          <w:p w14:paraId="2014E7FE" w14:textId="77777777" w:rsidR="0061378A" w:rsidRPr="00252AC4" w:rsidRDefault="0061378A">
            <w:pPr>
              <w:pStyle w:val="TableColumn"/>
              <w:rPr>
                <w:b/>
              </w:rPr>
            </w:pPr>
            <w:r w:rsidRPr="00252AC4">
              <w:rPr>
                <w:rFonts w:cs="Calibri"/>
                <w:b/>
              </w:rPr>
              <w:t>Kazakhstan</w:t>
            </w:r>
          </w:p>
        </w:tc>
        <w:tc>
          <w:tcPr>
            <w:tcW w:w="1496" w:type="dxa"/>
            <w:tcBorders>
              <w:bottom w:val="single" w:sz="8" w:space="0" w:color="000000"/>
            </w:tcBorders>
            <w:shd w:val="clear" w:color="auto" w:fill="FFFFFF"/>
            <w:tcMar>
              <w:top w:w="0" w:type="dxa"/>
              <w:left w:w="108" w:type="dxa"/>
              <w:bottom w:w="0" w:type="dxa"/>
              <w:right w:w="108" w:type="dxa"/>
            </w:tcMar>
            <w:vAlign w:val="center"/>
            <w:hideMark/>
          </w:tcPr>
          <w:p w14:paraId="5D14C2AE" w14:textId="77777777" w:rsidR="0061378A" w:rsidRPr="00252AC4" w:rsidRDefault="0061378A">
            <w:pPr>
              <w:pStyle w:val="TableColumn"/>
              <w:rPr>
                <w:b/>
              </w:rPr>
            </w:pPr>
            <w:r w:rsidRPr="00252AC4">
              <w:rPr>
                <w:rFonts w:cs="Calibri"/>
                <w:b/>
              </w:rPr>
              <w:t>Mongolia</w:t>
            </w:r>
          </w:p>
        </w:tc>
        <w:tc>
          <w:tcPr>
            <w:tcW w:w="1496" w:type="dxa"/>
            <w:tcBorders>
              <w:bottom w:val="single" w:sz="8" w:space="0" w:color="000000"/>
            </w:tcBorders>
            <w:shd w:val="clear" w:color="auto" w:fill="FFFFFF"/>
            <w:tcMar>
              <w:top w:w="0" w:type="dxa"/>
              <w:left w:w="108" w:type="dxa"/>
              <w:bottom w:w="0" w:type="dxa"/>
              <w:right w:w="108" w:type="dxa"/>
            </w:tcMar>
            <w:vAlign w:val="center"/>
            <w:hideMark/>
          </w:tcPr>
          <w:p w14:paraId="007D6B06" w14:textId="77777777" w:rsidR="0061378A" w:rsidRPr="00252AC4" w:rsidRDefault="0061378A">
            <w:pPr>
              <w:pStyle w:val="TableColumn"/>
              <w:rPr>
                <w:b/>
              </w:rPr>
            </w:pPr>
            <w:r w:rsidRPr="00252AC4">
              <w:rPr>
                <w:rFonts w:cs="Calibri"/>
                <w:b/>
              </w:rPr>
              <w:t>Tajikistan</w:t>
            </w:r>
          </w:p>
        </w:tc>
      </w:tr>
      <w:tr w:rsidR="0061378A" w:rsidRPr="00252AC4" w14:paraId="32E628DB" w14:textId="77777777" w:rsidTr="0061378A">
        <w:trPr>
          <w:jc w:val="center"/>
        </w:trPr>
        <w:tc>
          <w:tcPr>
            <w:tcW w:w="0" w:type="auto"/>
            <w:shd w:val="clear" w:color="auto" w:fill="EDF0F7"/>
            <w:tcMar>
              <w:top w:w="0" w:type="dxa"/>
              <w:left w:w="108" w:type="dxa"/>
              <w:bottom w:w="0" w:type="dxa"/>
              <w:right w:w="108" w:type="dxa"/>
            </w:tcMar>
            <w:vAlign w:val="center"/>
            <w:hideMark/>
          </w:tcPr>
          <w:p w14:paraId="45A5FB4A" w14:textId="77777777" w:rsidR="0061378A" w:rsidRPr="00252AC4" w:rsidRDefault="0061378A">
            <w:pPr>
              <w:pStyle w:val="TableRow"/>
            </w:pPr>
            <w:r w:rsidRPr="00252AC4">
              <w:rPr>
                <w:rFonts w:cs="Calibri"/>
                <w:szCs w:val="16"/>
              </w:rPr>
              <w:t>Developed in (year)</w:t>
            </w:r>
          </w:p>
        </w:tc>
        <w:tc>
          <w:tcPr>
            <w:tcW w:w="1495" w:type="dxa"/>
            <w:shd w:val="clear" w:color="auto" w:fill="EDF0F7"/>
            <w:tcMar>
              <w:top w:w="0" w:type="dxa"/>
              <w:left w:w="108" w:type="dxa"/>
              <w:bottom w:w="0" w:type="dxa"/>
              <w:right w:w="108" w:type="dxa"/>
            </w:tcMar>
            <w:vAlign w:val="center"/>
            <w:hideMark/>
          </w:tcPr>
          <w:p w14:paraId="0BA60D11" w14:textId="77777777" w:rsidR="0061378A" w:rsidRPr="00252AC4" w:rsidRDefault="0061378A">
            <w:pPr>
              <w:pStyle w:val="TableCell"/>
              <w:jc w:val="center"/>
            </w:pPr>
            <w:r w:rsidRPr="00252AC4">
              <w:rPr>
                <w:rFonts w:cs="Calibri"/>
                <w:szCs w:val="16"/>
              </w:rPr>
              <w:t>2016</w:t>
            </w:r>
          </w:p>
        </w:tc>
        <w:tc>
          <w:tcPr>
            <w:tcW w:w="1496" w:type="dxa"/>
            <w:shd w:val="clear" w:color="auto" w:fill="EDF0F7"/>
            <w:tcMar>
              <w:top w:w="0" w:type="dxa"/>
              <w:left w:w="108" w:type="dxa"/>
              <w:bottom w:w="0" w:type="dxa"/>
              <w:right w:w="108" w:type="dxa"/>
            </w:tcMar>
            <w:vAlign w:val="center"/>
            <w:hideMark/>
          </w:tcPr>
          <w:p w14:paraId="7C500E14" w14:textId="77777777" w:rsidR="0061378A" w:rsidRPr="00252AC4" w:rsidRDefault="0061378A">
            <w:pPr>
              <w:pStyle w:val="TableCell"/>
              <w:jc w:val="center"/>
            </w:pPr>
            <w:r w:rsidRPr="00252AC4">
              <w:rPr>
                <w:rFonts w:cs="Calibri"/>
                <w:szCs w:val="16"/>
              </w:rPr>
              <w:t>2018</w:t>
            </w:r>
          </w:p>
        </w:tc>
        <w:tc>
          <w:tcPr>
            <w:tcW w:w="1496" w:type="dxa"/>
            <w:shd w:val="clear" w:color="auto" w:fill="EDF0F7"/>
            <w:tcMar>
              <w:top w:w="0" w:type="dxa"/>
              <w:left w:w="108" w:type="dxa"/>
              <w:bottom w:w="0" w:type="dxa"/>
              <w:right w:w="108" w:type="dxa"/>
            </w:tcMar>
            <w:vAlign w:val="center"/>
            <w:hideMark/>
          </w:tcPr>
          <w:p w14:paraId="26390B5B" w14:textId="77777777" w:rsidR="0061378A" w:rsidRPr="00252AC4" w:rsidRDefault="0061378A">
            <w:pPr>
              <w:pStyle w:val="TableCell"/>
              <w:jc w:val="center"/>
            </w:pPr>
            <w:r w:rsidRPr="00252AC4">
              <w:rPr>
                <w:rFonts w:cs="Calibri"/>
                <w:szCs w:val="16"/>
              </w:rPr>
              <w:t>2019</w:t>
            </w:r>
          </w:p>
        </w:tc>
        <w:tc>
          <w:tcPr>
            <w:tcW w:w="1496" w:type="dxa"/>
            <w:shd w:val="clear" w:color="auto" w:fill="EDF0F7"/>
            <w:tcMar>
              <w:top w:w="0" w:type="dxa"/>
              <w:left w:w="108" w:type="dxa"/>
              <w:bottom w:w="0" w:type="dxa"/>
              <w:right w:w="108" w:type="dxa"/>
            </w:tcMar>
            <w:vAlign w:val="center"/>
            <w:hideMark/>
          </w:tcPr>
          <w:p w14:paraId="75755FB9" w14:textId="77777777" w:rsidR="0061378A" w:rsidRPr="00252AC4" w:rsidRDefault="0061378A">
            <w:pPr>
              <w:pStyle w:val="TableCell"/>
              <w:jc w:val="center"/>
            </w:pPr>
            <w:r w:rsidRPr="00252AC4">
              <w:rPr>
                <w:rFonts w:cs="Calibri"/>
                <w:szCs w:val="16"/>
              </w:rPr>
              <w:t>2017</w:t>
            </w:r>
          </w:p>
        </w:tc>
      </w:tr>
      <w:tr w:rsidR="0061378A" w:rsidRPr="00252AC4" w14:paraId="46DC45E4" w14:textId="77777777" w:rsidTr="0061378A">
        <w:trPr>
          <w:jc w:val="center"/>
        </w:trPr>
        <w:tc>
          <w:tcPr>
            <w:tcW w:w="0" w:type="auto"/>
            <w:shd w:val="clear" w:color="auto" w:fill="FFFFFF"/>
            <w:tcMar>
              <w:top w:w="0" w:type="dxa"/>
              <w:left w:w="108" w:type="dxa"/>
              <w:bottom w:w="0" w:type="dxa"/>
              <w:right w:w="108" w:type="dxa"/>
            </w:tcMar>
            <w:vAlign w:val="center"/>
            <w:hideMark/>
          </w:tcPr>
          <w:p w14:paraId="42BA1BB8" w14:textId="77777777" w:rsidR="0061378A" w:rsidRPr="00252AC4" w:rsidRDefault="0061378A">
            <w:pPr>
              <w:pStyle w:val="TableRow"/>
            </w:pPr>
            <w:r w:rsidRPr="00252AC4">
              <w:rPr>
                <w:rFonts w:cs="Calibri"/>
                <w:szCs w:val="16"/>
              </w:rPr>
              <w:t>Covered units</w:t>
            </w:r>
          </w:p>
        </w:tc>
        <w:tc>
          <w:tcPr>
            <w:tcW w:w="1495" w:type="dxa"/>
            <w:shd w:val="clear" w:color="auto" w:fill="FFFFFF"/>
            <w:tcMar>
              <w:top w:w="0" w:type="dxa"/>
              <w:left w:w="108" w:type="dxa"/>
              <w:bottom w:w="0" w:type="dxa"/>
              <w:right w:w="108" w:type="dxa"/>
            </w:tcMar>
            <w:vAlign w:val="center"/>
            <w:hideMark/>
          </w:tcPr>
          <w:p w14:paraId="78C64A97" w14:textId="77777777" w:rsidR="0061378A" w:rsidRPr="00252AC4" w:rsidRDefault="0061378A">
            <w:pPr>
              <w:pStyle w:val="TableCell"/>
              <w:jc w:val="center"/>
            </w:pPr>
            <w:r w:rsidRPr="00252AC4">
              <w:rPr>
                <w:rFonts w:cs="Calibri"/>
                <w:szCs w:val="16"/>
              </w:rPr>
              <w:t>N/A</w:t>
            </w:r>
          </w:p>
        </w:tc>
        <w:tc>
          <w:tcPr>
            <w:tcW w:w="1496" w:type="dxa"/>
            <w:shd w:val="clear" w:color="auto" w:fill="FFFFFF"/>
            <w:tcMar>
              <w:top w:w="0" w:type="dxa"/>
              <w:left w:w="108" w:type="dxa"/>
              <w:bottom w:w="0" w:type="dxa"/>
              <w:right w:w="108" w:type="dxa"/>
            </w:tcMar>
            <w:vAlign w:val="center"/>
            <w:hideMark/>
          </w:tcPr>
          <w:p w14:paraId="6A288082" w14:textId="77777777" w:rsidR="0061378A" w:rsidRPr="00252AC4" w:rsidRDefault="0061378A">
            <w:pPr>
              <w:pStyle w:val="TableCell"/>
              <w:jc w:val="center"/>
            </w:pPr>
            <w:r w:rsidRPr="00252AC4">
              <w:rPr>
                <w:rFonts w:cs="Calibri"/>
                <w:szCs w:val="16"/>
              </w:rPr>
              <w:t>Investment Generation and Investment Facilitation</w:t>
            </w:r>
          </w:p>
        </w:tc>
        <w:tc>
          <w:tcPr>
            <w:tcW w:w="1496" w:type="dxa"/>
            <w:shd w:val="clear" w:color="auto" w:fill="FFFFFF"/>
            <w:tcMar>
              <w:top w:w="0" w:type="dxa"/>
              <w:left w:w="108" w:type="dxa"/>
              <w:bottom w:w="0" w:type="dxa"/>
              <w:right w:w="108" w:type="dxa"/>
            </w:tcMar>
            <w:vAlign w:val="center"/>
            <w:hideMark/>
          </w:tcPr>
          <w:p w14:paraId="2ED6EC98" w14:textId="77777777" w:rsidR="0061378A" w:rsidRPr="00252AC4" w:rsidRDefault="0061378A">
            <w:pPr>
              <w:pStyle w:val="TableCell"/>
              <w:jc w:val="center"/>
            </w:pPr>
            <w:r w:rsidRPr="00252AC4">
              <w:rPr>
                <w:rFonts w:cs="Calibri"/>
                <w:szCs w:val="16"/>
              </w:rPr>
              <w:t>N/A</w:t>
            </w:r>
          </w:p>
        </w:tc>
        <w:tc>
          <w:tcPr>
            <w:tcW w:w="1496" w:type="dxa"/>
            <w:shd w:val="clear" w:color="auto" w:fill="FFFFFF"/>
            <w:tcMar>
              <w:top w:w="0" w:type="dxa"/>
              <w:left w:w="108" w:type="dxa"/>
              <w:bottom w:w="0" w:type="dxa"/>
              <w:right w:w="108" w:type="dxa"/>
            </w:tcMar>
            <w:vAlign w:val="center"/>
            <w:hideMark/>
          </w:tcPr>
          <w:p w14:paraId="063F563E" w14:textId="77777777" w:rsidR="0061378A" w:rsidRPr="00252AC4" w:rsidRDefault="0061378A">
            <w:pPr>
              <w:pStyle w:val="TableCell"/>
              <w:jc w:val="center"/>
            </w:pPr>
            <w:r w:rsidRPr="00252AC4">
              <w:rPr>
                <w:rFonts w:cs="Calibri"/>
                <w:szCs w:val="16"/>
              </w:rPr>
              <w:t>All organisational units</w:t>
            </w:r>
          </w:p>
        </w:tc>
      </w:tr>
      <w:tr w:rsidR="0061378A" w:rsidRPr="00252AC4" w14:paraId="2ACAD882" w14:textId="77777777" w:rsidTr="0061378A">
        <w:trPr>
          <w:jc w:val="center"/>
        </w:trPr>
        <w:tc>
          <w:tcPr>
            <w:tcW w:w="0" w:type="auto"/>
            <w:shd w:val="clear" w:color="auto" w:fill="EDF0F7"/>
            <w:tcMar>
              <w:top w:w="0" w:type="dxa"/>
              <w:left w:w="108" w:type="dxa"/>
              <w:bottom w:w="0" w:type="dxa"/>
              <w:right w:w="108" w:type="dxa"/>
            </w:tcMar>
            <w:vAlign w:val="center"/>
            <w:hideMark/>
          </w:tcPr>
          <w:p w14:paraId="0B720C9B" w14:textId="77777777" w:rsidR="0061378A" w:rsidRPr="00252AC4" w:rsidRDefault="0061378A">
            <w:pPr>
              <w:pStyle w:val="TableRow"/>
            </w:pPr>
            <w:r w:rsidRPr="00252AC4">
              <w:rPr>
                <w:rFonts w:cs="Calibri"/>
                <w:szCs w:val="16"/>
              </w:rPr>
              <w:t>Covered activities</w:t>
            </w:r>
          </w:p>
        </w:tc>
        <w:tc>
          <w:tcPr>
            <w:tcW w:w="1495" w:type="dxa"/>
            <w:shd w:val="clear" w:color="auto" w:fill="EDF0F7"/>
            <w:tcMar>
              <w:top w:w="0" w:type="dxa"/>
              <w:left w:w="108" w:type="dxa"/>
              <w:bottom w:w="0" w:type="dxa"/>
              <w:right w:w="108" w:type="dxa"/>
            </w:tcMar>
            <w:vAlign w:val="center"/>
            <w:hideMark/>
          </w:tcPr>
          <w:p w14:paraId="315A4271" w14:textId="77777777" w:rsidR="0061378A" w:rsidRPr="00252AC4" w:rsidRDefault="0061378A">
            <w:pPr>
              <w:pStyle w:val="TableCell"/>
              <w:jc w:val="center"/>
            </w:pPr>
            <w:r w:rsidRPr="00252AC4">
              <w:rPr>
                <w:rFonts w:cs="Calibri"/>
                <w:szCs w:val="16"/>
              </w:rPr>
              <w:t>Some activities with each investor</w:t>
            </w:r>
          </w:p>
        </w:tc>
        <w:tc>
          <w:tcPr>
            <w:tcW w:w="1496" w:type="dxa"/>
            <w:shd w:val="clear" w:color="auto" w:fill="EDF0F7"/>
            <w:tcMar>
              <w:top w:w="0" w:type="dxa"/>
              <w:left w:w="108" w:type="dxa"/>
              <w:bottom w:w="0" w:type="dxa"/>
              <w:right w:w="108" w:type="dxa"/>
            </w:tcMar>
            <w:vAlign w:val="center"/>
            <w:hideMark/>
          </w:tcPr>
          <w:p w14:paraId="6EB3C25D" w14:textId="77777777" w:rsidR="0061378A" w:rsidRPr="00252AC4" w:rsidRDefault="0061378A">
            <w:pPr>
              <w:pStyle w:val="TableCell"/>
              <w:jc w:val="center"/>
            </w:pPr>
            <w:r w:rsidRPr="00252AC4">
              <w:rPr>
                <w:rFonts w:cs="Calibri"/>
                <w:szCs w:val="16"/>
              </w:rPr>
              <w:t>All activities with one investor</w:t>
            </w:r>
          </w:p>
        </w:tc>
        <w:tc>
          <w:tcPr>
            <w:tcW w:w="1496" w:type="dxa"/>
            <w:shd w:val="clear" w:color="auto" w:fill="EDF0F7"/>
            <w:tcMar>
              <w:top w:w="0" w:type="dxa"/>
              <w:left w:w="108" w:type="dxa"/>
              <w:bottom w:w="0" w:type="dxa"/>
              <w:right w:w="108" w:type="dxa"/>
            </w:tcMar>
            <w:vAlign w:val="center"/>
            <w:hideMark/>
          </w:tcPr>
          <w:p w14:paraId="01345769" w14:textId="77777777" w:rsidR="0061378A" w:rsidRPr="00252AC4" w:rsidRDefault="0061378A">
            <w:pPr>
              <w:pStyle w:val="TableCell"/>
              <w:jc w:val="center"/>
            </w:pPr>
            <w:r w:rsidRPr="00252AC4">
              <w:rPr>
                <w:rFonts w:cs="Calibri"/>
                <w:szCs w:val="16"/>
              </w:rPr>
              <w:t>Some activities with each investor</w:t>
            </w:r>
          </w:p>
        </w:tc>
        <w:tc>
          <w:tcPr>
            <w:tcW w:w="1496" w:type="dxa"/>
            <w:shd w:val="clear" w:color="auto" w:fill="EDF0F7"/>
            <w:tcMar>
              <w:top w:w="0" w:type="dxa"/>
              <w:left w:w="108" w:type="dxa"/>
              <w:bottom w:w="0" w:type="dxa"/>
              <w:right w:w="108" w:type="dxa"/>
            </w:tcMar>
            <w:vAlign w:val="center"/>
            <w:hideMark/>
          </w:tcPr>
          <w:p w14:paraId="500A00BB" w14:textId="77777777" w:rsidR="0061378A" w:rsidRPr="00252AC4" w:rsidRDefault="0061378A">
            <w:pPr>
              <w:pStyle w:val="TableCell"/>
              <w:jc w:val="center"/>
            </w:pPr>
            <w:r w:rsidRPr="00252AC4">
              <w:rPr>
                <w:rFonts w:cs="Calibri"/>
                <w:szCs w:val="16"/>
              </w:rPr>
              <w:t>Some activities with each investor</w:t>
            </w:r>
          </w:p>
        </w:tc>
      </w:tr>
      <w:tr w:rsidR="0061378A" w:rsidRPr="00252AC4" w14:paraId="5B92F049" w14:textId="77777777" w:rsidTr="0061378A">
        <w:trPr>
          <w:jc w:val="center"/>
        </w:trPr>
        <w:tc>
          <w:tcPr>
            <w:tcW w:w="0" w:type="auto"/>
            <w:shd w:val="clear" w:color="auto" w:fill="FFFFFF"/>
            <w:tcMar>
              <w:top w:w="0" w:type="dxa"/>
              <w:left w:w="108" w:type="dxa"/>
              <w:bottom w:w="0" w:type="dxa"/>
              <w:right w:w="108" w:type="dxa"/>
            </w:tcMar>
            <w:vAlign w:val="center"/>
            <w:hideMark/>
          </w:tcPr>
          <w:p w14:paraId="42E0B89C" w14:textId="77777777" w:rsidR="0061378A" w:rsidRPr="00252AC4" w:rsidRDefault="0061378A">
            <w:pPr>
              <w:pStyle w:val="TableRow"/>
            </w:pPr>
            <w:r w:rsidRPr="00252AC4">
              <w:rPr>
                <w:rFonts w:cs="Calibri"/>
                <w:szCs w:val="16"/>
              </w:rPr>
              <w:t>Allows to track investors at each stage of the investment process</w:t>
            </w:r>
          </w:p>
        </w:tc>
        <w:tc>
          <w:tcPr>
            <w:tcW w:w="1495" w:type="dxa"/>
            <w:shd w:val="clear" w:color="auto" w:fill="FFFFFF"/>
            <w:tcMar>
              <w:top w:w="0" w:type="dxa"/>
              <w:left w:w="108" w:type="dxa"/>
              <w:bottom w:w="0" w:type="dxa"/>
              <w:right w:w="108" w:type="dxa"/>
            </w:tcMar>
            <w:vAlign w:val="center"/>
            <w:hideMark/>
          </w:tcPr>
          <w:p w14:paraId="42171A27" w14:textId="77777777" w:rsidR="0061378A" w:rsidRPr="00252AC4" w:rsidRDefault="0061378A">
            <w:pPr>
              <w:pStyle w:val="TableCell"/>
              <w:jc w:val="center"/>
            </w:pPr>
            <w:r w:rsidRPr="00252AC4">
              <w:rPr>
                <w:rFonts w:cs="Calibri"/>
                <w:szCs w:val="16"/>
              </w:rPr>
              <w:t>No</w:t>
            </w:r>
          </w:p>
        </w:tc>
        <w:tc>
          <w:tcPr>
            <w:tcW w:w="1496" w:type="dxa"/>
            <w:shd w:val="clear" w:color="auto" w:fill="FFFFFF"/>
            <w:tcMar>
              <w:top w:w="0" w:type="dxa"/>
              <w:left w:w="108" w:type="dxa"/>
              <w:bottom w:w="0" w:type="dxa"/>
              <w:right w:w="108" w:type="dxa"/>
            </w:tcMar>
            <w:vAlign w:val="center"/>
            <w:hideMark/>
          </w:tcPr>
          <w:p w14:paraId="0B533013" w14:textId="77777777" w:rsidR="0061378A" w:rsidRPr="00252AC4" w:rsidRDefault="0061378A">
            <w:pPr>
              <w:pStyle w:val="TableCell"/>
              <w:jc w:val="center"/>
            </w:pPr>
            <w:r w:rsidRPr="00252AC4">
              <w:rPr>
                <w:rFonts w:cs="Calibri"/>
                <w:szCs w:val="16"/>
              </w:rPr>
              <w:t>Yes</w:t>
            </w:r>
          </w:p>
        </w:tc>
        <w:tc>
          <w:tcPr>
            <w:tcW w:w="1496" w:type="dxa"/>
            <w:shd w:val="clear" w:color="auto" w:fill="FFFFFF"/>
            <w:tcMar>
              <w:top w:w="0" w:type="dxa"/>
              <w:left w:w="108" w:type="dxa"/>
              <w:bottom w:w="0" w:type="dxa"/>
              <w:right w:w="108" w:type="dxa"/>
            </w:tcMar>
            <w:vAlign w:val="center"/>
            <w:hideMark/>
          </w:tcPr>
          <w:p w14:paraId="1167FD95" w14:textId="77777777" w:rsidR="0061378A" w:rsidRPr="00252AC4" w:rsidRDefault="0061378A">
            <w:pPr>
              <w:pStyle w:val="TableCell"/>
              <w:jc w:val="center"/>
            </w:pPr>
            <w:r w:rsidRPr="00252AC4">
              <w:rPr>
                <w:rFonts w:cs="Calibri"/>
                <w:szCs w:val="16"/>
              </w:rPr>
              <w:t>Yes</w:t>
            </w:r>
          </w:p>
        </w:tc>
        <w:tc>
          <w:tcPr>
            <w:tcW w:w="1496" w:type="dxa"/>
            <w:shd w:val="clear" w:color="auto" w:fill="FFFFFF"/>
            <w:tcMar>
              <w:top w:w="0" w:type="dxa"/>
              <w:left w:w="108" w:type="dxa"/>
              <w:bottom w:w="0" w:type="dxa"/>
              <w:right w:w="108" w:type="dxa"/>
            </w:tcMar>
            <w:vAlign w:val="center"/>
            <w:hideMark/>
          </w:tcPr>
          <w:p w14:paraId="5D77E4D7" w14:textId="77777777" w:rsidR="0061378A" w:rsidRPr="00252AC4" w:rsidRDefault="0061378A">
            <w:pPr>
              <w:pStyle w:val="TableCell"/>
              <w:jc w:val="center"/>
            </w:pPr>
            <w:r w:rsidRPr="00252AC4">
              <w:rPr>
                <w:rFonts w:cs="Calibri"/>
                <w:szCs w:val="16"/>
              </w:rPr>
              <w:t>Yes</w:t>
            </w:r>
          </w:p>
        </w:tc>
      </w:tr>
    </w:tbl>
    <w:p w14:paraId="4BD9BDD0" w14:textId="48FDD274" w:rsidR="0061378A" w:rsidRPr="00252AC4" w:rsidRDefault="0061378A" w:rsidP="006D7C57">
      <w:pPr>
        <w:pStyle w:val="Sourcenotes"/>
      </w:pPr>
      <w:r w:rsidRPr="00252AC4">
        <w:rPr>
          <w:i/>
        </w:rPr>
        <w:t>Source</w:t>
      </w:r>
      <w:r w:rsidRPr="00252AC4">
        <w:t>: OECD-IDB Survey of Investment Promotion Agencies (2020)</w:t>
      </w:r>
    </w:p>
    <w:p w14:paraId="50E67F73" w14:textId="6E804326" w:rsidR="0061378A" w:rsidRPr="00252AC4" w:rsidRDefault="0065770E" w:rsidP="00801E67">
      <w:pPr>
        <w:pStyle w:val="Para0"/>
      </w:pPr>
      <w:r w:rsidRPr="00252AC4">
        <w:t xml:space="preserve">Whereas the main application of CRM tools in OECD countries is by far the identification of each project lead (84%), in Eurasia, only two agencies (Kazakhstan and Mongolia) </w:t>
      </w:r>
      <w:r w:rsidR="00033444" w:rsidRPr="00252AC4">
        <w:t>use it for this purpose.</w:t>
      </w:r>
      <w:r w:rsidRPr="00252AC4">
        <w:t xml:space="preserve"> </w:t>
      </w:r>
      <w:r w:rsidR="00033444" w:rsidRPr="00252AC4">
        <w:t>M</w:t>
      </w:r>
      <w:r w:rsidRPr="00252AC4">
        <w:t xml:space="preserve">ost </w:t>
      </w:r>
      <w:r w:rsidR="00033444" w:rsidRPr="00252AC4">
        <w:t xml:space="preserve">Eurasia </w:t>
      </w:r>
      <w:r w:rsidRPr="00252AC4">
        <w:t xml:space="preserve">agencies use </w:t>
      </w:r>
      <w:r w:rsidR="00033444" w:rsidRPr="00252AC4">
        <w:t>their CRM</w:t>
      </w:r>
      <w:r w:rsidRPr="00252AC4">
        <w:t xml:space="preserve"> to track response times to enquiries</w:t>
      </w:r>
      <w:r w:rsidR="00801E67" w:rsidRPr="00252AC4">
        <w:t xml:space="preserve"> (</w:t>
      </w:r>
      <w:r w:rsidR="00801E67" w:rsidRPr="00252AC4">
        <w:fldChar w:fldCharType="begin"/>
      </w:r>
      <w:r w:rsidR="00801E67" w:rsidRPr="00252AC4">
        <w:instrText xml:space="preserve"> REF _Ref31624947 \h </w:instrText>
      </w:r>
      <w:r w:rsidR="00801E67" w:rsidRPr="00252AC4">
        <w:fldChar w:fldCharType="separate"/>
      </w:r>
      <w:r w:rsidR="008914FE" w:rsidRPr="00252AC4">
        <w:t xml:space="preserve">Table </w:t>
      </w:r>
      <w:r w:rsidR="008914FE">
        <w:rPr>
          <w:noProof/>
        </w:rPr>
        <w:t>3</w:t>
      </w:r>
      <w:r w:rsidR="008914FE" w:rsidRPr="00252AC4">
        <w:t>.</w:t>
      </w:r>
      <w:r w:rsidR="008914FE">
        <w:rPr>
          <w:noProof/>
        </w:rPr>
        <w:t>2</w:t>
      </w:r>
      <w:r w:rsidR="00801E67" w:rsidRPr="00252AC4">
        <w:fldChar w:fldCharType="end"/>
      </w:r>
      <w:r w:rsidR="00801E67" w:rsidRPr="00252AC4">
        <w:t>).</w:t>
      </w:r>
      <w:r w:rsidRPr="00252AC4">
        <w:t xml:space="preserve"> </w:t>
      </w:r>
      <w:r w:rsidR="00E72F4D" w:rsidRPr="00252AC4">
        <w:t xml:space="preserve">According to the survey, </w:t>
      </w:r>
      <w:r w:rsidR="007F666A" w:rsidRPr="00252AC4">
        <w:t>Tajikistan</w:t>
      </w:r>
      <w:r w:rsidR="000302B9" w:rsidRPr="00252AC4">
        <w:t>’s SCISPM</w:t>
      </w:r>
      <w:r w:rsidR="00033444" w:rsidRPr="00252AC4">
        <w:t xml:space="preserve"> is the only IPA that tracks the total cost</w:t>
      </w:r>
      <w:r w:rsidRPr="00252AC4">
        <w:t xml:space="preserve"> of each</w:t>
      </w:r>
      <w:r w:rsidR="00033444" w:rsidRPr="00252AC4">
        <w:t xml:space="preserve"> established investment project</w:t>
      </w:r>
      <w:r w:rsidR="000B6FC4" w:rsidRPr="00252AC4">
        <w:t xml:space="preserve"> whereas i</w:t>
      </w:r>
      <w:r w:rsidR="00033444" w:rsidRPr="00252AC4">
        <w:t>n</w:t>
      </w:r>
      <w:r w:rsidRPr="00252AC4">
        <w:t xml:space="preserve"> </w:t>
      </w:r>
      <w:r w:rsidR="000B6FC4" w:rsidRPr="00252AC4">
        <w:t xml:space="preserve">the </w:t>
      </w:r>
      <w:r w:rsidRPr="00252AC4">
        <w:t>MENA and LAC</w:t>
      </w:r>
      <w:r w:rsidR="000B6FC4" w:rsidRPr="00252AC4">
        <w:t xml:space="preserve"> regions</w:t>
      </w:r>
      <w:r w:rsidR="00033444" w:rsidRPr="00252AC4">
        <w:t xml:space="preserve">, </w:t>
      </w:r>
      <w:r w:rsidR="000B6FC4" w:rsidRPr="00252AC4">
        <w:t>respectively 57% and 42%</w:t>
      </w:r>
      <w:r w:rsidR="00033444" w:rsidRPr="00252AC4">
        <w:t xml:space="preserve"> of</w:t>
      </w:r>
      <w:r w:rsidRPr="00252AC4">
        <w:t xml:space="preserve"> IPAs</w:t>
      </w:r>
      <w:r w:rsidR="00033444" w:rsidRPr="00252AC4">
        <w:t xml:space="preserve"> track this indicator</w:t>
      </w:r>
      <w:r w:rsidRPr="00252AC4">
        <w:t xml:space="preserve">. </w:t>
      </w:r>
      <w:r w:rsidR="00033444" w:rsidRPr="00252AC4">
        <w:t>Azpromo</w:t>
      </w:r>
      <w:r w:rsidRPr="00252AC4">
        <w:t xml:space="preserve"> mainly </w:t>
      </w:r>
      <w:r w:rsidR="00033444" w:rsidRPr="00252AC4">
        <w:t>uses its CRM system to</w:t>
      </w:r>
      <w:r w:rsidRPr="00252AC4">
        <w:t xml:space="preserve"> </w:t>
      </w:r>
      <w:r w:rsidR="00033444" w:rsidRPr="00252AC4">
        <w:t>gather</w:t>
      </w:r>
      <w:r w:rsidRPr="00252AC4">
        <w:t xml:space="preserve"> data </w:t>
      </w:r>
      <w:r w:rsidR="00033444" w:rsidRPr="00252AC4">
        <w:t>from</w:t>
      </w:r>
      <w:r w:rsidRPr="00252AC4">
        <w:t xml:space="preserve"> national companies in order to facilitate B2B meetings </w:t>
      </w:r>
      <w:r w:rsidRPr="00252AC4">
        <w:lastRenderedPageBreak/>
        <w:t>with foreign investors. The remaining IPAs track and monitor all activities with one investor (Kazakhstan) or track several activities with each investor (Mongolia, Tajikistan).</w:t>
      </w:r>
    </w:p>
    <w:p w14:paraId="0696F14B" w14:textId="7C2C5CEE" w:rsidR="0061378A" w:rsidRPr="00252AC4" w:rsidRDefault="0061378A" w:rsidP="006D7C57">
      <w:pPr>
        <w:pStyle w:val="Caption"/>
      </w:pPr>
      <w:bookmarkStart w:id="436" w:name="_Ref31624947"/>
      <w:bookmarkStart w:id="437" w:name="_Toc31641326"/>
      <w:bookmarkStart w:id="438" w:name="_Toc31650326"/>
      <w:bookmarkStart w:id="439" w:name="_Toc32317031"/>
      <w:bookmarkStart w:id="440" w:name="_Toc32324690"/>
      <w:bookmarkStart w:id="441" w:name="_Toc34647241"/>
      <w:bookmarkStart w:id="442" w:name="_Ref30164547"/>
      <w:bookmarkStart w:id="443" w:name="_Toc31617772"/>
      <w:r w:rsidRPr="00252AC4">
        <w:t xml:space="preserve">Table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Table \* ARABIC \s 1 </w:instrText>
      </w:r>
      <w:r w:rsidRPr="00252AC4">
        <w:rPr>
          <w:noProof/>
        </w:rPr>
        <w:fldChar w:fldCharType="separate"/>
      </w:r>
      <w:r w:rsidR="008914FE">
        <w:rPr>
          <w:noProof/>
        </w:rPr>
        <w:t>2</w:t>
      </w:r>
      <w:r w:rsidRPr="00252AC4">
        <w:rPr>
          <w:noProof/>
        </w:rPr>
        <w:fldChar w:fldCharType="end"/>
      </w:r>
      <w:bookmarkEnd w:id="436"/>
      <w:r w:rsidRPr="00252AC4">
        <w:t>. CRM functionality usage by region</w:t>
      </w:r>
      <w:bookmarkEnd w:id="437"/>
      <w:bookmarkEnd w:id="438"/>
      <w:bookmarkEnd w:id="439"/>
      <w:bookmarkEnd w:id="440"/>
      <w:bookmarkEnd w:id="441"/>
    </w:p>
    <w:p w14:paraId="67B36F2F" w14:textId="3021B6BA" w:rsidR="0061378A" w:rsidRPr="00252AC4" w:rsidRDefault="0061378A" w:rsidP="006D7C57">
      <w:pPr>
        <w:pStyle w:val="CaptionSubtitle"/>
      </w:pPr>
      <w:r w:rsidRPr="00252AC4">
        <w:t>In % of CRM users</w:t>
      </w:r>
      <w:r w:rsidR="00CC5B2F" w:rsidRPr="00252AC4">
        <w:t>.</w:t>
      </w:r>
    </w:p>
    <w:tbl>
      <w:tblPr>
        <w:tblW w:w="9287" w:type="dxa"/>
        <w:jc w:val="center"/>
        <w:tblBorders>
          <w:top w:val="single" w:sz="12" w:space="0" w:color="4F81BD"/>
          <w:bottom w:val="single" w:sz="12" w:space="0" w:color="000000"/>
        </w:tblBorders>
        <w:tblCellMar>
          <w:left w:w="0" w:type="dxa"/>
          <w:right w:w="0" w:type="dxa"/>
        </w:tblCellMar>
        <w:tblLook w:val="04A0" w:firstRow="1" w:lastRow="0" w:firstColumn="1" w:lastColumn="0" w:noHBand="0" w:noVBand="1"/>
      </w:tblPr>
      <w:tblGrid>
        <w:gridCol w:w="3119"/>
        <w:gridCol w:w="1542"/>
        <w:gridCol w:w="1542"/>
        <w:gridCol w:w="1542"/>
        <w:gridCol w:w="1542"/>
      </w:tblGrid>
      <w:tr w:rsidR="0061378A" w:rsidRPr="00252AC4" w14:paraId="34A755C9" w14:textId="77777777" w:rsidTr="0061378A">
        <w:trPr>
          <w:trHeight w:val="509"/>
          <w:jc w:val="center"/>
        </w:trPr>
        <w:tc>
          <w:tcPr>
            <w:tcW w:w="3119" w:type="dxa"/>
            <w:tcBorders>
              <w:bottom w:val="single" w:sz="8" w:space="0" w:color="000000"/>
            </w:tcBorders>
            <w:shd w:val="clear" w:color="auto" w:fill="FFFFFF"/>
            <w:tcMar>
              <w:top w:w="0" w:type="dxa"/>
              <w:left w:w="108" w:type="dxa"/>
              <w:bottom w:w="0" w:type="dxa"/>
              <w:right w:w="108" w:type="dxa"/>
            </w:tcMar>
            <w:vAlign w:val="center"/>
            <w:hideMark/>
          </w:tcPr>
          <w:p w14:paraId="377D0B68" w14:textId="77777777" w:rsidR="0061378A" w:rsidRPr="00252AC4" w:rsidRDefault="0061378A">
            <w:pPr>
              <w:pStyle w:val="TableColumn"/>
            </w:pPr>
            <w:r w:rsidRPr="00252AC4">
              <w:rPr>
                <w:rFonts w:cs="Calibri"/>
              </w:rPr>
              <w:t xml:space="preserve">Country </w:t>
            </w:r>
            <w:r w:rsidRPr="00252AC4">
              <w:rPr>
                <w:rFonts w:cs="Calibri"/>
              </w:rPr>
              <w:br/>
              <w:t>(% of CRM-equipped IPAs)</w:t>
            </w:r>
          </w:p>
        </w:tc>
        <w:tc>
          <w:tcPr>
            <w:tcW w:w="1542" w:type="dxa"/>
            <w:tcBorders>
              <w:bottom w:val="single" w:sz="8" w:space="0" w:color="000000"/>
            </w:tcBorders>
            <w:shd w:val="clear" w:color="auto" w:fill="FFFFFF"/>
            <w:tcMar>
              <w:top w:w="0" w:type="dxa"/>
              <w:left w:w="108" w:type="dxa"/>
              <w:bottom w:w="0" w:type="dxa"/>
              <w:right w:w="108" w:type="dxa"/>
            </w:tcMar>
            <w:vAlign w:val="center"/>
            <w:hideMark/>
          </w:tcPr>
          <w:p w14:paraId="532B616F" w14:textId="77777777" w:rsidR="0061378A" w:rsidRPr="00252AC4" w:rsidRDefault="0061378A">
            <w:pPr>
              <w:pStyle w:val="TableColumn"/>
              <w:rPr>
                <w:b/>
              </w:rPr>
            </w:pPr>
            <w:r w:rsidRPr="00252AC4">
              <w:rPr>
                <w:rFonts w:cs="Calibri"/>
                <w:b/>
              </w:rPr>
              <w:t>Eurasia</w:t>
            </w:r>
          </w:p>
          <w:p w14:paraId="4245B232" w14:textId="77777777" w:rsidR="0061378A" w:rsidRPr="00252AC4" w:rsidRDefault="0061378A">
            <w:pPr>
              <w:pStyle w:val="TableColumn"/>
              <w:rPr>
                <w:b/>
              </w:rPr>
            </w:pPr>
            <w:r w:rsidRPr="00252AC4">
              <w:rPr>
                <w:rFonts w:cs="Calibri"/>
                <w:b/>
              </w:rPr>
              <w:t>(40%)</w:t>
            </w:r>
          </w:p>
        </w:tc>
        <w:tc>
          <w:tcPr>
            <w:tcW w:w="1542" w:type="dxa"/>
            <w:tcBorders>
              <w:bottom w:val="single" w:sz="8" w:space="0" w:color="000000"/>
            </w:tcBorders>
            <w:shd w:val="clear" w:color="auto" w:fill="FFFFFF"/>
            <w:tcMar>
              <w:top w:w="0" w:type="dxa"/>
              <w:left w:w="108" w:type="dxa"/>
              <w:bottom w:w="0" w:type="dxa"/>
              <w:right w:w="108" w:type="dxa"/>
            </w:tcMar>
            <w:vAlign w:val="center"/>
            <w:hideMark/>
          </w:tcPr>
          <w:p w14:paraId="06D1FDF6" w14:textId="77777777" w:rsidR="0061378A" w:rsidRPr="00252AC4" w:rsidRDefault="0061378A">
            <w:pPr>
              <w:pStyle w:val="TableColumn"/>
              <w:rPr>
                <w:b/>
              </w:rPr>
            </w:pPr>
            <w:r w:rsidRPr="00252AC4">
              <w:rPr>
                <w:rFonts w:cs="Calibri"/>
                <w:b/>
              </w:rPr>
              <w:t>OECD</w:t>
            </w:r>
          </w:p>
          <w:p w14:paraId="41087905" w14:textId="77777777" w:rsidR="0061378A" w:rsidRPr="00252AC4" w:rsidRDefault="0061378A">
            <w:pPr>
              <w:pStyle w:val="TableColumn"/>
              <w:rPr>
                <w:b/>
              </w:rPr>
            </w:pPr>
            <w:r w:rsidRPr="00252AC4">
              <w:rPr>
                <w:rFonts w:cs="Calibri"/>
                <w:b/>
              </w:rPr>
              <w:t>(94%)</w:t>
            </w:r>
          </w:p>
        </w:tc>
        <w:tc>
          <w:tcPr>
            <w:tcW w:w="1542" w:type="dxa"/>
            <w:tcBorders>
              <w:bottom w:val="single" w:sz="8" w:space="0" w:color="000000"/>
            </w:tcBorders>
            <w:shd w:val="clear" w:color="auto" w:fill="FFFFFF"/>
            <w:tcMar>
              <w:top w:w="0" w:type="dxa"/>
              <w:left w:w="108" w:type="dxa"/>
              <w:bottom w:w="0" w:type="dxa"/>
              <w:right w:w="108" w:type="dxa"/>
            </w:tcMar>
            <w:vAlign w:val="center"/>
            <w:hideMark/>
          </w:tcPr>
          <w:p w14:paraId="7D17868F" w14:textId="77777777" w:rsidR="0061378A" w:rsidRPr="00252AC4" w:rsidRDefault="0061378A">
            <w:pPr>
              <w:pStyle w:val="TableColumn"/>
              <w:rPr>
                <w:b/>
              </w:rPr>
            </w:pPr>
            <w:r w:rsidRPr="00252AC4">
              <w:rPr>
                <w:rFonts w:cs="Calibri"/>
                <w:b/>
              </w:rPr>
              <w:t>MENA</w:t>
            </w:r>
          </w:p>
          <w:p w14:paraId="0A9222AD" w14:textId="77777777" w:rsidR="0061378A" w:rsidRPr="00252AC4" w:rsidRDefault="0061378A">
            <w:pPr>
              <w:pStyle w:val="TableColumn"/>
              <w:rPr>
                <w:b/>
              </w:rPr>
            </w:pPr>
            <w:r w:rsidRPr="00252AC4">
              <w:rPr>
                <w:rFonts w:cs="Calibri"/>
                <w:b/>
              </w:rPr>
              <w:t>(80%)</w:t>
            </w:r>
          </w:p>
        </w:tc>
        <w:tc>
          <w:tcPr>
            <w:tcW w:w="1542" w:type="dxa"/>
            <w:tcBorders>
              <w:bottom w:val="single" w:sz="8" w:space="0" w:color="000000"/>
            </w:tcBorders>
            <w:shd w:val="clear" w:color="auto" w:fill="FFFFFF"/>
            <w:tcMar>
              <w:top w:w="0" w:type="dxa"/>
              <w:left w:w="108" w:type="dxa"/>
              <w:bottom w:w="0" w:type="dxa"/>
              <w:right w:w="108" w:type="dxa"/>
            </w:tcMar>
            <w:vAlign w:val="center"/>
            <w:hideMark/>
          </w:tcPr>
          <w:p w14:paraId="2348EABE" w14:textId="77777777" w:rsidR="0061378A" w:rsidRPr="00252AC4" w:rsidRDefault="0061378A">
            <w:pPr>
              <w:pStyle w:val="TableColumn"/>
              <w:rPr>
                <w:b/>
              </w:rPr>
            </w:pPr>
            <w:r w:rsidRPr="00252AC4">
              <w:rPr>
                <w:rFonts w:cs="Calibri"/>
                <w:b/>
              </w:rPr>
              <w:t>LAC</w:t>
            </w:r>
          </w:p>
          <w:p w14:paraId="3F622EB9" w14:textId="77777777" w:rsidR="0061378A" w:rsidRPr="00252AC4" w:rsidRDefault="0061378A">
            <w:pPr>
              <w:pStyle w:val="TableColumn"/>
              <w:rPr>
                <w:b/>
              </w:rPr>
            </w:pPr>
            <w:r w:rsidRPr="00252AC4">
              <w:rPr>
                <w:rFonts w:cs="Calibri"/>
                <w:b/>
              </w:rPr>
              <w:t>(80%)</w:t>
            </w:r>
          </w:p>
        </w:tc>
      </w:tr>
      <w:tr w:rsidR="0061378A" w:rsidRPr="00252AC4" w14:paraId="7A8684AC" w14:textId="77777777" w:rsidTr="0061378A">
        <w:trPr>
          <w:trHeight w:val="223"/>
          <w:jc w:val="center"/>
        </w:trPr>
        <w:tc>
          <w:tcPr>
            <w:tcW w:w="3119" w:type="dxa"/>
            <w:shd w:val="clear" w:color="auto" w:fill="EDF0F7"/>
            <w:tcMar>
              <w:top w:w="0" w:type="dxa"/>
              <w:left w:w="108" w:type="dxa"/>
              <w:bottom w:w="0" w:type="dxa"/>
              <w:right w:w="108" w:type="dxa"/>
            </w:tcMar>
            <w:hideMark/>
          </w:tcPr>
          <w:p w14:paraId="1292CD0D" w14:textId="77777777" w:rsidR="0061378A" w:rsidRPr="00252AC4" w:rsidRDefault="0061378A">
            <w:pPr>
              <w:pStyle w:val="TableRow"/>
              <w:rPr>
                <w:szCs w:val="17"/>
              </w:rPr>
            </w:pPr>
            <w:r w:rsidRPr="00252AC4">
              <w:rPr>
                <w:rFonts w:cs="Calibri"/>
                <w:szCs w:val="17"/>
              </w:rPr>
              <w:t>Tracking response times to enquiries</w:t>
            </w:r>
          </w:p>
        </w:tc>
        <w:tc>
          <w:tcPr>
            <w:tcW w:w="1542" w:type="dxa"/>
            <w:shd w:val="clear" w:color="auto" w:fill="EDF0F7"/>
            <w:tcMar>
              <w:top w:w="0" w:type="dxa"/>
              <w:left w:w="108" w:type="dxa"/>
              <w:bottom w:w="0" w:type="dxa"/>
              <w:right w:w="108" w:type="dxa"/>
            </w:tcMar>
            <w:hideMark/>
          </w:tcPr>
          <w:p w14:paraId="24D114B6" w14:textId="77777777" w:rsidR="0061378A" w:rsidRPr="00252AC4" w:rsidRDefault="0061378A">
            <w:pPr>
              <w:pStyle w:val="TableCell"/>
              <w:jc w:val="center"/>
              <w:rPr>
                <w:szCs w:val="17"/>
              </w:rPr>
            </w:pPr>
            <w:r w:rsidRPr="00252AC4">
              <w:rPr>
                <w:rFonts w:cs="Calibri"/>
                <w:szCs w:val="17"/>
              </w:rPr>
              <w:t>75%</w:t>
            </w:r>
          </w:p>
        </w:tc>
        <w:tc>
          <w:tcPr>
            <w:tcW w:w="1542" w:type="dxa"/>
            <w:shd w:val="clear" w:color="auto" w:fill="EDF0F7"/>
            <w:tcMar>
              <w:top w:w="0" w:type="dxa"/>
              <w:left w:w="108" w:type="dxa"/>
              <w:bottom w:w="0" w:type="dxa"/>
              <w:right w:w="108" w:type="dxa"/>
            </w:tcMar>
            <w:hideMark/>
          </w:tcPr>
          <w:p w14:paraId="04144B4F" w14:textId="77777777" w:rsidR="0061378A" w:rsidRPr="00252AC4" w:rsidRDefault="0061378A">
            <w:pPr>
              <w:pStyle w:val="TableCell"/>
              <w:jc w:val="center"/>
              <w:rPr>
                <w:szCs w:val="17"/>
              </w:rPr>
            </w:pPr>
            <w:r w:rsidRPr="00252AC4">
              <w:rPr>
                <w:rFonts w:cs="Calibri"/>
                <w:szCs w:val="17"/>
              </w:rPr>
              <w:t>52%</w:t>
            </w:r>
          </w:p>
        </w:tc>
        <w:tc>
          <w:tcPr>
            <w:tcW w:w="1542" w:type="dxa"/>
            <w:shd w:val="clear" w:color="auto" w:fill="EDF0F7"/>
            <w:tcMar>
              <w:top w:w="0" w:type="dxa"/>
              <w:left w:w="108" w:type="dxa"/>
              <w:bottom w:w="0" w:type="dxa"/>
              <w:right w:w="108" w:type="dxa"/>
            </w:tcMar>
            <w:hideMark/>
          </w:tcPr>
          <w:p w14:paraId="1999CA3A" w14:textId="77777777" w:rsidR="0061378A" w:rsidRPr="00252AC4" w:rsidRDefault="0061378A">
            <w:pPr>
              <w:pStyle w:val="TableCell"/>
              <w:jc w:val="center"/>
              <w:rPr>
                <w:szCs w:val="17"/>
              </w:rPr>
            </w:pPr>
            <w:r w:rsidRPr="00252AC4">
              <w:rPr>
                <w:rFonts w:cs="Calibri"/>
                <w:szCs w:val="17"/>
              </w:rPr>
              <w:t>100%</w:t>
            </w:r>
          </w:p>
        </w:tc>
        <w:tc>
          <w:tcPr>
            <w:tcW w:w="1542" w:type="dxa"/>
            <w:shd w:val="clear" w:color="auto" w:fill="EDF0F7"/>
            <w:tcMar>
              <w:top w:w="0" w:type="dxa"/>
              <w:left w:w="108" w:type="dxa"/>
              <w:bottom w:w="0" w:type="dxa"/>
              <w:right w:w="108" w:type="dxa"/>
            </w:tcMar>
            <w:hideMark/>
          </w:tcPr>
          <w:p w14:paraId="3BEFD336" w14:textId="77777777" w:rsidR="0061378A" w:rsidRPr="00252AC4" w:rsidRDefault="0061378A">
            <w:pPr>
              <w:pStyle w:val="TableCell"/>
              <w:jc w:val="center"/>
              <w:rPr>
                <w:szCs w:val="17"/>
              </w:rPr>
            </w:pPr>
            <w:r w:rsidRPr="00252AC4">
              <w:rPr>
                <w:rFonts w:cs="Calibri"/>
                <w:szCs w:val="17"/>
              </w:rPr>
              <w:t>67%</w:t>
            </w:r>
          </w:p>
        </w:tc>
      </w:tr>
      <w:tr w:rsidR="0061378A" w:rsidRPr="00252AC4" w14:paraId="0F7B81A3" w14:textId="77777777" w:rsidTr="0061378A">
        <w:trPr>
          <w:trHeight w:val="223"/>
          <w:jc w:val="center"/>
        </w:trPr>
        <w:tc>
          <w:tcPr>
            <w:tcW w:w="3119" w:type="dxa"/>
            <w:shd w:val="clear" w:color="auto" w:fill="FFFFFF"/>
            <w:tcMar>
              <w:top w:w="0" w:type="dxa"/>
              <w:left w:w="108" w:type="dxa"/>
              <w:bottom w:w="0" w:type="dxa"/>
              <w:right w:w="108" w:type="dxa"/>
            </w:tcMar>
            <w:hideMark/>
          </w:tcPr>
          <w:p w14:paraId="159CB452" w14:textId="77777777" w:rsidR="0061378A" w:rsidRPr="00252AC4" w:rsidRDefault="0061378A" w:rsidP="0061378A">
            <w:pPr>
              <w:pStyle w:val="TableCell"/>
              <w:jc w:val="both"/>
              <w:rPr>
                <w:szCs w:val="17"/>
              </w:rPr>
            </w:pPr>
            <w:r w:rsidRPr="00252AC4">
              <w:rPr>
                <w:rFonts w:cs="Calibri"/>
                <w:szCs w:val="17"/>
              </w:rPr>
              <w:t>Identifying the Source of Each Lead</w:t>
            </w:r>
          </w:p>
        </w:tc>
        <w:tc>
          <w:tcPr>
            <w:tcW w:w="1542" w:type="dxa"/>
            <w:shd w:val="clear" w:color="auto" w:fill="FFFFFF"/>
            <w:tcMar>
              <w:top w:w="0" w:type="dxa"/>
              <w:left w:w="108" w:type="dxa"/>
              <w:bottom w:w="0" w:type="dxa"/>
              <w:right w:w="108" w:type="dxa"/>
            </w:tcMar>
            <w:hideMark/>
          </w:tcPr>
          <w:p w14:paraId="37BE6EC1" w14:textId="77777777" w:rsidR="0061378A" w:rsidRPr="00252AC4" w:rsidRDefault="0061378A">
            <w:pPr>
              <w:pStyle w:val="TableCell"/>
              <w:jc w:val="center"/>
              <w:rPr>
                <w:szCs w:val="17"/>
              </w:rPr>
            </w:pPr>
            <w:r w:rsidRPr="00252AC4">
              <w:rPr>
                <w:rFonts w:cs="Calibri"/>
                <w:szCs w:val="17"/>
              </w:rPr>
              <w:t>50%</w:t>
            </w:r>
          </w:p>
        </w:tc>
        <w:tc>
          <w:tcPr>
            <w:tcW w:w="1542" w:type="dxa"/>
            <w:shd w:val="clear" w:color="auto" w:fill="FFFFFF"/>
            <w:tcMar>
              <w:top w:w="0" w:type="dxa"/>
              <w:left w:w="108" w:type="dxa"/>
              <w:bottom w:w="0" w:type="dxa"/>
              <w:right w:w="108" w:type="dxa"/>
            </w:tcMar>
            <w:hideMark/>
          </w:tcPr>
          <w:p w14:paraId="1FABA819" w14:textId="77777777" w:rsidR="0061378A" w:rsidRPr="00252AC4" w:rsidRDefault="0061378A">
            <w:pPr>
              <w:pStyle w:val="TableCell"/>
              <w:jc w:val="center"/>
              <w:rPr>
                <w:szCs w:val="17"/>
              </w:rPr>
            </w:pPr>
            <w:r w:rsidRPr="00252AC4">
              <w:rPr>
                <w:rFonts w:cs="Calibri"/>
                <w:szCs w:val="17"/>
              </w:rPr>
              <w:t>86%</w:t>
            </w:r>
          </w:p>
        </w:tc>
        <w:tc>
          <w:tcPr>
            <w:tcW w:w="1542" w:type="dxa"/>
            <w:shd w:val="clear" w:color="auto" w:fill="FFFFFF"/>
            <w:tcMar>
              <w:top w:w="0" w:type="dxa"/>
              <w:left w:w="108" w:type="dxa"/>
              <w:bottom w:w="0" w:type="dxa"/>
              <w:right w:w="108" w:type="dxa"/>
            </w:tcMar>
            <w:hideMark/>
          </w:tcPr>
          <w:p w14:paraId="175C9396" w14:textId="77777777" w:rsidR="0061378A" w:rsidRPr="00252AC4" w:rsidRDefault="0061378A">
            <w:pPr>
              <w:pStyle w:val="TableCell"/>
              <w:jc w:val="center"/>
              <w:rPr>
                <w:szCs w:val="17"/>
              </w:rPr>
            </w:pPr>
            <w:r w:rsidRPr="00252AC4">
              <w:rPr>
                <w:rFonts w:cs="Calibri"/>
                <w:szCs w:val="17"/>
              </w:rPr>
              <w:t>100</w:t>
            </w:r>
          </w:p>
        </w:tc>
        <w:tc>
          <w:tcPr>
            <w:tcW w:w="1542" w:type="dxa"/>
            <w:shd w:val="clear" w:color="auto" w:fill="FFFFFF"/>
            <w:tcMar>
              <w:top w:w="0" w:type="dxa"/>
              <w:left w:w="108" w:type="dxa"/>
              <w:bottom w:w="0" w:type="dxa"/>
              <w:right w:w="108" w:type="dxa"/>
            </w:tcMar>
            <w:hideMark/>
          </w:tcPr>
          <w:p w14:paraId="5596A66D" w14:textId="77777777" w:rsidR="0061378A" w:rsidRPr="00252AC4" w:rsidRDefault="0061378A">
            <w:pPr>
              <w:spacing w:after="0"/>
              <w:jc w:val="center"/>
              <w:rPr>
                <w:rFonts w:ascii="Arial Narrow" w:hAnsi="Arial Narrow"/>
                <w:sz w:val="17"/>
                <w:szCs w:val="17"/>
              </w:rPr>
            </w:pPr>
            <w:r w:rsidRPr="00252AC4">
              <w:rPr>
                <w:rFonts w:ascii="Arial Narrow" w:hAnsi="Arial Narrow" w:cs="Calibri"/>
                <w:sz w:val="17"/>
                <w:szCs w:val="17"/>
              </w:rPr>
              <w:t>83%</w:t>
            </w:r>
          </w:p>
        </w:tc>
      </w:tr>
      <w:tr w:rsidR="0061378A" w:rsidRPr="00252AC4" w14:paraId="5C8A30B4" w14:textId="77777777" w:rsidTr="0061378A">
        <w:trPr>
          <w:trHeight w:val="223"/>
          <w:jc w:val="center"/>
        </w:trPr>
        <w:tc>
          <w:tcPr>
            <w:tcW w:w="3119" w:type="dxa"/>
            <w:shd w:val="clear" w:color="auto" w:fill="EDF0F7"/>
            <w:tcMar>
              <w:top w:w="0" w:type="dxa"/>
              <w:left w:w="108" w:type="dxa"/>
              <w:bottom w:w="0" w:type="dxa"/>
              <w:right w:w="108" w:type="dxa"/>
            </w:tcMar>
            <w:hideMark/>
          </w:tcPr>
          <w:p w14:paraId="1028FC1F" w14:textId="77777777" w:rsidR="0061378A" w:rsidRPr="00252AC4" w:rsidRDefault="0061378A">
            <w:pPr>
              <w:pStyle w:val="TableRow"/>
              <w:rPr>
                <w:szCs w:val="17"/>
              </w:rPr>
            </w:pPr>
            <w:r w:rsidRPr="00252AC4">
              <w:rPr>
                <w:rFonts w:cs="Calibri"/>
                <w:szCs w:val="17"/>
              </w:rPr>
              <w:t>Computing the total costs of established investment project</w:t>
            </w:r>
          </w:p>
        </w:tc>
        <w:tc>
          <w:tcPr>
            <w:tcW w:w="1542" w:type="dxa"/>
            <w:shd w:val="clear" w:color="auto" w:fill="EDF0F7"/>
            <w:tcMar>
              <w:top w:w="0" w:type="dxa"/>
              <w:left w:w="108" w:type="dxa"/>
              <w:bottom w:w="0" w:type="dxa"/>
              <w:right w:w="108" w:type="dxa"/>
            </w:tcMar>
            <w:hideMark/>
          </w:tcPr>
          <w:p w14:paraId="0F5CE3B1" w14:textId="77777777" w:rsidR="0061378A" w:rsidRPr="00252AC4" w:rsidRDefault="0061378A">
            <w:pPr>
              <w:pStyle w:val="TableCell"/>
              <w:jc w:val="center"/>
              <w:rPr>
                <w:szCs w:val="17"/>
              </w:rPr>
            </w:pPr>
            <w:r w:rsidRPr="00252AC4">
              <w:rPr>
                <w:rFonts w:cs="Calibri"/>
                <w:szCs w:val="17"/>
              </w:rPr>
              <w:t>25%</w:t>
            </w:r>
          </w:p>
        </w:tc>
        <w:tc>
          <w:tcPr>
            <w:tcW w:w="1542" w:type="dxa"/>
            <w:shd w:val="clear" w:color="auto" w:fill="EDF0F7"/>
            <w:tcMar>
              <w:top w:w="0" w:type="dxa"/>
              <w:left w:w="108" w:type="dxa"/>
              <w:bottom w:w="0" w:type="dxa"/>
              <w:right w:w="108" w:type="dxa"/>
            </w:tcMar>
            <w:hideMark/>
          </w:tcPr>
          <w:p w14:paraId="7997BA24" w14:textId="77777777" w:rsidR="0061378A" w:rsidRPr="00252AC4" w:rsidRDefault="0061378A">
            <w:pPr>
              <w:pStyle w:val="TableCell"/>
              <w:jc w:val="center"/>
              <w:rPr>
                <w:szCs w:val="17"/>
              </w:rPr>
            </w:pPr>
            <w:r w:rsidRPr="00252AC4">
              <w:rPr>
                <w:rFonts w:cs="Calibri"/>
                <w:szCs w:val="17"/>
              </w:rPr>
              <w:t>17%</w:t>
            </w:r>
          </w:p>
        </w:tc>
        <w:tc>
          <w:tcPr>
            <w:tcW w:w="1542" w:type="dxa"/>
            <w:shd w:val="clear" w:color="auto" w:fill="EDF0F7"/>
            <w:tcMar>
              <w:top w:w="0" w:type="dxa"/>
              <w:left w:w="108" w:type="dxa"/>
              <w:bottom w:w="0" w:type="dxa"/>
              <w:right w:w="108" w:type="dxa"/>
            </w:tcMar>
            <w:hideMark/>
          </w:tcPr>
          <w:p w14:paraId="4CCCE3CC" w14:textId="77777777" w:rsidR="0061378A" w:rsidRPr="00252AC4" w:rsidRDefault="0061378A">
            <w:pPr>
              <w:pStyle w:val="TableCell"/>
              <w:jc w:val="center"/>
              <w:rPr>
                <w:szCs w:val="17"/>
              </w:rPr>
            </w:pPr>
            <w:r w:rsidRPr="00252AC4">
              <w:rPr>
                <w:rFonts w:cs="Calibri"/>
                <w:szCs w:val="17"/>
              </w:rPr>
              <w:t>57%</w:t>
            </w:r>
          </w:p>
        </w:tc>
        <w:tc>
          <w:tcPr>
            <w:tcW w:w="1542" w:type="dxa"/>
            <w:shd w:val="clear" w:color="auto" w:fill="EDF0F7"/>
            <w:tcMar>
              <w:top w:w="0" w:type="dxa"/>
              <w:left w:w="108" w:type="dxa"/>
              <w:bottom w:w="0" w:type="dxa"/>
              <w:right w:w="108" w:type="dxa"/>
            </w:tcMar>
            <w:hideMark/>
          </w:tcPr>
          <w:p w14:paraId="6B4BF887" w14:textId="77777777" w:rsidR="0061378A" w:rsidRPr="00252AC4" w:rsidRDefault="0061378A">
            <w:pPr>
              <w:pStyle w:val="TableCell"/>
              <w:jc w:val="center"/>
              <w:rPr>
                <w:szCs w:val="17"/>
              </w:rPr>
            </w:pPr>
            <w:r w:rsidRPr="00252AC4">
              <w:rPr>
                <w:rFonts w:cs="Calibri"/>
                <w:szCs w:val="17"/>
              </w:rPr>
              <w:t>42%</w:t>
            </w:r>
          </w:p>
        </w:tc>
      </w:tr>
      <w:tr w:rsidR="0061378A" w:rsidRPr="00252AC4" w14:paraId="7921D801" w14:textId="77777777" w:rsidTr="0061378A">
        <w:trPr>
          <w:trHeight w:val="223"/>
          <w:jc w:val="center"/>
        </w:trPr>
        <w:tc>
          <w:tcPr>
            <w:tcW w:w="3119" w:type="dxa"/>
            <w:shd w:val="clear" w:color="auto" w:fill="FFFFFF"/>
            <w:tcMar>
              <w:top w:w="0" w:type="dxa"/>
              <w:left w:w="108" w:type="dxa"/>
              <w:bottom w:w="0" w:type="dxa"/>
              <w:right w:w="108" w:type="dxa"/>
            </w:tcMar>
            <w:hideMark/>
          </w:tcPr>
          <w:p w14:paraId="3C7B4554" w14:textId="77777777" w:rsidR="0061378A" w:rsidRPr="00252AC4" w:rsidRDefault="0061378A">
            <w:pPr>
              <w:pStyle w:val="TableRow"/>
              <w:rPr>
                <w:szCs w:val="17"/>
              </w:rPr>
            </w:pPr>
            <w:r w:rsidRPr="00252AC4">
              <w:rPr>
                <w:rFonts w:cs="Calibri"/>
                <w:szCs w:val="17"/>
              </w:rPr>
              <w:t>Computing the total costs of non-established project</w:t>
            </w:r>
          </w:p>
        </w:tc>
        <w:tc>
          <w:tcPr>
            <w:tcW w:w="1542" w:type="dxa"/>
            <w:shd w:val="clear" w:color="auto" w:fill="FFFFFF"/>
            <w:tcMar>
              <w:top w:w="0" w:type="dxa"/>
              <w:left w:w="108" w:type="dxa"/>
              <w:bottom w:w="0" w:type="dxa"/>
              <w:right w:w="108" w:type="dxa"/>
            </w:tcMar>
            <w:hideMark/>
          </w:tcPr>
          <w:p w14:paraId="601F7C7C" w14:textId="77777777" w:rsidR="0061378A" w:rsidRPr="00252AC4" w:rsidRDefault="0061378A">
            <w:pPr>
              <w:pStyle w:val="TableCell"/>
              <w:jc w:val="center"/>
              <w:rPr>
                <w:szCs w:val="17"/>
              </w:rPr>
            </w:pPr>
            <w:r w:rsidRPr="00252AC4">
              <w:rPr>
                <w:rFonts w:cs="Calibri"/>
                <w:szCs w:val="17"/>
              </w:rPr>
              <w:t>25%</w:t>
            </w:r>
          </w:p>
        </w:tc>
        <w:tc>
          <w:tcPr>
            <w:tcW w:w="1542" w:type="dxa"/>
            <w:shd w:val="clear" w:color="auto" w:fill="FFFFFF"/>
            <w:tcMar>
              <w:top w:w="0" w:type="dxa"/>
              <w:left w:w="108" w:type="dxa"/>
              <w:bottom w:w="0" w:type="dxa"/>
              <w:right w:w="108" w:type="dxa"/>
            </w:tcMar>
            <w:hideMark/>
          </w:tcPr>
          <w:p w14:paraId="32F77A23" w14:textId="77777777" w:rsidR="0061378A" w:rsidRPr="00252AC4" w:rsidRDefault="0061378A">
            <w:pPr>
              <w:pStyle w:val="TableCell"/>
              <w:jc w:val="center"/>
              <w:rPr>
                <w:szCs w:val="17"/>
              </w:rPr>
            </w:pPr>
            <w:r w:rsidRPr="00252AC4">
              <w:rPr>
                <w:rFonts w:cs="Calibri"/>
                <w:szCs w:val="17"/>
              </w:rPr>
              <w:t>7%</w:t>
            </w:r>
          </w:p>
        </w:tc>
        <w:tc>
          <w:tcPr>
            <w:tcW w:w="1542" w:type="dxa"/>
            <w:shd w:val="clear" w:color="auto" w:fill="FFFFFF"/>
            <w:tcMar>
              <w:top w:w="0" w:type="dxa"/>
              <w:left w:w="108" w:type="dxa"/>
              <w:bottom w:w="0" w:type="dxa"/>
              <w:right w:w="108" w:type="dxa"/>
            </w:tcMar>
            <w:hideMark/>
          </w:tcPr>
          <w:p w14:paraId="5B15696E" w14:textId="77777777" w:rsidR="0061378A" w:rsidRPr="00252AC4" w:rsidRDefault="0061378A">
            <w:pPr>
              <w:pStyle w:val="TableCell"/>
              <w:jc w:val="center"/>
              <w:rPr>
                <w:szCs w:val="17"/>
              </w:rPr>
            </w:pPr>
            <w:r w:rsidRPr="00252AC4">
              <w:rPr>
                <w:rFonts w:cs="Calibri"/>
                <w:szCs w:val="17"/>
              </w:rPr>
              <w:t>57%</w:t>
            </w:r>
          </w:p>
        </w:tc>
        <w:tc>
          <w:tcPr>
            <w:tcW w:w="1542" w:type="dxa"/>
            <w:shd w:val="clear" w:color="auto" w:fill="FFFFFF"/>
            <w:tcMar>
              <w:top w:w="0" w:type="dxa"/>
              <w:left w:w="108" w:type="dxa"/>
              <w:bottom w:w="0" w:type="dxa"/>
              <w:right w:w="108" w:type="dxa"/>
            </w:tcMar>
            <w:hideMark/>
          </w:tcPr>
          <w:p w14:paraId="5F7A7D32" w14:textId="77777777" w:rsidR="0061378A" w:rsidRPr="00252AC4" w:rsidRDefault="0061378A">
            <w:pPr>
              <w:pStyle w:val="TableCell"/>
              <w:jc w:val="center"/>
              <w:rPr>
                <w:szCs w:val="17"/>
              </w:rPr>
            </w:pPr>
            <w:r w:rsidRPr="00252AC4">
              <w:rPr>
                <w:rFonts w:cs="Calibri"/>
                <w:szCs w:val="17"/>
              </w:rPr>
              <w:t>17%</w:t>
            </w:r>
          </w:p>
        </w:tc>
      </w:tr>
      <w:tr w:rsidR="0061378A" w:rsidRPr="00252AC4" w14:paraId="1EF7F822" w14:textId="77777777" w:rsidTr="0061378A">
        <w:trPr>
          <w:trHeight w:val="223"/>
          <w:jc w:val="center"/>
        </w:trPr>
        <w:tc>
          <w:tcPr>
            <w:tcW w:w="3119" w:type="dxa"/>
            <w:shd w:val="clear" w:color="auto" w:fill="EDF0F7"/>
            <w:tcMar>
              <w:top w:w="0" w:type="dxa"/>
              <w:left w:w="108" w:type="dxa"/>
              <w:bottom w:w="0" w:type="dxa"/>
              <w:right w:w="108" w:type="dxa"/>
            </w:tcMar>
            <w:hideMark/>
          </w:tcPr>
          <w:p w14:paraId="22688D56" w14:textId="77777777" w:rsidR="0061378A" w:rsidRPr="00252AC4" w:rsidRDefault="0061378A">
            <w:pPr>
              <w:pStyle w:val="TableRow"/>
              <w:rPr>
                <w:szCs w:val="17"/>
              </w:rPr>
            </w:pPr>
            <w:r w:rsidRPr="00252AC4">
              <w:rPr>
                <w:rFonts w:cs="Calibri"/>
                <w:szCs w:val="17"/>
              </w:rPr>
              <w:t>Sending automatic reminders to officials</w:t>
            </w:r>
          </w:p>
        </w:tc>
        <w:tc>
          <w:tcPr>
            <w:tcW w:w="1542" w:type="dxa"/>
            <w:shd w:val="clear" w:color="auto" w:fill="EDF0F7"/>
            <w:tcMar>
              <w:top w:w="0" w:type="dxa"/>
              <w:left w:w="108" w:type="dxa"/>
              <w:bottom w:w="0" w:type="dxa"/>
              <w:right w:w="108" w:type="dxa"/>
            </w:tcMar>
            <w:hideMark/>
          </w:tcPr>
          <w:p w14:paraId="2002D02B" w14:textId="77777777" w:rsidR="0061378A" w:rsidRPr="00252AC4" w:rsidRDefault="0061378A">
            <w:pPr>
              <w:pStyle w:val="TableCell"/>
              <w:jc w:val="center"/>
              <w:rPr>
                <w:szCs w:val="17"/>
              </w:rPr>
            </w:pPr>
            <w:r w:rsidRPr="00252AC4">
              <w:rPr>
                <w:rFonts w:cs="Calibri"/>
                <w:szCs w:val="17"/>
              </w:rPr>
              <w:t>0%</w:t>
            </w:r>
          </w:p>
        </w:tc>
        <w:tc>
          <w:tcPr>
            <w:tcW w:w="1542" w:type="dxa"/>
            <w:shd w:val="clear" w:color="auto" w:fill="EDF0F7"/>
            <w:tcMar>
              <w:top w:w="0" w:type="dxa"/>
              <w:left w:w="108" w:type="dxa"/>
              <w:bottom w:w="0" w:type="dxa"/>
              <w:right w:w="108" w:type="dxa"/>
            </w:tcMar>
            <w:hideMark/>
          </w:tcPr>
          <w:p w14:paraId="26F8D6BE" w14:textId="77777777" w:rsidR="0061378A" w:rsidRPr="00252AC4" w:rsidRDefault="0061378A">
            <w:pPr>
              <w:pStyle w:val="TableCell"/>
              <w:jc w:val="center"/>
              <w:rPr>
                <w:szCs w:val="17"/>
              </w:rPr>
            </w:pPr>
            <w:r w:rsidRPr="00252AC4">
              <w:rPr>
                <w:rFonts w:cs="Calibri"/>
                <w:szCs w:val="17"/>
              </w:rPr>
              <w:t>41%</w:t>
            </w:r>
          </w:p>
        </w:tc>
        <w:tc>
          <w:tcPr>
            <w:tcW w:w="1542" w:type="dxa"/>
            <w:shd w:val="clear" w:color="auto" w:fill="EDF0F7"/>
            <w:tcMar>
              <w:top w:w="0" w:type="dxa"/>
              <w:left w:w="108" w:type="dxa"/>
              <w:bottom w:w="0" w:type="dxa"/>
              <w:right w:w="108" w:type="dxa"/>
            </w:tcMar>
            <w:hideMark/>
          </w:tcPr>
          <w:p w14:paraId="3352F7B0" w14:textId="77777777" w:rsidR="0061378A" w:rsidRPr="00252AC4" w:rsidRDefault="0061378A">
            <w:pPr>
              <w:pStyle w:val="TableCell"/>
              <w:jc w:val="center"/>
              <w:rPr>
                <w:szCs w:val="17"/>
              </w:rPr>
            </w:pPr>
            <w:r w:rsidRPr="00252AC4">
              <w:rPr>
                <w:rFonts w:cs="Calibri"/>
                <w:szCs w:val="17"/>
              </w:rPr>
              <w:t>86%</w:t>
            </w:r>
          </w:p>
        </w:tc>
        <w:tc>
          <w:tcPr>
            <w:tcW w:w="1542" w:type="dxa"/>
            <w:shd w:val="clear" w:color="auto" w:fill="EDF0F7"/>
            <w:tcMar>
              <w:top w:w="0" w:type="dxa"/>
              <w:left w:w="108" w:type="dxa"/>
              <w:bottom w:w="0" w:type="dxa"/>
              <w:right w:w="108" w:type="dxa"/>
            </w:tcMar>
            <w:hideMark/>
          </w:tcPr>
          <w:p w14:paraId="10F4EB6A" w14:textId="77777777" w:rsidR="0061378A" w:rsidRPr="00252AC4" w:rsidRDefault="0061378A">
            <w:pPr>
              <w:pStyle w:val="TableCell"/>
              <w:jc w:val="center"/>
              <w:rPr>
                <w:szCs w:val="17"/>
              </w:rPr>
            </w:pPr>
            <w:r w:rsidRPr="00252AC4">
              <w:rPr>
                <w:rFonts w:cs="Calibri"/>
                <w:szCs w:val="17"/>
              </w:rPr>
              <w:t>50%</w:t>
            </w:r>
          </w:p>
        </w:tc>
      </w:tr>
    </w:tbl>
    <w:p w14:paraId="345EE260" w14:textId="7AACABA4" w:rsidR="0061378A" w:rsidRPr="00252AC4" w:rsidRDefault="0061378A" w:rsidP="006D7C57">
      <w:pPr>
        <w:pStyle w:val="Sourcenotes"/>
      </w:pPr>
      <w:r w:rsidRPr="00252AC4">
        <w:rPr>
          <w:i/>
        </w:rPr>
        <w:t>Source</w:t>
      </w:r>
      <w:r w:rsidRPr="00252AC4">
        <w:t>: OECD-IDB Survey of Inves</w:t>
      </w:r>
      <w:r w:rsidR="00CC5B2F" w:rsidRPr="00252AC4">
        <w:t>tment Promotion Agencies (2020)</w:t>
      </w:r>
    </w:p>
    <w:bookmarkEnd w:id="442"/>
    <w:bookmarkEnd w:id="443"/>
    <w:p w14:paraId="0D63012F" w14:textId="6190BA92" w:rsidR="0065770E" w:rsidRDefault="0065770E" w:rsidP="00992F0A">
      <w:pPr>
        <w:pStyle w:val="Para0"/>
      </w:pPr>
      <w:r w:rsidRPr="00252AC4">
        <w:t xml:space="preserve">Overall, </w:t>
      </w:r>
      <w:r w:rsidR="00F82C1E" w:rsidRPr="00252AC4">
        <w:t>these findings</w:t>
      </w:r>
      <w:r w:rsidRPr="00252AC4">
        <w:t xml:space="preserve"> suggest that CRM implementation</w:t>
      </w:r>
      <w:r w:rsidR="004605A5" w:rsidRPr="00252AC4">
        <w:t>, in particular</w:t>
      </w:r>
      <w:r w:rsidRPr="00252AC4">
        <w:t xml:space="preserve"> for investment generation and facilitation functions</w:t>
      </w:r>
      <w:r w:rsidR="004605A5" w:rsidRPr="00252AC4">
        <w:t>,</w:t>
      </w:r>
      <w:r w:rsidRPr="00252AC4">
        <w:t xml:space="preserve"> could enable IPAs to better track their activities and results. </w:t>
      </w:r>
      <w:r w:rsidR="004605A5" w:rsidRPr="00252AC4">
        <w:t>CRM is an investment, nevertheless, which benefits</w:t>
      </w:r>
      <w:r w:rsidRPr="00252AC4">
        <w:t xml:space="preserve"> do not accrue automatically and depend</w:t>
      </w:r>
      <w:r w:rsidR="004605A5" w:rsidRPr="00252AC4">
        <w:t xml:space="preserve"> </w:t>
      </w:r>
      <w:r w:rsidR="00C25C9C" w:rsidRPr="00252AC4">
        <w:t>on organisation</w:t>
      </w:r>
      <w:r w:rsidRPr="00252AC4">
        <w:t>s</w:t>
      </w:r>
      <w:r w:rsidR="00C25C9C" w:rsidRPr="00252AC4">
        <w:t>’ institutional capacities (i.e.</w:t>
      </w:r>
      <w:r w:rsidRPr="00252AC4">
        <w:t xml:space="preserve"> degree of customer orientation), financial and huma</w:t>
      </w:r>
      <w:r w:rsidR="00C25C9C" w:rsidRPr="00252AC4">
        <w:t>n resources, and training (i.e.</w:t>
      </w:r>
      <w:r w:rsidRPr="00252AC4">
        <w:t xml:space="preserve"> </w:t>
      </w:r>
      <w:r w:rsidR="00992F0A" w:rsidRPr="00252AC4">
        <w:t>to build</w:t>
      </w:r>
      <w:r w:rsidRPr="00252AC4">
        <w:t xml:space="preserve"> digital capabilities) </w:t>
      </w:r>
      <w:sdt>
        <w:sdtPr>
          <w:id w:val="-1428420145"/>
          <w:citation/>
        </w:sdtPr>
        <w:sdtEndPr/>
        <w:sdtContent>
          <w:r w:rsidRPr="00252AC4">
            <w:fldChar w:fldCharType="begin"/>
          </w:r>
          <w:r w:rsidRPr="00252AC4">
            <w:rPr>
              <w:noProof/>
            </w:rPr>
            <w:instrText xml:space="preserve"> CITATION Mendeley_eT1XZ3cOlzebYtKxJr6hBw \l 2057 \m Mendeley_PhpUZIbPgjGXDM8N1SGjGw </w:instrText>
          </w:r>
          <w:r w:rsidRPr="00252AC4">
            <w:fldChar w:fldCharType="separate"/>
          </w:r>
          <w:bookmarkStart w:id="444" w:name="Mendeley_PhpUZIbPgjGXDM8N1SGjGw_31"/>
          <w:bookmarkStart w:id="445" w:name="Mendeley_PhpUZIbPgjGXDM8N1SGjGw_35"/>
          <w:bookmarkStart w:id="446" w:name="Mendeley_PhpUZIbPgjGXDM8N1SGjGw_13"/>
          <w:bookmarkStart w:id="447" w:name="Mendeley_PhpUZIbPgjGXDM8N1SGjGw_12"/>
          <w:bookmarkStart w:id="448" w:name="Mendeley_PhpUZIbPgjGXDM8N1SGjGw_10"/>
          <w:bookmarkStart w:id="449" w:name="Mendeley_PhpUZIbPgjGXDM8N1SGjGw_33"/>
          <w:bookmarkStart w:id="450" w:name="Mendeley_PhpUZIbPgjGXDM8N1SGjGw_34"/>
          <w:bookmarkStart w:id="451" w:name="Mendeley_PhpUZIbPgjGXDM8N1SGjGw_32"/>
          <w:bookmarkStart w:id="452" w:name="Mendeley_PhpUZIbPgjGXDM8N1SGjGw_30"/>
          <w:r w:rsidR="00E259C6" w:rsidRPr="00252AC4">
            <w:rPr>
              <w:noProof/>
            </w:rPr>
            <w:t>(</w:t>
          </w:r>
          <w:bookmarkStart w:id="453" w:name="Mendeley_eT1XZ3cOlzebYtKxJr6hBw_29"/>
          <w:r w:rsidR="00E259C6" w:rsidRPr="00252AC4">
            <w:rPr>
              <w:noProof/>
            </w:rPr>
            <w:t>Rababah, Mohd and &amp; Ibrahim, 2011</w:t>
          </w:r>
          <w:r w:rsidR="00E259C6" w:rsidRPr="00252AC4">
            <w:rPr>
              <w:noProof/>
              <w:vertAlign w:val="subscript"/>
            </w:rPr>
            <w:t>[29]</w:t>
          </w:r>
          <w:r w:rsidR="00E259C6" w:rsidRPr="00252AC4">
            <w:rPr>
              <w:noProof/>
            </w:rPr>
            <w:t xml:space="preserve">; </w:t>
          </w:r>
          <w:bookmarkEnd w:id="453"/>
          <w:r w:rsidR="00E259C6" w:rsidRPr="00252AC4">
            <w:rPr>
              <w:noProof/>
            </w:rPr>
            <w:t>Schellong, 2005</w:t>
          </w:r>
          <w:r w:rsidR="00E259C6" w:rsidRPr="00252AC4">
            <w:rPr>
              <w:noProof/>
              <w:vertAlign w:val="subscript"/>
            </w:rPr>
            <w:t>[30]</w:t>
          </w:r>
          <w:r w:rsidR="00E259C6" w:rsidRPr="00252AC4">
            <w:rPr>
              <w:noProof/>
            </w:rPr>
            <w:t>)</w:t>
          </w:r>
          <w:bookmarkEnd w:id="444"/>
          <w:bookmarkEnd w:id="445"/>
          <w:bookmarkEnd w:id="446"/>
          <w:bookmarkEnd w:id="447"/>
          <w:bookmarkEnd w:id="448"/>
          <w:bookmarkEnd w:id="449"/>
          <w:bookmarkEnd w:id="450"/>
          <w:bookmarkEnd w:id="451"/>
          <w:bookmarkEnd w:id="452"/>
          <w:r w:rsidRPr="00252AC4">
            <w:fldChar w:fldCharType="end"/>
          </w:r>
        </w:sdtContent>
      </w:sdt>
      <w:r w:rsidRPr="00252AC4">
        <w:t xml:space="preserve">. Agencies with resource constraints </w:t>
      </w:r>
      <w:r w:rsidR="004605A5" w:rsidRPr="00252AC4">
        <w:t>can choose to</w:t>
      </w:r>
      <w:r w:rsidRPr="00252AC4">
        <w:t xml:space="preserve"> opt for off-the-shelf packages</w:t>
      </w:r>
      <w:r w:rsidR="004605A5" w:rsidRPr="00252AC4">
        <w:t xml:space="preserve"> or free, open-source versions that</w:t>
      </w:r>
      <w:r w:rsidRPr="00252AC4">
        <w:t xml:space="preserve"> can yield short-term efficiency gains, besides being adaptable to learning during the deployment process </w:t>
      </w:r>
      <w:sdt>
        <w:sdtPr>
          <w:id w:val="-2082512207"/>
          <w:citation/>
        </w:sdtPr>
        <w:sdtEndPr/>
        <w:sdtContent>
          <w:r w:rsidRPr="00252AC4">
            <w:fldChar w:fldCharType="begin"/>
          </w:r>
          <w:r w:rsidRPr="00252AC4">
            <w:instrText xml:space="preserve"> CITATION Mendeley_aaCaxYAhDD6aGi_NytuCag \l 2057 </w:instrText>
          </w:r>
          <w:r w:rsidRPr="00252AC4">
            <w:fldChar w:fldCharType="separate"/>
          </w:r>
          <w:r w:rsidR="00E259C6" w:rsidRPr="00252AC4">
            <w:rPr>
              <w:noProof/>
            </w:rPr>
            <w:t>(</w:t>
          </w:r>
          <w:bookmarkStart w:id="454" w:name="Mendeley_aaCaxYAhDD6aGi_NytuCag_31"/>
          <w:r w:rsidR="00E259C6" w:rsidRPr="00252AC4">
            <w:rPr>
              <w:noProof/>
            </w:rPr>
            <w:t>Foss, Stone and Ekinci, 2008</w:t>
          </w:r>
          <w:r w:rsidR="00E259C6" w:rsidRPr="00252AC4">
            <w:rPr>
              <w:noProof/>
              <w:vertAlign w:val="subscript"/>
            </w:rPr>
            <w:t>[31]</w:t>
          </w:r>
          <w:r w:rsidR="00E259C6" w:rsidRPr="00252AC4">
            <w:rPr>
              <w:noProof/>
            </w:rPr>
            <w:t>)</w:t>
          </w:r>
          <w:bookmarkEnd w:id="454"/>
          <w:r w:rsidRPr="00252AC4">
            <w:fldChar w:fldCharType="end"/>
          </w:r>
        </w:sdtContent>
      </w:sdt>
      <w:r w:rsidRPr="00252AC4">
        <w:t xml:space="preserve">. Once fully implemented, its potential benefits include structuring activities, </w:t>
      </w:r>
      <w:r w:rsidR="006B77A1" w:rsidRPr="00252AC4">
        <w:t>developing</w:t>
      </w:r>
      <w:r w:rsidRPr="00252AC4">
        <w:t xml:space="preserve"> relationships with current investors, and </w:t>
      </w:r>
      <w:r w:rsidR="006B77A1" w:rsidRPr="00252AC4">
        <w:t>enhancing</w:t>
      </w:r>
      <w:r w:rsidRPr="00252AC4">
        <w:t xml:space="preserve"> the agency’s retention strategy </w:t>
      </w:r>
      <w:r w:rsidR="006B77A1" w:rsidRPr="00252AC4">
        <w:t>thanks to</w:t>
      </w:r>
      <w:r w:rsidRPr="00252AC4">
        <w:t xml:space="preserve"> more responsive and tailored service</w:t>
      </w:r>
      <w:r w:rsidR="006B77A1" w:rsidRPr="00252AC4">
        <w:t>s</w:t>
      </w:r>
      <w:r w:rsidRPr="00252AC4">
        <w:t xml:space="preserve"> to foreign investors. CRM can </w:t>
      </w:r>
      <w:r w:rsidR="006B77A1" w:rsidRPr="00252AC4">
        <w:t xml:space="preserve">also </w:t>
      </w:r>
      <w:r w:rsidRPr="00252AC4">
        <w:t>greatly facilitate information sharing</w:t>
      </w:r>
      <w:r w:rsidR="006B77A1" w:rsidRPr="00252AC4">
        <w:t xml:space="preserve"> </w:t>
      </w:r>
      <w:r w:rsidRPr="00252AC4">
        <w:t xml:space="preserve">internally </w:t>
      </w:r>
      <w:r w:rsidR="006B77A1" w:rsidRPr="00252AC4">
        <w:t>and</w:t>
      </w:r>
      <w:r w:rsidRPr="00252AC4">
        <w:t xml:space="preserve"> with </w:t>
      </w:r>
      <w:r w:rsidR="006B77A1" w:rsidRPr="00252AC4">
        <w:t>external partners</w:t>
      </w:r>
      <w:r w:rsidRPr="00252AC4">
        <w:t xml:space="preserve">, </w:t>
      </w:r>
      <w:r w:rsidR="006B77A1" w:rsidRPr="00252AC4">
        <w:t xml:space="preserve">as highlighted in Chapter </w:t>
      </w:r>
      <w:r w:rsidR="00D01BCC" w:rsidRPr="00252AC4">
        <w:t>1</w:t>
      </w:r>
      <w:r w:rsidRPr="00252AC4">
        <w:t>.</w:t>
      </w:r>
    </w:p>
    <w:p w14:paraId="08525712" w14:textId="4DD59736" w:rsidR="004E1AEC" w:rsidRPr="00252AC4" w:rsidRDefault="004E1AEC" w:rsidP="00992F0A">
      <w:pPr>
        <w:pStyle w:val="Para0"/>
      </w:pPr>
      <w:r>
        <w:t xml:space="preserve">Moreover, CRM plays a key role in enabling the development of digital investment promotion activities. </w:t>
      </w:r>
      <w:r w:rsidR="00564B89">
        <w:t>COVID-19 has not only forced agencies to move</w:t>
      </w:r>
      <w:r w:rsidR="00564B89" w:rsidRPr="00564B89">
        <w:t xml:space="preserve"> </w:t>
      </w:r>
      <w:r w:rsidR="00564B89">
        <w:t>their activities online</w:t>
      </w:r>
      <w:r w:rsidR="00720180">
        <w:t xml:space="preserve"> temporarily</w:t>
      </w:r>
      <w:r w:rsidR="00564B89">
        <w:t>, it is</w:t>
      </w:r>
      <w:r w:rsidR="00720180">
        <w:t xml:space="preserve"> also</w:t>
      </w:r>
      <w:r w:rsidR="00564B89">
        <w:t xml:space="preserve"> accelerating the development of digital tools to enhance investment promotion. In the OECD, IPAs have been developing new tools since the beginning of the crisis to adapt and seize opportunities to innovate. </w:t>
      </w:r>
      <w:r w:rsidR="00AD69E0">
        <w:t xml:space="preserve">Their CRM systems have facilitated this shift, including by enabling them to use readily available </w:t>
      </w:r>
      <w:r w:rsidR="00391625">
        <w:t xml:space="preserve">contact information and </w:t>
      </w:r>
      <w:r w:rsidR="00AD69E0">
        <w:t>data.</w:t>
      </w:r>
    </w:p>
    <w:p w14:paraId="2A310D3E" w14:textId="601CC63F" w:rsidR="0065770E" w:rsidRPr="00252AC4" w:rsidRDefault="0065770E" w:rsidP="002F604E">
      <w:pPr>
        <w:pStyle w:val="Heading3"/>
      </w:pPr>
      <w:r w:rsidRPr="00252AC4">
        <w:t>On average, Eurasia IPAs take less corrective actio</w:t>
      </w:r>
      <w:r w:rsidR="00332AAF" w:rsidRPr="00252AC4">
        <w:t xml:space="preserve">n than OECD and MENA IPAs </w:t>
      </w:r>
      <w:r w:rsidR="003D52B0" w:rsidRPr="00252AC4">
        <w:t>when</w:t>
      </w:r>
      <w:r w:rsidR="00332AAF" w:rsidRPr="00252AC4">
        <w:t xml:space="preserve"> targets are not met</w:t>
      </w:r>
    </w:p>
    <w:p w14:paraId="36D5BA99" w14:textId="073E47D5" w:rsidR="0065770E" w:rsidRPr="00252AC4" w:rsidRDefault="0065770E" w:rsidP="0065770E">
      <w:pPr>
        <w:pStyle w:val="Para0"/>
      </w:pPr>
      <w:r w:rsidRPr="00252AC4">
        <w:t>Generating and using feedback from evaluation and monitoring actions is a critical process, as it informs the management about identified problems and proposes corr</w:t>
      </w:r>
      <w:r w:rsidR="00EB08F2" w:rsidRPr="00252AC4">
        <w:t>ective actions to overcome them</w:t>
      </w:r>
      <w:r w:rsidRPr="00252AC4">
        <w:t>. IPAs can also use the feedback gathered to feed their policy advocacy reports and recommendations</w:t>
      </w:r>
      <w:r w:rsidR="00EB08F2" w:rsidRPr="00252AC4">
        <w:t>, as well as their strategic plans</w:t>
      </w:r>
      <w:r w:rsidRPr="00252AC4">
        <w:t xml:space="preserve"> </w:t>
      </w:r>
      <w:sdt>
        <w:sdtPr>
          <w:id w:val="-2147038097"/>
          <w:citation/>
        </w:sdtPr>
        <w:sdtEndPr/>
        <w:sdtContent>
          <w:r w:rsidRPr="00252AC4">
            <w:fldChar w:fldCharType="begin"/>
          </w:r>
          <w:r w:rsidRPr="00252AC4">
            <w:instrText xml:space="preserve"> CITATION OEC18 \l 1036 </w:instrText>
          </w:r>
          <w:r w:rsidRPr="00252AC4">
            <w:fldChar w:fldCharType="separate"/>
          </w:r>
          <w:r w:rsidR="00E259C6" w:rsidRPr="00252AC4">
            <w:rPr>
              <w:noProof/>
            </w:rPr>
            <w:t>(OECD, 2018</w:t>
          </w:r>
          <w:r w:rsidR="00E259C6" w:rsidRPr="00252AC4">
            <w:rPr>
              <w:noProof/>
              <w:vertAlign w:val="subscript"/>
            </w:rPr>
            <w:t>[3]</w:t>
          </w:r>
          <w:r w:rsidR="00E259C6" w:rsidRPr="00252AC4">
            <w:rPr>
              <w:noProof/>
            </w:rPr>
            <w:t>)</w:t>
          </w:r>
          <w:r w:rsidRPr="00252AC4">
            <w:fldChar w:fldCharType="end"/>
          </w:r>
        </w:sdtContent>
      </w:sdt>
      <w:r w:rsidRPr="00252AC4">
        <w:t>.</w:t>
      </w:r>
    </w:p>
    <w:p w14:paraId="40644677" w14:textId="15748C6E" w:rsidR="0065770E" w:rsidRPr="00252AC4" w:rsidRDefault="0065770E" w:rsidP="00847819">
      <w:pPr>
        <w:pStyle w:val="Para0"/>
      </w:pPr>
      <w:r w:rsidRPr="00252AC4">
        <w:t>According to the OECD-IDB survey, 60% of Eurasia IPAs take action when they</w:t>
      </w:r>
      <w:r w:rsidR="008B1BA1" w:rsidRPr="00252AC4">
        <w:t xml:space="preserve"> do not reach their targets, while this share is </w:t>
      </w:r>
      <w:r w:rsidRPr="00252AC4">
        <w:t>72% in the OECD, 80% in MENA and 53% in LAC</w:t>
      </w:r>
      <w:r w:rsidR="008B1BA1" w:rsidRPr="00252AC4">
        <w:t xml:space="preserve"> (</w:t>
      </w:r>
      <w:r w:rsidR="00E638BC" w:rsidRPr="00252AC4">
        <w:t>Figure 3.11</w:t>
      </w:r>
      <w:r w:rsidR="008B1BA1" w:rsidRPr="00252AC4">
        <w:t>)</w:t>
      </w:r>
      <w:r w:rsidRPr="00252AC4">
        <w:t xml:space="preserve">. </w:t>
      </w:r>
      <w:r w:rsidR="00847819" w:rsidRPr="00252AC4">
        <w:t>In some instances, reporting entities can decide to reduce IPAs budgets</w:t>
      </w:r>
      <w:r w:rsidRPr="00252AC4">
        <w:t xml:space="preserve">, </w:t>
      </w:r>
      <w:r w:rsidR="00847819" w:rsidRPr="00252AC4">
        <w:t>but in a majority of cases, follow-up actions are decided on an ad hoc basis</w:t>
      </w:r>
      <w:r w:rsidRPr="00252AC4">
        <w:t>.</w:t>
      </w:r>
    </w:p>
    <w:p w14:paraId="3DBE7702" w14:textId="7114B97B" w:rsidR="00624CFA" w:rsidRPr="00252AC4" w:rsidRDefault="0065770E" w:rsidP="00847819">
      <w:pPr>
        <w:pStyle w:val="Para0"/>
      </w:pPr>
      <w:r w:rsidRPr="00252AC4">
        <w:lastRenderedPageBreak/>
        <w:t>Five out of ten agencies take action when investors fail to deliver on promise</w:t>
      </w:r>
      <w:r w:rsidR="00EB59CC" w:rsidRPr="00252AC4">
        <w:t>s</w:t>
      </w:r>
      <w:r w:rsidRPr="00252AC4">
        <w:t xml:space="preserve"> (e.g., number of jobs created, etc.) or contract conditions. These shares are higher in the OECD (53%) and in the MENA region (80%), but lower in LAC </w:t>
      </w:r>
      <w:r w:rsidR="00847819" w:rsidRPr="00252AC4">
        <w:t>(42%). Moreover, only 40% of</w:t>
      </w:r>
      <w:r w:rsidRPr="00252AC4">
        <w:t xml:space="preserve"> agencies intervene when foreign investors do not comply with </w:t>
      </w:r>
      <w:r w:rsidR="00847819" w:rsidRPr="00252AC4">
        <w:t>RBC</w:t>
      </w:r>
      <w:r w:rsidRPr="00252AC4">
        <w:t xml:space="preserve"> principles, compared to 57% in the OECD. In these two cases, IPAs or relevant bodies usually undertake relevant legal procedures and revoke their support to the incriminated investor. In contrast, OECD IPAs also redefine strategic objectives or review internal operations to establish improvement plans.</w:t>
      </w:r>
    </w:p>
    <w:p w14:paraId="7686A757" w14:textId="12AC6619" w:rsidR="0051394F" w:rsidRPr="00252AC4" w:rsidRDefault="0051394F" w:rsidP="0051394F">
      <w:pPr>
        <w:pStyle w:val="Caption"/>
      </w:pPr>
      <w:bookmarkStart w:id="455" w:name="_Toc34647277"/>
      <w:bookmarkStart w:id="456" w:name="_Ref31625665"/>
      <w:bookmarkStart w:id="457" w:name="_Toc31617763"/>
      <w:bookmarkStart w:id="458" w:name="_Toc31641363"/>
      <w:bookmarkStart w:id="459" w:name="_Toc31650363"/>
      <w:bookmarkStart w:id="460" w:name="_Toc32317067"/>
      <w:bookmarkStart w:id="461" w:name="_Toc32324726"/>
      <w:r w:rsidRPr="00252AC4">
        <w:t xml:space="preserve">Figure </w:t>
      </w:r>
      <w:r w:rsidR="009915F6">
        <w:fldChar w:fldCharType="begin"/>
      </w:r>
      <w:r w:rsidR="009915F6">
        <w:instrText xml:space="preserve"> STYLEREF 1 \s </w:instrText>
      </w:r>
      <w:r w:rsidR="009915F6">
        <w:fldChar w:fldCharType="separate"/>
      </w:r>
      <w:r w:rsidR="008914FE">
        <w:rPr>
          <w:noProof/>
        </w:rPr>
        <w:t>3</w:t>
      </w:r>
      <w:r w:rsidR="009915F6">
        <w:rPr>
          <w:noProof/>
        </w:rPr>
        <w:fldChar w:fldCharType="end"/>
      </w:r>
      <w:r w:rsidRPr="00252AC4">
        <w:t>.</w:t>
      </w:r>
      <w:r w:rsidRPr="00252AC4">
        <w:rPr>
          <w:noProof/>
        </w:rPr>
        <w:fldChar w:fldCharType="begin"/>
      </w:r>
      <w:r w:rsidRPr="00252AC4">
        <w:rPr>
          <w:noProof/>
        </w:rPr>
        <w:instrText xml:space="preserve"> SEQ Figure \* ARABIC \s 1 </w:instrText>
      </w:r>
      <w:r w:rsidRPr="00252AC4">
        <w:rPr>
          <w:noProof/>
        </w:rPr>
        <w:fldChar w:fldCharType="separate"/>
      </w:r>
      <w:r w:rsidR="008914FE">
        <w:rPr>
          <w:noProof/>
        </w:rPr>
        <w:t>11</w:t>
      </w:r>
      <w:r w:rsidRPr="00252AC4">
        <w:rPr>
          <w:noProof/>
        </w:rPr>
        <w:fldChar w:fldCharType="end"/>
      </w:r>
      <w:r w:rsidRPr="00252AC4">
        <w:t xml:space="preserve">. </w:t>
      </w:r>
      <w:r w:rsidR="00771D29" w:rsidRPr="00252AC4">
        <w:t>Cases triggering corrective actions</w:t>
      </w:r>
      <w:bookmarkEnd w:id="455"/>
    </w:p>
    <w:p w14:paraId="26CEBBB4" w14:textId="0D356BB0" w:rsidR="0051394F" w:rsidRPr="00252AC4" w:rsidRDefault="00771D29" w:rsidP="0051394F">
      <w:pPr>
        <w:pStyle w:val="CaptionSubtitle"/>
      </w:pPr>
      <w:r w:rsidRPr="00252AC4">
        <w:t>In % of IPAs</w:t>
      </w:r>
      <w:r w:rsidR="00CC5B2F" w:rsidRPr="00252AC4">
        <w:t>.</w:t>
      </w:r>
    </w:p>
    <w:p w14:paraId="41FB97BD" w14:textId="0B398238" w:rsidR="0051394F" w:rsidRPr="00252AC4" w:rsidRDefault="007D75DD" w:rsidP="0051394F">
      <w:pPr>
        <w:pStyle w:val="Figure"/>
        <w:rPr>
          <w:noProof/>
          <w:lang w:eastAsia="en-GB"/>
        </w:rPr>
      </w:pPr>
      <w:r w:rsidRPr="00252AC4">
        <w:rPr>
          <w:noProof/>
          <w:lang w:eastAsia="en-GB"/>
        </w:rPr>
        <w:object w:dxaOrig="8370" w:dyaOrig="4660" w14:anchorId="52CA2712">
          <v:shape id="_x0000_i1055" type="#_x0000_t75" style="width:357.25pt;height:199.65pt" o:ole="">
            <v:imagedata r:id="rId88" o:title=""/>
          </v:shape>
          <o:OLEObject Type="Link" ProgID="Excel.Sheet.12" ShapeID="_x0000_i1055" DrawAspect="Content" r:id="rId89" UpdateMode="Always">
            <o:LinkType>EnhancedMetaFile</o:LinkType>
            <o:LockedField>false</o:LockedField>
          </o:OLEObject>
        </w:object>
      </w:r>
    </w:p>
    <w:p w14:paraId="70BDE2BD" w14:textId="0CA63BAC" w:rsidR="00B42B75" w:rsidRPr="00252AC4" w:rsidRDefault="0051394F" w:rsidP="00771D29">
      <w:pPr>
        <w:pStyle w:val="Sourcenotes"/>
      </w:pPr>
      <w:r w:rsidRPr="00252AC4">
        <w:rPr>
          <w:i/>
        </w:rPr>
        <w:t>Source</w:t>
      </w:r>
      <w:r w:rsidRPr="00252AC4">
        <w:t xml:space="preserve">: </w:t>
      </w:r>
      <w:r w:rsidR="00771D29" w:rsidRPr="00252AC4">
        <w:t>OECD-IDB Survey of Investment Promotion Agencies (2020)</w:t>
      </w:r>
      <w:bookmarkEnd w:id="456"/>
      <w:bookmarkEnd w:id="457"/>
      <w:bookmarkEnd w:id="458"/>
      <w:bookmarkEnd w:id="459"/>
      <w:bookmarkEnd w:id="460"/>
      <w:bookmarkEnd w:id="461"/>
    </w:p>
    <w:p w14:paraId="1D23043B" w14:textId="77777777" w:rsidR="003A2C63" w:rsidRPr="00252AC4" w:rsidRDefault="003A2C63">
      <w:pPr>
        <w:spacing w:line="276" w:lineRule="auto"/>
        <w:jc w:val="left"/>
      </w:pPr>
      <w:r w:rsidRPr="00252AC4">
        <w:br w:type="page"/>
      </w:r>
    </w:p>
    <w:p w14:paraId="116660CE" w14:textId="7ADF77A2" w:rsidR="003A2C63" w:rsidRPr="00252AC4" w:rsidRDefault="003A2C63" w:rsidP="003A2C63">
      <w:pPr>
        <w:pStyle w:val="Heading1"/>
        <w:rPr>
          <w:rFonts w:hint="eastAsia"/>
        </w:rPr>
      </w:pPr>
      <w:bookmarkStart w:id="462" w:name="_Toc32317018"/>
      <w:bookmarkStart w:id="463" w:name="_Toc32324677"/>
      <w:bookmarkStart w:id="464" w:name="_Toc40103032"/>
      <w:r w:rsidRPr="00252AC4">
        <w:lastRenderedPageBreak/>
        <w:t>The way forward</w:t>
      </w:r>
      <w:bookmarkEnd w:id="462"/>
      <w:bookmarkEnd w:id="463"/>
      <w:bookmarkEnd w:id="464"/>
    </w:p>
    <w:p w14:paraId="28841145" w14:textId="2B9F99CC" w:rsidR="00E5406A" w:rsidRPr="00252AC4" w:rsidRDefault="00E5406A" w:rsidP="00E5406A">
      <w:pPr>
        <w:pStyle w:val="Para0"/>
      </w:pPr>
      <w:r w:rsidRPr="00252AC4">
        <w:t xml:space="preserve">This report has presented regional trends on investment promotion practices in Eurasia. It highlights avenues for the development of the region’s investment attraction efforts, based on data collected from 69 IPAs in four different regions including the OECD. </w:t>
      </w:r>
      <w:r w:rsidR="00BA15DD">
        <w:t>As countries will be looking for measures to mitigate or recover from the impacts of the COVID-19 crisis, it</w:t>
      </w:r>
      <w:r w:rsidR="00BA15DD" w:rsidRPr="00252AC4">
        <w:t xml:space="preserve"> </w:t>
      </w:r>
      <w:r w:rsidRPr="00252AC4">
        <w:t>paves the way for further peer-to-peer exchange and OECD work</w:t>
      </w:r>
      <w:r w:rsidR="00BA15DD">
        <w:t xml:space="preserve"> on how Eurasia governments can strengthen their approaches to </w:t>
      </w:r>
      <w:r w:rsidR="00F80611">
        <w:t>investment</w:t>
      </w:r>
      <w:r w:rsidR="00BA15DD">
        <w:t xml:space="preserve"> </w:t>
      </w:r>
      <w:r w:rsidR="00F80611">
        <w:t xml:space="preserve">promotion </w:t>
      </w:r>
      <w:r w:rsidR="00BA15DD">
        <w:t>as part of such efforts</w:t>
      </w:r>
      <w:r w:rsidRPr="00252AC4">
        <w:t>.</w:t>
      </w:r>
      <w:r w:rsidR="00BA15DD">
        <w:t xml:space="preserve"> Further</w:t>
      </w:r>
      <w:r w:rsidRPr="00252AC4">
        <w:t xml:space="preserve"> work and exchanges could address the following issues, among others.</w:t>
      </w:r>
    </w:p>
    <w:p w14:paraId="6D9746B6" w14:textId="53D807C4" w:rsidR="00E5406A" w:rsidRPr="00252AC4" w:rsidRDefault="00E5406A" w:rsidP="00E5406A">
      <w:pPr>
        <w:pStyle w:val="Heading2"/>
        <w:rPr>
          <w:rFonts w:hint="eastAsia"/>
        </w:rPr>
      </w:pPr>
      <w:bookmarkStart w:id="465" w:name="_Toc32317019"/>
      <w:bookmarkStart w:id="466" w:name="_Toc32324678"/>
      <w:bookmarkStart w:id="467" w:name="_Toc32993525"/>
      <w:bookmarkStart w:id="468" w:name="_Toc40103033"/>
      <w:r w:rsidRPr="00252AC4">
        <w:t xml:space="preserve">Guide Eurasia IPAs in their efforts to </w:t>
      </w:r>
      <w:bookmarkEnd w:id="465"/>
      <w:bookmarkEnd w:id="466"/>
      <w:r w:rsidRPr="00252AC4">
        <w:t xml:space="preserve">strengthen their institutional </w:t>
      </w:r>
      <w:r w:rsidR="00AC0319">
        <w:t xml:space="preserve">and strategic </w:t>
      </w:r>
      <w:r w:rsidRPr="00252AC4">
        <w:t>frameworks</w:t>
      </w:r>
      <w:bookmarkEnd w:id="467"/>
      <w:bookmarkEnd w:id="468"/>
    </w:p>
    <w:p w14:paraId="5F80B6FA" w14:textId="77777777" w:rsidR="00E5406A" w:rsidRPr="00252AC4" w:rsidRDefault="00E5406A" w:rsidP="00E5406A">
      <w:pPr>
        <w:pStyle w:val="Para0"/>
      </w:pPr>
      <w:r w:rsidRPr="00252AC4">
        <w:t>The OECD mapping of Eurasia IPAs shows that most agencies have limited institutional autonomy, compared with other regions. They also have wide mandates, while operating with limited resources. Future work could address how internal organisational choices and characteristics of Eurasia IPAs affect their investment promotion strategies, core functions and activities – and vice-versa. IPA organisational characteristics to be further analysed would mainly cover their reporting lines; their boards (existence, role and composition); their mandates (diversity and scope); their strategic programmes (strategic plans and targets); and their resources (human resources in particular).</w:t>
      </w:r>
    </w:p>
    <w:p w14:paraId="67F88AFB" w14:textId="7F87ABBA" w:rsidR="00E5406A" w:rsidRPr="00252AC4" w:rsidRDefault="00E5406A" w:rsidP="00E5406A">
      <w:pPr>
        <w:pStyle w:val="Para0"/>
      </w:pPr>
      <w:r w:rsidRPr="00252AC4">
        <w:t>Peer-learning events could cast light on the relationship between certain organisational characteristics of Eurasia IPAs and their investment promotion strategies. This work could support Eurasia agencies in enhancing their positioning and visibility in the wider institutional framework of investment promotion, aligning resource allocation with target objectives, and improving their co-ordination with other institutions, in particular at the sub-national level.</w:t>
      </w:r>
      <w:r w:rsidR="00AC0319">
        <w:t xml:space="preserve"> It could also help them strengthen their strategic frameworks and tools.</w:t>
      </w:r>
    </w:p>
    <w:p w14:paraId="44F8AA2E" w14:textId="06241F60" w:rsidR="00E5406A" w:rsidRPr="00252AC4" w:rsidRDefault="00E5406A" w:rsidP="00E5406A">
      <w:pPr>
        <w:pStyle w:val="Heading2"/>
        <w:rPr>
          <w:rFonts w:hint="eastAsia"/>
        </w:rPr>
      </w:pPr>
      <w:bookmarkStart w:id="469" w:name="_Toc32317020"/>
      <w:bookmarkStart w:id="470" w:name="_Toc32324679"/>
      <w:bookmarkStart w:id="471" w:name="_Toc32993526"/>
      <w:bookmarkStart w:id="472" w:name="_Toc40103034"/>
      <w:r w:rsidRPr="00252AC4">
        <w:t>Help Eurasia governments to strengthen their investment facilitation</w:t>
      </w:r>
      <w:r w:rsidR="00AC0319">
        <w:t xml:space="preserve"> and </w:t>
      </w:r>
      <w:r w:rsidR="002B397B">
        <w:t>policy advocacy</w:t>
      </w:r>
      <w:r w:rsidRPr="00252AC4">
        <w:t xml:space="preserve"> framework</w:t>
      </w:r>
      <w:bookmarkEnd w:id="469"/>
      <w:bookmarkEnd w:id="470"/>
      <w:bookmarkEnd w:id="471"/>
      <w:r w:rsidRPr="00252AC4">
        <w:t>s</w:t>
      </w:r>
      <w:bookmarkEnd w:id="472"/>
    </w:p>
    <w:p w14:paraId="12A58F3D" w14:textId="77777777" w:rsidR="00E5406A" w:rsidRPr="00252AC4" w:rsidRDefault="00E5406A" w:rsidP="00E5406A">
      <w:pPr>
        <w:pStyle w:val="Para0"/>
      </w:pPr>
      <w:r w:rsidRPr="00252AC4">
        <w:t xml:space="preserve">While Eurasia IPAs recognise that domestic investment climates are both important and often a challenge, their role in helping to address such challenges is not always clear. Six out of ten agencies have mandates to operate as one-stop-shops, but they tend to spend fewer resources on facilitation and aftercare activities than agencies in other regions. Although they spend more on policy advocacy than OECD IPAs, their roles seem rather informal and less structured. </w:t>
      </w:r>
    </w:p>
    <w:p w14:paraId="7474D98B" w14:textId="0532C1A1" w:rsidR="00E5406A" w:rsidRPr="00252AC4" w:rsidRDefault="00E5406A" w:rsidP="00E5406A">
      <w:pPr>
        <w:pStyle w:val="Para0"/>
      </w:pPr>
      <w:r w:rsidRPr="00252AC4">
        <w:t xml:space="preserve">Future work could support efforts to enhance Eurasia IPAs’ investment facilitation </w:t>
      </w:r>
      <w:r w:rsidR="00AC0319">
        <w:t xml:space="preserve">and aftercare </w:t>
      </w:r>
      <w:r w:rsidRPr="00252AC4">
        <w:t>frameworks</w:t>
      </w:r>
      <w:r w:rsidR="002B397B">
        <w:t>,</w:t>
      </w:r>
      <w:r w:rsidRPr="00252AC4">
        <w:t xml:space="preserve"> and address policy impediments to FDI attraction</w:t>
      </w:r>
      <w:r w:rsidR="00AC0319">
        <w:t xml:space="preserve"> and retention</w:t>
      </w:r>
      <w:r w:rsidRPr="00252AC4">
        <w:t>. For example, regional peer-learning seminars would allow Eurasia policymakers to have a comparative overview of existing investment facilitation practices and services. It would also give them an opportunity to reflect on how IPAs can further contribute to facilitating investment</w:t>
      </w:r>
      <w:r w:rsidR="00AC0319">
        <w:t xml:space="preserve">, </w:t>
      </w:r>
      <w:r w:rsidRPr="00252AC4">
        <w:t>preventing disputes</w:t>
      </w:r>
      <w:r w:rsidR="00AC0319">
        <w:t xml:space="preserve"> and </w:t>
      </w:r>
      <w:r w:rsidR="00727512">
        <w:t>strengthening</w:t>
      </w:r>
      <w:r w:rsidR="00AC0319">
        <w:t xml:space="preserve"> linkages between MNEs and local ecosystems,</w:t>
      </w:r>
      <w:r w:rsidRPr="00252AC4">
        <w:t xml:space="preserve"> but also to building institutional knowledge and capacity.</w:t>
      </w:r>
      <w:r w:rsidR="002B397B">
        <w:t xml:space="preserve"> Finally, it could foster knowledge sharing on the formalisation of policy advocacy processes, and </w:t>
      </w:r>
      <w:r w:rsidR="00FF6A61">
        <w:t>on making the best of their position to foster sounder investment climates</w:t>
      </w:r>
      <w:r w:rsidR="002B397B">
        <w:t>.</w:t>
      </w:r>
    </w:p>
    <w:p w14:paraId="41CAA727" w14:textId="77777777" w:rsidR="00E5406A" w:rsidRPr="00252AC4" w:rsidRDefault="00E5406A" w:rsidP="00E5406A">
      <w:pPr>
        <w:pStyle w:val="Heading2"/>
        <w:rPr>
          <w:rFonts w:hint="eastAsia"/>
        </w:rPr>
      </w:pPr>
      <w:bookmarkStart w:id="473" w:name="_Toc32317021"/>
      <w:bookmarkStart w:id="474" w:name="_Toc32324680"/>
      <w:bookmarkStart w:id="475" w:name="_Toc32993527"/>
      <w:bookmarkStart w:id="476" w:name="_Toc40103035"/>
      <w:r w:rsidRPr="00252AC4">
        <w:lastRenderedPageBreak/>
        <w:t>Provide Eurasia IPAs with recommendations to strengthen monitoring and evaluation</w:t>
      </w:r>
      <w:bookmarkEnd w:id="473"/>
      <w:bookmarkEnd w:id="474"/>
      <w:bookmarkEnd w:id="475"/>
      <w:bookmarkEnd w:id="476"/>
    </w:p>
    <w:p w14:paraId="167B4E2D" w14:textId="77777777" w:rsidR="00E5406A" w:rsidRPr="00252AC4" w:rsidRDefault="00E5406A" w:rsidP="00E5406A">
      <w:pPr>
        <w:pStyle w:val="Para0"/>
      </w:pPr>
      <w:r w:rsidRPr="00252AC4">
        <w:t>The mapping shows that Eurasia IPAs would benefit from better data-tracking systems and tools, such as Customer Relationship Management (CRM). Reporting authorities should also make sure to work with manageable sets of meaningful indicators that help determine whether the IPA actions generates expected economic and social outcomes. Developing this approach would help extend the investment promotion efforts’ contribution to sustainable development and responsible business conduct.</w:t>
      </w:r>
    </w:p>
    <w:p w14:paraId="48EAB804" w14:textId="073AF3D1" w:rsidR="003D04E7" w:rsidRPr="00252AC4" w:rsidRDefault="00E5406A" w:rsidP="00E5406A">
      <w:pPr>
        <w:pStyle w:val="Para0"/>
      </w:pPr>
      <w:r w:rsidRPr="00252AC4">
        <w:t>Further work could provide Eurasia agencies with guidance on how to improve their monitoring and evaluation systems to permit meaningful impact of their performance. It could address practical questions raised by the results of the mapping such as on the effectiveness of IPAs activities in different countries, and which services have the greatest impact on attracting FDI (e.g. image building vs. investment generation activities).</w:t>
      </w:r>
      <w:r w:rsidR="00AC0319">
        <w:t xml:space="preserve"> It could also support strategic thinking </w:t>
      </w:r>
      <w:r w:rsidR="00231C67">
        <w:t>about</w:t>
      </w:r>
      <w:r w:rsidR="00AC0319">
        <w:t xml:space="preserve"> the digitalisation of investment promotion tools and processes.</w:t>
      </w:r>
      <w:r w:rsidR="00B42B75" w:rsidRPr="00252AC4">
        <w:br w:type="page"/>
      </w:r>
    </w:p>
    <w:bookmarkStart w:id="477" w:name="_Toc31641317" w:displacedByCustomXml="next"/>
    <w:bookmarkStart w:id="478" w:name="_Toc31650317" w:displacedByCustomXml="next"/>
    <w:bookmarkStart w:id="479" w:name="_Toc32317022" w:displacedByCustomXml="next"/>
    <w:bookmarkStart w:id="480" w:name="_Toc32324681" w:displacedByCustomXml="next"/>
    <w:bookmarkStart w:id="481" w:name="_Toc40103036" w:displacedByCustomXml="next"/>
    <w:sdt>
      <w:sdtPr>
        <w:rPr>
          <w:rFonts w:eastAsiaTheme="minorHAnsi" w:cstheme="minorBidi"/>
          <w:i w:val="0"/>
          <w:color w:val="auto"/>
          <w:kern w:val="0"/>
          <w:sz w:val="22"/>
          <w:szCs w:val="22"/>
        </w:rPr>
        <w:id w:val="-1987155186"/>
        <w:docPartObj>
          <w:docPartGallery w:val="Bibliographies"/>
          <w:docPartUnique/>
        </w:docPartObj>
      </w:sdtPr>
      <w:sdtEndPr/>
      <w:sdtContent>
        <w:p w14:paraId="6FA25BA0" w14:textId="1A803D97" w:rsidR="003D04E7" w:rsidRPr="00252AC4" w:rsidRDefault="003D04E7" w:rsidP="000212A0">
          <w:pPr>
            <w:pStyle w:val="Title"/>
          </w:pPr>
          <w:r w:rsidRPr="00252AC4">
            <w:t>References</w:t>
          </w:r>
          <w:bookmarkEnd w:id="481"/>
          <w:bookmarkEnd w:id="480"/>
          <w:bookmarkEnd w:id="479"/>
          <w:bookmarkEnd w:id="478"/>
          <w:bookmarkEnd w:id="477"/>
        </w:p>
        <w:sdt>
          <w:sdtPr>
            <w:id w:val="-1799368973"/>
            <w:bibliography/>
          </w:sdtPr>
          <w:sdtEndPr/>
          <w:sdtContent>
            <w:p w14:paraId="2266E903" w14:textId="77777777" w:rsidR="00E259C6" w:rsidRPr="00252AC4" w:rsidRDefault="003D04E7">
              <w:pPr>
                <w:rPr>
                  <w:rFonts w:asciiTheme="minorHAnsi" w:hAnsiTheme="minorHAnsi"/>
                  <w:noProof/>
                </w:rPr>
              </w:pPr>
              <w:r w:rsidRPr="00252AC4">
                <w:fldChar w:fldCharType="begin"/>
              </w:r>
              <w:r w:rsidRPr="00252AC4">
                <w:instrText xml:space="preserve"> BIBLIOGRAPHY </w:instrText>
              </w:r>
              <w:r w:rsidRPr="00252AC4">
                <w:fldChar w:fldCharType="separate"/>
              </w:r>
            </w:p>
            <w:tbl>
              <w:tblPr>
                <w:tblW w:w="4880" w:type="pct"/>
                <w:tblInd w:w="60" w:type="dxa"/>
                <w:tblCellMar>
                  <w:top w:w="60" w:type="dxa"/>
                  <w:left w:w="60" w:type="dxa"/>
                  <w:bottom w:w="60" w:type="dxa"/>
                  <w:right w:w="60" w:type="dxa"/>
                </w:tblCellMar>
                <w:tblLook w:val="04A0" w:firstRow="1" w:lastRow="0" w:firstColumn="1" w:lastColumn="0" w:noHBand="0" w:noVBand="1"/>
              </w:tblPr>
              <w:tblGrid>
                <w:gridCol w:w="8805"/>
                <w:gridCol w:w="433"/>
              </w:tblGrid>
              <w:tr w:rsidR="00E259C6" w:rsidRPr="00252AC4" w14:paraId="79F5EB81" w14:textId="77777777">
                <w:trPr>
                  <w:divId w:val="1587030085"/>
                </w:trPr>
                <w:tc>
                  <w:tcPr>
                    <w:tcW w:w="0" w:type="auto"/>
                    <w:hideMark/>
                  </w:tcPr>
                  <w:p w14:paraId="7E5B718A" w14:textId="5B172803" w:rsidR="00E259C6" w:rsidRPr="00252AC4" w:rsidRDefault="00E259C6">
                    <w:pPr>
                      <w:pStyle w:val="Bibliography"/>
                      <w:rPr>
                        <w:noProof/>
                        <w:sz w:val="24"/>
                        <w:szCs w:val="24"/>
                      </w:rPr>
                    </w:pPr>
                    <w:r w:rsidRPr="00252AC4">
                      <w:rPr>
                        <w:noProof/>
                      </w:rPr>
                      <w:t xml:space="preserve">Balás, P. et al. (2018), </w:t>
                    </w:r>
                    <w:r w:rsidRPr="00252AC4">
                      <w:rPr>
                        <w:i/>
                        <w:iCs/>
                        <w:noProof/>
                      </w:rPr>
                      <w:t>Foreign Direct Investment between the EU and EAEU: Challenges and Opportunities of Economic Integration within a Wider European and Eurasian Space</w:t>
                    </w:r>
                    <w:r w:rsidRPr="00252AC4">
                      <w:rPr>
                        <w:noProof/>
                      </w:rPr>
                      <w:t>.</w:t>
                    </w:r>
                  </w:p>
                </w:tc>
                <w:tc>
                  <w:tcPr>
                    <w:tcW w:w="600" w:type="dxa"/>
                    <w:noWrap/>
                    <w:hideMark/>
                  </w:tcPr>
                  <w:p w14:paraId="151FA47C" w14:textId="77777777" w:rsidR="00E259C6" w:rsidRPr="00252AC4" w:rsidRDefault="00E259C6">
                    <w:pPr>
                      <w:spacing w:before="100" w:beforeAutospacing="1" w:after="100" w:afterAutospacing="1"/>
                      <w:jc w:val="right"/>
                      <w:rPr>
                        <w:noProof/>
                      </w:rPr>
                    </w:pPr>
                    <w:r w:rsidRPr="00252AC4">
                      <w:rPr>
                        <w:noProof/>
                        <w:color w:val="000000"/>
                        <w:sz w:val="16"/>
                        <w:szCs w:val="16"/>
                      </w:rPr>
                      <w:t>[4]</w:t>
                    </w:r>
                  </w:p>
                </w:tc>
              </w:tr>
              <w:tr w:rsidR="00E259C6" w:rsidRPr="00252AC4" w14:paraId="6A59A282" w14:textId="77777777">
                <w:trPr>
                  <w:divId w:val="1587030085"/>
                </w:trPr>
                <w:tc>
                  <w:tcPr>
                    <w:tcW w:w="0" w:type="auto"/>
                    <w:hideMark/>
                  </w:tcPr>
                  <w:p w14:paraId="6A58B87C" w14:textId="77777777" w:rsidR="00E259C6" w:rsidRPr="00252AC4" w:rsidRDefault="00E259C6">
                    <w:pPr>
                      <w:pStyle w:val="Bibliography"/>
                      <w:rPr>
                        <w:noProof/>
                      </w:rPr>
                    </w:pPr>
                    <w:r w:rsidRPr="00252AC4">
                      <w:rPr>
                        <w:noProof/>
                      </w:rPr>
                      <w:t xml:space="preserve">Deichmann, J. et al. (2003), “Foreign direct investment in the Eurasian transition states”, </w:t>
                    </w:r>
                    <w:r w:rsidRPr="00252AC4">
                      <w:rPr>
                        <w:i/>
                        <w:iCs/>
                        <w:noProof/>
                      </w:rPr>
                      <w:t>Eastern European Economics</w:t>
                    </w:r>
                    <w:r w:rsidRPr="00252AC4">
                      <w:rPr>
                        <w:noProof/>
                      </w:rPr>
                      <w:t xml:space="preserve">, Vol. 41/1, pp. 5-34, </w:t>
                    </w:r>
                    <w:r w:rsidRPr="00252AC4">
                      <w:rPr>
                        <w:noProof/>
                        <w:color w:val="0000FF"/>
                        <w:u w:val="single"/>
                      </w:rPr>
                      <w:t>http://dx.doi.org/10.1080/00128775.2003.11041039</w:t>
                    </w:r>
                    <w:r w:rsidRPr="00252AC4">
                      <w:rPr>
                        <w:noProof/>
                      </w:rPr>
                      <w:t>.</w:t>
                    </w:r>
                  </w:p>
                </w:tc>
                <w:tc>
                  <w:tcPr>
                    <w:tcW w:w="600" w:type="dxa"/>
                    <w:noWrap/>
                    <w:hideMark/>
                  </w:tcPr>
                  <w:p w14:paraId="68AA5A5D" w14:textId="77777777" w:rsidR="00E259C6" w:rsidRPr="00252AC4" w:rsidRDefault="00E259C6">
                    <w:pPr>
                      <w:spacing w:before="100" w:beforeAutospacing="1" w:after="100" w:afterAutospacing="1"/>
                      <w:jc w:val="right"/>
                      <w:rPr>
                        <w:noProof/>
                      </w:rPr>
                    </w:pPr>
                    <w:r w:rsidRPr="00252AC4">
                      <w:rPr>
                        <w:noProof/>
                        <w:color w:val="000000"/>
                        <w:sz w:val="16"/>
                        <w:szCs w:val="16"/>
                      </w:rPr>
                      <w:t>[1]</w:t>
                    </w:r>
                  </w:p>
                </w:tc>
              </w:tr>
              <w:tr w:rsidR="00E259C6" w:rsidRPr="00252AC4" w14:paraId="67183EF5" w14:textId="77777777">
                <w:trPr>
                  <w:divId w:val="1587030085"/>
                </w:trPr>
                <w:tc>
                  <w:tcPr>
                    <w:tcW w:w="0" w:type="auto"/>
                    <w:hideMark/>
                  </w:tcPr>
                  <w:p w14:paraId="0BBC57AE" w14:textId="77777777" w:rsidR="00E259C6" w:rsidRPr="00252AC4" w:rsidRDefault="00E259C6">
                    <w:pPr>
                      <w:pStyle w:val="Bibliography"/>
                      <w:rPr>
                        <w:noProof/>
                      </w:rPr>
                    </w:pPr>
                    <w:r w:rsidRPr="00252AC4">
                      <w:rPr>
                        <w:noProof/>
                      </w:rPr>
                      <w:t xml:space="preserve">Foss, B., M. Stone and Y. Ekinci (2008), “What makes for CRM system success — Or failure?”, </w:t>
                    </w:r>
                    <w:r w:rsidRPr="00252AC4">
                      <w:rPr>
                        <w:i/>
                        <w:iCs/>
                        <w:noProof/>
                      </w:rPr>
                      <w:t>Journal of Database Marketing &amp; Customer Strategy Management</w:t>
                    </w:r>
                    <w:r w:rsidRPr="00252AC4">
                      <w:rPr>
                        <w:noProof/>
                      </w:rPr>
                      <w:t xml:space="preserve">, Vol. 15/2, pp. 68-78, </w:t>
                    </w:r>
                    <w:r w:rsidRPr="00252AC4">
                      <w:rPr>
                        <w:noProof/>
                        <w:color w:val="0000FF"/>
                        <w:u w:val="single"/>
                      </w:rPr>
                      <w:t>http://dx.doi.org/10.1057/dbm.2008.5</w:t>
                    </w:r>
                    <w:r w:rsidRPr="00252AC4">
                      <w:rPr>
                        <w:noProof/>
                      </w:rPr>
                      <w:t>.</w:t>
                    </w:r>
                  </w:p>
                </w:tc>
                <w:tc>
                  <w:tcPr>
                    <w:tcW w:w="600" w:type="dxa"/>
                    <w:noWrap/>
                    <w:hideMark/>
                  </w:tcPr>
                  <w:p w14:paraId="537C6AC1" w14:textId="77777777" w:rsidR="00E259C6" w:rsidRPr="00252AC4" w:rsidRDefault="00E259C6">
                    <w:pPr>
                      <w:spacing w:before="100" w:beforeAutospacing="1" w:after="100" w:afterAutospacing="1"/>
                      <w:jc w:val="right"/>
                      <w:rPr>
                        <w:noProof/>
                      </w:rPr>
                    </w:pPr>
                    <w:r w:rsidRPr="00252AC4">
                      <w:rPr>
                        <w:noProof/>
                        <w:color w:val="000000"/>
                        <w:sz w:val="16"/>
                        <w:szCs w:val="16"/>
                      </w:rPr>
                      <w:t>[31]</w:t>
                    </w:r>
                  </w:p>
                </w:tc>
              </w:tr>
              <w:tr w:rsidR="00E259C6" w:rsidRPr="00252AC4" w14:paraId="0433AB0A" w14:textId="77777777">
                <w:trPr>
                  <w:divId w:val="1587030085"/>
                </w:trPr>
                <w:tc>
                  <w:tcPr>
                    <w:tcW w:w="0" w:type="auto"/>
                    <w:hideMark/>
                  </w:tcPr>
                  <w:p w14:paraId="28343CD5" w14:textId="77777777" w:rsidR="00E259C6" w:rsidRPr="00252AC4" w:rsidRDefault="00E259C6">
                    <w:pPr>
                      <w:pStyle w:val="Bibliography"/>
                      <w:rPr>
                        <w:noProof/>
                      </w:rPr>
                    </w:pPr>
                    <w:r w:rsidRPr="00252AC4">
                      <w:rPr>
                        <w:noProof/>
                      </w:rPr>
                      <w:t xml:space="preserve">Harding, T. and B. Javorcik (2011), “Roll Out the Red Carpet and They Will Come: Investment Promotion and FDI Inflows”, </w:t>
                    </w:r>
                    <w:r w:rsidRPr="00252AC4">
                      <w:rPr>
                        <w:i/>
                        <w:iCs/>
                        <w:noProof/>
                      </w:rPr>
                      <w:t>The Economic Journal</w:t>
                    </w:r>
                    <w:r w:rsidRPr="00252AC4">
                      <w:rPr>
                        <w:noProof/>
                      </w:rPr>
                      <w:t xml:space="preserve">, Vol. 121/557, pp. 1445-1476, </w:t>
                    </w:r>
                    <w:r w:rsidRPr="00252AC4">
                      <w:rPr>
                        <w:noProof/>
                        <w:color w:val="0000FF"/>
                        <w:u w:val="single"/>
                      </w:rPr>
                      <w:t>http://dx.doi.org/10.1111/j.1468-0297.2011.02454.x</w:t>
                    </w:r>
                    <w:r w:rsidRPr="00252AC4">
                      <w:rPr>
                        <w:noProof/>
                      </w:rPr>
                      <w:t>.</w:t>
                    </w:r>
                  </w:p>
                </w:tc>
                <w:tc>
                  <w:tcPr>
                    <w:tcW w:w="600" w:type="dxa"/>
                    <w:noWrap/>
                    <w:hideMark/>
                  </w:tcPr>
                  <w:p w14:paraId="770E8C92" w14:textId="77777777" w:rsidR="00E259C6" w:rsidRPr="00252AC4" w:rsidRDefault="00E259C6">
                    <w:pPr>
                      <w:spacing w:before="100" w:beforeAutospacing="1" w:after="100" w:afterAutospacing="1"/>
                      <w:jc w:val="right"/>
                      <w:rPr>
                        <w:noProof/>
                      </w:rPr>
                    </w:pPr>
                    <w:r w:rsidRPr="00252AC4">
                      <w:rPr>
                        <w:noProof/>
                        <w:color w:val="000000"/>
                        <w:sz w:val="16"/>
                        <w:szCs w:val="16"/>
                      </w:rPr>
                      <w:t>[14]</w:t>
                    </w:r>
                  </w:p>
                </w:tc>
              </w:tr>
              <w:tr w:rsidR="00E259C6" w:rsidRPr="00252AC4" w14:paraId="17B23C8B" w14:textId="77777777">
                <w:trPr>
                  <w:divId w:val="1587030085"/>
                </w:trPr>
                <w:tc>
                  <w:tcPr>
                    <w:tcW w:w="0" w:type="auto"/>
                    <w:hideMark/>
                  </w:tcPr>
                  <w:p w14:paraId="4D35449F" w14:textId="77777777" w:rsidR="00E259C6" w:rsidRPr="00252AC4" w:rsidRDefault="00E259C6">
                    <w:pPr>
                      <w:pStyle w:val="Bibliography"/>
                      <w:rPr>
                        <w:noProof/>
                      </w:rPr>
                    </w:pPr>
                    <w:r w:rsidRPr="00252AC4">
                      <w:rPr>
                        <w:noProof/>
                      </w:rPr>
                      <w:t xml:space="preserve">Havlík, P., G. Hunya and Y. Zaytsev (2018), </w:t>
                    </w:r>
                    <w:r w:rsidRPr="00252AC4">
                      <w:rPr>
                        <w:i/>
                        <w:iCs/>
                        <w:noProof/>
                      </w:rPr>
                      <w:t>Foreign Direct Investments: A Comparison of EAEU, DCFTA and Selected EU-CEE Countries</w:t>
                    </w:r>
                    <w:r w:rsidRPr="00252AC4">
                      <w:rPr>
                        <w:noProof/>
                      </w:rPr>
                      <w:t>.</w:t>
                    </w:r>
                  </w:p>
                </w:tc>
                <w:tc>
                  <w:tcPr>
                    <w:tcW w:w="600" w:type="dxa"/>
                    <w:noWrap/>
                    <w:hideMark/>
                  </w:tcPr>
                  <w:p w14:paraId="0F966520" w14:textId="77777777" w:rsidR="00E259C6" w:rsidRPr="00252AC4" w:rsidRDefault="00E259C6">
                    <w:pPr>
                      <w:spacing w:before="100" w:beforeAutospacing="1" w:after="100" w:afterAutospacing="1"/>
                      <w:jc w:val="right"/>
                      <w:rPr>
                        <w:noProof/>
                      </w:rPr>
                    </w:pPr>
                    <w:r w:rsidRPr="00252AC4">
                      <w:rPr>
                        <w:noProof/>
                        <w:color w:val="000000"/>
                        <w:sz w:val="16"/>
                        <w:szCs w:val="16"/>
                      </w:rPr>
                      <w:t>[2]</w:t>
                    </w:r>
                  </w:p>
                </w:tc>
              </w:tr>
              <w:tr w:rsidR="00E259C6" w:rsidRPr="00252AC4" w14:paraId="03267DC5" w14:textId="77777777">
                <w:trPr>
                  <w:divId w:val="1587030085"/>
                </w:trPr>
                <w:tc>
                  <w:tcPr>
                    <w:tcW w:w="0" w:type="auto"/>
                    <w:hideMark/>
                  </w:tcPr>
                  <w:p w14:paraId="2BC951A7" w14:textId="77777777" w:rsidR="00E259C6" w:rsidRPr="00252AC4" w:rsidRDefault="00E259C6">
                    <w:pPr>
                      <w:pStyle w:val="Bibliography"/>
                      <w:rPr>
                        <w:noProof/>
                      </w:rPr>
                    </w:pPr>
                    <w:r w:rsidRPr="00252AC4">
                      <w:rPr>
                        <w:noProof/>
                      </w:rPr>
                      <w:t xml:space="preserve">Loewendahl, H. (2018), </w:t>
                    </w:r>
                    <w:r w:rsidRPr="00252AC4">
                      <w:rPr>
                        <w:i/>
                        <w:iCs/>
                        <w:noProof/>
                      </w:rPr>
                      <w:t>Innovations in Foreign Direct Investment Attraction</w:t>
                    </w:r>
                    <w:r w:rsidRPr="00252AC4">
                      <w:rPr>
                        <w:noProof/>
                      </w:rPr>
                      <w:t xml:space="preserve">, Inter-American Development Bank, Washington D.C., </w:t>
                    </w:r>
                    <w:r w:rsidRPr="00252AC4">
                      <w:rPr>
                        <w:noProof/>
                        <w:color w:val="0000FF"/>
                        <w:u w:val="single"/>
                      </w:rPr>
                      <w:t>http://dx.doi.org/10.18235/0001442</w:t>
                    </w:r>
                    <w:r w:rsidRPr="00252AC4">
                      <w:rPr>
                        <w:noProof/>
                      </w:rPr>
                      <w:t>.</w:t>
                    </w:r>
                  </w:p>
                </w:tc>
                <w:tc>
                  <w:tcPr>
                    <w:tcW w:w="600" w:type="dxa"/>
                    <w:noWrap/>
                    <w:hideMark/>
                  </w:tcPr>
                  <w:p w14:paraId="654E2D23" w14:textId="77777777" w:rsidR="00E259C6" w:rsidRPr="00252AC4" w:rsidRDefault="00E259C6">
                    <w:pPr>
                      <w:spacing w:before="100" w:beforeAutospacing="1" w:after="100" w:afterAutospacing="1"/>
                      <w:jc w:val="right"/>
                      <w:rPr>
                        <w:noProof/>
                      </w:rPr>
                    </w:pPr>
                    <w:r w:rsidRPr="00252AC4">
                      <w:rPr>
                        <w:noProof/>
                        <w:color w:val="000000"/>
                        <w:sz w:val="16"/>
                        <w:szCs w:val="16"/>
                      </w:rPr>
                      <w:t>[34]</w:t>
                    </w:r>
                  </w:p>
                </w:tc>
              </w:tr>
              <w:tr w:rsidR="00E259C6" w:rsidRPr="00252AC4" w14:paraId="48458B81" w14:textId="77777777">
                <w:trPr>
                  <w:divId w:val="1587030085"/>
                </w:trPr>
                <w:tc>
                  <w:tcPr>
                    <w:tcW w:w="0" w:type="auto"/>
                    <w:hideMark/>
                  </w:tcPr>
                  <w:p w14:paraId="76B3B12D" w14:textId="77777777" w:rsidR="00E259C6" w:rsidRPr="00252AC4" w:rsidRDefault="00E259C6">
                    <w:pPr>
                      <w:pStyle w:val="Bibliography"/>
                      <w:rPr>
                        <w:noProof/>
                      </w:rPr>
                    </w:pPr>
                    <w:r w:rsidRPr="00252AC4">
                      <w:rPr>
                        <w:noProof/>
                      </w:rPr>
                      <w:t xml:space="preserve">Loewendahl, H. (2001), “A framework for FDI promotion”, </w:t>
                    </w:r>
                    <w:r w:rsidRPr="00252AC4">
                      <w:rPr>
                        <w:i/>
                        <w:iCs/>
                        <w:noProof/>
                      </w:rPr>
                      <w:t>Transnational Corporations, 10(1), 1-42.</w:t>
                    </w:r>
                    <w:r w:rsidRPr="00252AC4">
                      <w:rPr>
                        <w:noProof/>
                      </w:rPr>
                      <w:t xml:space="preserve">, </w:t>
                    </w:r>
                    <w:r w:rsidRPr="00252AC4">
                      <w:rPr>
                        <w:noProof/>
                        <w:color w:val="0000FF"/>
                        <w:u w:val="single"/>
                      </w:rPr>
                      <w:t>https://go.galegroup.com/ps/i.do?id=GALE%7CA83698911&amp;sid=googleScholar&amp;v=2.1&amp;it=r&amp;linkaccess=abs&amp;issn=10149562&amp;p=AONE&amp;sw=w</w:t>
                    </w:r>
                    <w:r w:rsidRPr="00252AC4">
                      <w:rPr>
                        <w:noProof/>
                      </w:rPr>
                      <w:t xml:space="preserve"> (accessed on 3 January 2020).</w:t>
                    </w:r>
                  </w:p>
                </w:tc>
                <w:tc>
                  <w:tcPr>
                    <w:tcW w:w="600" w:type="dxa"/>
                    <w:noWrap/>
                    <w:hideMark/>
                  </w:tcPr>
                  <w:p w14:paraId="66A0F78B" w14:textId="77777777" w:rsidR="00E259C6" w:rsidRPr="00252AC4" w:rsidRDefault="00E259C6">
                    <w:pPr>
                      <w:spacing w:before="100" w:beforeAutospacing="1" w:after="100" w:afterAutospacing="1"/>
                      <w:jc w:val="right"/>
                      <w:rPr>
                        <w:noProof/>
                      </w:rPr>
                    </w:pPr>
                    <w:r w:rsidRPr="00252AC4">
                      <w:rPr>
                        <w:noProof/>
                        <w:color w:val="000000"/>
                        <w:sz w:val="16"/>
                        <w:szCs w:val="16"/>
                      </w:rPr>
                      <w:t>[7]</w:t>
                    </w:r>
                  </w:p>
                </w:tc>
              </w:tr>
              <w:tr w:rsidR="00E259C6" w:rsidRPr="00252AC4" w14:paraId="33A456BE" w14:textId="77777777">
                <w:trPr>
                  <w:divId w:val="1587030085"/>
                </w:trPr>
                <w:tc>
                  <w:tcPr>
                    <w:tcW w:w="0" w:type="auto"/>
                    <w:hideMark/>
                  </w:tcPr>
                  <w:p w14:paraId="2F059EF1" w14:textId="77777777" w:rsidR="00E259C6" w:rsidRPr="00252AC4" w:rsidRDefault="00E259C6">
                    <w:pPr>
                      <w:pStyle w:val="Bibliography"/>
                      <w:rPr>
                        <w:noProof/>
                      </w:rPr>
                    </w:pPr>
                    <w:r w:rsidRPr="00252AC4">
                      <w:rPr>
                        <w:noProof/>
                      </w:rPr>
                      <w:t xml:space="preserve">Morisset, J. and K. Andrews-Johnson (2004), </w:t>
                    </w:r>
                    <w:r w:rsidRPr="00252AC4">
                      <w:rPr>
                        <w:i/>
                        <w:iCs/>
                        <w:noProof/>
                      </w:rPr>
                      <w:t>The Effectiveness of Promotion Agencies at Attracting Foreign Direct Investment</w:t>
                    </w:r>
                    <w:r w:rsidRPr="00252AC4">
                      <w:rPr>
                        <w:noProof/>
                      </w:rPr>
                      <w:t>.</w:t>
                    </w:r>
                  </w:p>
                </w:tc>
                <w:tc>
                  <w:tcPr>
                    <w:tcW w:w="600" w:type="dxa"/>
                    <w:noWrap/>
                    <w:hideMark/>
                  </w:tcPr>
                  <w:p w14:paraId="05AF5D8B" w14:textId="77777777" w:rsidR="00E259C6" w:rsidRPr="00252AC4" w:rsidRDefault="00E259C6">
                    <w:pPr>
                      <w:spacing w:before="100" w:beforeAutospacing="1" w:after="100" w:afterAutospacing="1"/>
                      <w:jc w:val="right"/>
                      <w:rPr>
                        <w:noProof/>
                      </w:rPr>
                    </w:pPr>
                    <w:r w:rsidRPr="00252AC4">
                      <w:rPr>
                        <w:noProof/>
                        <w:color w:val="000000"/>
                        <w:sz w:val="16"/>
                        <w:szCs w:val="16"/>
                      </w:rPr>
                      <w:t>[12]</w:t>
                    </w:r>
                  </w:p>
                </w:tc>
              </w:tr>
              <w:tr w:rsidR="00E259C6" w:rsidRPr="00252AC4" w14:paraId="1ED47814" w14:textId="77777777">
                <w:trPr>
                  <w:divId w:val="1587030085"/>
                </w:trPr>
                <w:tc>
                  <w:tcPr>
                    <w:tcW w:w="0" w:type="auto"/>
                    <w:hideMark/>
                  </w:tcPr>
                  <w:p w14:paraId="42A0882C" w14:textId="77777777" w:rsidR="00E259C6" w:rsidRPr="00252AC4" w:rsidRDefault="00E259C6">
                    <w:pPr>
                      <w:pStyle w:val="Bibliography"/>
                      <w:rPr>
                        <w:noProof/>
                      </w:rPr>
                    </w:pPr>
                    <w:r w:rsidRPr="00252AC4">
                      <w:rPr>
                        <w:noProof/>
                      </w:rPr>
                      <w:t xml:space="preserve">Novik, A. and A. De Crombrugghe (2018), </w:t>
                    </w:r>
                    <w:r w:rsidRPr="00252AC4">
                      <w:rPr>
                        <w:i/>
                        <w:iCs/>
                        <w:noProof/>
                      </w:rPr>
                      <w:t>Towards an international framework for investment facilitation</w:t>
                    </w:r>
                    <w:r w:rsidRPr="00252AC4">
                      <w:rPr>
                        <w:noProof/>
                      </w:rPr>
                      <w:t>.</w:t>
                    </w:r>
                  </w:p>
                </w:tc>
                <w:tc>
                  <w:tcPr>
                    <w:tcW w:w="600" w:type="dxa"/>
                    <w:noWrap/>
                    <w:hideMark/>
                  </w:tcPr>
                  <w:p w14:paraId="2394CEF6" w14:textId="77777777" w:rsidR="00E259C6" w:rsidRPr="00252AC4" w:rsidRDefault="00E259C6">
                    <w:pPr>
                      <w:spacing w:before="100" w:beforeAutospacing="1" w:after="100" w:afterAutospacing="1"/>
                      <w:jc w:val="right"/>
                      <w:rPr>
                        <w:noProof/>
                      </w:rPr>
                    </w:pPr>
                    <w:r w:rsidRPr="00252AC4">
                      <w:rPr>
                        <w:noProof/>
                        <w:color w:val="000000"/>
                        <w:sz w:val="16"/>
                        <w:szCs w:val="16"/>
                      </w:rPr>
                      <w:t>[17]</w:t>
                    </w:r>
                  </w:p>
                </w:tc>
              </w:tr>
              <w:tr w:rsidR="00E259C6" w:rsidRPr="00252AC4" w14:paraId="3B440C75" w14:textId="77777777">
                <w:trPr>
                  <w:divId w:val="1587030085"/>
                </w:trPr>
                <w:tc>
                  <w:tcPr>
                    <w:tcW w:w="0" w:type="auto"/>
                    <w:hideMark/>
                  </w:tcPr>
                  <w:p w14:paraId="580F6065" w14:textId="77777777" w:rsidR="00E259C6" w:rsidRPr="00252AC4" w:rsidRDefault="00E259C6">
                    <w:pPr>
                      <w:pStyle w:val="Bibliography"/>
                      <w:rPr>
                        <w:noProof/>
                      </w:rPr>
                    </w:pPr>
                    <w:r w:rsidRPr="00252AC4">
                      <w:rPr>
                        <w:noProof/>
                      </w:rPr>
                      <w:t xml:space="preserve">OECD (2019), </w:t>
                    </w:r>
                    <w:r w:rsidRPr="00252AC4">
                      <w:rPr>
                        <w:i/>
                        <w:iCs/>
                        <w:noProof/>
                      </w:rPr>
                      <w:t>FDI Qualities Indicators: Measuring the sustainable development impacts of investment</w:t>
                    </w:r>
                    <w:r w:rsidRPr="00252AC4">
                      <w:rPr>
                        <w:noProof/>
                      </w:rPr>
                      <w:t xml:space="preserve">, </w:t>
                    </w:r>
                    <w:r w:rsidRPr="00252AC4">
                      <w:rPr>
                        <w:noProof/>
                        <w:color w:val="0000FF"/>
                        <w:u w:val="single"/>
                      </w:rPr>
                      <w:t>http://dx.doi.org/www.oecd.org/fr/investissement/fdi-qualities-indicators.htm</w:t>
                    </w:r>
                    <w:r w:rsidRPr="00252AC4">
                      <w:rPr>
                        <w:noProof/>
                      </w:rPr>
                      <w:t>.</w:t>
                    </w:r>
                  </w:p>
                </w:tc>
                <w:tc>
                  <w:tcPr>
                    <w:tcW w:w="600" w:type="dxa"/>
                    <w:noWrap/>
                    <w:hideMark/>
                  </w:tcPr>
                  <w:p w14:paraId="60F1E752" w14:textId="77777777" w:rsidR="00E259C6" w:rsidRPr="00252AC4" w:rsidRDefault="00E259C6">
                    <w:pPr>
                      <w:spacing w:before="100" w:beforeAutospacing="1" w:after="100" w:afterAutospacing="1"/>
                      <w:jc w:val="right"/>
                      <w:rPr>
                        <w:noProof/>
                      </w:rPr>
                    </w:pPr>
                    <w:r w:rsidRPr="00252AC4">
                      <w:rPr>
                        <w:noProof/>
                        <w:color w:val="000000"/>
                        <w:sz w:val="16"/>
                        <w:szCs w:val="16"/>
                      </w:rPr>
                      <w:t>[26]</w:t>
                    </w:r>
                  </w:p>
                </w:tc>
              </w:tr>
              <w:tr w:rsidR="00E259C6" w:rsidRPr="00252AC4" w14:paraId="64FD36DD" w14:textId="77777777">
                <w:trPr>
                  <w:divId w:val="1587030085"/>
                </w:trPr>
                <w:tc>
                  <w:tcPr>
                    <w:tcW w:w="0" w:type="auto"/>
                    <w:hideMark/>
                  </w:tcPr>
                  <w:p w14:paraId="3C9EABE9" w14:textId="77777777" w:rsidR="00E259C6" w:rsidRPr="00252AC4" w:rsidRDefault="00E259C6">
                    <w:pPr>
                      <w:pStyle w:val="Bibliography"/>
                      <w:rPr>
                        <w:noProof/>
                      </w:rPr>
                    </w:pPr>
                    <w:r w:rsidRPr="00252AC4">
                      <w:rPr>
                        <w:noProof/>
                      </w:rPr>
                      <w:t xml:space="preserve">OECD (2019), </w:t>
                    </w:r>
                    <w:r w:rsidRPr="00252AC4">
                      <w:rPr>
                        <w:i/>
                        <w:iCs/>
                        <w:noProof/>
                      </w:rPr>
                      <w:t>Mapping of Investment Promotion Agencies: Middle East and North Africa</w:t>
                    </w:r>
                    <w:r w:rsidRPr="00252AC4">
                      <w:rPr>
                        <w:noProof/>
                      </w:rPr>
                      <w:t xml:space="preserve">, </w:t>
                    </w:r>
                    <w:r w:rsidRPr="00252AC4">
                      <w:rPr>
                        <w:noProof/>
                        <w:color w:val="0000FF"/>
                        <w:u w:val="single"/>
                      </w:rPr>
                      <w:t>https://www.oecd.org/investment/investment-policy/mapping-of-investment-promotion-agencies-med.htm</w:t>
                    </w:r>
                    <w:r w:rsidRPr="00252AC4">
                      <w:rPr>
                        <w:noProof/>
                      </w:rPr>
                      <w:t xml:space="preserve"> (accessed on 17 January 2020).</w:t>
                    </w:r>
                  </w:p>
                </w:tc>
                <w:tc>
                  <w:tcPr>
                    <w:tcW w:w="600" w:type="dxa"/>
                    <w:noWrap/>
                    <w:hideMark/>
                  </w:tcPr>
                  <w:p w14:paraId="2E35E775" w14:textId="77777777" w:rsidR="00E259C6" w:rsidRPr="00252AC4" w:rsidRDefault="00E259C6">
                    <w:pPr>
                      <w:spacing w:before="100" w:beforeAutospacing="1" w:after="100" w:afterAutospacing="1"/>
                      <w:jc w:val="right"/>
                      <w:rPr>
                        <w:noProof/>
                      </w:rPr>
                    </w:pPr>
                    <w:r w:rsidRPr="00252AC4">
                      <w:rPr>
                        <w:noProof/>
                        <w:color w:val="000000"/>
                        <w:sz w:val="16"/>
                        <w:szCs w:val="16"/>
                      </w:rPr>
                      <w:t>[8]</w:t>
                    </w:r>
                  </w:p>
                </w:tc>
              </w:tr>
              <w:tr w:rsidR="00E259C6" w:rsidRPr="00252AC4" w14:paraId="35A6817D" w14:textId="77777777">
                <w:trPr>
                  <w:divId w:val="1587030085"/>
                </w:trPr>
                <w:tc>
                  <w:tcPr>
                    <w:tcW w:w="0" w:type="auto"/>
                    <w:hideMark/>
                  </w:tcPr>
                  <w:p w14:paraId="612EA170" w14:textId="77777777" w:rsidR="00E259C6" w:rsidRPr="00252AC4" w:rsidRDefault="00E259C6">
                    <w:pPr>
                      <w:pStyle w:val="Bibliography"/>
                      <w:rPr>
                        <w:noProof/>
                      </w:rPr>
                    </w:pPr>
                    <w:r w:rsidRPr="00252AC4">
                      <w:rPr>
                        <w:noProof/>
                      </w:rPr>
                      <w:t xml:space="preserve">OECD (2019), </w:t>
                    </w:r>
                    <w:r w:rsidRPr="00252AC4">
                      <w:rPr>
                        <w:i/>
                        <w:iCs/>
                        <w:noProof/>
                      </w:rPr>
                      <w:t>OECD Investment Policy Review of Southeast Asia</w:t>
                    </w:r>
                    <w:r w:rsidRPr="00252AC4">
                      <w:rPr>
                        <w:noProof/>
                      </w:rPr>
                      <w:t xml:space="preserve">, </w:t>
                    </w:r>
                    <w:r w:rsidRPr="00252AC4">
                      <w:rPr>
                        <w:noProof/>
                        <w:color w:val="0000FF"/>
                        <w:u w:val="single"/>
                      </w:rPr>
                      <w:t>http://dx.doi.org/www.oecd.org/investment/oecd-investment-policy-review-southeast-asia.htm</w:t>
                    </w:r>
                    <w:r w:rsidRPr="00252AC4">
                      <w:rPr>
                        <w:noProof/>
                      </w:rPr>
                      <w:t xml:space="preserve"> (accessed on 29 January 2020).</w:t>
                    </w:r>
                  </w:p>
                </w:tc>
                <w:tc>
                  <w:tcPr>
                    <w:tcW w:w="600" w:type="dxa"/>
                    <w:noWrap/>
                    <w:hideMark/>
                  </w:tcPr>
                  <w:p w14:paraId="54F427C5" w14:textId="77777777" w:rsidR="00E259C6" w:rsidRPr="00252AC4" w:rsidRDefault="00E259C6">
                    <w:pPr>
                      <w:spacing w:before="100" w:beforeAutospacing="1" w:after="100" w:afterAutospacing="1"/>
                      <w:jc w:val="right"/>
                      <w:rPr>
                        <w:noProof/>
                      </w:rPr>
                    </w:pPr>
                    <w:r w:rsidRPr="00252AC4">
                      <w:rPr>
                        <w:noProof/>
                        <w:color w:val="000000"/>
                        <w:sz w:val="16"/>
                        <w:szCs w:val="16"/>
                      </w:rPr>
                      <w:t>[20]</w:t>
                    </w:r>
                  </w:p>
                </w:tc>
              </w:tr>
              <w:tr w:rsidR="00E259C6" w:rsidRPr="00252AC4" w14:paraId="69CDE780" w14:textId="77777777">
                <w:trPr>
                  <w:divId w:val="1587030085"/>
                </w:trPr>
                <w:tc>
                  <w:tcPr>
                    <w:tcW w:w="0" w:type="auto"/>
                    <w:hideMark/>
                  </w:tcPr>
                  <w:p w14:paraId="4FC278D8" w14:textId="77777777" w:rsidR="00E259C6" w:rsidRPr="00252AC4" w:rsidRDefault="00E259C6">
                    <w:pPr>
                      <w:pStyle w:val="Bibliography"/>
                      <w:rPr>
                        <w:noProof/>
                      </w:rPr>
                    </w:pPr>
                    <w:r w:rsidRPr="00252AC4">
                      <w:rPr>
                        <w:noProof/>
                      </w:rPr>
                      <w:t xml:space="preserve">OECD (2019), </w:t>
                    </w:r>
                    <w:r w:rsidRPr="00252AC4">
                      <w:rPr>
                        <w:i/>
                        <w:iCs/>
                        <w:noProof/>
                      </w:rPr>
                      <w:t>OECD Workshop IPA Summary 2019</w:t>
                    </w:r>
                    <w:r w:rsidRPr="00252AC4">
                      <w:rPr>
                        <w:noProof/>
                      </w:rPr>
                      <w:t>.</w:t>
                    </w:r>
                  </w:p>
                </w:tc>
                <w:tc>
                  <w:tcPr>
                    <w:tcW w:w="600" w:type="dxa"/>
                    <w:noWrap/>
                    <w:hideMark/>
                  </w:tcPr>
                  <w:p w14:paraId="72A2C78A" w14:textId="77777777" w:rsidR="00E259C6" w:rsidRPr="00252AC4" w:rsidRDefault="00E259C6">
                    <w:pPr>
                      <w:spacing w:before="100" w:beforeAutospacing="1" w:after="100" w:afterAutospacing="1"/>
                      <w:jc w:val="right"/>
                      <w:rPr>
                        <w:noProof/>
                      </w:rPr>
                    </w:pPr>
                    <w:r w:rsidRPr="00252AC4">
                      <w:rPr>
                        <w:noProof/>
                        <w:color w:val="000000"/>
                        <w:sz w:val="16"/>
                        <w:szCs w:val="16"/>
                      </w:rPr>
                      <w:t>[25]</w:t>
                    </w:r>
                  </w:p>
                </w:tc>
              </w:tr>
              <w:tr w:rsidR="00E259C6" w:rsidRPr="00252AC4" w14:paraId="393423EA" w14:textId="77777777">
                <w:trPr>
                  <w:divId w:val="1587030085"/>
                </w:trPr>
                <w:tc>
                  <w:tcPr>
                    <w:tcW w:w="0" w:type="auto"/>
                    <w:hideMark/>
                  </w:tcPr>
                  <w:p w14:paraId="1B3708C5" w14:textId="77777777" w:rsidR="00E259C6" w:rsidRPr="00252AC4" w:rsidRDefault="00E259C6">
                    <w:pPr>
                      <w:pStyle w:val="Bibliography"/>
                      <w:rPr>
                        <w:noProof/>
                      </w:rPr>
                    </w:pPr>
                    <w:r w:rsidRPr="00252AC4">
                      <w:rPr>
                        <w:noProof/>
                      </w:rPr>
                      <w:lastRenderedPageBreak/>
                      <w:t xml:space="preserve">OECD (2018), </w:t>
                    </w:r>
                    <w:r w:rsidRPr="00252AC4">
                      <w:rPr>
                        <w:i/>
                        <w:iCs/>
                        <w:noProof/>
                      </w:rPr>
                      <w:t>Enhancing Competitiveness in Central Asia</w:t>
                    </w:r>
                    <w:r w:rsidRPr="00252AC4">
                      <w:rPr>
                        <w:noProof/>
                      </w:rPr>
                      <w:t xml:space="preserve">, Competitiveness and Private Sector Development, OECD Publishing, Paris, </w:t>
                    </w:r>
                    <w:r w:rsidRPr="00252AC4">
                      <w:rPr>
                        <w:noProof/>
                        <w:color w:val="0000FF"/>
                        <w:u w:val="single"/>
                      </w:rPr>
                      <w:t>https://dx.doi.org/10.1787/9789264288133-en</w:t>
                    </w:r>
                    <w:r w:rsidRPr="00252AC4">
                      <w:rPr>
                        <w:noProof/>
                      </w:rPr>
                      <w:t>.</w:t>
                    </w:r>
                  </w:p>
                </w:tc>
                <w:tc>
                  <w:tcPr>
                    <w:tcW w:w="600" w:type="dxa"/>
                    <w:noWrap/>
                    <w:hideMark/>
                  </w:tcPr>
                  <w:p w14:paraId="29583D4B" w14:textId="77777777" w:rsidR="00E259C6" w:rsidRPr="00252AC4" w:rsidRDefault="00E259C6">
                    <w:pPr>
                      <w:spacing w:before="100" w:beforeAutospacing="1" w:after="100" w:afterAutospacing="1"/>
                      <w:jc w:val="right"/>
                      <w:rPr>
                        <w:noProof/>
                      </w:rPr>
                    </w:pPr>
                    <w:r w:rsidRPr="00252AC4">
                      <w:rPr>
                        <w:noProof/>
                        <w:color w:val="000000"/>
                        <w:sz w:val="16"/>
                        <w:szCs w:val="16"/>
                      </w:rPr>
                      <w:t>[22]</w:t>
                    </w:r>
                  </w:p>
                </w:tc>
              </w:tr>
              <w:tr w:rsidR="00E259C6" w:rsidRPr="00252AC4" w14:paraId="484FDFCA" w14:textId="77777777">
                <w:trPr>
                  <w:divId w:val="1587030085"/>
                </w:trPr>
                <w:tc>
                  <w:tcPr>
                    <w:tcW w:w="0" w:type="auto"/>
                    <w:hideMark/>
                  </w:tcPr>
                  <w:p w14:paraId="20528E4B" w14:textId="77777777" w:rsidR="00E259C6" w:rsidRPr="00252AC4" w:rsidRDefault="00E259C6">
                    <w:pPr>
                      <w:pStyle w:val="Bibliography"/>
                      <w:rPr>
                        <w:noProof/>
                      </w:rPr>
                    </w:pPr>
                    <w:r w:rsidRPr="00252AC4">
                      <w:rPr>
                        <w:noProof/>
                      </w:rPr>
                      <w:t xml:space="preserve">OECD (2018), </w:t>
                    </w:r>
                    <w:r w:rsidRPr="00252AC4">
                      <w:rPr>
                        <w:i/>
                        <w:iCs/>
                        <w:noProof/>
                      </w:rPr>
                      <w:t>Mapping of Investment Promotion Agencies in OECD Countries</w:t>
                    </w:r>
                    <w:r w:rsidRPr="00252AC4">
                      <w:rPr>
                        <w:noProof/>
                      </w:rPr>
                      <w:t xml:space="preserve">, </w:t>
                    </w:r>
                    <w:r w:rsidRPr="00252AC4">
                      <w:rPr>
                        <w:noProof/>
                        <w:color w:val="0000FF"/>
                        <w:u w:val="single"/>
                      </w:rPr>
                      <w:t>http://dx.doi.org/www.oecd.org/investment/Mapping-of-Investment-Promotion-Agencies-in-OECD-Countries.pdf</w:t>
                    </w:r>
                    <w:r w:rsidRPr="00252AC4">
                      <w:rPr>
                        <w:noProof/>
                      </w:rPr>
                      <w:t>.</w:t>
                    </w:r>
                  </w:p>
                </w:tc>
                <w:tc>
                  <w:tcPr>
                    <w:tcW w:w="600" w:type="dxa"/>
                    <w:noWrap/>
                    <w:hideMark/>
                  </w:tcPr>
                  <w:p w14:paraId="1A299543" w14:textId="77777777" w:rsidR="00E259C6" w:rsidRPr="00252AC4" w:rsidRDefault="00E259C6">
                    <w:pPr>
                      <w:spacing w:before="100" w:beforeAutospacing="1" w:after="100" w:afterAutospacing="1"/>
                      <w:jc w:val="right"/>
                      <w:rPr>
                        <w:noProof/>
                      </w:rPr>
                    </w:pPr>
                    <w:r w:rsidRPr="00252AC4">
                      <w:rPr>
                        <w:noProof/>
                        <w:color w:val="000000"/>
                        <w:sz w:val="16"/>
                        <w:szCs w:val="16"/>
                      </w:rPr>
                      <w:t>[3]</w:t>
                    </w:r>
                  </w:p>
                </w:tc>
              </w:tr>
              <w:tr w:rsidR="00E259C6" w:rsidRPr="00252AC4" w14:paraId="42F2F051" w14:textId="77777777">
                <w:trPr>
                  <w:divId w:val="1587030085"/>
                </w:trPr>
                <w:tc>
                  <w:tcPr>
                    <w:tcW w:w="0" w:type="auto"/>
                    <w:hideMark/>
                  </w:tcPr>
                  <w:p w14:paraId="3B4927EB" w14:textId="77777777" w:rsidR="00E259C6" w:rsidRPr="00252AC4" w:rsidRDefault="00E259C6">
                    <w:pPr>
                      <w:pStyle w:val="Bibliography"/>
                      <w:rPr>
                        <w:noProof/>
                      </w:rPr>
                    </w:pPr>
                    <w:r w:rsidRPr="00252AC4">
                      <w:rPr>
                        <w:noProof/>
                      </w:rPr>
                      <w:t xml:space="preserve">OECD (2017), </w:t>
                    </w:r>
                    <w:r w:rsidRPr="00252AC4">
                      <w:rPr>
                        <w:i/>
                        <w:iCs/>
                        <w:noProof/>
                      </w:rPr>
                      <w:t>Second workshop of the OECD IPA Network: Trends and practices in investment promotion and facilitation</w:t>
                    </w:r>
                    <w:r w:rsidRPr="00252AC4">
                      <w:rPr>
                        <w:noProof/>
                      </w:rPr>
                      <w:t>.</w:t>
                    </w:r>
                  </w:p>
                </w:tc>
                <w:tc>
                  <w:tcPr>
                    <w:tcW w:w="600" w:type="dxa"/>
                    <w:noWrap/>
                    <w:hideMark/>
                  </w:tcPr>
                  <w:p w14:paraId="008D2C8E" w14:textId="77777777" w:rsidR="00E259C6" w:rsidRPr="00252AC4" w:rsidRDefault="00E259C6">
                    <w:pPr>
                      <w:spacing w:before="100" w:beforeAutospacing="1" w:after="100" w:afterAutospacing="1"/>
                      <w:jc w:val="right"/>
                      <w:rPr>
                        <w:noProof/>
                      </w:rPr>
                    </w:pPr>
                    <w:r w:rsidRPr="00252AC4">
                      <w:rPr>
                        <w:noProof/>
                        <w:color w:val="000000"/>
                        <w:sz w:val="16"/>
                        <w:szCs w:val="16"/>
                      </w:rPr>
                      <w:t>[21]</w:t>
                    </w:r>
                  </w:p>
                </w:tc>
              </w:tr>
              <w:tr w:rsidR="00E259C6" w:rsidRPr="00252AC4" w14:paraId="310428E1" w14:textId="77777777">
                <w:trPr>
                  <w:divId w:val="1587030085"/>
                </w:trPr>
                <w:tc>
                  <w:tcPr>
                    <w:tcW w:w="0" w:type="auto"/>
                    <w:hideMark/>
                  </w:tcPr>
                  <w:p w14:paraId="7CFA3E1F" w14:textId="77777777" w:rsidR="00E259C6" w:rsidRPr="00252AC4" w:rsidRDefault="00E259C6">
                    <w:pPr>
                      <w:pStyle w:val="Bibliography"/>
                      <w:rPr>
                        <w:noProof/>
                      </w:rPr>
                    </w:pPr>
                    <w:r w:rsidRPr="00252AC4">
                      <w:rPr>
                        <w:noProof/>
                      </w:rPr>
                      <w:t xml:space="preserve">OECD (2015), </w:t>
                    </w:r>
                    <w:r w:rsidRPr="00252AC4">
                      <w:rPr>
                        <w:i/>
                        <w:iCs/>
                        <w:noProof/>
                      </w:rPr>
                      <w:t>Policy Framework for Investment, 2015 Edition</w:t>
                    </w:r>
                    <w:r w:rsidRPr="00252AC4">
                      <w:rPr>
                        <w:noProof/>
                      </w:rPr>
                      <w:t xml:space="preserve">, OECD Publishing, Paris, </w:t>
                    </w:r>
                    <w:r w:rsidRPr="00252AC4">
                      <w:rPr>
                        <w:noProof/>
                        <w:color w:val="0000FF"/>
                        <w:u w:val="single"/>
                      </w:rPr>
                      <w:t>https://dx.doi.org/10.1787/9789264208667-en</w:t>
                    </w:r>
                    <w:r w:rsidRPr="00252AC4">
                      <w:rPr>
                        <w:noProof/>
                      </w:rPr>
                      <w:t>.</w:t>
                    </w:r>
                  </w:p>
                </w:tc>
                <w:tc>
                  <w:tcPr>
                    <w:tcW w:w="600" w:type="dxa"/>
                    <w:noWrap/>
                    <w:hideMark/>
                  </w:tcPr>
                  <w:p w14:paraId="272E29BE" w14:textId="77777777" w:rsidR="00E259C6" w:rsidRPr="00252AC4" w:rsidRDefault="00E259C6">
                    <w:pPr>
                      <w:spacing w:before="100" w:beforeAutospacing="1" w:after="100" w:afterAutospacing="1"/>
                      <w:jc w:val="right"/>
                      <w:rPr>
                        <w:noProof/>
                      </w:rPr>
                    </w:pPr>
                    <w:r w:rsidRPr="00252AC4">
                      <w:rPr>
                        <w:noProof/>
                        <w:color w:val="000000"/>
                        <w:sz w:val="16"/>
                        <w:szCs w:val="16"/>
                      </w:rPr>
                      <w:t>[5]</w:t>
                    </w:r>
                  </w:p>
                </w:tc>
              </w:tr>
              <w:tr w:rsidR="00E259C6" w:rsidRPr="00252AC4" w14:paraId="6A6F525C" w14:textId="77777777">
                <w:trPr>
                  <w:divId w:val="1587030085"/>
                </w:trPr>
                <w:tc>
                  <w:tcPr>
                    <w:tcW w:w="0" w:type="auto"/>
                    <w:hideMark/>
                  </w:tcPr>
                  <w:p w14:paraId="07A104D3" w14:textId="77777777" w:rsidR="00E259C6" w:rsidRPr="00252AC4" w:rsidRDefault="00E259C6">
                    <w:pPr>
                      <w:pStyle w:val="Bibliography"/>
                      <w:rPr>
                        <w:noProof/>
                      </w:rPr>
                    </w:pPr>
                    <w:r w:rsidRPr="00252AC4">
                      <w:rPr>
                        <w:noProof/>
                      </w:rPr>
                      <w:t xml:space="preserve">OECD (forthcoming), </w:t>
                    </w:r>
                    <w:r w:rsidRPr="00252AC4">
                      <w:rPr>
                        <w:i/>
                        <w:iCs/>
                        <w:noProof/>
                      </w:rPr>
                      <w:t>Legal Environment for Business: Legal and operational environment</w:t>
                    </w:r>
                    <w:r w:rsidRPr="00252AC4">
                      <w:rPr>
                        <w:noProof/>
                      </w:rPr>
                      <w:t>.</w:t>
                    </w:r>
                  </w:p>
                </w:tc>
                <w:tc>
                  <w:tcPr>
                    <w:tcW w:w="600" w:type="dxa"/>
                    <w:noWrap/>
                    <w:hideMark/>
                  </w:tcPr>
                  <w:p w14:paraId="4742D843" w14:textId="77777777" w:rsidR="00E259C6" w:rsidRPr="00252AC4" w:rsidRDefault="00E259C6">
                    <w:pPr>
                      <w:spacing w:before="100" w:beforeAutospacing="1" w:after="100" w:afterAutospacing="1"/>
                      <w:jc w:val="right"/>
                      <w:rPr>
                        <w:noProof/>
                      </w:rPr>
                    </w:pPr>
                    <w:r w:rsidRPr="00252AC4">
                      <w:rPr>
                        <w:noProof/>
                        <w:color w:val="000000"/>
                        <w:sz w:val="16"/>
                        <w:szCs w:val="16"/>
                      </w:rPr>
                      <w:t>[18]</w:t>
                    </w:r>
                  </w:p>
                </w:tc>
              </w:tr>
              <w:tr w:rsidR="00E259C6" w:rsidRPr="00252AC4" w14:paraId="5C3AEDEF" w14:textId="77777777">
                <w:trPr>
                  <w:divId w:val="1587030085"/>
                </w:trPr>
                <w:tc>
                  <w:tcPr>
                    <w:tcW w:w="0" w:type="auto"/>
                    <w:hideMark/>
                  </w:tcPr>
                  <w:p w14:paraId="4BB79353" w14:textId="77777777" w:rsidR="00E259C6" w:rsidRPr="00252AC4" w:rsidRDefault="00E259C6">
                    <w:pPr>
                      <w:pStyle w:val="Bibliography"/>
                      <w:rPr>
                        <w:noProof/>
                      </w:rPr>
                    </w:pPr>
                    <w:r w:rsidRPr="00252AC4">
                      <w:rPr>
                        <w:noProof/>
                      </w:rPr>
                      <w:t xml:space="preserve">OECD and Business France (2018), </w:t>
                    </w:r>
                    <w:r w:rsidRPr="00252AC4">
                      <w:rPr>
                        <w:i/>
                        <w:iCs/>
                        <w:noProof/>
                      </w:rPr>
                      <w:t>The institutional transformation of investment promotion agencies: a case study</w:t>
                    </w:r>
                    <w:r w:rsidRPr="00252AC4">
                      <w:rPr>
                        <w:noProof/>
                      </w:rPr>
                      <w:t>.</w:t>
                    </w:r>
                  </w:p>
                </w:tc>
                <w:tc>
                  <w:tcPr>
                    <w:tcW w:w="600" w:type="dxa"/>
                    <w:noWrap/>
                    <w:hideMark/>
                  </w:tcPr>
                  <w:p w14:paraId="5C9BB350" w14:textId="77777777" w:rsidR="00E259C6" w:rsidRPr="00252AC4" w:rsidRDefault="00E259C6">
                    <w:pPr>
                      <w:spacing w:before="100" w:beforeAutospacing="1" w:after="100" w:afterAutospacing="1"/>
                      <w:jc w:val="right"/>
                      <w:rPr>
                        <w:noProof/>
                      </w:rPr>
                    </w:pPr>
                    <w:r w:rsidRPr="00252AC4">
                      <w:rPr>
                        <w:noProof/>
                        <w:color w:val="000000"/>
                        <w:sz w:val="16"/>
                        <w:szCs w:val="16"/>
                      </w:rPr>
                      <w:t>[11]</w:t>
                    </w:r>
                  </w:p>
                </w:tc>
              </w:tr>
              <w:tr w:rsidR="00E259C6" w:rsidRPr="00252AC4" w14:paraId="1BE01482" w14:textId="77777777">
                <w:trPr>
                  <w:divId w:val="1587030085"/>
                </w:trPr>
                <w:tc>
                  <w:tcPr>
                    <w:tcW w:w="0" w:type="auto"/>
                    <w:hideMark/>
                  </w:tcPr>
                  <w:p w14:paraId="5BC6DCEA" w14:textId="77777777" w:rsidR="00E259C6" w:rsidRPr="00252AC4" w:rsidRDefault="00E259C6">
                    <w:pPr>
                      <w:pStyle w:val="Bibliography"/>
                      <w:rPr>
                        <w:noProof/>
                      </w:rPr>
                    </w:pPr>
                    <w:r w:rsidRPr="00252AC4">
                      <w:rPr>
                        <w:noProof/>
                      </w:rPr>
                      <w:t xml:space="preserve">Pavlínek, P. and P. Žížalová (2016), “Linkages and spillovers in global production networks: firm-level analysis of the Czech automotive industry”, </w:t>
                    </w:r>
                    <w:r w:rsidRPr="00252AC4">
                      <w:rPr>
                        <w:i/>
                        <w:iCs/>
                        <w:noProof/>
                      </w:rPr>
                      <w:t>Journal of Economic Geography</w:t>
                    </w:r>
                    <w:r w:rsidRPr="00252AC4">
                      <w:rPr>
                        <w:noProof/>
                      </w:rPr>
                      <w:t xml:space="preserve">, Vol. 16/2, pp. 331-363, </w:t>
                    </w:r>
                    <w:r w:rsidRPr="00252AC4">
                      <w:rPr>
                        <w:noProof/>
                        <w:color w:val="0000FF"/>
                        <w:u w:val="single"/>
                      </w:rPr>
                      <w:t>http://dx.doi.org/10.1093/jeg/lbu041</w:t>
                    </w:r>
                    <w:r w:rsidRPr="00252AC4">
                      <w:rPr>
                        <w:noProof/>
                      </w:rPr>
                      <w:t>.</w:t>
                    </w:r>
                  </w:p>
                </w:tc>
                <w:tc>
                  <w:tcPr>
                    <w:tcW w:w="600" w:type="dxa"/>
                    <w:noWrap/>
                    <w:hideMark/>
                  </w:tcPr>
                  <w:p w14:paraId="7715D6D8" w14:textId="77777777" w:rsidR="00E259C6" w:rsidRPr="00252AC4" w:rsidRDefault="00E259C6">
                    <w:pPr>
                      <w:spacing w:before="100" w:beforeAutospacing="1" w:after="100" w:afterAutospacing="1"/>
                      <w:jc w:val="right"/>
                      <w:rPr>
                        <w:noProof/>
                      </w:rPr>
                    </w:pPr>
                    <w:r w:rsidRPr="00252AC4">
                      <w:rPr>
                        <w:noProof/>
                        <w:color w:val="000000"/>
                        <w:sz w:val="16"/>
                        <w:szCs w:val="16"/>
                      </w:rPr>
                      <w:t>[35]</w:t>
                    </w:r>
                  </w:p>
                </w:tc>
              </w:tr>
              <w:tr w:rsidR="00E259C6" w:rsidRPr="00252AC4" w14:paraId="1EC6D8CB" w14:textId="77777777">
                <w:trPr>
                  <w:divId w:val="1587030085"/>
                </w:trPr>
                <w:tc>
                  <w:tcPr>
                    <w:tcW w:w="0" w:type="auto"/>
                    <w:hideMark/>
                  </w:tcPr>
                  <w:p w14:paraId="7E7F7266" w14:textId="77777777" w:rsidR="00E259C6" w:rsidRPr="00252AC4" w:rsidRDefault="00E259C6">
                    <w:pPr>
                      <w:pStyle w:val="Bibliography"/>
                      <w:rPr>
                        <w:noProof/>
                      </w:rPr>
                    </w:pPr>
                    <w:r w:rsidRPr="00252AC4">
                      <w:rPr>
                        <w:noProof/>
                      </w:rPr>
                      <w:t xml:space="preserve">Pomfret, R. (2019), </w:t>
                    </w:r>
                    <w:r w:rsidRPr="00252AC4">
                      <w:rPr>
                        <w:i/>
                        <w:iCs/>
                        <w:noProof/>
                      </w:rPr>
                      <w:t>The Central Asian Economies in the Twenty-First Century</w:t>
                    </w:r>
                    <w:r w:rsidRPr="00252AC4">
                      <w:rPr>
                        <w:noProof/>
                      </w:rPr>
                      <w:t xml:space="preserve">, Princeton University Press, </w:t>
                    </w:r>
                    <w:r w:rsidRPr="00252AC4">
                      <w:rPr>
                        <w:noProof/>
                        <w:color w:val="0000FF"/>
                        <w:u w:val="single"/>
                      </w:rPr>
                      <w:t>http://dx.doi.org/10.23943/princeton/9780691182216.001.0001</w:t>
                    </w:r>
                    <w:r w:rsidRPr="00252AC4">
                      <w:rPr>
                        <w:noProof/>
                      </w:rPr>
                      <w:t>.</w:t>
                    </w:r>
                  </w:p>
                </w:tc>
                <w:tc>
                  <w:tcPr>
                    <w:tcW w:w="600" w:type="dxa"/>
                    <w:noWrap/>
                    <w:hideMark/>
                  </w:tcPr>
                  <w:p w14:paraId="7A54B594" w14:textId="77777777" w:rsidR="00E259C6" w:rsidRPr="00252AC4" w:rsidRDefault="00E259C6">
                    <w:pPr>
                      <w:spacing w:before="100" w:beforeAutospacing="1" w:after="100" w:afterAutospacing="1"/>
                      <w:jc w:val="right"/>
                      <w:rPr>
                        <w:noProof/>
                      </w:rPr>
                    </w:pPr>
                    <w:r w:rsidRPr="00252AC4">
                      <w:rPr>
                        <w:noProof/>
                        <w:color w:val="000000"/>
                        <w:sz w:val="16"/>
                        <w:szCs w:val="16"/>
                      </w:rPr>
                      <w:t>[33]</w:t>
                    </w:r>
                  </w:p>
                </w:tc>
              </w:tr>
              <w:tr w:rsidR="00E259C6" w:rsidRPr="00252AC4" w14:paraId="0F335452" w14:textId="77777777">
                <w:trPr>
                  <w:divId w:val="1587030085"/>
                </w:trPr>
                <w:tc>
                  <w:tcPr>
                    <w:tcW w:w="0" w:type="auto"/>
                    <w:hideMark/>
                  </w:tcPr>
                  <w:p w14:paraId="4D77981F" w14:textId="77777777" w:rsidR="00E259C6" w:rsidRPr="00252AC4" w:rsidRDefault="00E259C6">
                    <w:pPr>
                      <w:pStyle w:val="Bibliography"/>
                      <w:rPr>
                        <w:noProof/>
                      </w:rPr>
                    </w:pPr>
                    <w:r w:rsidRPr="00252AC4">
                      <w:rPr>
                        <w:noProof/>
                      </w:rPr>
                      <w:t xml:space="preserve">Rababah, K., H. Mohd and H. &amp; Ibrahim (2011), “Customer relationship management (CRM) processes from theory to practice: The pre-implementation plan of CRM system”, </w:t>
                    </w:r>
                    <w:r w:rsidRPr="00252AC4">
                      <w:rPr>
                        <w:i/>
                        <w:iCs/>
                        <w:noProof/>
                      </w:rPr>
                      <w:t>International Journal of e-Education, e-Business, e-Management and e-Learning</w:t>
                    </w:r>
                    <w:r w:rsidRPr="00252AC4">
                      <w:rPr>
                        <w:noProof/>
                      </w:rPr>
                      <w:t xml:space="preserve">, </w:t>
                    </w:r>
                    <w:r w:rsidRPr="00252AC4">
                      <w:rPr>
                        <w:noProof/>
                        <w:color w:val="0000FF"/>
                        <w:u w:val="single"/>
                      </w:rPr>
                      <w:t>http://www.academia.edu/download/32561951/004-C00077.pdf</w:t>
                    </w:r>
                    <w:r w:rsidRPr="00252AC4">
                      <w:rPr>
                        <w:noProof/>
                      </w:rPr>
                      <w:t xml:space="preserve"> (accessed on 17 January 2020).</w:t>
                    </w:r>
                  </w:p>
                </w:tc>
                <w:tc>
                  <w:tcPr>
                    <w:tcW w:w="600" w:type="dxa"/>
                    <w:noWrap/>
                    <w:hideMark/>
                  </w:tcPr>
                  <w:p w14:paraId="0013B5D5" w14:textId="77777777" w:rsidR="00E259C6" w:rsidRPr="00252AC4" w:rsidRDefault="00E259C6">
                    <w:pPr>
                      <w:spacing w:before="100" w:beforeAutospacing="1" w:after="100" w:afterAutospacing="1"/>
                      <w:jc w:val="right"/>
                      <w:rPr>
                        <w:noProof/>
                      </w:rPr>
                    </w:pPr>
                    <w:r w:rsidRPr="00252AC4">
                      <w:rPr>
                        <w:noProof/>
                        <w:color w:val="000000"/>
                        <w:sz w:val="16"/>
                        <w:szCs w:val="16"/>
                      </w:rPr>
                      <w:t>[29]</w:t>
                    </w:r>
                  </w:p>
                </w:tc>
              </w:tr>
              <w:tr w:rsidR="00E259C6" w:rsidRPr="00252AC4" w14:paraId="10B5D411" w14:textId="77777777">
                <w:trPr>
                  <w:divId w:val="1587030085"/>
                </w:trPr>
                <w:tc>
                  <w:tcPr>
                    <w:tcW w:w="0" w:type="auto"/>
                    <w:hideMark/>
                  </w:tcPr>
                  <w:p w14:paraId="3F367A26" w14:textId="77777777" w:rsidR="00E259C6" w:rsidRPr="00252AC4" w:rsidRDefault="00E259C6">
                    <w:pPr>
                      <w:pStyle w:val="Bibliography"/>
                      <w:rPr>
                        <w:noProof/>
                      </w:rPr>
                    </w:pPr>
                    <w:r w:rsidRPr="00252AC4">
                      <w:rPr>
                        <w:noProof/>
                      </w:rPr>
                      <w:t xml:space="preserve">Rodrik, D. (2004), </w:t>
                    </w:r>
                    <w:r w:rsidRPr="00252AC4">
                      <w:rPr>
                        <w:i/>
                        <w:iCs/>
                        <w:noProof/>
                      </w:rPr>
                      <w:t>Industrial Policy for the Twenty-First Century</w:t>
                    </w:r>
                    <w:r w:rsidRPr="00252AC4">
                      <w:rPr>
                        <w:noProof/>
                      </w:rPr>
                      <w:t>.</w:t>
                    </w:r>
                  </w:p>
                </w:tc>
                <w:tc>
                  <w:tcPr>
                    <w:tcW w:w="600" w:type="dxa"/>
                    <w:noWrap/>
                    <w:hideMark/>
                  </w:tcPr>
                  <w:p w14:paraId="27F8D952" w14:textId="77777777" w:rsidR="00E259C6" w:rsidRPr="00252AC4" w:rsidRDefault="00E259C6">
                    <w:pPr>
                      <w:spacing w:before="100" w:beforeAutospacing="1" w:after="100" w:afterAutospacing="1"/>
                      <w:jc w:val="right"/>
                      <w:rPr>
                        <w:noProof/>
                      </w:rPr>
                    </w:pPr>
                    <w:r w:rsidRPr="00252AC4">
                      <w:rPr>
                        <w:noProof/>
                        <w:color w:val="000000"/>
                        <w:sz w:val="16"/>
                        <w:szCs w:val="16"/>
                      </w:rPr>
                      <w:t>[15]</w:t>
                    </w:r>
                  </w:p>
                </w:tc>
              </w:tr>
              <w:tr w:rsidR="00E259C6" w:rsidRPr="00252AC4" w14:paraId="0332FBCC" w14:textId="77777777">
                <w:trPr>
                  <w:divId w:val="1587030085"/>
                </w:trPr>
                <w:tc>
                  <w:tcPr>
                    <w:tcW w:w="0" w:type="auto"/>
                    <w:hideMark/>
                  </w:tcPr>
                  <w:p w14:paraId="2A954946" w14:textId="77777777" w:rsidR="00E259C6" w:rsidRPr="00252AC4" w:rsidRDefault="00E259C6">
                    <w:pPr>
                      <w:pStyle w:val="Bibliography"/>
                      <w:rPr>
                        <w:noProof/>
                      </w:rPr>
                    </w:pPr>
                    <w:r w:rsidRPr="00252AC4">
                      <w:rPr>
                        <w:noProof/>
                      </w:rPr>
                      <w:t xml:space="preserve">Schellong, A. (2005), “CRM in the public sector: towards a conceptual research framework”, </w:t>
                    </w:r>
                    <w:r w:rsidRPr="00252AC4">
                      <w:rPr>
                        <w:i/>
                        <w:iCs/>
                        <w:noProof/>
                      </w:rPr>
                      <w:t>Proceedings of the 2005 national conference on Digital government research</w:t>
                    </w:r>
                    <w:r w:rsidRPr="00252AC4">
                      <w:rPr>
                        <w:noProof/>
                      </w:rPr>
                      <w:t xml:space="preserve"> January 2005, pp. 326-332, </w:t>
                    </w:r>
                    <w:r w:rsidRPr="00252AC4">
                      <w:rPr>
                        <w:noProof/>
                        <w:color w:val="0000FF"/>
                        <w:u w:val="single"/>
                      </w:rPr>
                      <w:t>http://dx.doi.org/10.1145/1065226.1065342</w:t>
                    </w:r>
                    <w:r w:rsidRPr="00252AC4">
                      <w:rPr>
                        <w:noProof/>
                      </w:rPr>
                      <w:t>.</w:t>
                    </w:r>
                  </w:p>
                </w:tc>
                <w:tc>
                  <w:tcPr>
                    <w:tcW w:w="600" w:type="dxa"/>
                    <w:noWrap/>
                    <w:hideMark/>
                  </w:tcPr>
                  <w:p w14:paraId="3C28C5A4" w14:textId="77777777" w:rsidR="00E259C6" w:rsidRPr="00252AC4" w:rsidRDefault="00E259C6">
                    <w:pPr>
                      <w:spacing w:before="100" w:beforeAutospacing="1" w:after="100" w:afterAutospacing="1"/>
                      <w:jc w:val="right"/>
                      <w:rPr>
                        <w:noProof/>
                      </w:rPr>
                    </w:pPr>
                    <w:r w:rsidRPr="00252AC4">
                      <w:rPr>
                        <w:noProof/>
                        <w:color w:val="000000"/>
                        <w:sz w:val="16"/>
                        <w:szCs w:val="16"/>
                      </w:rPr>
                      <w:t>[30]</w:t>
                    </w:r>
                  </w:p>
                </w:tc>
              </w:tr>
              <w:tr w:rsidR="00E259C6" w:rsidRPr="00252AC4" w14:paraId="7FB1EB98" w14:textId="77777777">
                <w:trPr>
                  <w:divId w:val="1587030085"/>
                </w:trPr>
                <w:tc>
                  <w:tcPr>
                    <w:tcW w:w="0" w:type="auto"/>
                    <w:hideMark/>
                  </w:tcPr>
                  <w:p w14:paraId="55F28511" w14:textId="77777777" w:rsidR="00E259C6" w:rsidRPr="00252AC4" w:rsidRDefault="00E259C6">
                    <w:pPr>
                      <w:pStyle w:val="Bibliography"/>
                      <w:rPr>
                        <w:noProof/>
                      </w:rPr>
                    </w:pPr>
                    <w:r w:rsidRPr="00252AC4">
                      <w:rPr>
                        <w:noProof/>
                      </w:rPr>
                      <w:t>Schumann, A. (2016), “Using Outcome Indicators to Improve Policies: Methods, Design Strategies and Implementation”</w:t>
                    </w:r>
                    <w:r w:rsidRPr="00252AC4">
                      <w:rPr>
                        <w:i/>
                        <w:iCs/>
                        <w:noProof/>
                      </w:rPr>
                      <w:t>, OECD Regional Development Working Papers</w:t>
                    </w:r>
                    <w:r w:rsidRPr="00252AC4">
                      <w:rPr>
                        <w:noProof/>
                      </w:rPr>
                      <w:t xml:space="preserve">, No. 2016/2, OECD Publishing, Paris, </w:t>
                    </w:r>
                    <w:r w:rsidRPr="00252AC4">
                      <w:rPr>
                        <w:noProof/>
                        <w:color w:val="0000FF"/>
                        <w:u w:val="single"/>
                      </w:rPr>
                      <w:t>https://dx.doi.org/10.1787/5jm5cgr8j532-en</w:t>
                    </w:r>
                    <w:r w:rsidRPr="00252AC4">
                      <w:rPr>
                        <w:noProof/>
                      </w:rPr>
                      <w:t>.</w:t>
                    </w:r>
                  </w:p>
                </w:tc>
                <w:tc>
                  <w:tcPr>
                    <w:tcW w:w="600" w:type="dxa"/>
                    <w:noWrap/>
                    <w:hideMark/>
                  </w:tcPr>
                  <w:p w14:paraId="53E7D3B7" w14:textId="77777777" w:rsidR="00E259C6" w:rsidRPr="00252AC4" w:rsidRDefault="00E259C6">
                    <w:pPr>
                      <w:spacing w:before="100" w:beforeAutospacing="1" w:after="100" w:afterAutospacing="1"/>
                      <w:jc w:val="right"/>
                      <w:rPr>
                        <w:noProof/>
                      </w:rPr>
                    </w:pPr>
                    <w:r w:rsidRPr="00252AC4">
                      <w:rPr>
                        <w:noProof/>
                        <w:color w:val="000000"/>
                        <w:sz w:val="16"/>
                        <w:szCs w:val="16"/>
                      </w:rPr>
                      <w:t>[24]</w:t>
                    </w:r>
                  </w:p>
                </w:tc>
              </w:tr>
              <w:tr w:rsidR="00E259C6" w:rsidRPr="00252AC4" w14:paraId="7CCC9968" w14:textId="77777777">
                <w:trPr>
                  <w:divId w:val="1587030085"/>
                </w:trPr>
                <w:tc>
                  <w:tcPr>
                    <w:tcW w:w="0" w:type="auto"/>
                    <w:hideMark/>
                  </w:tcPr>
                  <w:p w14:paraId="67A8176F" w14:textId="77777777" w:rsidR="00E259C6" w:rsidRPr="00252AC4" w:rsidRDefault="00E259C6">
                    <w:pPr>
                      <w:pStyle w:val="Bibliography"/>
                      <w:rPr>
                        <w:noProof/>
                      </w:rPr>
                    </w:pPr>
                    <w:r w:rsidRPr="00252AC4">
                      <w:rPr>
                        <w:noProof/>
                      </w:rPr>
                      <w:t xml:space="preserve">Sztajerowska, M. (2019), </w:t>
                    </w:r>
                    <w:r w:rsidRPr="00252AC4">
                      <w:rPr>
                        <w:i/>
                        <w:iCs/>
                        <w:noProof/>
                      </w:rPr>
                      <w:t>Monitoring and Evaluation: A Brief Guide for Investment Promotion Agencies</w:t>
                    </w:r>
                    <w:r w:rsidRPr="00252AC4">
                      <w:rPr>
                        <w:noProof/>
                      </w:rPr>
                      <w:t xml:space="preserve">, OECD Investment Insights, </w:t>
                    </w:r>
                    <w:r w:rsidRPr="00252AC4">
                      <w:rPr>
                        <w:noProof/>
                        <w:color w:val="0000FF"/>
                        <w:u w:val="single"/>
                      </w:rPr>
                      <w:t>https://www.oecd.org/investment/investment-policy/Monitoring-and-evaluation-a-brief-guide-for-investment-promotion-agencies.pdf</w:t>
                    </w:r>
                    <w:r w:rsidRPr="00252AC4">
                      <w:rPr>
                        <w:noProof/>
                      </w:rPr>
                      <w:t>.</w:t>
                    </w:r>
                  </w:p>
                </w:tc>
                <w:tc>
                  <w:tcPr>
                    <w:tcW w:w="600" w:type="dxa"/>
                    <w:noWrap/>
                    <w:hideMark/>
                  </w:tcPr>
                  <w:p w14:paraId="3697E8D9" w14:textId="77777777" w:rsidR="00E259C6" w:rsidRPr="00252AC4" w:rsidRDefault="00E259C6">
                    <w:pPr>
                      <w:spacing w:before="100" w:beforeAutospacing="1" w:after="100" w:afterAutospacing="1"/>
                      <w:jc w:val="right"/>
                      <w:rPr>
                        <w:noProof/>
                      </w:rPr>
                    </w:pPr>
                    <w:r w:rsidRPr="00252AC4">
                      <w:rPr>
                        <w:noProof/>
                        <w:color w:val="000000"/>
                        <w:sz w:val="16"/>
                        <w:szCs w:val="16"/>
                      </w:rPr>
                      <w:t>[28]</w:t>
                    </w:r>
                  </w:p>
                </w:tc>
              </w:tr>
              <w:tr w:rsidR="00E259C6" w:rsidRPr="00252AC4" w14:paraId="506648F1" w14:textId="77777777">
                <w:trPr>
                  <w:divId w:val="1587030085"/>
                </w:trPr>
                <w:tc>
                  <w:tcPr>
                    <w:tcW w:w="0" w:type="auto"/>
                    <w:hideMark/>
                  </w:tcPr>
                  <w:p w14:paraId="50261D0C" w14:textId="77777777" w:rsidR="00E259C6" w:rsidRPr="00252AC4" w:rsidRDefault="00E259C6">
                    <w:pPr>
                      <w:pStyle w:val="Bibliography"/>
                      <w:rPr>
                        <w:noProof/>
                      </w:rPr>
                    </w:pPr>
                    <w:r w:rsidRPr="00252AC4">
                      <w:rPr>
                        <w:noProof/>
                      </w:rPr>
                      <w:t xml:space="preserve">The Boston Consulting Group (2018), </w:t>
                    </w:r>
                    <w:r w:rsidRPr="00252AC4">
                      <w:rPr>
                        <w:i/>
                        <w:iCs/>
                        <w:noProof/>
                      </w:rPr>
                      <w:t>Investing in Central Asia</w:t>
                    </w:r>
                    <w:r w:rsidRPr="00252AC4">
                      <w:rPr>
                        <w:noProof/>
                      </w:rPr>
                      <w:t>.</w:t>
                    </w:r>
                  </w:p>
                </w:tc>
                <w:tc>
                  <w:tcPr>
                    <w:tcW w:w="600" w:type="dxa"/>
                    <w:noWrap/>
                    <w:hideMark/>
                  </w:tcPr>
                  <w:p w14:paraId="61352F59" w14:textId="77777777" w:rsidR="00E259C6" w:rsidRPr="00252AC4" w:rsidRDefault="00E259C6">
                    <w:pPr>
                      <w:spacing w:before="100" w:beforeAutospacing="1" w:after="100" w:afterAutospacing="1"/>
                      <w:jc w:val="right"/>
                      <w:rPr>
                        <w:noProof/>
                      </w:rPr>
                    </w:pPr>
                    <w:r w:rsidRPr="00252AC4">
                      <w:rPr>
                        <w:noProof/>
                        <w:color w:val="000000"/>
                        <w:sz w:val="16"/>
                        <w:szCs w:val="16"/>
                      </w:rPr>
                      <w:t>[16]</w:t>
                    </w:r>
                  </w:p>
                </w:tc>
              </w:tr>
              <w:tr w:rsidR="00E259C6" w:rsidRPr="00252AC4" w14:paraId="37DF0B39" w14:textId="77777777">
                <w:trPr>
                  <w:divId w:val="1587030085"/>
                </w:trPr>
                <w:tc>
                  <w:tcPr>
                    <w:tcW w:w="0" w:type="auto"/>
                    <w:hideMark/>
                  </w:tcPr>
                  <w:p w14:paraId="7F0916B2" w14:textId="77777777" w:rsidR="00E259C6" w:rsidRPr="00252AC4" w:rsidRDefault="00E259C6">
                    <w:pPr>
                      <w:pStyle w:val="Bibliography"/>
                      <w:rPr>
                        <w:noProof/>
                      </w:rPr>
                    </w:pPr>
                    <w:r w:rsidRPr="00252AC4">
                      <w:rPr>
                        <w:noProof/>
                      </w:rPr>
                      <w:t xml:space="preserve">UNCTAD (2016), </w:t>
                    </w:r>
                    <w:r w:rsidRPr="00252AC4">
                      <w:rPr>
                        <w:i/>
                        <w:iCs/>
                        <w:noProof/>
                      </w:rPr>
                      <w:t>Investment Policy Review of Tajikistan</w:t>
                    </w:r>
                    <w:r w:rsidRPr="00252AC4">
                      <w:rPr>
                        <w:noProof/>
                      </w:rPr>
                      <w:t>.</w:t>
                    </w:r>
                  </w:p>
                </w:tc>
                <w:tc>
                  <w:tcPr>
                    <w:tcW w:w="600" w:type="dxa"/>
                    <w:noWrap/>
                    <w:hideMark/>
                  </w:tcPr>
                  <w:p w14:paraId="1AB8A001" w14:textId="77777777" w:rsidR="00E259C6" w:rsidRPr="00252AC4" w:rsidRDefault="00E259C6">
                    <w:pPr>
                      <w:spacing w:before="100" w:beforeAutospacing="1" w:after="100" w:afterAutospacing="1"/>
                      <w:jc w:val="right"/>
                      <w:rPr>
                        <w:noProof/>
                      </w:rPr>
                    </w:pPr>
                    <w:r w:rsidRPr="00252AC4">
                      <w:rPr>
                        <w:noProof/>
                        <w:color w:val="000000"/>
                        <w:sz w:val="16"/>
                        <w:szCs w:val="16"/>
                      </w:rPr>
                      <w:t>[10]</w:t>
                    </w:r>
                  </w:p>
                </w:tc>
              </w:tr>
              <w:tr w:rsidR="00E259C6" w:rsidRPr="00252AC4" w14:paraId="1E15C3D9" w14:textId="77777777">
                <w:trPr>
                  <w:divId w:val="1587030085"/>
                </w:trPr>
                <w:tc>
                  <w:tcPr>
                    <w:tcW w:w="0" w:type="auto"/>
                    <w:hideMark/>
                  </w:tcPr>
                  <w:p w14:paraId="02BE60C7" w14:textId="77777777" w:rsidR="00E259C6" w:rsidRPr="00252AC4" w:rsidRDefault="00E259C6">
                    <w:pPr>
                      <w:pStyle w:val="Bibliography"/>
                      <w:rPr>
                        <w:noProof/>
                      </w:rPr>
                    </w:pPr>
                    <w:r w:rsidRPr="00252AC4">
                      <w:rPr>
                        <w:noProof/>
                      </w:rPr>
                      <w:lastRenderedPageBreak/>
                      <w:t xml:space="preserve">UNCTAD (2016), </w:t>
                    </w:r>
                    <w:r w:rsidRPr="00252AC4">
                      <w:rPr>
                        <w:i/>
                        <w:iCs/>
                        <w:noProof/>
                      </w:rPr>
                      <w:t>Investment Policy Review: Kyrgyzstan</w:t>
                    </w:r>
                    <w:r w:rsidRPr="00252AC4">
                      <w:rPr>
                        <w:noProof/>
                      </w:rPr>
                      <w:t xml:space="preserve">, </w:t>
                    </w:r>
                    <w:r w:rsidRPr="00252AC4">
                      <w:rPr>
                        <w:noProof/>
                        <w:color w:val="0000FF"/>
                        <w:u w:val="single"/>
                      </w:rPr>
                      <w:t>https://unctad.org/en/pages/PublicationWebflyer.aspx?publicationid=1436</w:t>
                    </w:r>
                    <w:r w:rsidRPr="00252AC4">
                      <w:rPr>
                        <w:noProof/>
                      </w:rPr>
                      <w:t xml:space="preserve"> (accessed on 16 January 2020).</w:t>
                    </w:r>
                  </w:p>
                </w:tc>
                <w:tc>
                  <w:tcPr>
                    <w:tcW w:w="600" w:type="dxa"/>
                    <w:noWrap/>
                    <w:hideMark/>
                  </w:tcPr>
                  <w:p w14:paraId="5C936851" w14:textId="77777777" w:rsidR="00E259C6" w:rsidRPr="00252AC4" w:rsidRDefault="00E259C6">
                    <w:pPr>
                      <w:spacing w:before="100" w:beforeAutospacing="1" w:after="100" w:afterAutospacing="1"/>
                      <w:jc w:val="right"/>
                      <w:rPr>
                        <w:noProof/>
                      </w:rPr>
                    </w:pPr>
                    <w:r w:rsidRPr="00252AC4">
                      <w:rPr>
                        <w:noProof/>
                        <w:color w:val="000000"/>
                        <w:sz w:val="16"/>
                        <w:szCs w:val="16"/>
                      </w:rPr>
                      <w:t>[23]</w:t>
                    </w:r>
                  </w:p>
                </w:tc>
              </w:tr>
              <w:tr w:rsidR="00E259C6" w:rsidRPr="00252AC4" w14:paraId="358A3E83" w14:textId="77777777">
                <w:trPr>
                  <w:divId w:val="1587030085"/>
                </w:trPr>
                <w:tc>
                  <w:tcPr>
                    <w:tcW w:w="0" w:type="auto"/>
                    <w:hideMark/>
                  </w:tcPr>
                  <w:p w14:paraId="44070CD6" w14:textId="77777777" w:rsidR="00E259C6" w:rsidRPr="00252AC4" w:rsidRDefault="00E259C6">
                    <w:pPr>
                      <w:pStyle w:val="Bibliography"/>
                      <w:rPr>
                        <w:noProof/>
                      </w:rPr>
                    </w:pPr>
                    <w:r w:rsidRPr="00252AC4">
                      <w:rPr>
                        <w:noProof/>
                      </w:rPr>
                      <w:t xml:space="preserve">UNCTAD (2007), </w:t>
                    </w:r>
                    <w:r w:rsidRPr="00252AC4">
                      <w:rPr>
                        <w:i/>
                        <w:iCs/>
                        <w:noProof/>
                      </w:rPr>
                      <w:t>Aftercare A Core Function In Investment Promotion</w:t>
                    </w:r>
                    <w:r w:rsidRPr="00252AC4">
                      <w:rPr>
                        <w:noProof/>
                      </w:rPr>
                      <w:t>.</w:t>
                    </w:r>
                  </w:p>
                </w:tc>
                <w:tc>
                  <w:tcPr>
                    <w:tcW w:w="600" w:type="dxa"/>
                    <w:noWrap/>
                    <w:hideMark/>
                  </w:tcPr>
                  <w:p w14:paraId="5D843FA3" w14:textId="77777777" w:rsidR="00E259C6" w:rsidRPr="00252AC4" w:rsidRDefault="00E259C6">
                    <w:pPr>
                      <w:spacing w:before="100" w:beforeAutospacing="1" w:after="100" w:afterAutospacing="1"/>
                      <w:jc w:val="right"/>
                      <w:rPr>
                        <w:noProof/>
                      </w:rPr>
                    </w:pPr>
                    <w:r w:rsidRPr="00252AC4">
                      <w:rPr>
                        <w:noProof/>
                        <w:color w:val="000000"/>
                        <w:sz w:val="16"/>
                        <w:szCs w:val="16"/>
                      </w:rPr>
                      <w:t>[32]</w:t>
                    </w:r>
                  </w:p>
                </w:tc>
              </w:tr>
              <w:tr w:rsidR="00E259C6" w:rsidRPr="00252AC4" w14:paraId="28A6853B" w14:textId="77777777">
                <w:trPr>
                  <w:divId w:val="1587030085"/>
                </w:trPr>
                <w:tc>
                  <w:tcPr>
                    <w:tcW w:w="0" w:type="auto"/>
                    <w:hideMark/>
                  </w:tcPr>
                  <w:p w14:paraId="138CE974" w14:textId="77777777" w:rsidR="00E259C6" w:rsidRPr="00252AC4" w:rsidRDefault="00E259C6">
                    <w:pPr>
                      <w:pStyle w:val="Bibliography"/>
                      <w:rPr>
                        <w:noProof/>
                      </w:rPr>
                    </w:pPr>
                    <w:r w:rsidRPr="00252AC4">
                      <w:rPr>
                        <w:noProof/>
                      </w:rPr>
                      <w:t xml:space="preserve">Volpe Martincus, C. and M. Sztajerowska (2019), </w:t>
                    </w:r>
                    <w:r w:rsidRPr="00252AC4">
                      <w:rPr>
                        <w:i/>
                        <w:iCs/>
                        <w:noProof/>
                      </w:rPr>
                      <w:t>How to Solve the Investment Promotion Puzzle: A Mapping of Investment Promotion Agencies in Latin America and the Caribbean and OECD Countries</w:t>
                    </w:r>
                    <w:r w:rsidRPr="00252AC4">
                      <w:rPr>
                        <w:noProof/>
                      </w:rPr>
                      <w:t xml:space="preserve">, Inter-American Development Bank, </w:t>
                    </w:r>
                    <w:r w:rsidRPr="00252AC4">
                      <w:rPr>
                        <w:noProof/>
                        <w:color w:val="0000FF"/>
                        <w:u w:val="single"/>
                      </w:rPr>
                      <w:t>http://dx.doi.org/10.18235/0001767</w:t>
                    </w:r>
                    <w:r w:rsidRPr="00252AC4">
                      <w:rPr>
                        <w:noProof/>
                      </w:rPr>
                      <w:t>.</w:t>
                    </w:r>
                  </w:p>
                </w:tc>
                <w:tc>
                  <w:tcPr>
                    <w:tcW w:w="600" w:type="dxa"/>
                    <w:noWrap/>
                    <w:hideMark/>
                  </w:tcPr>
                  <w:p w14:paraId="1FE4D405" w14:textId="77777777" w:rsidR="00E259C6" w:rsidRPr="00252AC4" w:rsidRDefault="00E259C6">
                    <w:pPr>
                      <w:spacing w:before="100" w:beforeAutospacing="1" w:after="100" w:afterAutospacing="1"/>
                      <w:jc w:val="right"/>
                      <w:rPr>
                        <w:noProof/>
                      </w:rPr>
                    </w:pPr>
                    <w:r w:rsidRPr="00252AC4">
                      <w:rPr>
                        <w:noProof/>
                        <w:color w:val="000000"/>
                        <w:sz w:val="16"/>
                        <w:szCs w:val="16"/>
                      </w:rPr>
                      <w:t>[9]</w:t>
                    </w:r>
                  </w:p>
                </w:tc>
              </w:tr>
              <w:tr w:rsidR="00E259C6" w:rsidRPr="00252AC4" w14:paraId="6AE36DC7" w14:textId="77777777">
                <w:trPr>
                  <w:divId w:val="1587030085"/>
                </w:trPr>
                <w:tc>
                  <w:tcPr>
                    <w:tcW w:w="0" w:type="auto"/>
                    <w:hideMark/>
                  </w:tcPr>
                  <w:p w14:paraId="1751F1DE" w14:textId="77777777" w:rsidR="00E259C6" w:rsidRPr="00252AC4" w:rsidRDefault="00E259C6">
                    <w:pPr>
                      <w:pStyle w:val="Bibliography"/>
                      <w:rPr>
                        <w:noProof/>
                      </w:rPr>
                    </w:pPr>
                    <w:r w:rsidRPr="00252AC4">
                      <w:rPr>
                        <w:noProof/>
                      </w:rPr>
                      <w:t xml:space="preserve">Weaver, C. (2010), “The politics of performance evaluation: Independent evaluation at the International Monetary Fund”, </w:t>
                    </w:r>
                    <w:r w:rsidRPr="00252AC4">
                      <w:rPr>
                        <w:i/>
                        <w:iCs/>
                        <w:noProof/>
                      </w:rPr>
                      <w:t>Review of International Organizations</w:t>
                    </w:r>
                    <w:r w:rsidRPr="00252AC4">
                      <w:rPr>
                        <w:noProof/>
                      </w:rPr>
                      <w:t xml:space="preserve">, Vol. 5/3, pp. 365-385, </w:t>
                    </w:r>
                    <w:r w:rsidRPr="00252AC4">
                      <w:rPr>
                        <w:noProof/>
                        <w:color w:val="0000FF"/>
                        <w:u w:val="single"/>
                      </w:rPr>
                      <w:t>http://dx.doi.org/10.1007/s11558-010-9094-1</w:t>
                    </w:r>
                    <w:r w:rsidRPr="00252AC4">
                      <w:rPr>
                        <w:noProof/>
                      </w:rPr>
                      <w:t>.</w:t>
                    </w:r>
                  </w:p>
                </w:tc>
                <w:tc>
                  <w:tcPr>
                    <w:tcW w:w="600" w:type="dxa"/>
                    <w:noWrap/>
                    <w:hideMark/>
                  </w:tcPr>
                  <w:p w14:paraId="3DB8856D" w14:textId="77777777" w:rsidR="00E259C6" w:rsidRPr="00252AC4" w:rsidRDefault="00E259C6">
                    <w:pPr>
                      <w:spacing w:before="100" w:beforeAutospacing="1" w:after="100" w:afterAutospacing="1"/>
                      <w:jc w:val="right"/>
                      <w:rPr>
                        <w:noProof/>
                      </w:rPr>
                    </w:pPr>
                    <w:r w:rsidRPr="00252AC4">
                      <w:rPr>
                        <w:noProof/>
                        <w:color w:val="000000"/>
                        <w:sz w:val="16"/>
                        <w:szCs w:val="16"/>
                      </w:rPr>
                      <w:t>[27]</w:t>
                    </w:r>
                  </w:p>
                </w:tc>
              </w:tr>
              <w:tr w:rsidR="00E259C6" w:rsidRPr="00252AC4" w14:paraId="100F1B2C" w14:textId="77777777">
                <w:trPr>
                  <w:divId w:val="1587030085"/>
                </w:trPr>
                <w:tc>
                  <w:tcPr>
                    <w:tcW w:w="0" w:type="auto"/>
                    <w:hideMark/>
                  </w:tcPr>
                  <w:p w14:paraId="31F75A90" w14:textId="77777777" w:rsidR="00E259C6" w:rsidRPr="00252AC4" w:rsidRDefault="00E259C6">
                    <w:pPr>
                      <w:pStyle w:val="Bibliography"/>
                      <w:rPr>
                        <w:noProof/>
                      </w:rPr>
                    </w:pPr>
                    <w:r w:rsidRPr="00252AC4">
                      <w:rPr>
                        <w:noProof/>
                      </w:rPr>
                      <w:t xml:space="preserve">Wells, L. and A. Wint (2000), </w:t>
                    </w:r>
                    <w:r w:rsidRPr="00252AC4">
                      <w:rPr>
                        <w:i/>
                        <w:iCs/>
                        <w:noProof/>
                      </w:rPr>
                      <w:t>Marketing a country : Promotion as a tool for attracting foreign investment.</w:t>
                    </w:r>
                    <w:r w:rsidRPr="00252AC4">
                      <w:rPr>
                        <w:noProof/>
                      </w:rPr>
                      <w:t>, IFC-International Finance Corporation.</w:t>
                    </w:r>
                  </w:p>
                </w:tc>
                <w:tc>
                  <w:tcPr>
                    <w:tcW w:w="600" w:type="dxa"/>
                    <w:noWrap/>
                    <w:hideMark/>
                  </w:tcPr>
                  <w:p w14:paraId="795A161C" w14:textId="77777777" w:rsidR="00E259C6" w:rsidRPr="00252AC4" w:rsidRDefault="00E259C6">
                    <w:pPr>
                      <w:spacing w:before="100" w:beforeAutospacing="1" w:after="100" w:afterAutospacing="1"/>
                      <w:jc w:val="right"/>
                      <w:rPr>
                        <w:noProof/>
                      </w:rPr>
                    </w:pPr>
                    <w:r w:rsidRPr="00252AC4">
                      <w:rPr>
                        <w:noProof/>
                        <w:color w:val="000000"/>
                        <w:sz w:val="16"/>
                        <w:szCs w:val="16"/>
                      </w:rPr>
                      <w:t>[13]</w:t>
                    </w:r>
                  </w:p>
                </w:tc>
              </w:tr>
              <w:tr w:rsidR="00E259C6" w:rsidRPr="00252AC4" w14:paraId="3E078418" w14:textId="77777777">
                <w:trPr>
                  <w:divId w:val="1587030085"/>
                </w:trPr>
                <w:tc>
                  <w:tcPr>
                    <w:tcW w:w="0" w:type="auto"/>
                    <w:hideMark/>
                  </w:tcPr>
                  <w:p w14:paraId="2E922926" w14:textId="77777777" w:rsidR="00E259C6" w:rsidRPr="00252AC4" w:rsidRDefault="00E259C6">
                    <w:pPr>
                      <w:pStyle w:val="Bibliography"/>
                      <w:rPr>
                        <w:noProof/>
                      </w:rPr>
                    </w:pPr>
                    <w:r w:rsidRPr="00252AC4">
                      <w:rPr>
                        <w:noProof/>
                      </w:rPr>
                      <w:t xml:space="preserve">Wells, L. and A. Wint (1990), </w:t>
                    </w:r>
                    <w:r w:rsidRPr="00252AC4">
                      <w:rPr>
                        <w:i/>
                        <w:iCs/>
                        <w:noProof/>
                      </w:rPr>
                      <w:t>Marketing a country: Promotion as a Tool for Attracting Foreign Investment</w:t>
                    </w:r>
                    <w:r w:rsidRPr="00252AC4">
                      <w:rPr>
                        <w:noProof/>
                      </w:rPr>
                      <w:t xml:space="preserve">, The World Bank, </w:t>
                    </w:r>
                    <w:r w:rsidRPr="00252AC4">
                      <w:rPr>
                        <w:noProof/>
                        <w:color w:val="0000FF"/>
                        <w:u w:val="single"/>
                      </w:rPr>
                      <w:t>http://dx.doi.org/10.1596/0-8213-4659-8</w:t>
                    </w:r>
                    <w:r w:rsidRPr="00252AC4">
                      <w:rPr>
                        <w:noProof/>
                      </w:rPr>
                      <w:t>.</w:t>
                    </w:r>
                  </w:p>
                </w:tc>
                <w:tc>
                  <w:tcPr>
                    <w:tcW w:w="600" w:type="dxa"/>
                    <w:noWrap/>
                    <w:hideMark/>
                  </w:tcPr>
                  <w:p w14:paraId="38415931" w14:textId="77777777" w:rsidR="00E259C6" w:rsidRPr="00252AC4" w:rsidRDefault="00E259C6">
                    <w:pPr>
                      <w:spacing w:before="100" w:beforeAutospacing="1" w:after="100" w:afterAutospacing="1"/>
                      <w:jc w:val="right"/>
                      <w:rPr>
                        <w:noProof/>
                      </w:rPr>
                    </w:pPr>
                    <w:r w:rsidRPr="00252AC4">
                      <w:rPr>
                        <w:noProof/>
                        <w:color w:val="000000"/>
                        <w:sz w:val="16"/>
                        <w:szCs w:val="16"/>
                      </w:rPr>
                      <w:t>[6]</w:t>
                    </w:r>
                  </w:p>
                </w:tc>
              </w:tr>
              <w:tr w:rsidR="00E259C6" w:rsidRPr="00252AC4" w14:paraId="268C55E9" w14:textId="77777777">
                <w:trPr>
                  <w:divId w:val="1587030085"/>
                </w:trPr>
                <w:tc>
                  <w:tcPr>
                    <w:tcW w:w="0" w:type="auto"/>
                    <w:hideMark/>
                  </w:tcPr>
                  <w:p w14:paraId="416357A6" w14:textId="77777777" w:rsidR="00E259C6" w:rsidRPr="00252AC4" w:rsidRDefault="00E259C6">
                    <w:pPr>
                      <w:pStyle w:val="Bibliography"/>
                      <w:rPr>
                        <w:noProof/>
                      </w:rPr>
                    </w:pPr>
                    <w:r w:rsidRPr="00252AC4">
                      <w:rPr>
                        <w:noProof/>
                      </w:rPr>
                      <w:t xml:space="preserve">Young, S. and N. Hood (1995), </w:t>
                    </w:r>
                    <w:r w:rsidRPr="00252AC4">
                      <w:rPr>
                        <w:i/>
                        <w:iCs/>
                        <w:noProof/>
                      </w:rPr>
                      <w:t>Attracting, managing and developing inward investment in the single market - Behind the Myth of European</w:t>
                    </w:r>
                    <w:r w:rsidRPr="00252AC4">
                      <w:rPr>
                        <w:noProof/>
                      </w:rPr>
                      <w:t>, Routledge, London, 282-304.</w:t>
                    </w:r>
                  </w:p>
                </w:tc>
                <w:tc>
                  <w:tcPr>
                    <w:tcW w:w="600" w:type="dxa"/>
                    <w:noWrap/>
                    <w:hideMark/>
                  </w:tcPr>
                  <w:p w14:paraId="1B26475C" w14:textId="77777777" w:rsidR="00E259C6" w:rsidRPr="00252AC4" w:rsidRDefault="00E259C6">
                    <w:pPr>
                      <w:spacing w:before="100" w:beforeAutospacing="1" w:after="100" w:afterAutospacing="1"/>
                      <w:jc w:val="right"/>
                      <w:rPr>
                        <w:noProof/>
                      </w:rPr>
                    </w:pPr>
                    <w:r w:rsidRPr="00252AC4">
                      <w:rPr>
                        <w:noProof/>
                        <w:color w:val="000000"/>
                        <w:sz w:val="16"/>
                        <w:szCs w:val="16"/>
                      </w:rPr>
                      <w:t>[19]</w:t>
                    </w:r>
                  </w:p>
                </w:tc>
              </w:tr>
            </w:tbl>
            <w:p w14:paraId="70C89C0A" w14:textId="77777777" w:rsidR="00E259C6" w:rsidRPr="00252AC4" w:rsidRDefault="00E259C6">
              <w:pPr>
                <w:divId w:val="1587030085"/>
                <w:rPr>
                  <w:rFonts w:eastAsia="Times New Roman"/>
                  <w:noProof/>
                </w:rPr>
              </w:pPr>
            </w:p>
            <w:p w14:paraId="42A1F1BA" w14:textId="52BF933C" w:rsidR="003D04E7" w:rsidRDefault="003D04E7">
              <w:r w:rsidRPr="00252AC4">
                <w:rPr>
                  <w:b/>
                  <w:bCs/>
                  <w:noProof/>
                </w:rPr>
                <w:fldChar w:fldCharType="end"/>
              </w:r>
            </w:p>
          </w:sdtContent>
        </w:sdt>
      </w:sdtContent>
    </w:sdt>
    <w:sectPr w:rsidR="003D04E7" w:rsidSect="004E16C1">
      <w:headerReference w:type="even" r:id="rId90"/>
      <w:headerReference w:type="default" r:id="rId91"/>
      <w:footerReference w:type="even" r:id="rId92"/>
      <w:footerReference w:type="default" r:id="rId93"/>
      <w:endnotePr>
        <w:numFmt w:val="decimal"/>
        <w:numRestart w:val="eachSect"/>
      </w:endnotePr>
      <w:type w:val="continuous"/>
      <w:pgSz w:w="11906" w:h="16838" w:code="9"/>
      <w:pgMar w:top="2098" w:right="1304" w:bottom="1928" w:left="1304" w:header="153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4D48F" w14:textId="77777777" w:rsidR="008914FE" w:rsidRDefault="008914FE" w:rsidP="00CC3749">
      <w:pPr>
        <w:spacing w:after="0"/>
      </w:pPr>
    </w:p>
  </w:endnote>
  <w:endnote w:type="continuationSeparator" w:id="0">
    <w:p w14:paraId="2B8D9790" w14:textId="77777777" w:rsidR="008914FE" w:rsidRPr="00CF4424" w:rsidRDefault="008914FE" w:rsidP="00CF4424">
      <w:pPr>
        <w:pStyle w:val="Footer"/>
        <w:jc w:val="both"/>
      </w:pPr>
    </w:p>
  </w:endnote>
  <w:endnote w:type="continuationNotice" w:id="1">
    <w:p w14:paraId="76D70B9B" w14:textId="77777777" w:rsidR="008914FE" w:rsidRDefault="008914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StatLink">
    <w:panose1 w:val="02000000000000000000"/>
    <w:charset w:val="00"/>
    <w:family w:val="auto"/>
    <w:pitch w:val="variable"/>
    <w:sig w:usb0="8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489064619"/>
      <w:lock w:val="sdtLocked"/>
    </w:sdtPr>
    <w:sdtEndPr/>
    <w:sdtContent>
      <w:p w14:paraId="1BFAC1C6" w14:textId="77777777" w:rsidR="008914FE" w:rsidRDefault="008914FE" w:rsidP="004E100F">
        <w:pPr>
          <w:pStyle w:val="Footer"/>
          <w:jc w:val="right"/>
        </w:pPr>
        <w:r>
          <w:t xml:space="preserve"> </w:t>
        </w:r>
      </w:p>
    </w:sdtContent>
  </w:sdt>
  <w:sdt>
    <w:sdtPr>
      <w:alias w:val="Classification"/>
      <w:tag w:val="txtHeaderClassif"/>
      <w:id w:val="1572003529"/>
      <w:lock w:val="sdtLocked"/>
    </w:sdtPr>
    <w:sdtEndPr/>
    <w:sdtContent>
      <w:p w14:paraId="7DE89820" w14:textId="77777777" w:rsidR="008914FE" w:rsidRDefault="008914FE" w:rsidP="004E100F">
        <w:pPr>
          <w:pStyle w:val="FooterClassification"/>
          <w:jc w:val="left"/>
        </w:pP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877918790"/>
      <w:lock w:val="sdtLocked"/>
    </w:sdtPr>
    <w:sdtEndPr/>
    <w:sdtContent>
      <w:p w14:paraId="74A81F93" w14:textId="77777777" w:rsidR="008914FE" w:rsidRDefault="008914FE" w:rsidP="004E100F">
        <w:pPr>
          <w:pStyle w:val="Footer"/>
          <w:jc w:val="left"/>
          <w:rPr>
            <w:caps w:val="0"/>
            <w:sz w:val="22"/>
          </w:rPr>
        </w:pPr>
        <w:r>
          <w:t xml:space="preserve"> </w:t>
        </w:r>
      </w:p>
    </w:sdtContent>
  </w:sdt>
  <w:sdt>
    <w:sdtPr>
      <w:alias w:val="Classification"/>
      <w:tag w:val="txtHeaderClassif"/>
      <w:id w:val="-1343312682"/>
      <w:lock w:val="sdtLocked"/>
    </w:sdtPr>
    <w:sdtEndPr/>
    <w:sdtContent>
      <w:p w14:paraId="70D046C8" w14:textId="77777777" w:rsidR="008914FE" w:rsidRPr="004E100F" w:rsidRDefault="008914FE" w:rsidP="004E100F">
        <w:pPr>
          <w:pStyle w:val="FooterClassification"/>
          <w:rPr>
            <w:sz w:val="22"/>
          </w:rPr>
        </w:pP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8BF1E" w14:textId="77777777" w:rsidR="008914FE" w:rsidRDefault="008914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217002386"/>
      <w:lock w:val="sdtLocked"/>
    </w:sdtPr>
    <w:sdtEndPr/>
    <w:sdtContent>
      <w:p w14:paraId="77E4AA87" w14:textId="77777777" w:rsidR="008914FE" w:rsidRDefault="008914FE" w:rsidP="004E100F">
        <w:pPr>
          <w:pStyle w:val="Footer"/>
          <w:jc w:val="right"/>
        </w:pPr>
        <w:r>
          <w:t xml:space="preserve"> </w:t>
        </w:r>
      </w:p>
    </w:sdtContent>
  </w:sdt>
  <w:sdt>
    <w:sdtPr>
      <w:alias w:val="Classification"/>
      <w:tag w:val="txtHeaderClassif"/>
      <w:id w:val="-1918931641"/>
      <w:lock w:val="sdtLocked"/>
    </w:sdtPr>
    <w:sdtEndPr/>
    <w:sdtContent>
      <w:p w14:paraId="1A6F03EB" w14:textId="77777777" w:rsidR="008914FE" w:rsidRDefault="008914FE" w:rsidP="004E100F">
        <w:pPr>
          <w:pStyle w:val="FooterClassification"/>
          <w:jc w:val="left"/>
        </w:pP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Document Title"/>
      <w:tag w:val="FooterDocTitle"/>
      <w:id w:val="-1884096409"/>
      <w:lock w:val="sdtLocked"/>
    </w:sdtPr>
    <w:sdtEndPr/>
    <w:sdtContent>
      <w:p w14:paraId="273B1CC8" w14:textId="77777777" w:rsidR="008914FE" w:rsidRDefault="008914FE" w:rsidP="004E100F">
        <w:pPr>
          <w:pStyle w:val="Footer"/>
          <w:jc w:val="left"/>
          <w:rPr>
            <w:caps w:val="0"/>
            <w:sz w:val="22"/>
          </w:rPr>
        </w:pPr>
        <w:r>
          <w:t xml:space="preserve"> </w:t>
        </w:r>
      </w:p>
    </w:sdtContent>
  </w:sdt>
  <w:sdt>
    <w:sdtPr>
      <w:alias w:val="Classification"/>
      <w:tag w:val="txtHeaderClassif"/>
      <w:id w:val="-311407045"/>
      <w:lock w:val="sdtLocked"/>
    </w:sdtPr>
    <w:sdtEndPr/>
    <w:sdtContent>
      <w:p w14:paraId="21CBDD87" w14:textId="77777777" w:rsidR="008914FE" w:rsidRPr="004E100F" w:rsidRDefault="008914FE" w:rsidP="004E100F">
        <w:pPr>
          <w:pStyle w:val="FooterClassification"/>
          <w:rPr>
            <w:sz w:val="22"/>
          </w:rPr>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D3D38" w14:textId="77777777" w:rsidR="008914FE" w:rsidRDefault="008914FE" w:rsidP="00CC3749">
      <w:pPr>
        <w:spacing w:after="0"/>
      </w:pPr>
      <w:r>
        <w:separator/>
      </w:r>
    </w:p>
  </w:footnote>
  <w:footnote w:type="continuationSeparator" w:id="0">
    <w:p w14:paraId="7CAA88FB" w14:textId="77777777" w:rsidR="008914FE" w:rsidRDefault="008914FE" w:rsidP="00CC3749">
      <w:pPr>
        <w:spacing w:after="0"/>
      </w:pPr>
      <w:r>
        <w:continuationSeparator/>
      </w:r>
    </w:p>
  </w:footnote>
  <w:footnote w:type="continuationNotice" w:id="1">
    <w:p w14:paraId="3DC67368" w14:textId="77777777" w:rsidR="008914FE" w:rsidRDefault="008914FE">
      <w:pPr>
        <w:spacing w:after="0"/>
      </w:pPr>
    </w:p>
  </w:footnote>
  <w:footnote w:id="2">
    <w:p w14:paraId="7CFB2169" w14:textId="5859C983" w:rsidR="008914FE" w:rsidRPr="00437913" w:rsidRDefault="008914FE">
      <w:pPr>
        <w:pStyle w:val="FootnoteText"/>
      </w:pPr>
      <w:r>
        <w:rPr>
          <w:rStyle w:val="FootnoteReference"/>
        </w:rPr>
        <w:footnoteRef/>
      </w:r>
      <w:r>
        <w:t xml:space="preserve"> This topic was discussed d</w:t>
      </w:r>
      <w:r w:rsidRPr="00437913">
        <w:t>uring an OECD workshop on investment</w:t>
      </w:r>
      <w:r>
        <w:t xml:space="preserve"> promotion practices in Eurasia, </w:t>
      </w:r>
      <w:r w:rsidRPr="00437913">
        <w:t>in October 2019</w:t>
      </w:r>
      <w:r>
        <w:t xml:space="preserve"> in Paris.</w:t>
      </w:r>
    </w:p>
  </w:footnote>
  <w:footnote w:id="3">
    <w:p w14:paraId="53488E41" w14:textId="129C4EE6" w:rsidR="008914FE" w:rsidRDefault="008914FE">
      <w:r>
        <w:rPr>
          <w:rStyle w:val="FootnoteReference"/>
        </w:rPr>
        <w:footnoteRef/>
      </w:r>
      <w:r>
        <w:t xml:space="preserve"> </w:t>
      </w:r>
      <w:r w:rsidRPr="00150F6B">
        <w:t>According to di</w:t>
      </w:r>
      <w:r>
        <w:t>s</w:t>
      </w:r>
      <w:r w:rsidRPr="00150F6B">
        <w:t xml:space="preserve">cussions with Business Sweden in the framework of the OECD </w:t>
      </w:r>
      <w:r>
        <w:t xml:space="preserve">IPA </w:t>
      </w:r>
      <w:r w:rsidRPr="00150F6B">
        <w:t xml:space="preserve">Workshop </w:t>
      </w:r>
      <w:r>
        <w:t>held in October 2017 in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D6D0" w14:textId="7414AFCA" w:rsidR="008914FE" w:rsidRDefault="009915F6" w:rsidP="004E100F">
    <w:pPr>
      <w:pStyle w:val="Header"/>
    </w:pPr>
    <w:sdt>
      <w:sdtPr>
        <w:rPr>
          <w:rStyle w:val="PageNumber"/>
        </w:rPr>
        <w:alias w:val="Page Number"/>
        <w:tag w:val="TxtPageNumber"/>
        <w:id w:val="1165905607"/>
        <w:lock w:val="sdtLocked"/>
      </w:sdtPr>
      <w:sdtEndPr>
        <w:rPr>
          <w:rStyle w:val="DefaultParagraphFont"/>
          <w:b w:val="0"/>
        </w:rPr>
      </w:sdtEndPr>
      <w:sdtContent>
        <w:r w:rsidR="008914FE" w:rsidRPr="00CC3749">
          <w:rPr>
            <w:rStyle w:val="PageNumber"/>
          </w:rPr>
          <w:fldChar w:fldCharType="begin"/>
        </w:r>
        <w:r w:rsidR="008914FE" w:rsidRPr="00CC3749">
          <w:rPr>
            <w:rStyle w:val="PageNumber"/>
          </w:rPr>
          <w:instrText xml:space="preserve"> PAGE   \* MERGEFORMAT </w:instrText>
        </w:r>
        <w:r w:rsidR="008914FE" w:rsidRPr="00CC3749">
          <w:rPr>
            <w:rStyle w:val="PageNumber"/>
          </w:rPr>
          <w:fldChar w:fldCharType="separate"/>
        </w:r>
        <w:r w:rsidR="008914FE">
          <w:rPr>
            <w:rStyle w:val="PageNumber"/>
            <w:noProof/>
          </w:rPr>
          <w:t>2</w:t>
        </w:r>
        <w:r w:rsidR="008914FE" w:rsidRPr="00CC3749">
          <w:rPr>
            <w:rStyle w:val="PageNumber"/>
            <w:noProof/>
          </w:rPr>
          <w:fldChar w:fldCharType="end"/>
        </w:r>
      </w:sdtContent>
    </w:sdt>
    <w:r w:rsidR="008914FE">
      <w:t xml:space="preserve"> </w:t>
    </w:r>
    <w:r w:rsidR="008914FE">
      <w:sym w:font="Symbol" w:char="F07C"/>
    </w:r>
    <w:r w:rsidR="008914FE">
      <w:t xml:space="preserve"> </w:t>
    </w:r>
    <w:sdt>
      <w:sdtPr>
        <w:rPr>
          <w:rStyle w:val="HeaderTitle"/>
        </w:rPr>
        <w:alias w:val="Cote/Chapter"/>
        <w:tag w:val="txtHeaderValue"/>
        <w:id w:val="1918595819"/>
        <w:lock w:val="sdtLocked"/>
      </w:sdtPr>
      <w:sdtEndPr>
        <w:rPr>
          <w:rStyle w:val="DefaultParagraphFont"/>
          <w:caps w:val="0"/>
          <w:sz w:val="22"/>
        </w:rPr>
      </w:sdtEndPr>
      <w:sdtContent>
        <w:r w:rsidR="008914FE">
          <w:rPr>
            <w:rStyle w:val="HeaderTitle"/>
          </w:rPr>
          <w:t xml:space="preserve"> </w:t>
        </w:r>
      </w:sdtContent>
    </w:sdt>
  </w:p>
  <w:p w14:paraId="7427DB4D" w14:textId="77777777" w:rsidR="008914FE" w:rsidRPr="00CC3749" w:rsidRDefault="008914FE" w:rsidP="004E100F">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54CD2" w14:textId="39A5DABD" w:rsidR="008914FE" w:rsidRDefault="009915F6" w:rsidP="004E100F">
    <w:pPr>
      <w:pStyle w:val="Header"/>
      <w:jc w:val="right"/>
    </w:pPr>
    <w:sdt>
      <w:sdtPr>
        <w:rPr>
          <w:rStyle w:val="HeaderTitle"/>
        </w:rPr>
        <w:alias w:val="Cote/Chapter"/>
        <w:tag w:val="txtHeaderValue"/>
        <w:id w:val="133680785"/>
        <w:lock w:val="sdtLocked"/>
      </w:sdtPr>
      <w:sdtEndPr>
        <w:rPr>
          <w:rStyle w:val="DefaultParagraphFont"/>
          <w:caps w:val="0"/>
          <w:sz w:val="22"/>
        </w:rPr>
      </w:sdtEndPr>
      <w:sdtContent>
        <w:r w:rsidR="008914FE">
          <w:rPr>
            <w:rStyle w:val="HeaderTitle"/>
          </w:rPr>
          <w:t xml:space="preserve"> </w:t>
        </w:r>
      </w:sdtContent>
    </w:sdt>
    <w:r w:rsidR="008914FE">
      <w:rPr>
        <w:rStyle w:val="PageNumber"/>
      </w:rPr>
      <w:t xml:space="preserve"> </w:t>
    </w:r>
    <w:r w:rsidR="008914FE">
      <w:rPr>
        <w:rStyle w:val="PageNumber"/>
      </w:rPr>
      <w:sym w:font="Symbol" w:char="F07C"/>
    </w:r>
    <w:r w:rsidR="008914FE">
      <w:rPr>
        <w:rStyle w:val="PageNumber"/>
      </w:rPr>
      <w:t xml:space="preserve"> </w:t>
    </w:r>
    <w:sdt>
      <w:sdtPr>
        <w:rPr>
          <w:rStyle w:val="PageNumber"/>
        </w:rPr>
        <w:alias w:val="Page Number"/>
        <w:tag w:val="TxtPageNumber"/>
        <w:id w:val="-25488730"/>
        <w:lock w:val="sdtLocked"/>
      </w:sdtPr>
      <w:sdtEndPr>
        <w:rPr>
          <w:rStyle w:val="DefaultParagraphFont"/>
          <w:b w:val="0"/>
        </w:rPr>
      </w:sdtEndPr>
      <w:sdtContent>
        <w:r w:rsidR="008914FE" w:rsidRPr="00CC3749">
          <w:rPr>
            <w:rStyle w:val="PageNumber"/>
          </w:rPr>
          <w:fldChar w:fldCharType="begin"/>
        </w:r>
        <w:r w:rsidR="008914FE" w:rsidRPr="00CC3749">
          <w:rPr>
            <w:rStyle w:val="PageNumber"/>
          </w:rPr>
          <w:instrText xml:space="preserve"> PAGE   \* MERGEFORMAT </w:instrText>
        </w:r>
        <w:r w:rsidR="008914FE" w:rsidRPr="00CC3749">
          <w:rPr>
            <w:rStyle w:val="PageNumber"/>
          </w:rPr>
          <w:fldChar w:fldCharType="separate"/>
        </w:r>
        <w:r w:rsidR="008914FE">
          <w:rPr>
            <w:rStyle w:val="PageNumber"/>
            <w:noProof/>
          </w:rPr>
          <w:t>3</w:t>
        </w:r>
        <w:r w:rsidR="008914FE" w:rsidRPr="00CC3749">
          <w:rPr>
            <w:rStyle w:val="PageNumber"/>
            <w:noProof/>
          </w:rPr>
          <w:fldChar w:fldCharType="end"/>
        </w:r>
      </w:sdtContent>
    </w:sdt>
  </w:p>
  <w:p w14:paraId="4FB0FAF1" w14:textId="77777777" w:rsidR="008914FE" w:rsidRDefault="008914FE" w:rsidP="004E100F">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93077" w14:textId="77777777" w:rsidR="008914FE" w:rsidRDefault="008914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CA200" w14:textId="52B1426E" w:rsidR="008914FE" w:rsidRDefault="009915F6" w:rsidP="004E100F">
    <w:pPr>
      <w:pStyle w:val="Header"/>
    </w:pPr>
    <w:sdt>
      <w:sdtPr>
        <w:rPr>
          <w:rStyle w:val="PageNumber"/>
        </w:rPr>
        <w:alias w:val="Page Number"/>
        <w:tag w:val="TxtPageNumber"/>
        <w:id w:val="-1835755985"/>
        <w:lock w:val="sdtLocked"/>
      </w:sdtPr>
      <w:sdtEndPr>
        <w:rPr>
          <w:rStyle w:val="DefaultParagraphFont"/>
          <w:b w:val="0"/>
        </w:rPr>
      </w:sdtEndPr>
      <w:sdtContent>
        <w:r w:rsidR="008914FE" w:rsidRPr="00CC3749">
          <w:rPr>
            <w:rStyle w:val="PageNumber"/>
          </w:rPr>
          <w:fldChar w:fldCharType="begin"/>
        </w:r>
        <w:r w:rsidR="008914FE" w:rsidRPr="00CC3749">
          <w:rPr>
            <w:rStyle w:val="PageNumber"/>
          </w:rPr>
          <w:instrText xml:space="preserve"> PAGE   \* MERGEFORMAT </w:instrText>
        </w:r>
        <w:r w:rsidR="008914FE" w:rsidRPr="00CC3749">
          <w:rPr>
            <w:rStyle w:val="PageNumber"/>
          </w:rPr>
          <w:fldChar w:fldCharType="separate"/>
        </w:r>
        <w:r>
          <w:rPr>
            <w:rStyle w:val="PageNumber"/>
            <w:noProof/>
          </w:rPr>
          <w:t>4</w:t>
        </w:r>
        <w:r w:rsidR="008914FE" w:rsidRPr="00CC3749">
          <w:rPr>
            <w:rStyle w:val="PageNumber"/>
            <w:noProof/>
          </w:rPr>
          <w:fldChar w:fldCharType="end"/>
        </w:r>
      </w:sdtContent>
    </w:sdt>
    <w:r w:rsidR="008914FE">
      <w:t xml:space="preserve"> </w:t>
    </w:r>
    <w:r w:rsidR="008914FE">
      <w:sym w:font="Symbol" w:char="F07C"/>
    </w:r>
    <w:r w:rsidR="008914FE">
      <w:t xml:space="preserve"> </w:t>
    </w:r>
    <w:sdt>
      <w:sdtPr>
        <w:rPr>
          <w:rStyle w:val="HeaderTitle"/>
        </w:rPr>
        <w:alias w:val="Cote/Chapter"/>
        <w:tag w:val="txtHeaderValue"/>
        <w:id w:val="-308635562"/>
        <w:lock w:val="sdtLocked"/>
      </w:sdtPr>
      <w:sdtEndPr>
        <w:rPr>
          <w:rStyle w:val="DefaultParagraphFont"/>
          <w:caps w:val="0"/>
          <w:sz w:val="22"/>
        </w:rPr>
      </w:sdtEndPr>
      <w:sdtContent>
        <w:r w:rsidR="008914FE">
          <w:rPr>
            <w:rStyle w:val="HeaderTitle"/>
          </w:rPr>
          <w:t xml:space="preserve"> </w:t>
        </w:r>
      </w:sdtContent>
    </w:sdt>
  </w:p>
  <w:p w14:paraId="412FAC32" w14:textId="77777777" w:rsidR="008914FE" w:rsidRPr="00CC3749" w:rsidRDefault="008914FE" w:rsidP="004E100F">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6753" w14:textId="5AF8DEE2" w:rsidR="008914FE" w:rsidRDefault="009915F6" w:rsidP="004E100F">
    <w:pPr>
      <w:pStyle w:val="Header"/>
      <w:jc w:val="right"/>
    </w:pPr>
    <w:sdt>
      <w:sdtPr>
        <w:rPr>
          <w:rStyle w:val="HeaderTitle"/>
        </w:rPr>
        <w:alias w:val="Cote/Chapter"/>
        <w:tag w:val="txtHeaderValue"/>
        <w:id w:val="-244348000"/>
        <w:lock w:val="sdtLocked"/>
      </w:sdtPr>
      <w:sdtEndPr>
        <w:rPr>
          <w:rStyle w:val="DefaultParagraphFont"/>
          <w:caps w:val="0"/>
          <w:sz w:val="22"/>
        </w:rPr>
      </w:sdtEndPr>
      <w:sdtContent>
        <w:r w:rsidR="008914FE">
          <w:rPr>
            <w:rStyle w:val="HeaderTitle"/>
          </w:rPr>
          <w:t xml:space="preserve"> </w:t>
        </w:r>
      </w:sdtContent>
    </w:sdt>
    <w:r w:rsidR="008914FE">
      <w:rPr>
        <w:rStyle w:val="PageNumber"/>
      </w:rPr>
      <w:t xml:space="preserve"> </w:t>
    </w:r>
    <w:r w:rsidR="008914FE">
      <w:rPr>
        <w:rStyle w:val="PageNumber"/>
      </w:rPr>
      <w:sym w:font="Symbol" w:char="F07C"/>
    </w:r>
    <w:r w:rsidR="008914FE">
      <w:rPr>
        <w:rStyle w:val="PageNumber"/>
      </w:rPr>
      <w:t xml:space="preserve"> </w:t>
    </w:r>
    <w:sdt>
      <w:sdtPr>
        <w:rPr>
          <w:rStyle w:val="PageNumber"/>
        </w:rPr>
        <w:alias w:val="Page Number"/>
        <w:tag w:val="TxtPageNumber"/>
        <w:id w:val="1076251128"/>
        <w:lock w:val="sdtLocked"/>
      </w:sdtPr>
      <w:sdtEndPr>
        <w:rPr>
          <w:rStyle w:val="DefaultParagraphFont"/>
          <w:b w:val="0"/>
        </w:rPr>
      </w:sdtEndPr>
      <w:sdtContent>
        <w:r w:rsidR="008914FE" w:rsidRPr="00CC3749">
          <w:rPr>
            <w:rStyle w:val="PageNumber"/>
          </w:rPr>
          <w:fldChar w:fldCharType="begin"/>
        </w:r>
        <w:r w:rsidR="008914FE" w:rsidRPr="00CC3749">
          <w:rPr>
            <w:rStyle w:val="PageNumber"/>
          </w:rPr>
          <w:instrText xml:space="preserve"> PAGE   \* MERGEFORMAT </w:instrText>
        </w:r>
        <w:r w:rsidR="008914FE" w:rsidRPr="00CC3749">
          <w:rPr>
            <w:rStyle w:val="PageNumber"/>
          </w:rPr>
          <w:fldChar w:fldCharType="separate"/>
        </w:r>
        <w:r>
          <w:rPr>
            <w:rStyle w:val="PageNumber"/>
            <w:noProof/>
          </w:rPr>
          <w:t>5</w:t>
        </w:r>
        <w:r w:rsidR="008914FE" w:rsidRPr="00CC3749">
          <w:rPr>
            <w:rStyle w:val="PageNumber"/>
            <w:noProof/>
          </w:rPr>
          <w:fldChar w:fldCharType="end"/>
        </w:r>
      </w:sdtContent>
    </w:sdt>
  </w:p>
  <w:p w14:paraId="289CD031" w14:textId="77777777" w:rsidR="008914FE" w:rsidRDefault="008914FE" w:rsidP="004E100F">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FE40C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5435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2C59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2C1A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BA18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ACD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B06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AC28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2C3A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1DE4C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D17AF"/>
    <w:multiLevelType w:val="hybridMultilevel"/>
    <w:tmpl w:val="5024CE3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1347466F"/>
    <w:multiLevelType w:val="hybridMultilevel"/>
    <w:tmpl w:val="EA1EF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6A4FDE"/>
    <w:multiLevelType w:val="hybridMultilevel"/>
    <w:tmpl w:val="82A09F8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15767E16"/>
    <w:multiLevelType w:val="hybridMultilevel"/>
    <w:tmpl w:val="EEBC467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5"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24D42"/>
    <w:multiLevelType w:val="singleLevel"/>
    <w:tmpl w:val="A6EE71F0"/>
    <w:lvl w:ilvl="0">
      <w:start w:val="1"/>
      <w:numFmt w:val="decimal"/>
      <w:pStyle w:val="Heading2IndicatorSublevel"/>
      <w:lvlText w:val="%1."/>
      <w:lvlJc w:val="left"/>
      <w:pPr>
        <w:tabs>
          <w:tab w:val="num" w:pos="680"/>
        </w:tabs>
        <w:ind w:left="680" w:firstLine="0"/>
      </w:pPr>
      <w:rPr>
        <w:rFonts w:hint="default"/>
        <w:b w:val="0"/>
        <w:i w:val="0"/>
        <w:color w:val="auto"/>
        <w:sz w:val="22"/>
      </w:rPr>
    </w:lvl>
  </w:abstractNum>
  <w:abstractNum w:abstractNumId="17" w15:restartNumberingAfterBreak="0">
    <w:nsid w:val="212C4BC7"/>
    <w:multiLevelType w:val="multilevel"/>
    <w:tmpl w:val="504A7D34"/>
    <w:lvl w:ilvl="0">
      <w:start w:val="1"/>
      <w:numFmt w:val="decimal"/>
      <w:pStyle w:val="Heading1"/>
      <w:suff w:val="space"/>
      <w:lvlText w:val="%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pStyle w:val="Heading3"/>
      <w:suff w:val="nothing"/>
      <w:lvlText w:val=""/>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851" w:firstLine="0"/>
      </w:pPr>
      <w:rPr>
        <w:rFonts w:hint="default"/>
      </w:rPr>
    </w:lvl>
    <w:lvl w:ilvl="5">
      <w:start w:val="1"/>
      <w:numFmt w:val="upperRoman"/>
      <w:lvlRestart w:val="0"/>
      <w:pStyle w:val="Heading6"/>
      <w:suff w:val="space"/>
      <w:lvlText w:val="Part %6."/>
      <w:lvlJc w:val="left"/>
      <w:pPr>
        <w:ind w:left="0" w:firstLine="0"/>
      </w:pPr>
      <w:rPr>
        <w:rFonts w:hint="default"/>
      </w:rPr>
    </w:lvl>
    <w:lvl w:ilvl="6">
      <w:start w:val="1"/>
      <w:numFmt w:val="upperLetter"/>
      <w:lvlRestart w:val="0"/>
      <w:pStyle w:val="Heading7"/>
      <w:suff w:val="space"/>
      <w:lvlText w:val="Annex %7."/>
      <w:lvlJc w:val="left"/>
      <w:pPr>
        <w:ind w:left="0" w:firstLine="0"/>
      </w:pPr>
      <w:rPr>
        <w:rFonts w:hint="default"/>
      </w:rPr>
    </w:lvl>
    <w:lvl w:ilvl="7">
      <w:start w:val="1"/>
      <w:numFmt w:val="upperLetter"/>
      <w:lvlRestart w:val="6"/>
      <w:pStyle w:val="Heading8"/>
      <w:suff w:val="space"/>
      <w:lvlText w:val="Annex %6.%8."/>
      <w:lvlJc w:val="left"/>
      <w:pPr>
        <w:ind w:left="0" w:firstLine="0"/>
      </w:pPr>
      <w:rPr>
        <w:rFonts w:hint="default"/>
      </w:rPr>
    </w:lvl>
    <w:lvl w:ilvl="8">
      <w:start w:val="1"/>
      <w:numFmt w:val="upperLetter"/>
      <w:lvlRestart w:val="1"/>
      <w:pStyle w:val="Heading9"/>
      <w:suff w:val="space"/>
      <w:lvlText w:val="Annex %1.%9."/>
      <w:lvlJc w:val="left"/>
      <w:pPr>
        <w:ind w:left="0" w:firstLine="0"/>
      </w:pPr>
      <w:rPr>
        <w:rFonts w:hint="default"/>
      </w:rPr>
    </w:lvl>
  </w:abstractNum>
  <w:abstractNum w:abstractNumId="18" w15:restartNumberingAfterBreak="0">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293D3317"/>
    <w:multiLevelType w:val="hybridMultilevel"/>
    <w:tmpl w:val="80E6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F76079"/>
    <w:multiLevelType w:val="multilevel"/>
    <w:tmpl w:val="4498D502"/>
    <w:numStyleLink w:val="Style1"/>
  </w:abstractNum>
  <w:abstractNum w:abstractNumId="21" w15:restartNumberingAfterBreak="0">
    <w:nsid w:val="2E7E516C"/>
    <w:multiLevelType w:val="hybridMultilevel"/>
    <w:tmpl w:val="7F6001FA"/>
    <w:lvl w:ilvl="0" w:tplc="5A8642C8">
      <w:start w:val="1"/>
      <w:numFmt w:val="decimal"/>
      <w:pStyle w:val="NumberedList"/>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1251BF6"/>
    <w:multiLevelType w:val="hybridMultilevel"/>
    <w:tmpl w:val="A0F42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5C5145D"/>
    <w:multiLevelType w:val="multilevel"/>
    <w:tmpl w:val="4498D502"/>
    <w:styleLink w:val="Style1"/>
    <w:lvl w:ilvl="0">
      <w:start w:val="1"/>
      <w:numFmt w:val="none"/>
      <w:suff w:val="space"/>
      <w:lvlText w:val="%1 "/>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24"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40CF3"/>
    <w:multiLevelType w:val="hybridMultilevel"/>
    <w:tmpl w:val="E648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5F566E"/>
    <w:multiLevelType w:val="multilevel"/>
    <w:tmpl w:val="F170D852"/>
    <w:lvl w:ilvl="0">
      <w:start w:val="1"/>
      <w:numFmt w:val="none"/>
      <w:suff w:val="space"/>
      <w:lvlText w:val="%1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27" w15:restartNumberingAfterBreak="0">
    <w:nsid w:val="4A3B7660"/>
    <w:multiLevelType w:val="hybridMultilevel"/>
    <w:tmpl w:val="2E26E808"/>
    <w:lvl w:ilvl="0" w:tplc="08090001">
      <w:start w:val="1"/>
      <w:numFmt w:val="bullet"/>
      <w:lvlText w:val=""/>
      <w:lvlJc w:val="left"/>
      <w:pPr>
        <w:ind w:left="1453" w:hanging="360"/>
      </w:pPr>
      <w:rPr>
        <w:rFonts w:ascii="Symbol" w:hAnsi="Symbol" w:hint="default"/>
      </w:rPr>
    </w:lvl>
    <w:lvl w:ilvl="1" w:tplc="08090003" w:tentative="1">
      <w:start w:val="1"/>
      <w:numFmt w:val="bullet"/>
      <w:lvlText w:val="o"/>
      <w:lvlJc w:val="left"/>
      <w:pPr>
        <w:ind w:left="2173" w:hanging="360"/>
      </w:pPr>
      <w:rPr>
        <w:rFonts w:ascii="Courier New" w:hAnsi="Courier New" w:cs="Courier New" w:hint="default"/>
      </w:rPr>
    </w:lvl>
    <w:lvl w:ilvl="2" w:tplc="08090005" w:tentative="1">
      <w:start w:val="1"/>
      <w:numFmt w:val="bullet"/>
      <w:lvlText w:val=""/>
      <w:lvlJc w:val="left"/>
      <w:pPr>
        <w:ind w:left="2893" w:hanging="360"/>
      </w:pPr>
      <w:rPr>
        <w:rFonts w:ascii="Wingdings" w:hAnsi="Wingdings" w:hint="default"/>
      </w:rPr>
    </w:lvl>
    <w:lvl w:ilvl="3" w:tplc="08090001" w:tentative="1">
      <w:start w:val="1"/>
      <w:numFmt w:val="bullet"/>
      <w:lvlText w:val=""/>
      <w:lvlJc w:val="left"/>
      <w:pPr>
        <w:ind w:left="3613" w:hanging="360"/>
      </w:pPr>
      <w:rPr>
        <w:rFonts w:ascii="Symbol" w:hAnsi="Symbol" w:hint="default"/>
      </w:rPr>
    </w:lvl>
    <w:lvl w:ilvl="4" w:tplc="08090003" w:tentative="1">
      <w:start w:val="1"/>
      <w:numFmt w:val="bullet"/>
      <w:lvlText w:val="o"/>
      <w:lvlJc w:val="left"/>
      <w:pPr>
        <w:ind w:left="4333" w:hanging="360"/>
      </w:pPr>
      <w:rPr>
        <w:rFonts w:ascii="Courier New" w:hAnsi="Courier New" w:cs="Courier New" w:hint="default"/>
      </w:rPr>
    </w:lvl>
    <w:lvl w:ilvl="5" w:tplc="08090005" w:tentative="1">
      <w:start w:val="1"/>
      <w:numFmt w:val="bullet"/>
      <w:lvlText w:val=""/>
      <w:lvlJc w:val="left"/>
      <w:pPr>
        <w:ind w:left="5053" w:hanging="360"/>
      </w:pPr>
      <w:rPr>
        <w:rFonts w:ascii="Wingdings" w:hAnsi="Wingdings" w:hint="default"/>
      </w:rPr>
    </w:lvl>
    <w:lvl w:ilvl="6" w:tplc="08090001" w:tentative="1">
      <w:start w:val="1"/>
      <w:numFmt w:val="bullet"/>
      <w:lvlText w:val=""/>
      <w:lvlJc w:val="left"/>
      <w:pPr>
        <w:ind w:left="5773" w:hanging="360"/>
      </w:pPr>
      <w:rPr>
        <w:rFonts w:ascii="Symbol" w:hAnsi="Symbol" w:hint="default"/>
      </w:rPr>
    </w:lvl>
    <w:lvl w:ilvl="7" w:tplc="08090003" w:tentative="1">
      <w:start w:val="1"/>
      <w:numFmt w:val="bullet"/>
      <w:lvlText w:val="o"/>
      <w:lvlJc w:val="left"/>
      <w:pPr>
        <w:ind w:left="6493" w:hanging="360"/>
      </w:pPr>
      <w:rPr>
        <w:rFonts w:ascii="Courier New" w:hAnsi="Courier New" w:cs="Courier New" w:hint="default"/>
      </w:rPr>
    </w:lvl>
    <w:lvl w:ilvl="8" w:tplc="08090005" w:tentative="1">
      <w:start w:val="1"/>
      <w:numFmt w:val="bullet"/>
      <w:lvlText w:val=""/>
      <w:lvlJc w:val="left"/>
      <w:pPr>
        <w:ind w:left="7213" w:hanging="360"/>
      </w:pPr>
      <w:rPr>
        <w:rFonts w:ascii="Wingdings" w:hAnsi="Wingdings" w:hint="default"/>
      </w:rPr>
    </w:lvl>
  </w:abstractNum>
  <w:abstractNum w:abstractNumId="28" w15:restartNumberingAfterBreak="0">
    <w:nsid w:val="4FA12A68"/>
    <w:multiLevelType w:val="hybridMultilevel"/>
    <w:tmpl w:val="4B6E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76726A"/>
    <w:multiLevelType w:val="hybridMultilevel"/>
    <w:tmpl w:val="BF94375C"/>
    <w:lvl w:ilvl="0" w:tplc="39446FC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735C5AB7"/>
    <w:multiLevelType w:val="hybridMultilevel"/>
    <w:tmpl w:val="7548BF20"/>
    <w:lvl w:ilvl="0" w:tplc="37F2CDEC">
      <w:start w:val="1"/>
      <w:numFmt w:val="bullet"/>
      <w:lvlText w:val=""/>
      <w:lvlJc w:val="left"/>
      <w:pPr>
        <w:tabs>
          <w:tab w:val="num" w:pos="340"/>
        </w:tabs>
        <w:ind w:left="1361" w:hanging="340"/>
      </w:pPr>
      <w:rPr>
        <w:rFonts w:ascii="Symbol" w:hAnsi="Symbol" w:hint="default"/>
      </w:rPr>
    </w:lvl>
    <w:lvl w:ilvl="1" w:tplc="5D76F430">
      <w:start w:val="1"/>
      <w:numFmt w:val="bullet"/>
      <w:lvlText w:val="o"/>
      <w:lvlJc w:val="left"/>
      <w:pPr>
        <w:tabs>
          <w:tab w:val="num" w:pos="340"/>
        </w:tabs>
        <w:ind w:left="1701" w:hanging="340"/>
      </w:pPr>
      <w:rPr>
        <w:rFonts w:ascii="Courier New" w:hAnsi="Courier New" w:hint="default"/>
      </w:rPr>
    </w:lvl>
    <w:lvl w:ilvl="2" w:tplc="F6E2001C">
      <w:start w:val="1"/>
      <w:numFmt w:val="bullet"/>
      <w:lvlText w:val="˗"/>
      <w:lvlJc w:val="left"/>
      <w:pPr>
        <w:tabs>
          <w:tab w:val="num" w:pos="340"/>
        </w:tabs>
        <w:ind w:left="2041" w:hanging="340"/>
      </w:pPr>
      <w:rPr>
        <w:rFonts w:ascii="Times New Roman" w:hAnsi="Times New Roman" w:cs="Times New Roman" w:hint="default"/>
      </w:rPr>
    </w:lvl>
    <w:lvl w:ilvl="3" w:tplc="FD7E6002">
      <w:start w:val="1"/>
      <w:numFmt w:val="bullet"/>
      <w:lvlText w:val="˗"/>
      <w:lvlJc w:val="left"/>
      <w:pPr>
        <w:tabs>
          <w:tab w:val="num" w:pos="340"/>
        </w:tabs>
        <w:ind w:left="2381" w:hanging="340"/>
      </w:pPr>
      <w:rPr>
        <w:rFonts w:ascii="Times New Roman" w:hAnsi="Times New Roman" w:cs="Times New Roman" w:hint="default"/>
      </w:rPr>
    </w:lvl>
    <w:lvl w:ilvl="4" w:tplc="B6D4948C">
      <w:start w:val="1"/>
      <w:numFmt w:val="bullet"/>
      <w:lvlText w:val="˗"/>
      <w:lvlJc w:val="left"/>
      <w:pPr>
        <w:tabs>
          <w:tab w:val="num" w:pos="340"/>
        </w:tabs>
        <w:ind w:left="2722" w:hanging="341"/>
      </w:pPr>
      <w:rPr>
        <w:rFonts w:ascii="Times New Roman" w:hAnsi="Times New Roman" w:cs="Times New Roman"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8"/>
  </w:num>
  <w:num w:numId="2">
    <w:abstractNumId w:val="21"/>
  </w:num>
  <w:num w:numId="3">
    <w:abstractNumId w:val="15"/>
  </w:num>
  <w:num w:numId="4">
    <w:abstractNumId w:val="24"/>
  </w:num>
  <w:num w:numId="5">
    <w:abstractNumId w:val="14"/>
  </w:num>
  <w:num w:numId="6">
    <w:abstractNumId w:val="26"/>
  </w:num>
  <w:num w:numId="7">
    <w:abstractNumId w:val="29"/>
  </w:num>
  <w:num w:numId="8">
    <w:abstractNumId w:val="27"/>
  </w:num>
  <w:num w:numId="9">
    <w:abstractNumId w:val="12"/>
  </w:num>
  <w:num w:numId="10">
    <w:abstractNumId w:val="16"/>
  </w:num>
  <w:num w:numId="11">
    <w:abstractNumId w:val="11"/>
  </w:num>
  <w:num w:numId="12">
    <w:abstractNumId w:val="22"/>
  </w:num>
  <w:num w:numId="13">
    <w:abstractNumId w:val="10"/>
  </w:num>
  <w:num w:numId="14">
    <w:abstractNumId w:val="17"/>
  </w:num>
  <w:num w:numId="15">
    <w:abstractNumId w:val="23"/>
  </w:num>
  <w:num w:numId="16">
    <w:abstractNumId w:val="20"/>
  </w:num>
  <w:num w:numId="17">
    <w:abstractNumId w:val="28"/>
  </w:num>
  <w:num w:numId="18">
    <w:abstractNumId w:val="17"/>
  </w:num>
  <w:num w:numId="19">
    <w:abstractNumId w:val="25"/>
  </w:num>
  <w:num w:numId="20">
    <w:abstractNumId w:val="19"/>
  </w:num>
  <w:num w:numId="21">
    <w:abstractNumId w:val="29"/>
  </w:num>
  <w:num w:numId="22">
    <w:abstractNumId w:val="29"/>
  </w:num>
  <w:num w:numId="23">
    <w:abstractNumId w:val="29"/>
  </w:num>
  <w:num w:numId="24">
    <w:abstractNumId w:val="30"/>
    <w:lvlOverride w:ilvl="0">
      <w:startOverride w:val="1"/>
    </w:lvlOverride>
  </w:num>
  <w:num w:numId="25">
    <w:abstractNumId w:val="1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SortMethod w:val="0000"/>
  <w:defaultTabStop w:val="720"/>
  <w:hyphenationZone w:val="425"/>
  <w:evenAndOddHeaders/>
  <w:characterSpacingControl w:val="doNotCompress"/>
  <w:hdrShapeDefaults>
    <o:shapedefaults v:ext="edit" spidmax="11161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DocumentClassification" w:val="For Official Use"/>
    <w:docVar w:name="OECDDocumentContactInfo" w:val="Enter contact names here."/>
    <w:docVar w:name="OECDDocumentCote" w:val="DOCUMENT CODE"/>
    <w:docVar w:name="OECDDocumentDocumentAbstract" w:val="Information Note: Use this area to provide a brief summary of the document or highlight any important information. This text will be displayed on the document page in O.N.E for Members and Partners."/>
    <w:docVar w:name="OECDDocumentDocumentLanguage" w:val="English"/>
    <w:docVar w:name="OECDDocumentOriginalLanguage" w:val="English"/>
    <w:docVar w:name="OECDDocumentValidationDate" w:val="03/09/2020 11:53:28"/>
    <w:docVar w:name="OECDDocumentValidationErrors" w:val="1"/>
    <w:docVar w:name="OECDDocumentValidationWarnings" w:val="0"/>
    <w:docVar w:name="OECDDocumentValidationWordCount" w:val="26404"/>
    <w:docVar w:name="OECDKappaEnrichment" w:val="Online"/>
    <w:docVar w:name="OECDLastTypoCheck" w:val="02/11/2020 14:43:47"/>
    <w:docVar w:name="OECDTemplateLocation" w:val="W:\Office2016\Workgroup Templates"/>
    <w:docVar w:name="OECDTemplateName" w:val="ONE Author.dotx"/>
    <w:docVar w:name="OECDTemplateVersion" w:val="2.01"/>
  </w:docVars>
  <w:rsids>
    <w:rsidRoot w:val="00276022"/>
    <w:rsid w:val="000015CA"/>
    <w:rsid w:val="00002D89"/>
    <w:rsid w:val="00003D37"/>
    <w:rsid w:val="000057EE"/>
    <w:rsid w:val="000060B9"/>
    <w:rsid w:val="00007067"/>
    <w:rsid w:val="000071CF"/>
    <w:rsid w:val="00010675"/>
    <w:rsid w:val="000113C6"/>
    <w:rsid w:val="00012324"/>
    <w:rsid w:val="00012B5D"/>
    <w:rsid w:val="0001346D"/>
    <w:rsid w:val="00013A88"/>
    <w:rsid w:val="00013D9B"/>
    <w:rsid w:val="00014C1D"/>
    <w:rsid w:val="0001501E"/>
    <w:rsid w:val="00015720"/>
    <w:rsid w:val="00017936"/>
    <w:rsid w:val="000210C1"/>
    <w:rsid w:val="000212A0"/>
    <w:rsid w:val="00021325"/>
    <w:rsid w:val="00021385"/>
    <w:rsid w:val="0002155C"/>
    <w:rsid w:val="00024157"/>
    <w:rsid w:val="00024178"/>
    <w:rsid w:val="00025F53"/>
    <w:rsid w:val="000279C4"/>
    <w:rsid w:val="00027F80"/>
    <w:rsid w:val="000302B9"/>
    <w:rsid w:val="0003067F"/>
    <w:rsid w:val="00030E8C"/>
    <w:rsid w:val="000319CE"/>
    <w:rsid w:val="00033444"/>
    <w:rsid w:val="0003610C"/>
    <w:rsid w:val="000373E1"/>
    <w:rsid w:val="0004402D"/>
    <w:rsid w:val="000454E8"/>
    <w:rsid w:val="00045707"/>
    <w:rsid w:val="000458E6"/>
    <w:rsid w:val="00046A2E"/>
    <w:rsid w:val="00046B7D"/>
    <w:rsid w:val="0005102C"/>
    <w:rsid w:val="0005111B"/>
    <w:rsid w:val="00052575"/>
    <w:rsid w:val="00052588"/>
    <w:rsid w:val="000542B8"/>
    <w:rsid w:val="00055124"/>
    <w:rsid w:val="0005547B"/>
    <w:rsid w:val="00055E06"/>
    <w:rsid w:val="00056812"/>
    <w:rsid w:val="00056CD5"/>
    <w:rsid w:val="00056DAA"/>
    <w:rsid w:val="00057C95"/>
    <w:rsid w:val="00057ED1"/>
    <w:rsid w:val="000605FB"/>
    <w:rsid w:val="00061960"/>
    <w:rsid w:val="000631AF"/>
    <w:rsid w:val="00064C7A"/>
    <w:rsid w:val="00070EF7"/>
    <w:rsid w:val="000717D9"/>
    <w:rsid w:val="00071FF1"/>
    <w:rsid w:val="00072A08"/>
    <w:rsid w:val="0007471E"/>
    <w:rsid w:val="0007492E"/>
    <w:rsid w:val="00075CD9"/>
    <w:rsid w:val="0007759B"/>
    <w:rsid w:val="00085197"/>
    <w:rsid w:val="00085AF8"/>
    <w:rsid w:val="00085B2A"/>
    <w:rsid w:val="00085BB1"/>
    <w:rsid w:val="00086D02"/>
    <w:rsid w:val="00086F8E"/>
    <w:rsid w:val="0009073D"/>
    <w:rsid w:val="00090D8E"/>
    <w:rsid w:val="000914AF"/>
    <w:rsid w:val="00091E06"/>
    <w:rsid w:val="00091FED"/>
    <w:rsid w:val="0009255A"/>
    <w:rsid w:val="000941BE"/>
    <w:rsid w:val="00095196"/>
    <w:rsid w:val="00097629"/>
    <w:rsid w:val="00097A78"/>
    <w:rsid w:val="000A198D"/>
    <w:rsid w:val="000A1E92"/>
    <w:rsid w:val="000A2234"/>
    <w:rsid w:val="000A2AB7"/>
    <w:rsid w:val="000A3B98"/>
    <w:rsid w:val="000A432C"/>
    <w:rsid w:val="000A53D1"/>
    <w:rsid w:val="000A5F9F"/>
    <w:rsid w:val="000B01CE"/>
    <w:rsid w:val="000B668E"/>
    <w:rsid w:val="000B6FB8"/>
    <w:rsid w:val="000B6FC4"/>
    <w:rsid w:val="000B74AE"/>
    <w:rsid w:val="000B7A1A"/>
    <w:rsid w:val="000C0504"/>
    <w:rsid w:val="000C1DF4"/>
    <w:rsid w:val="000C2E72"/>
    <w:rsid w:val="000C3DBA"/>
    <w:rsid w:val="000C5569"/>
    <w:rsid w:val="000C789D"/>
    <w:rsid w:val="000C7F5C"/>
    <w:rsid w:val="000D18C2"/>
    <w:rsid w:val="000D2506"/>
    <w:rsid w:val="000D32B2"/>
    <w:rsid w:val="000D4550"/>
    <w:rsid w:val="000D5AA0"/>
    <w:rsid w:val="000D6B83"/>
    <w:rsid w:val="000D76C5"/>
    <w:rsid w:val="000E1153"/>
    <w:rsid w:val="000E2699"/>
    <w:rsid w:val="000E2B28"/>
    <w:rsid w:val="000E380D"/>
    <w:rsid w:val="000E4133"/>
    <w:rsid w:val="000E4244"/>
    <w:rsid w:val="000E4950"/>
    <w:rsid w:val="000E70A1"/>
    <w:rsid w:val="000F092C"/>
    <w:rsid w:val="000F0DDE"/>
    <w:rsid w:val="000F32B3"/>
    <w:rsid w:val="000F6514"/>
    <w:rsid w:val="000F68AF"/>
    <w:rsid w:val="000F7AED"/>
    <w:rsid w:val="000F7C8E"/>
    <w:rsid w:val="00101323"/>
    <w:rsid w:val="00101832"/>
    <w:rsid w:val="0010256B"/>
    <w:rsid w:val="0010290B"/>
    <w:rsid w:val="00103644"/>
    <w:rsid w:val="0010525F"/>
    <w:rsid w:val="001061B3"/>
    <w:rsid w:val="00110934"/>
    <w:rsid w:val="00111592"/>
    <w:rsid w:val="00111A19"/>
    <w:rsid w:val="00112F52"/>
    <w:rsid w:val="001137B0"/>
    <w:rsid w:val="001138C1"/>
    <w:rsid w:val="00114D97"/>
    <w:rsid w:val="00115824"/>
    <w:rsid w:val="001206B5"/>
    <w:rsid w:val="0012074E"/>
    <w:rsid w:val="00120BCB"/>
    <w:rsid w:val="00122134"/>
    <w:rsid w:val="001230C2"/>
    <w:rsid w:val="00123106"/>
    <w:rsid w:val="00124758"/>
    <w:rsid w:val="001252EA"/>
    <w:rsid w:val="00125E09"/>
    <w:rsid w:val="001304E9"/>
    <w:rsid w:val="00131872"/>
    <w:rsid w:val="00132799"/>
    <w:rsid w:val="00132E78"/>
    <w:rsid w:val="00135CFD"/>
    <w:rsid w:val="00137BF6"/>
    <w:rsid w:val="00137F97"/>
    <w:rsid w:val="001401B1"/>
    <w:rsid w:val="00140E42"/>
    <w:rsid w:val="001423E9"/>
    <w:rsid w:val="00143D9C"/>
    <w:rsid w:val="00145B54"/>
    <w:rsid w:val="001462A2"/>
    <w:rsid w:val="001470B6"/>
    <w:rsid w:val="00150383"/>
    <w:rsid w:val="0015040E"/>
    <w:rsid w:val="0015065F"/>
    <w:rsid w:val="00150F6B"/>
    <w:rsid w:val="00154906"/>
    <w:rsid w:val="0015557F"/>
    <w:rsid w:val="00156572"/>
    <w:rsid w:val="00157280"/>
    <w:rsid w:val="00157600"/>
    <w:rsid w:val="00161690"/>
    <w:rsid w:val="00167D02"/>
    <w:rsid w:val="00170C7B"/>
    <w:rsid w:val="00171844"/>
    <w:rsid w:val="00172C27"/>
    <w:rsid w:val="00174ADB"/>
    <w:rsid w:val="00176509"/>
    <w:rsid w:val="001765D6"/>
    <w:rsid w:val="0018128E"/>
    <w:rsid w:val="00182BDE"/>
    <w:rsid w:val="00183002"/>
    <w:rsid w:val="00183469"/>
    <w:rsid w:val="00185406"/>
    <w:rsid w:val="00187828"/>
    <w:rsid w:val="0019229A"/>
    <w:rsid w:val="00192BE9"/>
    <w:rsid w:val="00193B32"/>
    <w:rsid w:val="0019437D"/>
    <w:rsid w:val="00194A99"/>
    <w:rsid w:val="00194ED5"/>
    <w:rsid w:val="00194F43"/>
    <w:rsid w:val="00195507"/>
    <w:rsid w:val="00196C9D"/>
    <w:rsid w:val="00197272"/>
    <w:rsid w:val="001974AE"/>
    <w:rsid w:val="00197960"/>
    <w:rsid w:val="001A089F"/>
    <w:rsid w:val="001A2219"/>
    <w:rsid w:val="001A69C6"/>
    <w:rsid w:val="001A6C8C"/>
    <w:rsid w:val="001A7ACE"/>
    <w:rsid w:val="001A7BC1"/>
    <w:rsid w:val="001B08FA"/>
    <w:rsid w:val="001B2FAD"/>
    <w:rsid w:val="001B31A3"/>
    <w:rsid w:val="001B3585"/>
    <w:rsid w:val="001B3ED9"/>
    <w:rsid w:val="001B4E01"/>
    <w:rsid w:val="001B589A"/>
    <w:rsid w:val="001B6052"/>
    <w:rsid w:val="001B67B1"/>
    <w:rsid w:val="001B6ECC"/>
    <w:rsid w:val="001C10E1"/>
    <w:rsid w:val="001C2375"/>
    <w:rsid w:val="001C2BA0"/>
    <w:rsid w:val="001C2C4C"/>
    <w:rsid w:val="001C2C9E"/>
    <w:rsid w:val="001C3ED1"/>
    <w:rsid w:val="001C4C36"/>
    <w:rsid w:val="001C5239"/>
    <w:rsid w:val="001C6517"/>
    <w:rsid w:val="001D02F6"/>
    <w:rsid w:val="001D141E"/>
    <w:rsid w:val="001D1899"/>
    <w:rsid w:val="001D3512"/>
    <w:rsid w:val="001D378A"/>
    <w:rsid w:val="001D3BDB"/>
    <w:rsid w:val="001D687A"/>
    <w:rsid w:val="001D6EE0"/>
    <w:rsid w:val="001D76DE"/>
    <w:rsid w:val="001D7C7D"/>
    <w:rsid w:val="001E064D"/>
    <w:rsid w:val="001E18AF"/>
    <w:rsid w:val="001E3059"/>
    <w:rsid w:val="001E4DC9"/>
    <w:rsid w:val="001E59BF"/>
    <w:rsid w:val="001E7FE4"/>
    <w:rsid w:val="001F1EAD"/>
    <w:rsid w:val="001F24F4"/>
    <w:rsid w:val="001F4F36"/>
    <w:rsid w:val="00200355"/>
    <w:rsid w:val="00201765"/>
    <w:rsid w:val="00202409"/>
    <w:rsid w:val="00202D3C"/>
    <w:rsid w:val="00203113"/>
    <w:rsid w:val="002033BA"/>
    <w:rsid w:val="00203CE1"/>
    <w:rsid w:val="0020466D"/>
    <w:rsid w:val="00205CA1"/>
    <w:rsid w:val="00206237"/>
    <w:rsid w:val="00210389"/>
    <w:rsid w:val="00212399"/>
    <w:rsid w:val="00214441"/>
    <w:rsid w:val="00221136"/>
    <w:rsid w:val="00224AC3"/>
    <w:rsid w:val="00231C67"/>
    <w:rsid w:val="002325EB"/>
    <w:rsid w:val="0023380A"/>
    <w:rsid w:val="00234C3E"/>
    <w:rsid w:val="00243ABB"/>
    <w:rsid w:val="0024487C"/>
    <w:rsid w:val="00245CA5"/>
    <w:rsid w:val="00247AC2"/>
    <w:rsid w:val="00252445"/>
    <w:rsid w:val="00252AC4"/>
    <w:rsid w:val="00253468"/>
    <w:rsid w:val="00253DE5"/>
    <w:rsid w:val="00254452"/>
    <w:rsid w:val="0025481A"/>
    <w:rsid w:val="002565E1"/>
    <w:rsid w:val="00261351"/>
    <w:rsid w:val="00262CDB"/>
    <w:rsid w:val="00263627"/>
    <w:rsid w:val="00263E5D"/>
    <w:rsid w:val="002642E9"/>
    <w:rsid w:val="0026513B"/>
    <w:rsid w:val="002664ED"/>
    <w:rsid w:val="0026794E"/>
    <w:rsid w:val="00270192"/>
    <w:rsid w:val="002714C8"/>
    <w:rsid w:val="00276022"/>
    <w:rsid w:val="002762F0"/>
    <w:rsid w:val="0027699A"/>
    <w:rsid w:val="0027767C"/>
    <w:rsid w:val="0027768C"/>
    <w:rsid w:val="00280A29"/>
    <w:rsid w:val="00282186"/>
    <w:rsid w:val="00286533"/>
    <w:rsid w:val="0028740B"/>
    <w:rsid w:val="00287D8C"/>
    <w:rsid w:val="0029018D"/>
    <w:rsid w:val="00292E0B"/>
    <w:rsid w:val="002969A0"/>
    <w:rsid w:val="00296A2F"/>
    <w:rsid w:val="00296CE1"/>
    <w:rsid w:val="0029700D"/>
    <w:rsid w:val="002A226D"/>
    <w:rsid w:val="002A308D"/>
    <w:rsid w:val="002A4007"/>
    <w:rsid w:val="002A4F2C"/>
    <w:rsid w:val="002A7F72"/>
    <w:rsid w:val="002B010E"/>
    <w:rsid w:val="002B1478"/>
    <w:rsid w:val="002B16AD"/>
    <w:rsid w:val="002B2E6C"/>
    <w:rsid w:val="002B353F"/>
    <w:rsid w:val="002B397B"/>
    <w:rsid w:val="002B3AE8"/>
    <w:rsid w:val="002B418A"/>
    <w:rsid w:val="002B4C57"/>
    <w:rsid w:val="002B4E29"/>
    <w:rsid w:val="002B5934"/>
    <w:rsid w:val="002C08FB"/>
    <w:rsid w:val="002C1DD6"/>
    <w:rsid w:val="002C235A"/>
    <w:rsid w:val="002C57C9"/>
    <w:rsid w:val="002C741A"/>
    <w:rsid w:val="002C75F3"/>
    <w:rsid w:val="002C7665"/>
    <w:rsid w:val="002C7D3F"/>
    <w:rsid w:val="002D0201"/>
    <w:rsid w:val="002D0432"/>
    <w:rsid w:val="002D1917"/>
    <w:rsid w:val="002D5A4C"/>
    <w:rsid w:val="002E06AB"/>
    <w:rsid w:val="002E6D21"/>
    <w:rsid w:val="002E7B0B"/>
    <w:rsid w:val="002F09EB"/>
    <w:rsid w:val="002F3A06"/>
    <w:rsid w:val="002F3DDA"/>
    <w:rsid w:val="002F40A4"/>
    <w:rsid w:val="002F604E"/>
    <w:rsid w:val="002F605B"/>
    <w:rsid w:val="00300794"/>
    <w:rsid w:val="003007E8"/>
    <w:rsid w:val="0030228D"/>
    <w:rsid w:val="00303855"/>
    <w:rsid w:val="00303E35"/>
    <w:rsid w:val="00304E26"/>
    <w:rsid w:val="00305C43"/>
    <w:rsid w:val="003074F6"/>
    <w:rsid w:val="00310048"/>
    <w:rsid w:val="00310601"/>
    <w:rsid w:val="00311B5A"/>
    <w:rsid w:val="003123EA"/>
    <w:rsid w:val="00312C4D"/>
    <w:rsid w:val="00314907"/>
    <w:rsid w:val="0031514D"/>
    <w:rsid w:val="00316A31"/>
    <w:rsid w:val="0031710B"/>
    <w:rsid w:val="003172D3"/>
    <w:rsid w:val="00317515"/>
    <w:rsid w:val="003216E3"/>
    <w:rsid w:val="00321C80"/>
    <w:rsid w:val="00322DCA"/>
    <w:rsid w:val="00323108"/>
    <w:rsid w:val="00323CA7"/>
    <w:rsid w:val="00325B40"/>
    <w:rsid w:val="00325EE1"/>
    <w:rsid w:val="00326CAE"/>
    <w:rsid w:val="003313E3"/>
    <w:rsid w:val="00331ACA"/>
    <w:rsid w:val="00332074"/>
    <w:rsid w:val="00332AAF"/>
    <w:rsid w:val="00332BC0"/>
    <w:rsid w:val="00333261"/>
    <w:rsid w:val="00334CF5"/>
    <w:rsid w:val="003364D1"/>
    <w:rsid w:val="00337176"/>
    <w:rsid w:val="00343D08"/>
    <w:rsid w:val="00344985"/>
    <w:rsid w:val="00344FF0"/>
    <w:rsid w:val="00346E9A"/>
    <w:rsid w:val="00347AA2"/>
    <w:rsid w:val="0035293B"/>
    <w:rsid w:val="00354788"/>
    <w:rsid w:val="00354A21"/>
    <w:rsid w:val="003561E3"/>
    <w:rsid w:val="0036036A"/>
    <w:rsid w:val="00361678"/>
    <w:rsid w:val="00363156"/>
    <w:rsid w:val="00363F57"/>
    <w:rsid w:val="00367224"/>
    <w:rsid w:val="0036753A"/>
    <w:rsid w:val="00367A6B"/>
    <w:rsid w:val="00371147"/>
    <w:rsid w:val="00374677"/>
    <w:rsid w:val="003756F2"/>
    <w:rsid w:val="00375811"/>
    <w:rsid w:val="00377E97"/>
    <w:rsid w:val="003814C8"/>
    <w:rsid w:val="00381AB2"/>
    <w:rsid w:val="00381C0D"/>
    <w:rsid w:val="003853A0"/>
    <w:rsid w:val="00386F03"/>
    <w:rsid w:val="00387036"/>
    <w:rsid w:val="00390980"/>
    <w:rsid w:val="00391625"/>
    <w:rsid w:val="0039213F"/>
    <w:rsid w:val="00395114"/>
    <w:rsid w:val="003957E7"/>
    <w:rsid w:val="00395CD4"/>
    <w:rsid w:val="003961A4"/>
    <w:rsid w:val="00396E4C"/>
    <w:rsid w:val="003A0894"/>
    <w:rsid w:val="003A0F26"/>
    <w:rsid w:val="003A179A"/>
    <w:rsid w:val="003A2C63"/>
    <w:rsid w:val="003A3086"/>
    <w:rsid w:val="003A3A69"/>
    <w:rsid w:val="003A418D"/>
    <w:rsid w:val="003A59D6"/>
    <w:rsid w:val="003A6850"/>
    <w:rsid w:val="003A72FB"/>
    <w:rsid w:val="003A7322"/>
    <w:rsid w:val="003A76F0"/>
    <w:rsid w:val="003B0318"/>
    <w:rsid w:val="003B0FCE"/>
    <w:rsid w:val="003B2EF0"/>
    <w:rsid w:val="003B3535"/>
    <w:rsid w:val="003B3D4B"/>
    <w:rsid w:val="003B42F8"/>
    <w:rsid w:val="003B7141"/>
    <w:rsid w:val="003B76F6"/>
    <w:rsid w:val="003C1550"/>
    <w:rsid w:val="003C62C6"/>
    <w:rsid w:val="003C7420"/>
    <w:rsid w:val="003C77A2"/>
    <w:rsid w:val="003D00F8"/>
    <w:rsid w:val="003D04E7"/>
    <w:rsid w:val="003D0F65"/>
    <w:rsid w:val="003D283F"/>
    <w:rsid w:val="003D2886"/>
    <w:rsid w:val="003D45F2"/>
    <w:rsid w:val="003D4E3E"/>
    <w:rsid w:val="003D52B0"/>
    <w:rsid w:val="003E0362"/>
    <w:rsid w:val="003E0ACC"/>
    <w:rsid w:val="003E0C20"/>
    <w:rsid w:val="003E1359"/>
    <w:rsid w:val="003E3CF9"/>
    <w:rsid w:val="003E3E5D"/>
    <w:rsid w:val="003E5101"/>
    <w:rsid w:val="003E7235"/>
    <w:rsid w:val="003F0BC2"/>
    <w:rsid w:val="003F1516"/>
    <w:rsid w:val="003F192C"/>
    <w:rsid w:val="003F2199"/>
    <w:rsid w:val="003F3653"/>
    <w:rsid w:val="003F5C7F"/>
    <w:rsid w:val="003F7853"/>
    <w:rsid w:val="00401088"/>
    <w:rsid w:val="00401275"/>
    <w:rsid w:val="00403D72"/>
    <w:rsid w:val="00407712"/>
    <w:rsid w:val="00407B39"/>
    <w:rsid w:val="004112F3"/>
    <w:rsid w:val="0041165B"/>
    <w:rsid w:val="0041358A"/>
    <w:rsid w:val="00415365"/>
    <w:rsid w:val="0041667F"/>
    <w:rsid w:val="00417815"/>
    <w:rsid w:val="00417981"/>
    <w:rsid w:val="00420DCC"/>
    <w:rsid w:val="0042193E"/>
    <w:rsid w:val="00421D64"/>
    <w:rsid w:val="0042267F"/>
    <w:rsid w:val="004230BA"/>
    <w:rsid w:val="0042315E"/>
    <w:rsid w:val="004234CE"/>
    <w:rsid w:val="00423A53"/>
    <w:rsid w:val="00423C31"/>
    <w:rsid w:val="00424117"/>
    <w:rsid w:val="004243B4"/>
    <w:rsid w:val="00424CD0"/>
    <w:rsid w:val="0042582B"/>
    <w:rsid w:val="00425C41"/>
    <w:rsid w:val="00431023"/>
    <w:rsid w:val="004315A0"/>
    <w:rsid w:val="00431A07"/>
    <w:rsid w:val="004348F1"/>
    <w:rsid w:val="0043532B"/>
    <w:rsid w:val="004360A4"/>
    <w:rsid w:val="00437913"/>
    <w:rsid w:val="00440B40"/>
    <w:rsid w:val="00440FA5"/>
    <w:rsid w:val="00442495"/>
    <w:rsid w:val="004433C6"/>
    <w:rsid w:val="00444B59"/>
    <w:rsid w:val="00444C08"/>
    <w:rsid w:val="00444D0D"/>
    <w:rsid w:val="0044656F"/>
    <w:rsid w:val="00446D5B"/>
    <w:rsid w:val="00447160"/>
    <w:rsid w:val="00450D88"/>
    <w:rsid w:val="00450DA5"/>
    <w:rsid w:val="004529B7"/>
    <w:rsid w:val="00452C19"/>
    <w:rsid w:val="00452DA0"/>
    <w:rsid w:val="0045493D"/>
    <w:rsid w:val="0045607D"/>
    <w:rsid w:val="00456E03"/>
    <w:rsid w:val="004570FD"/>
    <w:rsid w:val="004572B9"/>
    <w:rsid w:val="0046036A"/>
    <w:rsid w:val="004605A5"/>
    <w:rsid w:val="0046201C"/>
    <w:rsid w:val="00462174"/>
    <w:rsid w:val="00462250"/>
    <w:rsid w:val="004622CF"/>
    <w:rsid w:val="0046272A"/>
    <w:rsid w:val="004647A5"/>
    <w:rsid w:val="004706AE"/>
    <w:rsid w:val="00470B8A"/>
    <w:rsid w:val="00476DE6"/>
    <w:rsid w:val="00477EE8"/>
    <w:rsid w:val="004821E9"/>
    <w:rsid w:val="004831B5"/>
    <w:rsid w:val="00484CDD"/>
    <w:rsid w:val="004869FB"/>
    <w:rsid w:val="0049096E"/>
    <w:rsid w:val="0049218A"/>
    <w:rsid w:val="004951F4"/>
    <w:rsid w:val="0049605B"/>
    <w:rsid w:val="004A00A8"/>
    <w:rsid w:val="004A00F5"/>
    <w:rsid w:val="004A27BF"/>
    <w:rsid w:val="004A2930"/>
    <w:rsid w:val="004A7647"/>
    <w:rsid w:val="004A7987"/>
    <w:rsid w:val="004B1842"/>
    <w:rsid w:val="004B25B5"/>
    <w:rsid w:val="004B3916"/>
    <w:rsid w:val="004B39E3"/>
    <w:rsid w:val="004B734A"/>
    <w:rsid w:val="004B7461"/>
    <w:rsid w:val="004B78BF"/>
    <w:rsid w:val="004B7B10"/>
    <w:rsid w:val="004B7D75"/>
    <w:rsid w:val="004C088C"/>
    <w:rsid w:val="004C2234"/>
    <w:rsid w:val="004C2E2F"/>
    <w:rsid w:val="004C3912"/>
    <w:rsid w:val="004C6602"/>
    <w:rsid w:val="004D0B6B"/>
    <w:rsid w:val="004D1DC4"/>
    <w:rsid w:val="004D4D54"/>
    <w:rsid w:val="004D7361"/>
    <w:rsid w:val="004E100F"/>
    <w:rsid w:val="004E1183"/>
    <w:rsid w:val="004E16C1"/>
    <w:rsid w:val="004E1ACE"/>
    <w:rsid w:val="004E1AEC"/>
    <w:rsid w:val="004E236A"/>
    <w:rsid w:val="004E3AAA"/>
    <w:rsid w:val="004E4993"/>
    <w:rsid w:val="004E5B2C"/>
    <w:rsid w:val="004F0FDC"/>
    <w:rsid w:val="004F2512"/>
    <w:rsid w:val="004F324E"/>
    <w:rsid w:val="004F3A73"/>
    <w:rsid w:val="004F43CA"/>
    <w:rsid w:val="004F50EC"/>
    <w:rsid w:val="004F6CB7"/>
    <w:rsid w:val="004F79A6"/>
    <w:rsid w:val="005009C3"/>
    <w:rsid w:val="005011D9"/>
    <w:rsid w:val="00501B5E"/>
    <w:rsid w:val="00501DB4"/>
    <w:rsid w:val="00505085"/>
    <w:rsid w:val="005059C6"/>
    <w:rsid w:val="0050768D"/>
    <w:rsid w:val="005078F3"/>
    <w:rsid w:val="00511263"/>
    <w:rsid w:val="0051394F"/>
    <w:rsid w:val="0051396F"/>
    <w:rsid w:val="00513DBC"/>
    <w:rsid w:val="005140D7"/>
    <w:rsid w:val="00520812"/>
    <w:rsid w:val="0052193D"/>
    <w:rsid w:val="005225FA"/>
    <w:rsid w:val="00522807"/>
    <w:rsid w:val="00522C21"/>
    <w:rsid w:val="00522E47"/>
    <w:rsid w:val="00523064"/>
    <w:rsid w:val="00523454"/>
    <w:rsid w:val="00523806"/>
    <w:rsid w:val="00524708"/>
    <w:rsid w:val="00524825"/>
    <w:rsid w:val="005255E8"/>
    <w:rsid w:val="00525941"/>
    <w:rsid w:val="0052749E"/>
    <w:rsid w:val="00527BE2"/>
    <w:rsid w:val="005317AB"/>
    <w:rsid w:val="005338C3"/>
    <w:rsid w:val="00534C41"/>
    <w:rsid w:val="005353D0"/>
    <w:rsid w:val="00536A6B"/>
    <w:rsid w:val="005374F4"/>
    <w:rsid w:val="00540B39"/>
    <w:rsid w:val="00542E60"/>
    <w:rsid w:val="00543135"/>
    <w:rsid w:val="005432CD"/>
    <w:rsid w:val="00544135"/>
    <w:rsid w:val="005442CA"/>
    <w:rsid w:val="00544394"/>
    <w:rsid w:val="00544A84"/>
    <w:rsid w:val="00545453"/>
    <w:rsid w:val="0055039B"/>
    <w:rsid w:val="005527A6"/>
    <w:rsid w:val="00552B64"/>
    <w:rsid w:val="0055385D"/>
    <w:rsid w:val="00555E4C"/>
    <w:rsid w:val="00556E4F"/>
    <w:rsid w:val="0055719F"/>
    <w:rsid w:val="0056016D"/>
    <w:rsid w:val="00561377"/>
    <w:rsid w:val="00562547"/>
    <w:rsid w:val="00562703"/>
    <w:rsid w:val="00564515"/>
    <w:rsid w:val="00564B89"/>
    <w:rsid w:val="00564D6F"/>
    <w:rsid w:val="005655B0"/>
    <w:rsid w:val="0056606B"/>
    <w:rsid w:val="00566326"/>
    <w:rsid w:val="00567146"/>
    <w:rsid w:val="005711FA"/>
    <w:rsid w:val="00572976"/>
    <w:rsid w:val="00572D7E"/>
    <w:rsid w:val="005736E1"/>
    <w:rsid w:val="00574FF7"/>
    <w:rsid w:val="00575855"/>
    <w:rsid w:val="00580E3F"/>
    <w:rsid w:val="00581EDD"/>
    <w:rsid w:val="005822A9"/>
    <w:rsid w:val="00582A14"/>
    <w:rsid w:val="00583CBA"/>
    <w:rsid w:val="005915A1"/>
    <w:rsid w:val="00591C41"/>
    <w:rsid w:val="00591D7E"/>
    <w:rsid w:val="005925A8"/>
    <w:rsid w:val="00593D13"/>
    <w:rsid w:val="00595771"/>
    <w:rsid w:val="005966A4"/>
    <w:rsid w:val="005A045B"/>
    <w:rsid w:val="005A0A55"/>
    <w:rsid w:val="005A1369"/>
    <w:rsid w:val="005A3D5C"/>
    <w:rsid w:val="005A4A42"/>
    <w:rsid w:val="005B734D"/>
    <w:rsid w:val="005C38CE"/>
    <w:rsid w:val="005C3B8F"/>
    <w:rsid w:val="005C6416"/>
    <w:rsid w:val="005C7AA9"/>
    <w:rsid w:val="005C7B12"/>
    <w:rsid w:val="005D086D"/>
    <w:rsid w:val="005D2707"/>
    <w:rsid w:val="005D2858"/>
    <w:rsid w:val="005D3A64"/>
    <w:rsid w:val="005D46CB"/>
    <w:rsid w:val="005D57F6"/>
    <w:rsid w:val="005D7DBC"/>
    <w:rsid w:val="005E22CC"/>
    <w:rsid w:val="005E2C3D"/>
    <w:rsid w:val="005E30FF"/>
    <w:rsid w:val="005E3782"/>
    <w:rsid w:val="005E6C6A"/>
    <w:rsid w:val="005E7F2F"/>
    <w:rsid w:val="005F0F61"/>
    <w:rsid w:val="005F50AB"/>
    <w:rsid w:val="005F5DD0"/>
    <w:rsid w:val="005F62F3"/>
    <w:rsid w:val="005F6559"/>
    <w:rsid w:val="005F674E"/>
    <w:rsid w:val="005F69F6"/>
    <w:rsid w:val="006026C8"/>
    <w:rsid w:val="00604511"/>
    <w:rsid w:val="006045AF"/>
    <w:rsid w:val="00606268"/>
    <w:rsid w:val="00607626"/>
    <w:rsid w:val="00607B6F"/>
    <w:rsid w:val="00611928"/>
    <w:rsid w:val="006128C8"/>
    <w:rsid w:val="0061378A"/>
    <w:rsid w:val="00614453"/>
    <w:rsid w:val="006166A1"/>
    <w:rsid w:val="00622E0C"/>
    <w:rsid w:val="00624CFA"/>
    <w:rsid w:val="00626E76"/>
    <w:rsid w:val="006274D2"/>
    <w:rsid w:val="00627F32"/>
    <w:rsid w:val="006304BF"/>
    <w:rsid w:val="006313DD"/>
    <w:rsid w:val="00634051"/>
    <w:rsid w:val="00634A55"/>
    <w:rsid w:val="006369C3"/>
    <w:rsid w:val="006370B1"/>
    <w:rsid w:val="00637CF8"/>
    <w:rsid w:val="00640308"/>
    <w:rsid w:val="00640529"/>
    <w:rsid w:val="00641E01"/>
    <w:rsid w:val="0064213B"/>
    <w:rsid w:val="0064267C"/>
    <w:rsid w:val="00644510"/>
    <w:rsid w:val="006448D3"/>
    <w:rsid w:val="00644A82"/>
    <w:rsid w:val="00646370"/>
    <w:rsid w:val="00646739"/>
    <w:rsid w:val="00647178"/>
    <w:rsid w:val="0065092D"/>
    <w:rsid w:val="00652EFC"/>
    <w:rsid w:val="0065355E"/>
    <w:rsid w:val="00654E43"/>
    <w:rsid w:val="0065770E"/>
    <w:rsid w:val="00660C6A"/>
    <w:rsid w:val="006611EC"/>
    <w:rsid w:val="00661E85"/>
    <w:rsid w:val="00663002"/>
    <w:rsid w:val="0066348A"/>
    <w:rsid w:val="00663A2E"/>
    <w:rsid w:val="00664748"/>
    <w:rsid w:val="00665019"/>
    <w:rsid w:val="00665AE0"/>
    <w:rsid w:val="00667E6B"/>
    <w:rsid w:val="0067359C"/>
    <w:rsid w:val="006751FF"/>
    <w:rsid w:val="006777BF"/>
    <w:rsid w:val="00677973"/>
    <w:rsid w:val="006830AB"/>
    <w:rsid w:val="0068470C"/>
    <w:rsid w:val="006850F7"/>
    <w:rsid w:val="00686612"/>
    <w:rsid w:val="006866CF"/>
    <w:rsid w:val="00687090"/>
    <w:rsid w:val="006876A4"/>
    <w:rsid w:val="0068773E"/>
    <w:rsid w:val="006A1F6E"/>
    <w:rsid w:val="006A33E0"/>
    <w:rsid w:val="006B0C71"/>
    <w:rsid w:val="006B2936"/>
    <w:rsid w:val="006B36E8"/>
    <w:rsid w:val="006B38E2"/>
    <w:rsid w:val="006B5767"/>
    <w:rsid w:val="006B766D"/>
    <w:rsid w:val="006B77A1"/>
    <w:rsid w:val="006C369E"/>
    <w:rsid w:val="006C4B96"/>
    <w:rsid w:val="006C50F0"/>
    <w:rsid w:val="006C7B61"/>
    <w:rsid w:val="006D1B07"/>
    <w:rsid w:val="006D2B23"/>
    <w:rsid w:val="006D3C60"/>
    <w:rsid w:val="006D5452"/>
    <w:rsid w:val="006D681F"/>
    <w:rsid w:val="006D6878"/>
    <w:rsid w:val="006D694B"/>
    <w:rsid w:val="006D6C9B"/>
    <w:rsid w:val="006D7C57"/>
    <w:rsid w:val="006E087F"/>
    <w:rsid w:val="006E0CE5"/>
    <w:rsid w:val="006E1754"/>
    <w:rsid w:val="006E1F73"/>
    <w:rsid w:val="006E2678"/>
    <w:rsid w:val="006E2DA1"/>
    <w:rsid w:val="006E36F2"/>
    <w:rsid w:val="006E3D10"/>
    <w:rsid w:val="006E5F56"/>
    <w:rsid w:val="006E7D26"/>
    <w:rsid w:val="006F117C"/>
    <w:rsid w:val="006F43E1"/>
    <w:rsid w:val="0070033F"/>
    <w:rsid w:val="007033CA"/>
    <w:rsid w:val="00704B9E"/>
    <w:rsid w:val="00706535"/>
    <w:rsid w:val="00720180"/>
    <w:rsid w:val="00721182"/>
    <w:rsid w:val="00722663"/>
    <w:rsid w:val="00722A62"/>
    <w:rsid w:val="00723527"/>
    <w:rsid w:val="007256E6"/>
    <w:rsid w:val="00727512"/>
    <w:rsid w:val="00727B1B"/>
    <w:rsid w:val="0073145A"/>
    <w:rsid w:val="00731A74"/>
    <w:rsid w:val="007322D5"/>
    <w:rsid w:val="007323ED"/>
    <w:rsid w:val="00733ED1"/>
    <w:rsid w:val="00734E52"/>
    <w:rsid w:val="00735C39"/>
    <w:rsid w:val="00735DF0"/>
    <w:rsid w:val="007375A6"/>
    <w:rsid w:val="00741E6A"/>
    <w:rsid w:val="007421C1"/>
    <w:rsid w:val="00742EE3"/>
    <w:rsid w:val="00744C1D"/>
    <w:rsid w:val="007454C3"/>
    <w:rsid w:val="007462C5"/>
    <w:rsid w:val="00747847"/>
    <w:rsid w:val="00753095"/>
    <w:rsid w:val="00753EEE"/>
    <w:rsid w:val="00755338"/>
    <w:rsid w:val="00756219"/>
    <w:rsid w:val="007668B3"/>
    <w:rsid w:val="00767B01"/>
    <w:rsid w:val="007704CD"/>
    <w:rsid w:val="007712AC"/>
    <w:rsid w:val="00771B48"/>
    <w:rsid w:val="00771D29"/>
    <w:rsid w:val="00771FD2"/>
    <w:rsid w:val="00773575"/>
    <w:rsid w:val="00774CE5"/>
    <w:rsid w:val="00775A1C"/>
    <w:rsid w:val="00776244"/>
    <w:rsid w:val="00777E7B"/>
    <w:rsid w:val="007801E9"/>
    <w:rsid w:val="00780940"/>
    <w:rsid w:val="007823FE"/>
    <w:rsid w:val="00783691"/>
    <w:rsid w:val="007836B4"/>
    <w:rsid w:val="00790423"/>
    <w:rsid w:val="00790F91"/>
    <w:rsid w:val="007915BB"/>
    <w:rsid w:val="00792D4B"/>
    <w:rsid w:val="00795EEC"/>
    <w:rsid w:val="007A07B3"/>
    <w:rsid w:val="007A17A2"/>
    <w:rsid w:val="007A30D4"/>
    <w:rsid w:val="007A3E07"/>
    <w:rsid w:val="007A5623"/>
    <w:rsid w:val="007A774C"/>
    <w:rsid w:val="007B0B54"/>
    <w:rsid w:val="007B0C91"/>
    <w:rsid w:val="007B295C"/>
    <w:rsid w:val="007B32E5"/>
    <w:rsid w:val="007B3C64"/>
    <w:rsid w:val="007B5983"/>
    <w:rsid w:val="007B66FC"/>
    <w:rsid w:val="007B7865"/>
    <w:rsid w:val="007C3714"/>
    <w:rsid w:val="007C4037"/>
    <w:rsid w:val="007C58CB"/>
    <w:rsid w:val="007C7C20"/>
    <w:rsid w:val="007D1F65"/>
    <w:rsid w:val="007D21CF"/>
    <w:rsid w:val="007D2F3F"/>
    <w:rsid w:val="007D34D9"/>
    <w:rsid w:val="007D75DD"/>
    <w:rsid w:val="007D7D7E"/>
    <w:rsid w:val="007E02A5"/>
    <w:rsid w:val="007E1D7E"/>
    <w:rsid w:val="007E28B2"/>
    <w:rsid w:val="007E417E"/>
    <w:rsid w:val="007E425B"/>
    <w:rsid w:val="007E51CC"/>
    <w:rsid w:val="007E6786"/>
    <w:rsid w:val="007E67DD"/>
    <w:rsid w:val="007E7354"/>
    <w:rsid w:val="007E765D"/>
    <w:rsid w:val="007F1A04"/>
    <w:rsid w:val="007F41F9"/>
    <w:rsid w:val="007F4E84"/>
    <w:rsid w:val="007F5173"/>
    <w:rsid w:val="007F6621"/>
    <w:rsid w:val="007F666A"/>
    <w:rsid w:val="007F744F"/>
    <w:rsid w:val="00801C2E"/>
    <w:rsid w:val="00801E67"/>
    <w:rsid w:val="00804690"/>
    <w:rsid w:val="00804C4D"/>
    <w:rsid w:val="0081201B"/>
    <w:rsid w:val="00812700"/>
    <w:rsid w:val="008127CA"/>
    <w:rsid w:val="008146C2"/>
    <w:rsid w:val="0082026C"/>
    <w:rsid w:val="008207B9"/>
    <w:rsid w:val="00820B56"/>
    <w:rsid w:val="00820C1C"/>
    <w:rsid w:val="00820F39"/>
    <w:rsid w:val="0082206A"/>
    <w:rsid w:val="00822622"/>
    <w:rsid w:val="00822B33"/>
    <w:rsid w:val="008230ED"/>
    <w:rsid w:val="008247A2"/>
    <w:rsid w:val="008253A5"/>
    <w:rsid w:val="00825BF9"/>
    <w:rsid w:val="00825C9C"/>
    <w:rsid w:val="00826149"/>
    <w:rsid w:val="008268CA"/>
    <w:rsid w:val="00826CD5"/>
    <w:rsid w:val="00826E41"/>
    <w:rsid w:val="0083200D"/>
    <w:rsid w:val="00832F52"/>
    <w:rsid w:val="008334A7"/>
    <w:rsid w:val="00833FF5"/>
    <w:rsid w:val="00834CF9"/>
    <w:rsid w:val="00834E28"/>
    <w:rsid w:val="00840D22"/>
    <w:rsid w:val="0084113A"/>
    <w:rsid w:val="008421B1"/>
    <w:rsid w:val="0084343F"/>
    <w:rsid w:val="00845581"/>
    <w:rsid w:val="008460B0"/>
    <w:rsid w:val="00846824"/>
    <w:rsid w:val="008472CF"/>
    <w:rsid w:val="00847819"/>
    <w:rsid w:val="00852993"/>
    <w:rsid w:val="00852B23"/>
    <w:rsid w:val="0085309A"/>
    <w:rsid w:val="00854363"/>
    <w:rsid w:val="008558B2"/>
    <w:rsid w:val="00855DBA"/>
    <w:rsid w:val="008566CB"/>
    <w:rsid w:val="00857A8E"/>
    <w:rsid w:val="008601FF"/>
    <w:rsid w:val="0086039A"/>
    <w:rsid w:val="008620F8"/>
    <w:rsid w:val="00862611"/>
    <w:rsid w:val="00862A45"/>
    <w:rsid w:val="00864CEC"/>
    <w:rsid w:val="008664A6"/>
    <w:rsid w:val="0086681D"/>
    <w:rsid w:val="00867CDF"/>
    <w:rsid w:val="008812EC"/>
    <w:rsid w:val="00882314"/>
    <w:rsid w:val="008825BC"/>
    <w:rsid w:val="0088282C"/>
    <w:rsid w:val="0088284A"/>
    <w:rsid w:val="00883628"/>
    <w:rsid w:val="00884FD1"/>
    <w:rsid w:val="00887DC9"/>
    <w:rsid w:val="008913C2"/>
    <w:rsid w:val="008914FE"/>
    <w:rsid w:val="0089289B"/>
    <w:rsid w:val="00893204"/>
    <w:rsid w:val="00893DDA"/>
    <w:rsid w:val="00895983"/>
    <w:rsid w:val="00895F67"/>
    <w:rsid w:val="008A1547"/>
    <w:rsid w:val="008A1DB6"/>
    <w:rsid w:val="008A2CE3"/>
    <w:rsid w:val="008A30FA"/>
    <w:rsid w:val="008A4B9B"/>
    <w:rsid w:val="008A4BF3"/>
    <w:rsid w:val="008A55B9"/>
    <w:rsid w:val="008A5FB3"/>
    <w:rsid w:val="008B1251"/>
    <w:rsid w:val="008B1921"/>
    <w:rsid w:val="008B1BA1"/>
    <w:rsid w:val="008B31E2"/>
    <w:rsid w:val="008B31F0"/>
    <w:rsid w:val="008B4547"/>
    <w:rsid w:val="008C31AA"/>
    <w:rsid w:val="008C35E0"/>
    <w:rsid w:val="008C38B5"/>
    <w:rsid w:val="008C498A"/>
    <w:rsid w:val="008C5973"/>
    <w:rsid w:val="008C7DA2"/>
    <w:rsid w:val="008D1545"/>
    <w:rsid w:val="008D1952"/>
    <w:rsid w:val="008D1D21"/>
    <w:rsid w:val="008D4472"/>
    <w:rsid w:val="008D76DE"/>
    <w:rsid w:val="008E12F5"/>
    <w:rsid w:val="008E2F6C"/>
    <w:rsid w:val="008E3FCA"/>
    <w:rsid w:val="008E6A3B"/>
    <w:rsid w:val="008E7038"/>
    <w:rsid w:val="008E7C60"/>
    <w:rsid w:val="008F0F36"/>
    <w:rsid w:val="008F1CB9"/>
    <w:rsid w:val="008F1E18"/>
    <w:rsid w:val="008F2508"/>
    <w:rsid w:val="008F44DD"/>
    <w:rsid w:val="008F4AAE"/>
    <w:rsid w:val="008F624F"/>
    <w:rsid w:val="008F6F27"/>
    <w:rsid w:val="008F731A"/>
    <w:rsid w:val="008F7A96"/>
    <w:rsid w:val="008F7BFD"/>
    <w:rsid w:val="00900E15"/>
    <w:rsid w:val="00903586"/>
    <w:rsid w:val="0090596B"/>
    <w:rsid w:val="00905ACD"/>
    <w:rsid w:val="00907318"/>
    <w:rsid w:val="00910B5F"/>
    <w:rsid w:val="00912D61"/>
    <w:rsid w:val="00913F66"/>
    <w:rsid w:val="009158E9"/>
    <w:rsid w:val="009164D4"/>
    <w:rsid w:val="00916BDE"/>
    <w:rsid w:val="00923154"/>
    <w:rsid w:val="0092327D"/>
    <w:rsid w:val="009233E2"/>
    <w:rsid w:val="00926DBC"/>
    <w:rsid w:val="009321E4"/>
    <w:rsid w:val="0093670B"/>
    <w:rsid w:val="00937951"/>
    <w:rsid w:val="009417FF"/>
    <w:rsid w:val="00942480"/>
    <w:rsid w:val="00943271"/>
    <w:rsid w:val="009442E5"/>
    <w:rsid w:val="0094522D"/>
    <w:rsid w:val="00945FA9"/>
    <w:rsid w:val="0094645D"/>
    <w:rsid w:val="0094708F"/>
    <w:rsid w:val="00952149"/>
    <w:rsid w:val="00955A8A"/>
    <w:rsid w:val="00957749"/>
    <w:rsid w:val="00957C5D"/>
    <w:rsid w:val="009600D9"/>
    <w:rsid w:val="00961C60"/>
    <w:rsid w:val="00964967"/>
    <w:rsid w:val="00965B2D"/>
    <w:rsid w:val="0096717A"/>
    <w:rsid w:val="00967D35"/>
    <w:rsid w:val="00970116"/>
    <w:rsid w:val="00971245"/>
    <w:rsid w:val="00972AD9"/>
    <w:rsid w:val="00972C3E"/>
    <w:rsid w:val="00973C35"/>
    <w:rsid w:val="00973F0C"/>
    <w:rsid w:val="009746CB"/>
    <w:rsid w:val="00975590"/>
    <w:rsid w:val="00976473"/>
    <w:rsid w:val="009773B0"/>
    <w:rsid w:val="0098005F"/>
    <w:rsid w:val="00981811"/>
    <w:rsid w:val="00983F54"/>
    <w:rsid w:val="00986A55"/>
    <w:rsid w:val="009908B9"/>
    <w:rsid w:val="009915F6"/>
    <w:rsid w:val="0099203B"/>
    <w:rsid w:val="00992AB5"/>
    <w:rsid w:val="00992F0A"/>
    <w:rsid w:val="009932A7"/>
    <w:rsid w:val="009960B7"/>
    <w:rsid w:val="009970A2"/>
    <w:rsid w:val="009A0AFF"/>
    <w:rsid w:val="009A0D06"/>
    <w:rsid w:val="009A1170"/>
    <w:rsid w:val="009A127F"/>
    <w:rsid w:val="009A3363"/>
    <w:rsid w:val="009A3CBA"/>
    <w:rsid w:val="009A4284"/>
    <w:rsid w:val="009A468E"/>
    <w:rsid w:val="009A6BA1"/>
    <w:rsid w:val="009A7954"/>
    <w:rsid w:val="009B0DE2"/>
    <w:rsid w:val="009B162D"/>
    <w:rsid w:val="009B1D5C"/>
    <w:rsid w:val="009B208D"/>
    <w:rsid w:val="009B2892"/>
    <w:rsid w:val="009B29EF"/>
    <w:rsid w:val="009B4CF3"/>
    <w:rsid w:val="009B53DF"/>
    <w:rsid w:val="009B58EA"/>
    <w:rsid w:val="009B5FED"/>
    <w:rsid w:val="009C1847"/>
    <w:rsid w:val="009C18E6"/>
    <w:rsid w:val="009C2732"/>
    <w:rsid w:val="009C3C7E"/>
    <w:rsid w:val="009C3C98"/>
    <w:rsid w:val="009C479A"/>
    <w:rsid w:val="009C524E"/>
    <w:rsid w:val="009C67A1"/>
    <w:rsid w:val="009D0A30"/>
    <w:rsid w:val="009D0EC4"/>
    <w:rsid w:val="009D23EC"/>
    <w:rsid w:val="009D256E"/>
    <w:rsid w:val="009D2B92"/>
    <w:rsid w:val="009D2CF9"/>
    <w:rsid w:val="009D3380"/>
    <w:rsid w:val="009D34B5"/>
    <w:rsid w:val="009D514F"/>
    <w:rsid w:val="009D6989"/>
    <w:rsid w:val="009D6E24"/>
    <w:rsid w:val="009D7410"/>
    <w:rsid w:val="009E14B8"/>
    <w:rsid w:val="009E3337"/>
    <w:rsid w:val="009E39EB"/>
    <w:rsid w:val="009E3EAD"/>
    <w:rsid w:val="009E5762"/>
    <w:rsid w:val="009E6116"/>
    <w:rsid w:val="009F2B18"/>
    <w:rsid w:val="009F4470"/>
    <w:rsid w:val="009F51B9"/>
    <w:rsid w:val="009F7CB2"/>
    <w:rsid w:val="009F7E6A"/>
    <w:rsid w:val="00A00DE5"/>
    <w:rsid w:val="00A01190"/>
    <w:rsid w:val="00A013F2"/>
    <w:rsid w:val="00A014CF"/>
    <w:rsid w:val="00A03664"/>
    <w:rsid w:val="00A03CC1"/>
    <w:rsid w:val="00A0417B"/>
    <w:rsid w:val="00A05A24"/>
    <w:rsid w:val="00A06737"/>
    <w:rsid w:val="00A07587"/>
    <w:rsid w:val="00A07625"/>
    <w:rsid w:val="00A07863"/>
    <w:rsid w:val="00A078A0"/>
    <w:rsid w:val="00A10AB5"/>
    <w:rsid w:val="00A12B7B"/>
    <w:rsid w:val="00A13D65"/>
    <w:rsid w:val="00A1452D"/>
    <w:rsid w:val="00A1735A"/>
    <w:rsid w:val="00A173CC"/>
    <w:rsid w:val="00A21E27"/>
    <w:rsid w:val="00A276AA"/>
    <w:rsid w:val="00A33CD3"/>
    <w:rsid w:val="00A33D14"/>
    <w:rsid w:val="00A34197"/>
    <w:rsid w:val="00A35F66"/>
    <w:rsid w:val="00A43116"/>
    <w:rsid w:val="00A442E6"/>
    <w:rsid w:val="00A45788"/>
    <w:rsid w:val="00A45FC0"/>
    <w:rsid w:val="00A506C1"/>
    <w:rsid w:val="00A518E9"/>
    <w:rsid w:val="00A52AEC"/>
    <w:rsid w:val="00A52EDA"/>
    <w:rsid w:val="00A531BC"/>
    <w:rsid w:val="00A54E13"/>
    <w:rsid w:val="00A55449"/>
    <w:rsid w:val="00A557E2"/>
    <w:rsid w:val="00A565EE"/>
    <w:rsid w:val="00A60B60"/>
    <w:rsid w:val="00A614B5"/>
    <w:rsid w:val="00A61F47"/>
    <w:rsid w:val="00A63A01"/>
    <w:rsid w:val="00A656E4"/>
    <w:rsid w:val="00A670A8"/>
    <w:rsid w:val="00A672D4"/>
    <w:rsid w:val="00A67780"/>
    <w:rsid w:val="00A67782"/>
    <w:rsid w:val="00A7077E"/>
    <w:rsid w:val="00A72362"/>
    <w:rsid w:val="00A724AD"/>
    <w:rsid w:val="00A7270C"/>
    <w:rsid w:val="00A72C7E"/>
    <w:rsid w:val="00A751F1"/>
    <w:rsid w:val="00A752EA"/>
    <w:rsid w:val="00A762B7"/>
    <w:rsid w:val="00A76C82"/>
    <w:rsid w:val="00A77639"/>
    <w:rsid w:val="00A803F3"/>
    <w:rsid w:val="00A82562"/>
    <w:rsid w:val="00A8575B"/>
    <w:rsid w:val="00A86A4F"/>
    <w:rsid w:val="00A916E0"/>
    <w:rsid w:val="00A92AF0"/>
    <w:rsid w:val="00A92B8C"/>
    <w:rsid w:val="00A92F13"/>
    <w:rsid w:val="00A92F3D"/>
    <w:rsid w:val="00A9341A"/>
    <w:rsid w:val="00A944EB"/>
    <w:rsid w:val="00A959C6"/>
    <w:rsid w:val="00A961E9"/>
    <w:rsid w:val="00A97743"/>
    <w:rsid w:val="00A97C1D"/>
    <w:rsid w:val="00AA06A1"/>
    <w:rsid w:val="00AA2649"/>
    <w:rsid w:val="00AA2A4C"/>
    <w:rsid w:val="00AA2C35"/>
    <w:rsid w:val="00AA31CB"/>
    <w:rsid w:val="00AA352B"/>
    <w:rsid w:val="00AA3749"/>
    <w:rsid w:val="00AA7758"/>
    <w:rsid w:val="00AB0582"/>
    <w:rsid w:val="00AB0DB5"/>
    <w:rsid w:val="00AB192F"/>
    <w:rsid w:val="00AB2800"/>
    <w:rsid w:val="00AB6DD7"/>
    <w:rsid w:val="00AB717E"/>
    <w:rsid w:val="00AB79B6"/>
    <w:rsid w:val="00AC0319"/>
    <w:rsid w:val="00AC180A"/>
    <w:rsid w:val="00AC2E68"/>
    <w:rsid w:val="00AC2EAD"/>
    <w:rsid w:val="00AC365F"/>
    <w:rsid w:val="00AC3883"/>
    <w:rsid w:val="00AC6021"/>
    <w:rsid w:val="00AC6706"/>
    <w:rsid w:val="00AC7567"/>
    <w:rsid w:val="00AD08D5"/>
    <w:rsid w:val="00AD2679"/>
    <w:rsid w:val="00AD35FD"/>
    <w:rsid w:val="00AD3AB3"/>
    <w:rsid w:val="00AD3BA4"/>
    <w:rsid w:val="00AD4AA4"/>
    <w:rsid w:val="00AD6903"/>
    <w:rsid w:val="00AD69E0"/>
    <w:rsid w:val="00AD6FC7"/>
    <w:rsid w:val="00AE24CD"/>
    <w:rsid w:val="00AE2514"/>
    <w:rsid w:val="00AE311B"/>
    <w:rsid w:val="00AE48DF"/>
    <w:rsid w:val="00AE5166"/>
    <w:rsid w:val="00AE63A3"/>
    <w:rsid w:val="00AE7804"/>
    <w:rsid w:val="00AE785C"/>
    <w:rsid w:val="00AF17C6"/>
    <w:rsid w:val="00AF2C26"/>
    <w:rsid w:val="00AF661F"/>
    <w:rsid w:val="00AF6771"/>
    <w:rsid w:val="00AF7753"/>
    <w:rsid w:val="00B003FC"/>
    <w:rsid w:val="00B0128E"/>
    <w:rsid w:val="00B0250B"/>
    <w:rsid w:val="00B03F1C"/>
    <w:rsid w:val="00B04030"/>
    <w:rsid w:val="00B04C91"/>
    <w:rsid w:val="00B06F1E"/>
    <w:rsid w:val="00B119A3"/>
    <w:rsid w:val="00B11E2C"/>
    <w:rsid w:val="00B15BCF"/>
    <w:rsid w:val="00B16C4A"/>
    <w:rsid w:val="00B16E93"/>
    <w:rsid w:val="00B2266E"/>
    <w:rsid w:val="00B22ACC"/>
    <w:rsid w:val="00B22EB1"/>
    <w:rsid w:val="00B23114"/>
    <w:rsid w:val="00B23598"/>
    <w:rsid w:val="00B23A4D"/>
    <w:rsid w:val="00B26EE0"/>
    <w:rsid w:val="00B30437"/>
    <w:rsid w:val="00B3064B"/>
    <w:rsid w:val="00B30672"/>
    <w:rsid w:val="00B30810"/>
    <w:rsid w:val="00B30F5C"/>
    <w:rsid w:val="00B3144A"/>
    <w:rsid w:val="00B32499"/>
    <w:rsid w:val="00B33678"/>
    <w:rsid w:val="00B33A0A"/>
    <w:rsid w:val="00B34036"/>
    <w:rsid w:val="00B40EA4"/>
    <w:rsid w:val="00B42B75"/>
    <w:rsid w:val="00B43315"/>
    <w:rsid w:val="00B451A3"/>
    <w:rsid w:val="00B46C8D"/>
    <w:rsid w:val="00B46D1B"/>
    <w:rsid w:val="00B502A3"/>
    <w:rsid w:val="00B55ADE"/>
    <w:rsid w:val="00B60830"/>
    <w:rsid w:val="00B64648"/>
    <w:rsid w:val="00B647C9"/>
    <w:rsid w:val="00B65160"/>
    <w:rsid w:val="00B661DD"/>
    <w:rsid w:val="00B66B2E"/>
    <w:rsid w:val="00B671A2"/>
    <w:rsid w:val="00B67338"/>
    <w:rsid w:val="00B67859"/>
    <w:rsid w:val="00B707EA"/>
    <w:rsid w:val="00B70B48"/>
    <w:rsid w:val="00B70EE6"/>
    <w:rsid w:val="00B71E65"/>
    <w:rsid w:val="00B71FBE"/>
    <w:rsid w:val="00B73B2F"/>
    <w:rsid w:val="00B745C9"/>
    <w:rsid w:val="00B74D67"/>
    <w:rsid w:val="00B764E6"/>
    <w:rsid w:val="00B76F54"/>
    <w:rsid w:val="00B81C07"/>
    <w:rsid w:val="00B83DE9"/>
    <w:rsid w:val="00B87D5B"/>
    <w:rsid w:val="00B90D1E"/>
    <w:rsid w:val="00B91157"/>
    <w:rsid w:val="00B92AE0"/>
    <w:rsid w:val="00B92C4C"/>
    <w:rsid w:val="00B957A4"/>
    <w:rsid w:val="00B95E88"/>
    <w:rsid w:val="00B96E53"/>
    <w:rsid w:val="00B9791C"/>
    <w:rsid w:val="00BA0813"/>
    <w:rsid w:val="00BA15DD"/>
    <w:rsid w:val="00BA3540"/>
    <w:rsid w:val="00BA4148"/>
    <w:rsid w:val="00BA4A67"/>
    <w:rsid w:val="00BA51AC"/>
    <w:rsid w:val="00BA5695"/>
    <w:rsid w:val="00BA68FD"/>
    <w:rsid w:val="00BA794F"/>
    <w:rsid w:val="00BB030F"/>
    <w:rsid w:val="00BB36C7"/>
    <w:rsid w:val="00BB4080"/>
    <w:rsid w:val="00BB47CC"/>
    <w:rsid w:val="00BB4D89"/>
    <w:rsid w:val="00BC0794"/>
    <w:rsid w:val="00BC2D2D"/>
    <w:rsid w:val="00BC2F77"/>
    <w:rsid w:val="00BC315F"/>
    <w:rsid w:val="00BC3D9D"/>
    <w:rsid w:val="00BD0163"/>
    <w:rsid w:val="00BD0E01"/>
    <w:rsid w:val="00BD274B"/>
    <w:rsid w:val="00BD3096"/>
    <w:rsid w:val="00BD3329"/>
    <w:rsid w:val="00BD584D"/>
    <w:rsid w:val="00BD5E5B"/>
    <w:rsid w:val="00BD6BA0"/>
    <w:rsid w:val="00BD6CE0"/>
    <w:rsid w:val="00BD768B"/>
    <w:rsid w:val="00BD7DDB"/>
    <w:rsid w:val="00BD7EC1"/>
    <w:rsid w:val="00BE08D7"/>
    <w:rsid w:val="00BE5A07"/>
    <w:rsid w:val="00BE7F62"/>
    <w:rsid w:val="00BF3254"/>
    <w:rsid w:val="00BF3CC6"/>
    <w:rsid w:val="00BF3D97"/>
    <w:rsid w:val="00BF4453"/>
    <w:rsid w:val="00BF459D"/>
    <w:rsid w:val="00BF53D8"/>
    <w:rsid w:val="00BF67F8"/>
    <w:rsid w:val="00BF70ED"/>
    <w:rsid w:val="00BF732D"/>
    <w:rsid w:val="00C00C85"/>
    <w:rsid w:val="00C00ECD"/>
    <w:rsid w:val="00C03AC7"/>
    <w:rsid w:val="00C04E05"/>
    <w:rsid w:val="00C0546D"/>
    <w:rsid w:val="00C05EA7"/>
    <w:rsid w:val="00C10280"/>
    <w:rsid w:val="00C107D1"/>
    <w:rsid w:val="00C11CE7"/>
    <w:rsid w:val="00C12418"/>
    <w:rsid w:val="00C12E91"/>
    <w:rsid w:val="00C13FC1"/>
    <w:rsid w:val="00C16306"/>
    <w:rsid w:val="00C16464"/>
    <w:rsid w:val="00C16597"/>
    <w:rsid w:val="00C168E9"/>
    <w:rsid w:val="00C16906"/>
    <w:rsid w:val="00C20071"/>
    <w:rsid w:val="00C21B57"/>
    <w:rsid w:val="00C23B54"/>
    <w:rsid w:val="00C25C9C"/>
    <w:rsid w:val="00C26DD0"/>
    <w:rsid w:val="00C3044D"/>
    <w:rsid w:val="00C30694"/>
    <w:rsid w:val="00C3083D"/>
    <w:rsid w:val="00C31126"/>
    <w:rsid w:val="00C3172F"/>
    <w:rsid w:val="00C31EEE"/>
    <w:rsid w:val="00C33813"/>
    <w:rsid w:val="00C34D0A"/>
    <w:rsid w:val="00C362B4"/>
    <w:rsid w:val="00C362DA"/>
    <w:rsid w:val="00C3659B"/>
    <w:rsid w:val="00C3734A"/>
    <w:rsid w:val="00C37D15"/>
    <w:rsid w:val="00C4055F"/>
    <w:rsid w:val="00C41FFA"/>
    <w:rsid w:val="00C42617"/>
    <w:rsid w:val="00C43B50"/>
    <w:rsid w:val="00C45E8A"/>
    <w:rsid w:val="00C47769"/>
    <w:rsid w:val="00C47889"/>
    <w:rsid w:val="00C52CF9"/>
    <w:rsid w:val="00C532A3"/>
    <w:rsid w:val="00C55219"/>
    <w:rsid w:val="00C57B2B"/>
    <w:rsid w:val="00C611FD"/>
    <w:rsid w:val="00C63CCB"/>
    <w:rsid w:val="00C64C23"/>
    <w:rsid w:val="00C66191"/>
    <w:rsid w:val="00C66273"/>
    <w:rsid w:val="00C67876"/>
    <w:rsid w:val="00C70592"/>
    <w:rsid w:val="00C730DF"/>
    <w:rsid w:val="00C746FC"/>
    <w:rsid w:val="00C7600C"/>
    <w:rsid w:val="00C7647E"/>
    <w:rsid w:val="00C77599"/>
    <w:rsid w:val="00C77863"/>
    <w:rsid w:val="00C80E92"/>
    <w:rsid w:val="00C8364B"/>
    <w:rsid w:val="00C83CC5"/>
    <w:rsid w:val="00C8523F"/>
    <w:rsid w:val="00C85583"/>
    <w:rsid w:val="00C87033"/>
    <w:rsid w:val="00C9117D"/>
    <w:rsid w:val="00C91A9C"/>
    <w:rsid w:val="00C91E12"/>
    <w:rsid w:val="00C93A22"/>
    <w:rsid w:val="00C9473E"/>
    <w:rsid w:val="00C94B43"/>
    <w:rsid w:val="00C96B2E"/>
    <w:rsid w:val="00CA057F"/>
    <w:rsid w:val="00CA1A65"/>
    <w:rsid w:val="00CA2765"/>
    <w:rsid w:val="00CA30DB"/>
    <w:rsid w:val="00CA3831"/>
    <w:rsid w:val="00CA50E5"/>
    <w:rsid w:val="00CA5CA7"/>
    <w:rsid w:val="00CA7691"/>
    <w:rsid w:val="00CA783D"/>
    <w:rsid w:val="00CB0C10"/>
    <w:rsid w:val="00CB2360"/>
    <w:rsid w:val="00CB2E58"/>
    <w:rsid w:val="00CB557D"/>
    <w:rsid w:val="00CB58DE"/>
    <w:rsid w:val="00CB6D4D"/>
    <w:rsid w:val="00CB79EF"/>
    <w:rsid w:val="00CC0201"/>
    <w:rsid w:val="00CC0D4D"/>
    <w:rsid w:val="00CC1A99"/>
    <w:rsid w:val="00CC214C"/>
    <w:rsid w:val="00CC320E"/>
    <w:rsid w:val="00CC349A"/>
    <w:rsid w:val="00CC3749"/>
    <w:rsid w:val="00CC374D"/>
    <w:rsid w:val="00CC3DB2"/>
    <w:rsid w:val="00CC41F7"/>
    <w:rsid w:val="00CC5B2F"/>
    <w:rsid w:val="00CC66B0"/>
    <w:rsid w:val="00CD249B"/>
    <w:rsid w:val="00CD3D3B"/>
    <w:rsid w:val="00CD3EBA"/>
    <w:rsid w:val="00CD401F"/>
    <w:rsid w:val="00CD6122"/>
    <w:rsid w:val="00CD7AF5"/>
    <w:rsid w:val="00CE1119"/>
    <w:rsid w:val="00CE2207"/>
    <w:rsid w:val="00CE27F6"/>
    <w:rsid w:val="00CE2A87"/>
    <w:rsid w:val="00CE3C80"/>
    <w:rsid w:val="00CE4AFD"/>
    <w:rsid w:val="00CE4D15"/>
    <w:rsid w:val="00CE651C"/>
    <w:rsid w:val="00CE6E7E"/>
    <w:rsid w:val="00CF07DF"/>
    <w:rsid w:val="00CF4424"/>
    <w:rsid w:val="00CF46E3"/>
    <w:rsid w:val="00CF4E7C"/>
    <w:rsid w:val="00CF6762"/>
    <w:rsid w:val="00CF6FCF"/>
    <w:rsid w:val="00CF71E0"/>
    <w:rsid w:val="00D0124B"/>
    <w:rsid w:val="00D01BCC"/>
    <w:rsid w:val="00D02666"/>
    <w:rsid w:val="00D03068"/>
    <w:rsid w:val="00D03262"/>
    <w:rsid w:val="00D03368"/>
    <w:rsid w:val="00D03E3A"/>
    <w:rsid w:val="00D041BE"/>
    <w:rsid w:val="00D047D4"/>
    <w:rsid w:val="00D06771"/>
    <w:rsid w:val="00D07C6D"/>
    <w:rsid w:val="00D110A3"/>
    <w:rsid w:val="00D1143E"/>
    <w:rsid w:val="00D114FD"/>
    <w:rsid w:val="00D121AF"/>
    <w:rsid w:val="00D15E7C"/>
    <w:rsid w:val="00D16BD4"/>
    <w:rsid w:val="00D173C8"/>
    <w:rsid w:val="00D20C3E"/>
    <w:rsid w:val="00D20E71"/>
    <w:rsid w:val="00D20FA5"/>
    <w:rsid w:val="00D2119E"/>
    <w:rsid w:val="00D23ED4"/>
    <w:rsid w:val="00D24640"/>
    <w:rsid w:val="00D2531B"/>
    <w:rsid w:val="00D25B3E"/>
    <w:rsid w:val="00D27D3A"/>
    <w:rsid w:val="00D316B1"/>
    <w:rsid w:val="00D32D4A"/>
    <w:rsid w:val="00D33540"/>
    <w:rsid w:val="00D3389B"/>
    <w:rsid w:val="00D33A09"/>
    <w:rsid w:val="00D36A04"/>
    <w:rsid w:val="00D40A2B"/>
    <w:rsid w:val="00D42BED"/>
    <w:rsid w:val="00D44A11"/>
    <w:rsid w:val="00D45572"/>
    <w:rsid w:val="00D459FD"/>
    <w:rsid w:val="00D46876"/>
    <w:rsid w:val="00D52F33"/>
    <w:rsid w:val="00D53911"/>
    <w:rsid w:val="00D5763A"/>
    <w:rsid w:val="00D61767"/>
    <w:rsid w:val="00D619F4"/>
    <w:rsid w:val="00D62423"/>
    <w:rsid w:val="00D63F6C"/>
    <w:rsid w:val="00D65579"/>
    <w:rsid w:val="00D65B82"/>
    <w:rsid w:val="00D70AB5"/>
    <w:rsid w:val="00D72781"/>
    <w:rsid w:val="00D72C47"/>
    <w:rsid w:val="00D755FF"/>
    <w:rsid w:val="00D808AE"/>
    <w:rsid w:val="00D830ED"/>
    <w:rsid w:val="00D8434A"/>
    <w:rsid w:val="00D854FA"/>
    <w:rsid w:val="00D87133"/>
    <w:rsid w:val="00D874DC"/>
    <w:rsid w:val="00D87F2D"/>
    <w:rsid w:val="00D919C2"/>
    <w:rsid w:val="00D9260B"/>
    <w:rsid w:val="00D95B34"/>
    <w:rsid w:val="00D95FDC"/>
    <w:rsid w:val="00D96EFA"/>
    <w:rsid w:val="00D97DE9"/>
    <w:rsid w:val="00DA02AC"/>
    <w:rsid w:val="00DA0303"/>
    <w:rsid w:val="00DA06F1"/>
    <w:rsid w:val="00DA1096"/>
    <w:rsid w:val="00DA12AF"/>
    <w:rsid w:val="00DA2715"/>
    <w:rsid w:val="00DA2E81"/>
    <w:rsid w:val="00DA3AF8"/>
    <w:rsid w:val="00DA6A7D"/>
    <w:rsid w:val="00DA6FFA"/>
    <w:rsid w:val="00DA70B9"/>
    <w:rsid w:val="00DB0289"/>
    <w:rsid w:val="00DB3007"/>
    <w:rsid w:val="00DB5A24"/>
    <w:rsid w:val="00DB6766"/>
    <w:rsid w:val="00DB7564"/>
    <w:rsid w:val="00DB77A8"/>
    <w:rsid w:val="00DC02D7"/>
    <w:rsid w:val="00DC1765"/>
    <w:rsid w:val="00DC19AD"/>
    <w:rsid w:val="00DC1BF8"/>
    <w:rsid w:val="00DC1DBC"/>
    <w:rsid w:val="00DC28A7"/>
    <w:rsid w:val="00DC689E"/>
    <w:rsid w:val="00DC7CAF"/>
    <w:rsid w:val="00DC7E9E"/>
    <w:rsid w:val="00DD0A69"/>
    <w:rsid w:val="00DD28FA"/>
    <w:rsid w:val="00DD2E3A"/>
    <w:rsid w:val="00DD395C"/>
    <w:rsid w:val="00DD621B"/>
    <w:rsid w:val="00DD690E"/>
    <w:rsid w:val="00DE3300"/>
    <w:rsid w:val="00DE3FC0"/>
    <w:rsid w:val="00DE4BEF"/>
    <w:rsid w:val="00DE5018"/>
    <w:rsid w:val="00DE5534"/>
    <w:rsid w:val="00DE5713"/>
    <w:rsid w:val="00DE5B55"/>
    <w:rsid w:val="00DF1718"/>
    <w:rsid w:val="00DF1A57"/>
    <w:rsid w:val="00DF68DF"/>
    <w:rsid w:val="00DF6C6D"/>
    <w:rsid w:val="00E00CC0"/>
    <w:rsid w:val="00E00F92"/>
    <w:rsid w:val="00E011F2"/>
    <w:rsid w:val="00E029D7"/>
    <w:rsid w:val="00E02F36"/>
    <w:rsid w:val="00E03A20"/>
    <w:rsid w:val="00E03E5C"/>
    <w:rsid w:val="00E1004D"/>
    <w:rsid w:val="00E10A05"/>
    <w:rsid w:val="00E11A72"/>
    <w:rsid w:val="00E12852"/>
    <w:rsid w:val="00E1286D"/>
    <w:rsid w:val="00E13E5A"/>
    <w:rsid w:val="00E14DDA"/>
    <w:rsid w:val="00E17146"/>
    <w:rsid w:val="00E203A1"/>
    <w:rsid w:val="00E21EDF"/>
    <w:rsid w:val="00E22F28"/>
    <w:rsid w:val="00E23D86"/>
    <w:rsid w:val="00E24059"/>
    <w:rsid w:val="00E2489F"/>
    <w:rsid w:val="00E258A0"/>
    <w:rsid w:val="00E259C6"/>
    <w:rsid w:val="00E31B10"/>
    <w:rsid w:val="00E35131"/>
    <w:rsid w:val="00E35490"/>
    <w:rsid w:val="00E35F5A"/>
    <w:rsid w:val="00E370AD"/>
    <w:rsid w:val="00E37A2C"/>
    <w:rsid w:val="00E41C56"/>
    <w:rsid w:val="00E43549"/>
    <w:rsid w:val="00E44750"/>
    <w:rsid w:val="00E44FB3"/>
    <w:rsid w:val="00E457C1"/>
    <w:rsid w:val="00E467EB"/>
    <w:rsid w:val="00E46B44"/>
    <w:rsid w:val="00E50641"/>
    <w:rsid w:val="00E51EE2"/>
    <w:rsid w:val="00E52588"/>
    <w:rsid w:val="00E5320A"/>
    <w:rsid w:val="00E53877"/>
    <w:rsid w:val="00E5406A"/>
    <w:rsid w:val="00E557E9"/>
    <w:rsid w:val="00E6179F"/>
    <w:rsid w:val="00E62D2A"/>
    <w:rsid w:val="00E638BC"/>
    <w:rsid w:val="00E64E52"/>
    <w:rsid w:val="00E64FC2"/>
    <w:rsid w:val="00E66D31"/>
    <w:rsid w:val="00E67425"/>
    <w:rsid w:val="00E67BD7"/>
    <w:rsid w:val="00E67FB6"/>
    <w:rsid w:val="00E70E00"/>
    <w:rsid w:val="00E71D23"/>
    <w:rsid w:val="00E71DF0"/>
    <w:rsid w:val="00E72220"/>
    <w:rsid w:val="00E72254"/>
    <w:rsid w:val="00E72F4D"/>
    <w:rsid w:val="00E743BB"/>
    <w:rsid w:val="00E7474A"/>
    <w:rsid w:val="00E77325"/>
    <w:rsid w:val="00E80301"/>
    <w:rsid w:val="00E80A6D"/>
    <w:rsid w:val="00E81A8E"/>
    <w:rsid w:val="00E82D9D"/>
    <w:rsid w:val="00E83500"/>
    <w:rsid w:val="00E847B5"/>
    <w:rsid w:val="00E852E3"/>
    <w:rsid w:val="00E85DF8"/>
    <w:rsid w:val="00E8757C"/>
    <w:rsid w:val="00E8777C"/>
    <w:rsid w:val="00E9020E"/>
    <w:rsid w:val="00E90680"/>
    <w:rsid w:val="00E96ABF"/>
    <w:rsid w:val="00EA16DE"/>
    <w:rsid w:val="00EA1A12"/>
    <w:rsid w:val="00EA3761"/>
    <w:rsid w:val="00EA4EF5"/>
    <w:rsid w:val="00EA63D7"/>
    <w:rsid w:val="00EA6F89"/>
    <w:rsid w:val="00EA7C2F"/>
    <w:rsid w:val="00EA7D34"/>
    <w:rsid w:val="00EB08F2"/>
    <w:rsid w:val="00EB242B"/>
    <w:rsid w:val="00EB24D5"/>
    <w:rsid w:val="00EB280E"/>
    <w:rsid w:val="00EB410D"/>
    <w:rsid w:val="00EB59CC"/>
    <w:rsid w:val="00EB68CC"/>
    <w:rsid w:val="00EB6949"/>
    <w:rsid w:val="00EB6E20"/>
    <w:rsid w:val="00EC0A8B"/>
    <w:rsid w:val="00EC27BF"/>
    <w:rsid w:val="00EC34CB"/>
    <w:rsid w:val="00EC44F5"/>
    <w:rsid w:val="00EC45EF"/>
    <w:rsid w:val="00EC4BAA"/>
    <w:rsid w:val="00EC54E9"/>
    <w:rsid w:val="00EC5510"/>
    <w:rsid w:val="00EC677D"/>
    <w:rsid w:val="00EC73BC"/>
    <w:rsid w:val="00EC7F5E"/>
    <w:rsid w:val="00ED048D"/>
    <w:rsid w:val="00ED10F3"/>
    <w:rsid w:val="00ED20C2"/>
    <w:rsid w:val="00ED24E2"/>
    <w:rsid w:val="00ED59DD"/>
    <w:rsid w:val="00ED66CF"/>
    <w:rsid w:val="00ED7988"/>
    <w:rsid w:val="00EE0078"/>
    <w:rsid w:val="00EE00DB"/>
    <w:rsid w:val="00EE32D9"/>
    <w:rsid w:val="00EE3BDC"/>
    <w:rsid w:val="00EE5187"/>
    <w:rsid w:val="00EE5B62"/>
    <w:rsid w:val="00EE7928"/>
    <w:rsid w:val="00EE7929"/>
    <w:rsid w:val="00EF1254"/>
    <w:rsid w:val="00EF14B5"/>
    <w:rsid w:val="00EF1BA8"/>
    <w:rsid w:val="00EF332B"/>
    <w:rsid w:val="00EF75EC"/>
    <w:rsid w:val="00F00790"/>
    <w:rsid w:val="00F0148B"/>
    <w:rsid w:val="00F01E0E"/>
    <w:rsid w:val="00F04088"/>
    <w:rsid w:val="00F06ED2"/>
    <w:rsid w:val="00F10D3D"/>
    <w:rsid w:val="00F1153C"/>
    <w:rsid w:val="00F1232D"/>
    <w:rsid w:val="00F127E6"/>
    <w:rsid w:val="00F20027"/>
    <w:rsid w:val="00F2100E"/>
    <w:rsid w:val="00F21112"/>
    <w:rsid w:val="00F22395"/>
    <w:rsid w:val="00F22858"/>
    <w:rsid w:val="00F24462"/>
    <w:rsid w:val="00F26523"/>
    <w:rsid w:val="00F265DC"/>
    <w:rsid w:val="00F26E89"/>
    <w:rsid w:val="00F30C09"/>
    <w:rsid w:val="00F30E53"/>
    <w:rsid w:val="00F3151C"/>
    <w:rsid w:val="00F32AD1"/>
    <w:rsid w:val="00F33C07"/>
    <w:rsid w:val="00F34057"/>
    <w:rsid w:val="00F34274"/>
    <w:rsid w:val="00F34556"/>
    <w:rsid w:val="00F36C80"/>
    <w:rsid w:val="00F401B5"/>
    <w:rsid w:val="00F40236"/>
    <w:rsid w:val="00F42FD5"/>
    <w:rsid w:val="00F45860"/>
    <w:rsid w:val="00F45AF8"/>
    <w:rsid w:val="00F45C2A"/>
    <w:rsid w:val="00F45E68"/>
    <w:rsid w:val="00F509A8"/>
    <w:rsid w:val="00F53E63"/>
    <w:rsid w:val="00F60DCC"/>
    <w:rsid w:val="00F61C5C"/>
    <w:rsid w:val="00F651B1"/>
    <w:rsid w:val="00F66D82"/>
    <w:rsid w:val="00F67246"/>
    <w:rsid w:val="00F71E0B"/>
    <w:rsid w:val="00F72A2F"/>
    <w:rsid w:val="00F77BB9"/>
    <w:rsid w:val="00F77C1D"/>
    <w:rsid w:val="00F804F3"/>
    <w:rsid w:val="00F80611"/>
    <w:rsid w:val="00F82A4C"/>
    <w:rsid w:val="00F82B8A"/>
    <w:rsid w:val="00F82C1E"/>
    <w:rsid w:val="00F84A59"/>
    <w:rsid w:val="00F853FE"/>
    <w:rsid w:val="00F86748"/>
    <w:rsid w:val="00F873D3"/>
    <w:rsid w:val="00F90C20"/>
    <w:rsid w:val="00F91D8B"/>
    <w:rsid w:val="00F9213A"/>
    <w:rsid w:val="00F92475"/>
    <w:rsid w:val="00F936EA"/>
    <w:rsid w:val="00F96694"/>
    <w:rsid w:val="00F97BCA"/>
    <w:rsid w:val="00FA0A5A"/>
    <w:rsid w:val="00FA11CC"/>
    <w:rsid w:val="00FA1E3E"/>
    <w:rsid w:val="00FA2EBF"/>
    <w:rsid w:val="00FA3BBC"/>
    <w:rsid w:val="00FA4D10"/>
    <w:rsid w:val="00FA58D7"/>
    <w:rsid w:val="00FA619D"/>
    <w:rsid w:val="00FA7E95"/>
    <w:rsid w:val="00FB04B8"/>
    <w:rsid w:val="00FB0CE9"/>
    <w:rsid w:val="00FB192F"/>
    <w:rsid w:val="00FB1C84"/>
    <w:rsid w:val="00FB211D"/>
    <w:rsid w:val="00FB2870"/>
    <w:rsid w:val="00FB2BC3"/>
    <w:rsid w:val="00FB6DA4"/>
    <w:rsid w:val="00FB6DD1"/>
    <w:rsid w:val="00FC06CA"/>
    <w:rsid w:val="00FC2CD0"/>
    <w:rsid w:val="00FC3061"/>
    <w:rsid w:val="00FC4095"/>
    <w:rsid w:val="00FC43F3"/>
    <w:rsid w:val="00FC5CA1"/>
    <w:rsid w:val="00FC6B02"/>
    <w:rsid w:val="00FC6F2C"/>
    <w:rsid w:val="00FC7237"/>
    <w:rsid w:val="00FC7287"/>
    <w:rsid w:val="00FD2B92"/>
    <w:rsid w:val="00FD42E7"/>
    <w:rsid w:val="00FD659A"/>
    <w:rsid w:val="00FD669C"/>
    <w:rsid w:val="00FD7624"/>
    <w:rsid w:val="00FD7943"/>
    <w:rsid w:val="00FE0FA7"/>
    <w:rsid w:val="00FE249F"/>
    <w:rsid w:val="00FE3BAD"/>
    <w:rsid w:val="00FE492B"/>
    <w:rsid w:val="00FE506D"/>
    <w:rsid w:val="00FE615E"/>
    <w:rsid w:val="00FE77BC"/>
    <w:rsid w:val="00FF0C1F"/>
    <w:rsid w:val="00FF2512"/>
    <w:rsid w:val="00FF4988"/>
    <w:rsid w:val="00FF5F4C"/>
    <w:rsid w:val="00FF6A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161AAEC2"/>
  <w15:chartTrackingRefBased/>
  <w15:docId w15:val="{CD6B007D-5C16-4193-96F5-3D08A586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4"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3" w:qFormat="1"/>
    <w:lsdException w:name="heading 7" w:uiPriority="19" w:qFormat="1"/>
    <w:lsdException w:name="heading 8" w:uiPriority="9"/>
    <w:lsdException w:name="heading 9" w:uiPriority="2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6E7E"/>
    <w:pPr>
      <w:spacing w:line="240" w:lineRule="auto"/>
      <w:jc w:val="both"/>
    </w:pPr>
    <w:rPr>
      <w:rFonts w:ascii="Times New Roman" w:hAnsi="Times New Roman"/>
    </w:rPr>
  </w:style>
  <w:style w:type="paragraph" w:styleId="Heading1">
    <w:name w:val="heading 1"/>
    <w:basedOn w:val="Normal"/>
    <w:next w:val="Para0"/>
    <w:link w:val="Heading1Char"/>
    <w:uiPriority w:val="4"/>
    <w:qFormat/>
    <w:rsid w:val="002714C8"/>
    <w:pPr>
      <w:keepNext/>
      <w:keepLines/>
      <w:pageBreakBefore/>
      <w:numPr>
        <w:numId w:val="14"/>
      </w:numPr>
      <w:spacing w:before="940" w:after="720"/>
      <w:jc w:val="center"/>
      <w:outlineLvl w:val="0"/>
    </w:pPr>
    <w:rPr>
      <w:rFonts w:ascii="Times New Roman Bold" w:eastAsiaTheme="majorEastAsia" w:hAnsi="Times New Roman Bold" w:cstheme="majorBidi"/>
      <w:b/>
      <w:color w:val="4E81BD"/>
      <w:kern w:val="28"/>
      <w:sz w:val="28"/>
      <w:szCs w:val="32"/>
    </w:rPr>
  </w:style>
  <w:style w:type="paragraph" w:styleId="Heading2">
    <w:name w:val="heading 2"/>
    <w:basedOn w:val="Normal"/>
    <w:next w:val="Para0"/>
    <w:link w:val="Heading2Char"/>
    <w:uiPriority w:val="7"/>
    <w:qFormat/>
    <w:rsid w:val="00210389"/>
    <w:pPr>
      <w:keepNext/>
      <w:spacing w:before="240" w:after="240"/>
      <w:ind w:right="680"/>
      <w:outlineLvl w:val="1"/>
    </w:pPr>
    <w:rPr>
      <w:rFonts w:ascii="Times New Roman Bold" w:eastAsiaTheme="majorEastAsia" w:hAnsi="Times New Roman Bold" w:cstheme="majorBidi"/>
      <w:b/>
      <w:color w:val="4E81BD"/>
      <w:sz w:val="24"/>
      <w:szCs w:val="26"/>
    </w:rPr>
  </w:style>
  <w:style w:type="paragraph" w:styleId="Heading3">
    <w:name w:val="heading 3"/>
    <w:basedOn w:val="Normal"/>
    <w:next w:val="Para0"/>
    <w:link w:val="Heading3Char"/>
    <w:uiPriority w:val="9"/>
    <w:qFormat/>
    <w:rsid w:val="00E82D9D"/>
    <w:pPr>
      <w:keepNext/>
      <w:keepLines/>
      <w:numPr>
        <w:ilvl w:val="2"/>
        <w:numId w:val="14"/>
      </w:numPr>
      <w:spacing w:before="240" w:after="120"/>
      <w:ind w:right="680"/>
      <w:outlineLvl w:val="2"/>
    </w:pPr>
    <w:rPr>
      <w:rFonts w:eastAsiaTheme="majorEastAsia" w:cstheme="majorBidi"/>
      <w:b/>
      <w:i/>
      <w:sz w:val="24"/>
      <w:szCs w:val="24"/>
    </w:rPr>
  </w:style>
  <w:style w:type="paragraph" w:styleId="Heading4">
    <w:name w:val="heading 4"/>
    <w:basedOn w:val="Normal"/>
    <w:next w:val="Para0"/>
    <w:link w:val="Heading4Char"/>
    <w:uiPriority w:val="9"/>
    <w:qFormat/>
    <w:rsid w:val="0046201C"/>
    <w:pPr>
      <w:keepNext/>
      <w:keepLines/>
      <w:numPr>
        <w:ilvl w:val="3"/>
        <w:numId w:val="14"/>
      </w:numPr>
      <w:spacing w:before="240" w:after="120"/>
      <w:ind w:right="680"/>
      <w:outlineLvl w:val="3"/>
    </w:pPr>
    <w:rPr>
      <w:rFonts w:eastAsiaTheme="majorEastAsia" w:cstheme="majorBidi"/>
      <w:i/>
      <w:iCs/>
      <w:color w:val="000000" w:themeColor="text1"/>
      <w:sz w:val="24"/>
    </w:rPr>
  </w:style>
  <w:style w:type="paragraph" w:styleId="Heading5">
    <w:name w:val="heading 5"/>
    <w:basedOn w:val="Normal"/>
    <w:next w:val="Para0"/>
    <w:link w:val="Heading5Char"/>
    <w:uiPriority w:val="9"/>
    <w:qFormat/>
    <w:rsid w:val="008E2F6C"/>
    <w:pPr>
      <w:keepNext/>
      <w:keepLines/>
      <w:numPr>
        <w:ilvl w:val="4"/>
        <w:numId w:val="14"/>
      </w:numPr>
      <w:spacing w:before="240" w:after="120"/>
      <w:ind w:right="680"/>
      <w:outlineLvl w:val="4"/>
    </w:pPr>
    <w:rPr>
      <w:rFonts w:eastAsiaTheme="majorEastAsia" w:cstheme="majorBidi"/>
      <w:color w:val="000000" w:themeColor="text1"/>
      <w:sz w:val="24"/>
    </w:rPr>
  </w:style>
  <w:style w:type="paragraph" w:styleId="Heading6">
    <w:name w:val="heading 6"/>
    <w:aliases w:val="Part"/>
    <w:basedOn w:val="Normal"/>
    <w:next w:val="Heading1"/>
    <w:link w:val="Heading6Char"/>
    <w:uiPriority w:val="3"/>
    <w:qFormat/>
    <w:rsid w:val="00A670A8"/>
    <w:pPr>
      <w:keepNext/>
      <w:pageBreakBefore/>
      <w:numPr>
        <w:ilvl w:val="5"/>
        <w:numId w:val="14"/>
      </w:numPr>
      <w:spacing w:before="940" w:after="720"/>
      <w:jc w:val="center"/>
      <w:outlineLvl w:val="5"/>
    </w:pPr>
    <w:rPr>
      <w:rFonts w:eastAsiaTheme="majorEastAsia" w:cstheme="majorBidi"/>
      <w:b/>
      <w:color w:val="4E81BD"/>
      <w:sz w:val="28"/>
    </w:rPr>
  </w:style>
  <w:style w:type="paragraph" w:styleId="Heading7">
    <w:name w:val="heading 7"/>
    <w:aliases w:val="Doc AnnX"/>
    <w:basedOn w:val="Normal"/>
    <w:next w:val="Para0"/>
    <w:link w:val="Heading7Char"/>
    <w:uiPriority w:val="19"/>
    <w:qFormat/>
    <w:rsid w:val="00A670A8"/>
    <w:pPr>
      <w:keepNext/>
      <w:pageBreakBefore/>
      <w:numPr>
        <w:ilvl w:val="6"/>
        <w:numId w:val="14"/>
      </w:numPr>
      <w:spacing w:before="940" w:after="720"/>
      <w:jc w:val="center"/>
      <w:outlineLvl w:val="6"/>
    </w:pPr>
    <w:rPr>
      <w:rFonts w:eastAsiaTheme="majorEastAsia" w:cstheme="majorBidi"/>
      <w:b/>
      <w:iCs/>
      <w:color w:val="4E81BD"/>
      <w:sz w:val="28"/>
    </w:rPr>
  </w:style>
  <w:style w:type="paragraph" w:styleId="Heading8">
    <w:name w:val="heading 8"/>
    <w:aliases w:val="Part AnnX"/>
    <w:basedOn w:val="Normal"/>
    <w:next w:val="Para0"/>
    <w:link w:val="Heading8Char"/>
    <w:uiPriority w:val="9"/>
    <w:rsid w:val="00EB6949"/>
    <w:pPr>
      <w:keepNext/>
      <w:pageBreakBefore/>
      <w:numPr>
        <w:ilvl w:val="7"/>
        <w:numId w:val="14"/>
      </w:numPr>
      <w:spacing w:before="1200" w:after="720"/>
      <w:jc w:val="center"/>
      <w:outlineLvl w:val="7"/>
    </w:pPr>
    <w:rPr>
      <w:rFonts w:eastAsiaTheme="majorEastAsia" w:cstheme="majorBidi"/>
      <w:b/>
      <w:color w:val="4E81BD"/>
      <w:sz w:val="28"/>
      <w:szCs w:val="21"/>
    </w:rPr>
  </w:style>
  <w:style w:type="paragraph" w:styleId="Heading9">
    <w:name w:val="heading 9"/>
    <w:aliases w:val="Chap AnnX"/>
    <w:basedOn w:val="Normal"/>
    <w:next w:val="Para0"/>
    <w:link w:val="Heading9Char"/>
    <w:uiPriority w:val="20"/>
    <w:qFormat/>
    <w:rsid w:val="00A670A8"/>
    <w:pPr>
      <w:keepNext/>
      <w:pageBreakBefore/>
      <w:numPr>
        <w:ilvl w:val="8"/>
        <w:numId w:val="14"/>
      </w:numPr>
      <w:spacing w:before="940" w:after="720"/>
      <w:jc w:val="center"/>
      <w:outlineLvl w:val="8"/>
    </w:pPr>
    <w:rPr>
      <w:rFonts w:eastAsiaTheme="majorEastAsia" w:cstheme="majorBidi"/>
      <w:b/>
      <w:iCs/>
      <w:color w:val="4E81BD"/>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w:basedOn w:val="Normal"/>
    <w:link w:val="ParaChar"/>
    <w:uiPriority w:val="4"/>
    <w:qFormat/>
    <w:rsid w:val="00BF53D8"/>
    <w:pPr>
      <w:spacing w:before="120" w:after="120"/>
      <w:ind w:left="680" w:right="680"/>
    </w:pPr>
  </w:style>
  <w:style w:type="character" w:customStyle="1" w:styleId="ParaChar">
    <w:name w:val="Para Char"/>
    <w:basedOn w:val="DefaultParagraphFont"/>
    <w:link w:val="Para0"/>
    <w:uiPriority w:val="4"/>
    <w:rsid w:val="004A00A8"/>
    <w:rPr>
      <w:rFonts w:ascii="Times New Roman" w:hAnsi="Times New Roman"/>
    </w:rPr>
  </w:style>
  <w:style w:type="character" w:customStyle="1" w:styleId="Heading1Char">
    <w:name w:val="Heading 1 Char"/>
    <w:basedOn w:val="DefaultParagraphFont"/>
    <w:link w:val="Heading1"/>
    <w:uiPriority w:val="4"/>
    <w:rsid w:val="002714C8"/>
    <w:rPr>
      <w:rFonts w:ascii="Times New Roman Bold" w:eastAsiaTheme="majorEastAsia" w:hAnsi="Times New Roman Bold" w:cstheme="majorBidi"/>
      <w:b/>
      <w:color w:val="4E81BD"/>
      <w:kern w:val="28"/>
      <w:sz w:val="28"/>
      <w:szCs w:val="32"/>
    </w:rPr>
  </w:style>
  <w:style w:type="character" w:customStyle="1" w:styleId="Heading2Char">
    <w:name w:val="Heading 2 Char"/>
    <w:basedOn w:val="DefaultParagraphFont"/>
    <w:link w:val="Heading2"/>
    <w:uiPriority w:val="7"/>
    <w:rsid w:val="004A00A8"/>
    <w:rPr>
      <w:rFonts w:ascii="Times New Roman Bold" w:eastAsiaTheme="majorEastAsia" w:hAnsi="Times New Roman Bold" w:cstheme="majorBidi"/>
      <w:b/>
      <w:color w:val="4E81BD"/>
      <w:sz w:val="24"/>
      <w:szCs w:val="26"/>
    </w:rPr>
  </w:style>
  <w:style w:type="character" w:customStyle="1" w:styleId="Heading3Char">
    <w:name w:val="Heading 3 Char"/>
    <w:basedOn w:val="DefaultParagraphFont"/>
    <w:link w:val="Heading3"/>
    <w:uiPriority w:val="9"/>
    <w:rsid w:val="004A00A8"/>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4A00A8"/>
    <w:rPr>
      <w:rFonts w:ascii="Times New Roman" w:eastAsiaTheme="majorEastAsia" w:hAnsi="Times New Roman" w:cstheme="majorBidi"/>
      <w:i/>
      <w:iCs/>
      <w:color w:val="000000" w:themeColor="text1"/>
      <w:sz w:val="24"/>
    </w:rPr>
  </w:style>
  <w:style w:type="character" w:customStyle="1" w:styleId="Heading5Char">
    <w:name w:val="Heading 5 Char"/>
    <w:basedOn w:val="DefaultParagraphFont"/>
    <w:link w:val="Heading5"/>
    <w:uiPriority w:val="9"/>
    <w:rsid w:val="004A00A8"/>
    <w:rPr>
      <w:rFonts w:ascii="Times New Roman" w:eastAsiaTheme="majorEastAsia" w:hAnsi="Times New Roman" w:cstheme="majorBidi"/>
      <w:color w:val="000000" w:themeColor="text1"/>
      <w:sz w:val="24"/>
    </w:rPr>
  </w:style>
  <w:style w:type="character" w:customStyle="1" w:styleId="Heading6Char">
    <w:name w:val="Heading 6 Char"/>
    <w:aliases w:val="Part Char"/>
    <w:basedOn w:val="DefaultParagraphFont"/>
    <w:link w:val="Heading6"/>
    <w:uiPriority w:val="3"/>
    <w:rsid w:val="00A670A8"/>
    <w:rPr>
      <w:rFonts w:ascii="Times New Roman" w:eastAsiaTheme="majorEastAsia" w:hAnsi="Times New Roman" w:cstheme="majorBidi"/>
      <w:b/>
      <w:color w:val="4E81BD"/>
      <w:sz w:val="28"/>
    </w:rPr>
  </w:style>
  <w:style w:type="character" w:customStyle="1" w:styleId="Heading7Char">
    <w:name w:val="Heading 7 Char"/>
    <w:aliases w:val="Doc AnnX Char"/>
    <w:basedOn w:val="DefaultParagraphFont"/>
    <w:link w:val="Heading7"/>
    <w:uiPriority w:val="19"/>
    <w:rsid w:val="00A670A8"/>
    <w:rPr>
      <w:rFonts w:ascii="Times New Roman" w:eastAsiaTheme="majorEastAsia" w:hAnsi="Times New Roman" w:cstheme="majorBidi"/>
      <w:b/>
      <w:iCs/>
      <w:color w:val="4E81BD"/>
      <w:sz w:val="28"/>
    </w:rPr>
  </w:style>
  <w:style w:type="character" w:customStyle="1" w:styleId="Heading8Char">
    <w:name w:val="Heading 8 Char"/>
    <w:aliases w:val="Part AnnX Char"/>
    <w:basedOn w:val="DefaultParagraphFont"/>
    <w:link w:val="Heading8"/>
    <w:uiPriority w:val="9"/>
    <w:rsid w:val="00EB6949"/>
    <w:rPr>
      <w:rFonts w:ascii="Times New Roman" w:eastAsiaTheme="majorEastAsia" w:hAnsi="Times New Roman" w:cstheme="majorBidi"/>
      <w:b/>
      <w:color w:val="4E81BD"/>
      <w:sz w:val="28"/>
      <w:szCs w:val="21"/>
    </w:rPr>
  </w:style>
  <w:style w:type="character" w:customStyle="1" w:styleId="Heading9Char">
    <w:name w:val="Heading 9 Char"/>
    <w:aliases w:val="Chap AnnX Char"/>
    <w:basedOn w:val="DefaultParagraphFont"/>
    <w:link w:val="Heading9"/>
    <w:uiPriority w:val="20"/>
    <w:rsid w:val="00A670A8"/>
    <w:rPr>
      <w:rFonts w:ascii="Times New Roman" w:eastAsiaTheme="majorEastAsia" w:hAnsi="Times New Roman" w:cstheme="majorBidi"/>
      <w:b/>
      <w:iCs/>
      <w:color w:val="4E81BD"/>
      <w:sz w:val="28"/>
      <w:szCs w:val="21"/>
    </w:rPr>
  </w:style>
  <w:style w:type="paragraph" w:styleId="Title">
    <w:name w:val="Title"/>
    <w:basedOn w:val="Normal"/>
    <w:next w:val="Para0"/>
    <w:link w:val="TitleChar"/>
    <w:qFormat/>
    <w:rsid w:val="00A670A8"/>
    <w:pPr>
      <w:keepNext/>
      <w:keepLines/>
      <w:pageBreakBefore/>
      <w:spacing w:before="940" w:after="720"/>
      <w:ind w:left="680" w:right="680"/>
      <w:jc w:val="center"/>
      <w:outlineLvl w:val="0"/>
    </w:pPr>
    <w:rPr>
      <w:rFonts w:eastAsiaTheme="majorEastAsia" w:cstheme="majorBidi"/>
      <w:i/>
      <w:color w:val="4E81BD"/>
      <w:kern w:val="28"/>
      <w:sz w:val="32"/>
      <w:szCs w:val="56"/>
    </w:rPr>
  </w:style>
  <w:style w:type="character" w:customStyle="1" w:styleId="TitleChar">
    <w:name w:val="Title Char"/>
    <w:basedOn w:val="DefaultParagraphFont"/>
    <w:link w:val="Title"/>
    <w:rsid w:val="00A670A8"/>
    <w:rPr>
      <w:rFonts w:ascii="Times New Roman" w:eastAsiaTheme="majorEastAsia" w:hAnsi="Times New Roman" w:cstheme="majorBidi"/>
      <w:i/>
      <w:color w:val="4E81BD"/>
      <w:kern w:val="28"/>
      <w:sz w:val="32"/>
      <w:szCs w:val="56"/>
    </w:rPr>
  </w:style>
  <w:style w:type="paragraph" w:customStyle="1" w:styleId="Title2">
    <w:name w:val="Title 2"/>
    <w:basedOn w:val="Heading2"/>
    <w:next w:val="Para0"/>
    <w:uiPriority w:val="1"/>
    <w:qFormat/>
    <w:rsid w:val="00444C08"/>
  </w:style>
  <w:style w:type="paragraph" w:customStyle="1" w:styleId="Title3">
    <w:name w:val="Title 3"/>
    <w:basedOn w:val="Heading3"/>
    <w:next w:val="Para0"/>
    <w:uiPriority w:val="2"/>
    <w:qFormat/>
    <w:rsid w:val="00444C08"/>
    <w:pPr>
      <w:numPr>
        <w:ilvl w:val="0"/>
        <w:numId w:val="0"/>
      </w:numPr>
      <w:ind w:left="680"/>
    </w:pPr>
  </w:style>
  <w:style w:type="paragraph" w:customStyle="1" w:styleId="Abstract">
    <w:name w:val="Abstract"/>
    <w:basedOn w:val="Para0"/>
    <w:uiPriority w:val="5"/>
    <w:qFormat/>
    <w:rsid w:val="00F92475"/>
    <w:pPr>
      <w:pBdr>
        <w:top w:val="single" w:sz="4" w:space="12" w:color="auto"/>
        <w:left w:val="single" w:sz="4" w:space="12" w:color="auto"/>
        <w:bottom w:val="single" w:sz="4" w:space="12" w:color="auto"/>
        <w:right w:val="single" w:sz="4" w:space="12" w:color="auto"/>
      </w:pBdr>
    </w:pPr>
    <w:rPr>
      <w:i/>
    </w:rPr>
  </w:style>
  <w:style w:type="paragraph" w:customStyle="1" w:styleId="Para">
    <w:name w:val="Para #"/>
    <w:basedOn w:val="Normal"/>
    <w:link w:val="ParaChar0"/>
    <w:uiPriority w:val="4"/>
    <w:qFormat/>
    <w:rsid w:val="004230BA"/>
    <w:pPr>
      <w:numPr>
        <w:numId w:val="1"/>
      </w:numPr>
      <w:spacing w:before="120" w:after="120"/>
      <w:ind w:right="680"/>
    </w:pPr>
  </w:style>
  <w:style w:type="character" w:customStyle="1" w:styleId="ParaChar0">
    <w:name w:val="Para # Char"/>
    <w:basedOn w:val="DefaultParagraphFont"/>
    <w:link w:val="Para"/>
    <w:uiPriority w:val="4"/>
    <w:rsid w:val="0065770E"/>
    <w:rPr>
      <w:rFonts w:ascii="Times New Roman" w:hAnsi="Times New Roman"/>
    </w:rPr>
  </w:style>
  <w:style w:type="paragraph" w:customStyle="1" w:styleId="NumberedList">
    <w:name w:val="Numbered List"/>
    <w:basedOn w:val="ListParagraph"/>
    <w:uiPriority w:val="12"/>
    <w:qFormat/>
    <w:rsid w:val="004230BA"/>
    <w:pPr>
      <w:numPr>
        <w:numId w:val="2"/>
      </w:numPr>
      <w:spacing w:after="120"/>
      <w:ind w:right="680"/>
      <w:contextualSpacing w:val="0"/>
    </w:pPr>
  </w:style>
  <w:style w:type="paragraph" w:styleId="ListParagraph">
    <w:name w:val="List Paragraph"/>
    <w:basedOn w:val="Normal"/>
    <w:uiPriority w:val="34"/>
    <w:qFormat/>
    <w:rsid w:val="004230BA"/>
    <w:pPr>
      <w:ind w:left="720"/>
      <w:contextualSpacing/>
    </w:pPr>
  </w:style>
  <w:style w:type="paragraph" w:customStyle="1" w:styleId="BulletedList">
    <w:name w:val="Bulleted List"/>
    <w:basedOn w:val="ListParagraph"/>
    <w:uiPriority w:val="12"/>
    <w:qFormat/>
    <w:rsid w:val="00A92F3D"/>
    <w:pPr>
      <w:numPr>
        <w:numId w:val="7"/>
      </w:numPr>
      <w:spacing w:after="120"/>
      <w:ind w:right="680"/>
      <w:contextualSpacing w:val="0"/>
    </w:pPr>
  </w:style>
  <w:style w:type="paragraph" w:customStyle="1" w:styleId="CaptionSubtitle">
    <w:name w:val="Caption Subtitle"/>
    <w:basedOn w:val="Normal"/>
    <w:next w:val="Para0"/>
    <w:qFormat/>
    <w:rsid w:val="004348F1"/>
    <w:pPr>
      <w:keepNext/>
      <w:spacing w:after="120"/>
      <w:ind w:left="680" w:right="680"/>
      <w:jc w:val="center"/>
    </w:pPr>
    <w:rPr>
      <w:sz w:val="18"/>
    </w:rPr>
  </w:style>
  <w:style w:type="paragraph" w:styleId="Caption">
    <w:name w:val="caption"/>
    <w:basedOn w:val="Normal"/>
    <w:next w:val="CaptionSubtitle"/>
    <w:uiPriority w:val="35"/>
    <w:unhideWhenUsed/>
    <w:qFormat/>
    <w:rsid w:val="004348F1"/>
    <w:pPr>
      <w:keepNext/>
      <w:spacing w:before="240" w:after="240"/>
      <w:ind w:left="680" w:right="680"/>
      <w:jc w:val="center"/>
    </w:pPr>
    <w:rPr>
      <w:b/>
      <w:iCs/>
      <w:sz w:val="20"/>
      <w:szCs w:val="18"/>
    </w:rPr>
  </w:style>
  <w:style w:type="paragraph" w:customStyle="1" w:styleId="BoxHeading">
    <w:name w:val="Box Heading"/>
    <w:basedOn w:val="Normal"/>
    <w:next w:val="Para0"/>
    <w:uiPriority w:val="8"/>
    <w:qFormat/>
    <w:rsid w:val="004348F1"/>
    <w:pPr>
      <w:keepNext/>
      <w:spacing w:before="240" w:after="120"/>
      <w:ind w:left="680" w:right="680"/>
      <w:jc w:val="left"/>
    </w:pPr>
    <w:rPr>
      <w:b/>
      <w:sz w:val="20"/>
    </w:rPr>
  </w:style>
  <w:style w:type="paragraph" w:customStyle="1" w:styleId="Sourcenotes">
    <w:name w:val="Source &amp; notes"/>
    <w:basedOn w:val="Normal"/>
    <w:qFormat/>
    <w:rsid w:val="00F33C07"/>
    <w:pPr>
      <w:keepLines/>
      <w:spacing w:before="120" w:after="240"/>
      <w:ind w:left="680" w:right="680"/>
      <w:contextualSpacing/>
    </w:pPr>
    <w:rPr>
      <w:sz w:val="18"/>
    </w:rPr>
  </w:style>
  <w:style w:type="paragraph" w:customStyle="1" w:styleId="TableCell">
    <w:name w:val="Table Cell"/>
    <w:basedOn w:val="Normal"/>
    <w:qFormat/>
    <w:rsid w:val="00E35131"/>
    <w:pPr>
      <w:keepNext/>
      <w:keepLines/>
      <w:spacing w:before="20" w:after="20"/>
      <w:jc w:val="right"/>
    </w:pPr>
    <w:rPr>
      <w:rFonts w:ascii="Arial Narrow" w:hAnsi="Arial Narrow"/>
      <w:color w:val="000000" w:themeColor="text1"/>
      <w:sz w:val="17"/>
    </w:rPr>
  </w:style>
  <w:style w:type="paragraph" w:customStyle="1" w:styleId="TableRow">
    <w:name w:val="Table Row"/>
    <w:basedOn w:val="TableCell"/>
    <w:qFormat/>
    <w:rsid w:val="00FB6DA4"/>
    <w:pPr>
      <w:jc w:val="left"/>
    </w:pPr>
  </w:style>
  <w:style w:type="paragraph" w:customStyle="1" w:styleId="TableColumn">
    <w:name w:val="Table Column"/>
    <w:basedOn w:val="TableRow"/>
    <w:qFormat/>
    <w:rsid w:val="00FB6DA4"/>
    <w:pPr>
      <w:jc w:val="center"/>
    </w:pPr>
  </w:style>
  <w:style w:type="paragraph" w:customStyle="1" w:styleId="Quotationshort">
    <w:name w:val="Quotation (short)"/>
    <w:basedOn w:val="Normal"/>
    <w:link w:val="QuotationshortChar"/>
    <w:uiPriority w:val="17"/>
    <w:qFormat/>
    <w:rsid w:val="00326CAE"/>
    <w:pPr>
      <w:spacing w:after="120"/>
    </w:pPr>
    <w:rPr>
      <w:i/>
    </w:rPr>
  </w:style>
  <w:style w:type="character" w:customStyle="1" w:styleId="QuotationshortChar">
    <w:name w:val="Quotation (short) Char"/>
    <w:basedOn w:val="DefaultParagraphFont"/>
    <w:link w:val="Quotationshort"/>
    <w:uiPriority w:val="11"/>
    <w:rsid w:val="0065770E"/>
    <w:rPr>
      <w:rFonts w:ascii="Times New Roman" w:hAnsi="Times New Roman"/>
      <w:i/>
    </w:rPr>
  </w:style>
  <w:style w:type="paragraph" w:styleId="Quote">
    <w:name w:val="Quote"/>
    <w:aliases w:val="Quotation (long)"/>
    <w:basedOn w:val="Normal"/>
    <w:link w:val="QuoteChar"/>
    <w:uiPriority w:val="18"/>
    <w:qFormat/>
    <w:rsid w:val="00567146"/>
    <w:pPr>
      <w:spacing w:after="120"/>
      <w:ind w:left="1021" w:right="1021"/>
    </w:pPr>
    <w:rPr>
      <w:i/>
      <w:iCs/>
      <w:color w:val="404040" w:themeColor="text1" w:themeTint="BF"/>
    </w:rPr>
  </w:style>
  <w:style w:type="character" w:customStyle="1" w:styleId="QuoteChar">
    <w:name w:val="Quote Char"/>
    <w:aliases w:val="Quotation (long) Char"/>
    <w:basedOn w:val="DefaultParagraphFont"/>
    <w:link w:val="Quote"/>
    <w:uiPriority w:val="18"/>
    <w:rsid w:val="004A00A8"/>
    <w:rPr>
      <w:rFonts w:ascii="Times New Roman" w:hAnsi="Times New Roman"/>
      <w:i/>
      <w:iCs/>
      <w:color w:val="404040" w:themeColor="text1" w:themeTint="BF"/>
    </w:rPr>
  </w:style>
  <w:style w:type="paragraph" w:customStyle="1" w:styleId="AnnexH2">
    <w:name w:val="Annex H2"/>
    <w:basedOn w:val="Normal"/>
    <w:next w:val="Para0"/>
    <w:uiPriority w:val="21"/>
    <w:qFormat/>
    <w:rsid w:val="00444C08"/>
    <w:pPr>
      <w:keepNext/>
      <w:spacing w:before="240" w:after="240"/>
      <w:jc w:val="left"/>
      <w:outlineLvl w:val="1"/>
    </w:pPr>
    <w:rPr>
      <w:b/>
      <w:color w:val="4E81BD"/>
      <w:sz w:val="24"/>
    </w:rPr>
  </w:style>
  <w:style w:type="paragraph" w:customStyle="1" w:styleId="AnnexH3">
    <w:name w:val="Annex H3"/>
    <w:basedOn w:val="Normal"/>
    <w:next w:val="Para0"/>
    <w:uiPriority w:val="21"/>
    <w:qFormat/>
    <w:rsid w:val="00444C08"/>
    <w:pPr>
      <w:keepNext/>
      <w:keepLines/>
      <w:spacing w:before="240" w:after="120"/>
      <w:ind w:left="680" w:right="680"/>
      <w:jc w:val="left"/>
      <w:outlineLvl w:val="2"/>
    </w:pPr>
    <w:rPr>
      <w:b/>
      <w:i/>
      <w:sz w:val="24"/>
    </w:rPr>
  </w:style>
  <w:style w:type="paragraph" w:customStyle="1" w:styleId="Disclaimer">
    <w:name w:val="Disclaimer"/>
    <w:basedOn w:val="Para0"/>
    <w:rsid w:val="00326CAE"/>
    <w:pPr>
      <w:pBdr>
        <w:top w:val="single" w:sz="4" w:space="6" w:color="auto"/>
      </w:pBdr>
      <w:spacing w:before="0" w:line="220" w:lineRule="exact"/>
    </w:pPr>
    <w:rPr>
      <w:sz w:val="18"/>
    </w:rPr>
  </w:style>
  <w:style w:type="paragraph" w:customStyle="1" w:styleId="Action">
    <w:name w:val="Action"/>
    <w:basedOn w:val="Para0"/>
    <w:next w:val="Heading2"/>
    <w:rsid w:val="00326CAE"/>
    <w:rPr>
      <w:u w:val="single"/>
    </w:rPr>
  </w:style>
  <w:style w:type="paragraph" w:customStyle="1" w:styleId="Annotation">
    <w:name w:val="Annotation"/>
    <w:basedOn w:val="Normal"/>
    <w:rsid w:val="004243B4"/>
    <w:pPr>
      <w:numPr>
        <w:numId w:val="3"/>
      </w:numPr>
      <w:pBdr>
        <w:bottom w:val="single" w:sz="4" w:space="10" w:color="auto"/>
      </w:pBdr>
      <w:spacing w:before="120" w:after="120"/>
      <w:ind w:left="981" w:hanging="414"/>
      <w:jc w:val="left"/>
    </w:pPr>
  </w:style>
  <w:style w:type="paragraph" w:styleId="Bibliography">
    <w:name w:val="Bibliography"/>
    <w:basedOn w:val="Normal"/>
    <w:next w:val="Normal"/>
    <w:uiPriority w:val="37"/>
    <w:unhideWhenUsed/>
    <w:rsid w:val="00B67859"/>
    <w:pPr>
      <w:spacing w:after="120"/>
      <w:ind w:left="284" w:hanging="284"/>
      <w:jc w:val="left"/>
    </w:pPr>
  </w:style>
  <w:style w:type="paragraph" w:customStyle="1" w:styleId="Break">
    <w:name w:val="Break"/>
    <w:basedOn w:val="Normal"/>
    <w:next w:val="Time"/>
    <w:rsid w:val="00CA2765"/>
    <w:pPr>
      <w:pBdr>
        <w:top w:val="single" w:sz="4" w:space="4" w:color="auto"/>
        <w:bottom w:val="single" w:sz="4" w:space="4" w:color="auto"/>
      </w:pBdr>
      <w:shd w:val="pct5" w:color="auto" w:fill="auto"/>
      <w:spacing w:after="0"/>
      <w:jc w:val="center"/>
    </w:pPr>
    <w:rPr>
      <w:i/>
    </w:rPr>
  </w:style>
  <w:style w:type="paragraph" w:customStyle="1" w:styleId="Time">
    <w:name w:val="Time"/>
    <w:basedOn w:val="Normal"/>
    <w:next w:val="Para0"/>
    <w:rsid w:val="00E67FB6"/>
    <w:pPr>
      <w:keepNext/>
      <w:spacing w:before="240" w:after="120"/>
      <w:ind w:left="851"/>
    </w:pPr>
    <w:rPr>
      <w:b/>
      <w:i/>
    </w:rPr>
  </w:style>
  <w:style w:type="paragraph" w:customStyle="1" w:styleId="Conclusion">
    <w:name w:val="Conclusion"/>
    <w:basedOn w:val="Para0"/>
    <w:next w:val="Heading1"/>
    <w:rsid w:val="0052749E"/>
    <w:pPr>
      <w:jc w:val="center"/>
    </w:pPr>
    <w:rPr>
      <w:b/>
    </w:rPr>
  </w:style>
  <w:style w:type="character" w:styleId="EndnoteReference">
    <w:name w:val="endnote reference"/>
    <w:basedOn w:val="DefaultParagraphFont"/>
    <w:uiPriority w:val="99"/>
    <w:semiHidden/>
    <w:unhideWhenUsed/>
    <w:rsid w:val="0052749E"/>
    <w:rPr>
      <w:rFonts w:ascii="Times New Roman" w:hAnsi="Times New Roman"/>
      <w:sz w:val="22"/>
      <w:vertAlign w:val="superscript"/>
    </w:rPr>
  </w:style>
  <w:style w:type="paragraph" w:styleId="FootnoteText">
    <w:name w:val="footnote text"/>
    <w:basedOn w:val="Normal"/>
    <w:link w:val="FootnoteTextChar"/>
    <w:uiPriority w:val="99"/>
    <w:semiHidden/>
    <w:unhideWhenUsed/>
    <w:rsid w:val="00381AB2"/>
    <w:pPr>
      <w:spacing w:after="120"/>
      <w:ind w:left="680" w:right="680"/>
    </w:pPr>
    <w:rPr>
      <w:sz w:val="20"/>
      <w:szCs w:val="20"/>
    </w:rPr>
  </w:style>
  <w:style w:type="character" w:customStyle="1" w:styleId="FootnoteTextChar">
    <w:name w:val="Footnote Text Char"/>
    <w:basedOn w:val="DefaultParagraphFont"/>
    <w:link w:val="FootnoteText"/>
    <w:uiPriority w:val="99"/>
    <w:semiHidden/>
    <w:rsid w:val="00381AB2"/>
    <w:rPr>
      <w:rFonts w:ascii="Times New Roman" w:hAnsi="Times New Roman"/>
      <w:sz w:val="20"/>
      <w:szCs w:val="20"/>
    </w:rPr>
  </w:style>
  <w:style w:type="paragraph" w:styleId="EndnoteText">
    <w:name w:val="endnote text"/>
    <w:basedOn w:val="FootnoteText"/>
    <w:link w:val="EndnoteTextChar"/>
    <w:uiPriority w:val="99"/>
    <w:semiHidden/>
    <w:unhideWhenUsed/>
    <w:rsid w:val="0052749E"/>
  </w:style>
  <w:style w:type="character" w:customStyle="1" w:styleId="EndnoteTextChar">
    <w:name w:val="Endnote Text Char"/>
    <w:basedOn w:val="DefaultParagraphFont"/>
    <w:link w:val="EndnoteText"/>
    <w:uiPriority w:val="99"/>
    <w:semiHidden/>
    <w:rsid w:val="0052749E"/>
    <w:rPr>
      <w:rFonts w:ascii="Times New Roman" w:hAnsi="Times New Roman"/>
      <w:sz w:val="20"/>
      <w:szCs w:val="20"/>
    </w:rPr>
  </w:style>
  <w:style w:type="paragraph" w:customStyle="1" w:styleId="Figure">
    <w:name w:val="Figure"/>
    <w:basedOn w:val="Normal"/>
    <w:rsid w:val="00F71E0B"/>
    <w:pPr>
      <w:spacing w:after="0"/>
      <w:jc w:val="center"/>
    </w:pPr>
  </w:style>
  <w:style w:type="paragraph" w:styleId="Footer">
    <w:name w:val="footer"/>
    <w:basedOn w:val="Normal"/>
    <w:link w:val="FooterChar"/>
    <w:uiPriority w:val="99"/>
    <w:rsid w:val="002F605B"/>
    <w:pPr>
      <w:tabs>
        <w:tab w:val="center" w:pos="4513"/>
        <w:tab w:val="right" w:pos="9026"/>
      </w:tabs>
      <w:spacing w:after="0"/>
      <w:jc w:val="center"/>
    </w:pPr>
    <w:rPr>
      <w:caps/>
      <w:sz w:val="16"/>
    </w:rPr>
  </w:style>
  <w:style w:type="character" w:customStyle="1" w:styleId="FooterChar">
    <w:name w:val="Footer Char"/>
    <w:basedOn w:val="DefaultParagraphFont"/>
    <w:link w:val="Footer"/>
    <w:uiPriority w:val="99"/>
    <w:rsid w:val="0056606B"/>
    <w:rPr>
      <w:rFonts w:ascii="Times New Roman" w:hAnsi="Times New Roman"/>
      <w:caps/>
      <w:sz w:val="16"/>
    </w:rPr>
  </w:style>
  <w:style w:type="paragraph" w:customStyle="1" w:styleId="Para1">
    <w:name w:val="Para #.#"/>
    <w:basedOn w:val="Para"/>
    <w:uiPriority w:val="4"/>
    <w:qFormat/>
    <w:rsid w:val="00EC45EF"/>
    <w:pPr>
      <w:tabs>
        <w:tab w:val="left" w:pos="1361"/>
      </w:tabs>
    </w:pPr>
  </w:style>
  <w:style w:type="paragraph" w:customStyle="1" w:styleId="CoverNormal">
    <w:name w:val="CoverNormal"/>
    <w:basedOn w:val="Normal"/>
    <w:link w:val="CoverNormalChar"/>
    <w:rsid w:val="00EC45EF"/>
    <w:pPr>
      <w:spacing w:after="0"/>
      <w:jc w:val="left"/>
    </w:pPr>
  </w:style>
  <w:style w:type="character" w:customStyle="1" w:styleId="CoverNormalChar">
    <w:name w:val="CoverNormal Char"/>
    <w:basedOn w:val="DefaultParagraphFont"/>
    <w:link w:val="CoverNormal"/>
    <w:rsid w:val="0056606B"/>
    <w:rPr>
      <w:rFonts w:ascii="Times New Roman" w:hAnsi="Times New Roman"/>
    </w:rPr>
  </w:style>
  <w:style w:type="paragraph" w:customStyle="1" w:styleId="CoverAbstract">
    <w:name w:val="CoverAbstract"/>
    <w:basedOn w:val="CoverNormal"/>
    <w:semiHidden/>
    <w:rsid w:val="00EC45EF"/>
  </w:style>
  <w:style w:type="paragraph" w:customStyle="1" w:styleId="CoverCancel">
    <w:name w:val="CoverCancel"/>
    <w:basedOn w:val="CoverNormal"/>
    <w:link w:val="CoverCancelChar"/>
    <w:rsid w:val="00EC45EF"/>
    <w:pPr>
      <w:spacing w:before="240" w:after="120" w:line="312" w:lineRule="auto"/>
      <w:jc w:val="center"/>
    </w:pPr>
    <w:rPr>
      <w:b/>
    </w:rPr>
  </w:style>
  <w:style w:type="character" w:customStyle="1" w:styleId="CoverCancelChar">
    <w:name w:val="CoverCancel Char"/>
    <w:basedOn w:val="DefaultParagraphFont"/>
    <w:link w:val="CoverCancel"/>
    <w:rsid w:val="00FB0CE9"/>
    <w:rPr>
      <w:rFonts w:ascii="Times New Roman" w:hAnsi="Times New Roman"/>
      <w:b/>
    </w:rPr>
  </w:style>
  <w:style w:type="paragraph" w:customStyle="1" w:styleId="CoverClassification">
    <w:name w:val="CoverClassification"/>
    <w:basedOn w:val="CoverNormal"/>
    <w:rsid w:val="00EC45EF"/>
    <w:rPr>
      <w:b/>
    </w:rPr>
  </w:style>
  <w:style w:type="paragraph" w:customStyle="1" w:styleId="CoverCommittee">
    <w:name w:val="CoverCommittee"/>
    <w:basedOn w:val="CoverNormal"/>
    <w:rsid w:val="00EC45EF"/>
    <w:rPr>
      <w:b/>
    </w:rPr>
  </w:style>
  <w:style w:type="character" w:customStyle="1" w:styleId="CoverCote">
    <w:name w:val="CoverCote"/>
    <w:basedOn w:val="DefaultParagraphFont"/>
    <w:uiPriority w:val="1"/>
    <w:rsid w:val="00EC45EF"/>
    <w:rPr>
      <w:rFonts w:ascii="Times New Roman Bold" w:hAnsi="Times New Roman Bold"/>
      <w:b/>
      <w:caps/>
      <w:smallCaps w:val="0"/>
      <w:sz w:val="22"/>
    </w:rPr>
  </w:style>
  <w:style w:type="paragraph" w:customStyle="1" w:styleId="CoverDate">
    <w:name w:val="CoverDate"/>
    <w:basedOn w:val="CoverNormal"/>
    <w:link w:val="CoverDateChar"/>
    <w:rsid w:val="00EC45EF"/>
    <w:pPr>
      <w:spacing w:before="40" w:after="40"/>
      <w:jc w:val="right"/>
    </w:pPr>
    <w:rPr>
      <w:b/>
      <w:sz w:val="18"/>
    </w:rPr>
  </w:style>
  <w:style w:type="character" w:customStyle="1" w:styleId="CoverDateChar">
    <w:name w:val="CoverDate Char"/>
    <w:basedOn w:val="CoverNormalChar"/>
    <w:link w:val="CoverDate"/>
    <w:rsid w:val="00FB0CE9"/>
    <w:rPr>
      <w:rFonts w:ascii="Times New Roman" w:hAnsi="Times New Roman"/>
      <w:b/>
      <w:sz w:val="18"/>
    </w:rPr>
  </w:style>
  <w:style w:type="paragraph" w:customStyle="1" w:styleId="CoverDisclaimer">
    <w:name w:val="CoverDisclaimer"/>
    <w:basedOn w:val="CoverNormal"/>
    <w:rsid w:val="00C3172F"/>
    <w:pPr>
      <w:spacing w:line="312" w:lineRule="auto"/>
      <w:jc w:val="both"/>
    </w:pPr>
    <w:rPr>
      <w:b/>
      <w:i/>
      <w:sz w:val="16"/>
    </w:rPr>
  </w:style>
  <w:style w:type="paragraph" w:customStyle="1" w:styleId="CoverInformation">
    <w:name w:val="CoverInformation"/>
    <w:basedOn w:val="CoverNormal"/>
    <w:rsid w:val="00A06737"/>
  </w:style>
  <w:style w:type="paragraph" w:customStyle="1" w:styleId="CoverJobTicket">
    <w:name w:val="CoverJobTicket"/>
    <w:basedOn w:val="CoverNormal"/>
    <w:rsid w:val="00C3172F"/>
    <w:rPr>
      <w:b/>
    </w:rPr>
  </w:style>
  <w:style w:type="paragraph" w:customStyle="1" w:styleId="CoverLanguage">
    <w:name w:val="CoverLanguage"/>
    <w:basedOn w:val="CoverNormal"/>
    <w:rsid w:val="00C3172F"/>
    <w:pPr>
      <w:jc w:val="right"/>
    </w:pPr>
    <w:rPr>
      <w:b/>
    </w:rPr>
  </w:style>
  <w:style w:type="paragraph" w:customStyle="1" w:styleId="CoverPwbCode">
    <w:name w:val="CoverPwbCode"/>
    <w:basedOn w:val="CoverNormal"/>
    <w:rsid w:val="00C3172F"/>
    <w:pPr>
      <w:spacing w:after="120"/>
    </w:pPr>
    <w:rPr>
      <w:b/>
    </w:rPr>
  </w:style>
  <w:style w:type="paragraph" w:customStyle="1" w:styleId="CoverSeriesTitlePublication">
    <w:name w:val="CoverSeriesTitlePublication"/>
    <w:basedOn w:val="CoverNormal"/>
    <w:rsid w:val="00C3172F"/>
    <w:pPr>
      <w:spacing w:after="40"/>
    </w:pPr>
    <w:rPr>
      <w:sz w:val="32"/>
    </w:rPr>
  </w:style>
  <w:style w:type="paragraph" w:customStyle="1" w:styleId="CoverSubTitle">
    <w:name w:val="CoverSubTitle"/>
    <w:basedOn w:val="CoverNormal"/>
    <w:link w:val="CoverSubTitleChar"/>
    <w:rsid w:val="00C3172F"/>
    <w:rPr>
      <w:b/>
    </w:rPr>
  </w:style>
  <w:style w:type="character" w:customStyle="1" w:styleId="CoverSubTitleChar">
    <w:name w:val="CoverSubTitle Char"/>
    <w:basedOn w:val="DefaultParagraphFont"/>
    <w:link w:val="CoverSubTitle"/>
    <w:rsid w:val="00FB0CE9"/>
    <w:rPr>
      <w:rFonts w:ascii="Times New Roman" w:hAnsi="Times New Roman"/>
      <w:b/>
    </w:rPr>
  </w:style>
  <w:style w:type="paragraph" w:customStyle="1" w:styleId="CoverSubtitlePublication">
    <w:name w:val="CoverSubtitlePublication"/>
    <w:basedOn w:val="CoverNormal"/>
    <w:rsid w:val="00C3172F"/>
    <w:pPr>
      <w:jc w:val="center"/>
    </w:pPr>
    <w:rPr>
      <w:sz w:val="40"/>
    </w:rPr>
  </w:style>
  <w:style w:type="character" w:customStyle="1" w:styleId="CoverTable">
    <w:name w:val="CoverTable"/>
    <w:uiPriority w:val="1"/>
    <w:semiHidden/>
    <w:rsid w:val="00C3172F"/>
  </w:style>
  <w:style w:type="paragraph" w:customStyle="1" w:styleId="CoverTitle">
    <w:name w:val="CoverTitle"/>
    <w:basedOn w:val="CoverNormal"/>
    <w:link w:val="CoverTitleChar"/>
    <w:rsid w:val="00C3172F"/>
    <w:pPr>
      <w:spacing w:after="240"/>
    </w:pPr>
    <w:rPr>
      <w:b/>
      <w:sz w:val="24"/>
    </w:rPr>
  </w:style>
  <w:style w:type="character" w:customStyle="1" w:styleId="CoverTitleChar">
    <w:name w:val="CoverTitle Char"/>
    <w:basedOn w:val="DefaultParagraphFont"/>
    <w:link w:val="CoverTitle"/>
    <w:rsid w:val="00FB0CE9"/>
    <w:rPr>
      <w:rFonts w:ascii="Times New Roman" w:hAnsi="Times New Roman"/>
      <w:b/>
      <w:sz w:val="24"/>
    </w:rPr>
  </w:style>
  <w:style w:type="paragraph" w:customStyle="1" w:styleId="CoverTitlePublication">
    <w:name w:val="CoverTitlePublication"/>
    <w:basedOn w:val="CoverNormal"/>
    <w:rsid w:val="00C3172F"/>
    <w:pPr>
      <w:jc w:val="center"/>
    </w:pPr>
    <w:rPr>
      <w:b/>
      <w:sz w:val="52"/>
    </w:rPr>
  </w:style>
  <w:style w:type="paragraph" w:customStyle="1" w:styleId="CoverWorkingParty">
    <w:name w:val="CoverWorkingParty"/>
    <w:basedOn w:val="CoverNormal"/>
    <w:rsid w:val="00C3172F"/>
    <w:rPr>
      <w:b/>
      <w:sz w:val="24"/>
    </w:rPr>
  </w:style>
  <w:style w:type="paragraph" w:customStyle="1" w:styleId="FooterClassification">
    <w:name w:val="Footer Classification"/>
    <w:basedOn w:val="Normal"/>
    <w:rsid w:val="00381AB2"/>
    <w:pPr>
      <w:spacing w:after="0"/>
      <w:jc w:val="right"/>
    </w:pPr>
    <w:rPr>
      <w:sz w:val="16"/>
    </w:rPr>
  </w:style>
  <w:style w:type="character" w:styleId="FootnoteReference">
    <w:name w:val="footnote reference"/>
    <w:basedOn w:val="DefaultParagraphFont"/>
    <w:uiPriority w:val="99"/>
    <w:semiHidden/>
    <w:unhideWhenUsed/>
    <w:rsid w:val="00381AB2"/>
    <w:rPr>
      <w:rFonts w:ascii="Times New Roman" w:hAnsi="Times New Roman"/>
      <w:sz w:val="22"/>
      <w:vertAlign w:val="superscript"/>
    </w:rPr>
  </w:style>
  <w:style w:type="paragraph" w:customStyle="1" w:styleId="GroupHeading">
    <w:name w:val="Group Heading"/>
    <w:basedOn w:val="Normal"/>
    <w:next w:val="Para0"/>
    <w:rsid w:val="00CC1A99"/>
    <w:pPr>
      <w:keepNext/>
      <w:numPr>
        <w:numId w:val="4"/>
      </w:numPr>
      <w:pBdr>
        <w:top w:val="single" w:sz="4" w:space="1" w:color="auto"/>
      </w:pBdr>
      <w:tabs>
        <w:tab w:val="num" w:pos="360"/>
      </w:tabs>
      <w:spacing w:after="120"/>
      <w:ind w:left="357" w:hanging="357"/>
      <w:jc w:val="left"/>
    </w:pPr>
    <w:rPr>
      <w:b/>
      <w:i/>
      <w:color w:val="4E81BD"/>
    </w:rPr>
  </w:style>
  <w:style w:type="paragraph" w:styleId="Header">
    <w:name w:val="header"/>
    <w:basedOn w:val="Normal"/>
    <w:link w:val="HeaderChar"/>
    <w:uiPriority w:val="99"/>
    <w:rsid w:val="00CC1A99"/>
    <w:pPr>
      <w:tabs>
        <w:tab w:val="center" w:pos="4513"/>
        <w:tab w:val="right" w:pos="9026"/>
      </w:tabs>
      <w:spacing w:after="0"/>
    </w:pPr>
  </w:style>
  <w:style w:type="character" w:customStyle="1" w:styleId="HeaderChar">
    <w:name w:val="Header Char"/>
    <w:basedOn w:val="DefaultParagraphFont"/>
    <w:link w:val="Header"/>
    <w:uiPriority w:val="99"/>
    <w:rsid w:val="0056606B"/>
    <w:rPr>
      <w:rFonts w:ascii="Times New Roman" w:hAnsi="Times New Roman"/>
    </w:rPr>
  </w:style>
  <w:style w:type="character" w:customStyle="1" w:styleId="HeaderCoteChar">
    <w:name w:val="Header Cote (Char)"/>
    <w:basedOn w:val="DefaultParagraphFont"/>
    <w:uiPriority w:val="1"/>
    <w:semiHidden/>
    <w:rsid w:val="00CC1A99"/>
    <w:rPr>
      <w:rFonts w:ascii="Times New Roman" w:hAnsi="Times New Roman"/>
      <w:sz w:val="22"/>
    </w:rPr>
  </w:style>
  <w:style w:type="paragraph" w:customStyle="1" w:styleId="HeaderOdd">
    <w:name w:val="Header Odd"/>
    <w:basedOn w:val="Normal"/>
    <w:next w:val="Normal"/>
    <w:rsid w:val="004E4993"/>
    <w:pPr>
      <w:pBdr>
        <w:bottom w:val="single" w:sz="4" w:space="0" w:color="auto"/>
      </w:pBdr>
      <w:spacing w:after="0"/>
      <w:jc w:val="right"/>
    </w:pPr>
    <w:rPr>
      <w:sz w:val="2"/>
    </w:rPr>
  </w:style>
  <w:style w:type="paragraph" w:customStyle="1" w:styleId="HeaderEven">
    <w:name w:val="Header Even"/>
    <w:basedOn w:val="HeaderOdd"/>
    <w:rsid w:val="004E4993"/>
    <w:pPr>
      <w:jc w:val="left"/>
    </w:pPr>
  </w:style>
  <w:style w:type="character" w:customStyle="1" w:styleId="HeaderTitle">
    <w:name w:val="Header Title"/>
    <w:uiPriority w:val="1"/>
    <w:rsid w:val="004622CF"/>
    <w:rPr>
      <w:caps/>
      <w:smallCaps w:val="0"/>
      <w:sz w:val="18"/>
    </w:rPr>
  </w:style>
  <w:style w:type="paragraph" w:customStyle="1" w:styleId="ImportantInformation">
    <w:name w:val="Important Information"/>
    <w:basedOn w:val="Para0"/>
    <w:rsid w:val="003957E7"/>
    <w:pPr>
      <w:spacing w:after="480"/>
      <w:ind w:left="284" w:right="284"/>
      <w:jc w:val="center"/>
    </w:pPr>
  </w:style>
  <w:style w:type="paragraph" w:customStyle="1" w:styleId="Notes">
    <w:name w:val="Notes"/>
    <w:basedOn w:val="Normal"/>
    <w:rsid w:val="00024178"/>
    <w:pPr>
      <w:keepNext/>
      <w:keepLines/>
      <w:spacing w:before="120" w:after="0"/>
      <w:ind w:left="680" w:right="680"/>
      <w:contextualSpacing/>
    </w:pPr>
    <w:rPr>
      <w:sz w:val="18"/>
    </w:rPr>
  </w:style>
  <w:style w:type="character" w:styleId="PageNumber">
    <w:name w:val="page number"/>
    <w:basedOn w:val="DefaultParagraphFont"/>
    <w:uiPriority w:val="99"/>
    <w:rsid w:val="003E0362"/>
    <w:rPr>
      <w:rFonts w:ascii="Times New Roman" w:hAnsi="Times New Roman"/>
      <w:b/>
      <w:sz w:val="22"/>
    </w:rPr>
  </w:style>
  <w:style w:type="paragraph" w:customStyle="1" w:styleId="ProposedAction">
    <w:name w:val="Proposed Action"/>
    <w:basedOn w:val="Para0"/>
    <w:rsid w:val="003E0362"/>
    <w:pPr>
      <w:numPr>
        <w:numId w:val="5"/>
      </w:numPr>
      <w:tabs>
        <w:tab w:val="num" w:pos="360"/>
        <w:tab w:val="left" w:pos="425"/>
      </w:tabs>
      <w:spacing w:before="0" w:after="240"/>
      <w:ind w:left="2268" w:hanging="425"/>
    </w:pPr>
  </w:style>
  <w:style w:type="paragraph" w:customStyle="1" w:styleId="RefDocuments">
    <w:name w:val="Ref Documents"/>
    <w:basedOn w:val="Para0"/>
    <w:next w:val="Annotation"/>
    <w:rsid w:val="00E53877"/>
    <w:pPr>
      <w:ind w:left="7371"/>
      <w:contextualSpacing/>
      <w:jc w:val="left"/>
    </w:pPr>
  </w:style>
  <w:style w:type="paragraph" w:customStyle="1" w:styleId="Session">
    <w:name w:val="Session"/>
    <w:basedOn w:val="Normal"/>
    <w:next w:val="Time"/>
    <w:rsid w:val="002C1DD6"/>
    <w:pPr>
      <w:keepNext/>
      <w:spacing w:after="240"/>
      <w:jc w:val="left"/>
    </w:pPr>
    <w:rPr>
      <w:i/>
      <w:u w:val="single"/>
    </w:rPr>
  </w:style>
  <w:style w:type="paragraph" w:customStyle="1" w:styleId="SpecialItem">
    <w:name w:val="Special Item"/>
    <w:basedOn w:val="Normal"/>
    <w:next w:val="Time"/>
    <w:rsid w:val="002C1DD6"/>
    <w:pPr>
      <w:spacing w:before="240" w:after="240"/>
    </w:pPr>
    <w:rPr>
      <w:i/>
    </w:rPr>
  </w:style>
  <w:style w:type="character" w:customStyle="1" w:styleId="StatLinkDOI">
    <w:name w:val="StatLink DOI"/>
    <w:basedOn w:val="DefaultParagraphFont"/>
    <w:uiPriority w:val="1"/>
    <w:rsid w:val="002C1DD6"/>
    <w:rPr>
      <w:rFonts w:ascii="Times New Roman" w:hAnsi="Times New Roman"/>
      <w:sz w:val="18"/>
    </w:rPr>
  </w:style>
  <w:style w:type="paragraph" w:customStyle="1" w:styleId="StatLinkLogo">
    <w:name w:val="StatLink Logo"/>
    <w:basedOn w:val="Para0"/>
    <w:next w:val="Para0"/>
    <w:rsid w:val="00B66B2E"/>
    <w:pPr>
      <w:spacing w:after="240"/>
      <w:jc w:val="right"/>
    </w:pPr>
    <w:rPr>
      <w:rFonts w:ascii="StatLink" w:hAnsi="StatLink"/>
      <w:sz w:val="18"/>
    </w:rPr>
  </w:style>
  <w:style w:type="paragraph" w:styleId="TableofFigures">
    <w:name w:val="table of figures"/>
    <w:basedOn w:val="Normal"/>
    <w:next w:val="Normal"/>
    <w:uiPriority w:val="99"/>
    <w:unhideWhenUsed/>
    <w:rsid w:val="003A3A69"/>
    <w:pPr>
      <w:tabs>
        <w:tab w:val="right" w:leader="dot" w:pos="9072"/>
      </w:tabs>
      <w:spacing w:after="0"/>
      <w:ind w:left="442" w:right="510" w:hanging="442"/>
      <w:jc w:val="left"/>
    </w:pPr>
  </w:style>
  <w:style w:type="paragraph" w:styleId="TOC1">
    <w:name w:val="toc 1"/>
    <w:basedOn w:val="Normal"/>
    <w:next w:val="Normal"/>
    <w:uiPriority w:val="39"/>
    <w:unhideWhenUsed/>
    <w:rsid w:val="0025481A"/>
    <w:pPr>
      <w:tabs>
        <w:tab w:val="right" w:leader="dot" w:pos="9072"/>
      </w:tabs>
      <w:spacing w:before="120" w:after="120"/>
      <w:ind w:right="510"/>
      <w:jc w:val="left"/>
    </w:pPr>
    <w:rPr>
      <w:b/>
    </w:rPr>
  </w:style>
  <w:style w:type="paragraph" w:styleId="TOC2">
    <w:name w:val="toc 2"/>
    <w:basedOn w:val="Normal"/>
    <w:next w:val="Normal"/>
    <w:uiPriority w:val="39"/>
    <w:unhideWhenUsed/>
    <w:rsid w:val="002F3A06"/>
    <w:pPr>
      <w:tabs>
        <w:tab w:val="right" w:leader="dot" w:pos="9072"/>
      </w:tabs>
      <w:spacing w:after="0"/>
      <w:ind w:left="198" w:right="510"/>
      <w:jc w:val="left"/>
    </w:pPr>
  </w:style>
  <w:style w:type="paragraph" w:styleId="TOC3">
    <w:name w:val="toc 3"/>
    <w:basedOn w:val="Normal"/>
    <w:next w:val="Normal"/>
    <w:autoRedefine/>
    <w:uiPriority w:val="39"/>
    <w:unhideWhenUsed/>
    <w:rsid w:val="002F3A06"/>
    <w:pPr>
      <w:tabs>
        <w:tab w:val="right" w:leader="dot" w:pos="9072"/>
      </w:tabs>
      <w:spacing w:after="0"/>
      <w:ind w:left="397" w:right="510"/>
      <w:jc w:val="left"/>
    </w:pPr>
  </w:style>
  <w:style w:type="paragraph" w:styleId="TOC4">
    <w:name w:val="toc 4"/>
    <w:basedOn w:val="Normal"/>
    <w:next w:val="Normal"/>
    <w:uiPriority w:val="39"/>
    <w:semiHidden/>
    <w:unhideWhenUsed/>
    <w:rsid w:val="0025481A"/>
    <w:pPr>
      <w:tabs>
        <w:tab w:val="right" w:leader="dot" w:pos="9072"/>
      </w:tabs>
      <w:spacing w:after="0"/>
      <w:ind w:left="595" w:right="510"/>
      <w:jc w:val="left"/>
    </w:pPr>
  </w:style>
  <w:style w:type="paragraph" w:styleId="TOC5">
    <w:name w:val="toc 5"/>
    <w:aliases w:val="Annotated Item"/>
    <w:basedOn w:val="Normal"/>
    <w:next w:val="Normal"/>
    <w:uiPriority w:val="39"/>
    <w:unhideWhenUsed/>
    <w:rsid w:val="0025481A"/>
    <w:pPr>
      <w:keepNext/>
      <w:spacing w:after="120"/>
    </w:pPr>
    <w:rPr>
      <w:b/>
      <w:color w:val="4E81BD"/>
    </w:rPr>
  </w:style>
  <w:style w:type="paragraph" w:styleId="TOCHeading">
    <w:name w:val="TOC Heading"/>
    <w:basedOn w:val="Heading1"/>
    <w:next w:val="Normal"/>
    <w:uiPriority w:val="39"/>
    <w:unhideWhenUsed/>
    <w:qFormat/>
    <w:rsid w:val="00CE6E7E"/>
    <w:pPr>
      <w:numPr>
        <w:numId w:val="0"/>
      </w:numPr>
      <w:ind w:left="680" w:right="680"/>
      <w:outlineLvl w:val="9"/>
    </w:pPr>
    <w:rPr>
      <w:rFonts w:ascii="Times New Roman" w:hAnsi="Times New Roman"/>
      <w:b w:val="0"/>
      <w:i/>
      <w:kern w:val="0"/>
      <w:sz w:val="32"/>
    </w:rPr>
  </w:style>
  <w:style w:type="paragraph" w:styleId="Subtitle">
    <w:name w:val="Subtitle"/>
    <w:basedOn w:val="Normal"/>
    <w:next w:val="Normal"/>
    <w:link w:val="SubtitleChar"/>
    <w:uiPriority w:val="11"/>
    <w:rsid w:val="0092327D"/>
    <w:pPr>
      <w:numPr>
        <w:ilvl w:val="1"/>
      </w:numPr>
      <w:spacing w:after="240"/>
      <w:jc w:val="center"/>
    </w:pPr>
    <w:rPr>
      <w:rFonts w:ascii="Times New Roman Bold" w:eastAsiaTheme="minorEastAsia" w:hAnsi="Times New Roman Bold"/>
      <w:b/>
      <w:color w:val="000000" w:themeColor="text1"/>
      <w:sz w:val="24"/>
    </w:rPr>
  </w:style>
  <w:style w:type="character" w:customStyle="1" w:styleId="SubtitleChar">
    <w:name w:val="Subtitle Char"/>
    <w:basedOn w:val="DefaultParagraphFont"/>
    <w:link w:val="Subtitle"/>
    <w:uiPriority w:val="11"/>
    <w:rsid w:val="0092327D"/>
    <w:rPr>
      <w:rFonts w:ascii="Times New Roman Bold" w:eastAsiaTheme="minorEastAsia" w:hAnsi="Times New Roman Bold"/>
      <w:b/>
      <w:color w:val="000000" w:themeColor="text1"/>
      <w:sz w:val="24"/>
    </w:rPr>
  </w:style>
  <w:style w:type="character" w:styleId="PlaceholderText">
    <w:name w:val="Placeholder Text"/>
    <w:basedOn w:val="DefaultParagraphFont"/>
    <w:uiPriority w:val="99"/>
    <w:semiHidden/>
    <w:rsid w:val="00CC3749"/>
    <w:rPr>
      <w:color w:val="808080"/>
    </w:rPr>
  </w:style>
  <w:style w:type="paragraph" w:customStyle="1" w:styleId="CoverDirectorate">
    <w:name w:val="CoverDirectorate"/>
    <w:basedOn w:val="CoverNormal"/>
    <w:link w:val="CoverDirectorateChar"/>
    <w:rsid w:val="004529B7"/>
    <w:rPr>
      <w:b/>
    </w:rPr>
  </w:style>
  <w:style w:type="character" w:customStyle="1" w:styleId="CoverDirectorateChar">
    <w:name w:val="CoverDirectorate Char"/>
    <w:basedOn w:val="CoverNormalChar"/>
    <w:link w:val="CoverDirectorate"/>
    <w:rsid w:val="00FB0CE9"/>
    <w:rPr>
      <w:rFonts w:ascii="Times New Roman" w:hAnsi="Times New Roman"/>
      <w:b/>
    </w:rPr>
  </w:style>
  <w:style w:type="table" w:styleId="TableGrid">
    <w:name w:val="Table Grid"/>
    <w:basedOn w:val="TableNormal"/>
    <w:uiPriority w:val="59"/>
    <w:rsid w:val="0099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13F2"/>
    <w:rPr>
      <w:color w:val="0000FF"/>
      <w:u w:val="single"/>
    </w:rPr>
  </w:style>
  <w:style w:type="table" w:customStyle="1" w:styleId="OECD">
    <w:name w:val="OECD"/>
    <w:basedOn w:val="LightShading-Accent1"/>
    <w:uiPriority w:val="99"/>
    <w:rsid w:val="00E41C56"/>
    <w:rPr>
      <w:rFonts w:ascii="Georgia" w:eastAsia="Times New Roman" w:hAnsi="Georgia" w:cs="Times New Roman"/>
      <w:sz w:val="20"/>
      <w:szCs w:val="20"/>
      <w:lang w:val="en-US" w:eastAsia="en-GB"/>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rFonts w:cs="Times New Roman"/>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rFonts w:cs="Times New Roman"/>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EDF0F7"/>
      </w:tcPr>
    </w:tblStylePr>
    <w:tblStylePr w:type="band2Horz">
      <w:rPr>
        <w:rFonts w:cs="Times New Roman"/>
      </w:rPr>
      <w:tblPr/>
      <w:tcPr>
        <w:shd w:val="clear" w:color="auto" w:fill="FFFFFF" w:themeFill="background1"/>
      </w:tcPr>
    </w:tblStylePr>
  </w:style>
  <w:style w:type="table" w:styleId="LightShading-Accent1">
    <w:name w:val="Light Shading Accent 1"/>
    <w:basedOn w:val="TableNormal"/>
    <w:uiPriority w:val="60"/>
    <w:semiHidden/>
    <w:unhideWhenUsed/>
    <w:rsid w:val="00E41C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2E6D21"/>
    <w:rPr>
      <w:sz w:val="16"/>
      <w:szCs w:val="16"/>
    </w:rPr>
  </w:style>
  <w:style w:type="paragraph" w:styleId="CommentText">
    <w:name w:val="annotation text"/>
    <w:basedOn w:val="Normal"/>
    <w:link w:val="CommentTextChar"/>
    <w:uiPriority w:val="99"/>
    <w:semiHidden/>
    <w:unhideWhenUsed/>
    <w:rsid w:val="002E6D21"/>
    <w:rPr>
      <w:sz w:val="20"/>
      <w:szCs w:val="20"/>
    </w:rPr>
  </w:style>
  <w:style w:type="character" w:customStyle="1" w:styleId="CommentTextChar">
    <w:name w:val="Comment Text Char"/>
    <w:basedOn w:val="DefaultParagraphFont"/>
    <w:link w:val="CommentText"/>
    <w:uiPriority w:val="99"/>
    <w:semiHidden/>
    <w:rsid w:val="002E6D2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E6D21"/>
    <w:rPr>
      <w:b/>
      <w:bCs/>
    </w:rPr>
  </w:style>
  <w:style w:type="character" w:customStyle="1" w:styleId="CommentSubjectChar">
    <w:name w:val="Comment Subject Char"/>
    <w:basedOn w:val="CommentTextChar"/>
    <w:link w:val="CommentSubject"/>
    <w:uiPriority w:val="99"/>
    <w:semiHidden/>
    <w:rsid w:val="002E6D21"/>
    <w:rPr>
      <w:rFonts w:ascii="Times New Roman" w:hAnsi="Times New Roman"/>
      <w:b/>
      <w:bCs/>
      <w:sz w:val="20"/>
      <w:szCs w:val="20"/>
    </w:rPr>
  </w:style>
  <w:style w:type="paragraph" w:styleId="BalloonText">
    <w:name w:val="Balloon Text"/>
    <w:basedOn w:val="Normal"/>
    <w:link w:val="BalloonTextChar"/>
    <w:uiPriority w:val="99"/>
    <w:semiHidden/>
    <w:unhideWhenUsed/>
    <w:rsid w:val="002E6D2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D21"/>
    <w:rPr>
      <w:rFonts w:ascii="Segoe UI" w:hAnsi="Segoe UI" w:cs="Segoe UI"/>
      <w:sz w:val="18"/>
      <w:szCs w:val="18"/>
    </w:rPr>
  </w:style>
  <w:style w:type="table" w:customStyle="1" w:styleId="OECDOld">
    <w:name w:val="OECD Old"/>
    <w:basedOn w:val="LightShading-Accent1"/>
    <w:uiPriority w:val="99"/>
    <w:rsid w:val="0065770E"/>
    <w:rPr>
      <w:rFonts w:ascii="Georgia" w:eastAsia="Times New Roman" w:hAnsi="Georgia" w:cs="Times New Roman"/>
      <w:sz w:val="20"/>
      <w:szCs w:val="20"/>
      <w:lang w:val="en-US" w:eastAsia="en-GB"/>
    </w:rPr>
    <w:tblPr>
      <w:jc w:val="center"/>
      <w:tblBorders>
        <w:top w:val="none" w:sz="0" w:space="0" w:color="auto"/>
        <w:bottom w:val="single" w:sz="12" w:space="0" w:color="auto"/>
      </w:tblBorders>
    </w:tblPr>
    <w:trPr>
      <w:jc w:val="center"/>
    </w:trPr>
    <w:tcPr>
      <w:shd w:val="clear" w:color="auto" w:fill="FFFFFF" w:themeFill="background1"/>
    </w:tcPr>
    <w:tblStylePr w:type="firstRow">
      <w:pPr>
        <w:spacing w:before="0" w:after="0" w:line="240" w:lineRule="auto"/>
      </w:pPr>
      <w:rPr>
        <w:rFonts w:cs="Times New Roman"/>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rFonts w:cs="Times New Roman"/>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val="0"/>
        <w:bCs/>
      </w:rPr>
    </w:tblStylePr>
    <w:tblStylePr w:type="lastCol">
      <w:rPr>
        <w:rFonts w:cs="Times New Roman"/>
        <w:b w:val="0"/>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EDF0F7"/>
      </w:tcPr>
    </w:tblStylePr>
    <w:tblStylePr w:type="band2Horz">
      <w:rPr>
        <w:rFonts w:cs="Times New Roman"/>
      </w:rPr>
      <w:tblPr/>
      <w:tcPr>
        <w:shd w:val="clear" w:color="auto" w:fill="FFFFFF" w:themeFill="background1"/>
      </w:tcPr>
    </w:tblStylePr>
  </w:style>
  <w:style w:type="paragraph" w:customStyle="1" w:styleId="ParaOpener">
    <w:name w:val="Para Opener"/>
    <w:next w:val="Para0"/>
    <w:uiPriority w:val="11"/>
    <w:qFormat/>
    <w:rsid w:val="0065770E"/>
    <w:pPr>
      <w:spacing w:before="240" w:after="240" w:line="320" w:lineRule="exact"/>
      <w:jc w:val="both"/>
    </w:pPr>
    <w:rPr>
      <w:rFonts w:asciiTheme="majorHAnsi" w:hAnsiTheme="majorHAnsi" w:cs="Times New Roman"/>
      <w:color w:val="4F81BD" w:themeColor="accent1"/>
      <w:sz w:val="24"/>
      <w:szCs w:val="20"/>
    </w:rPr>
  </w:style>
  <w:style w:type="paragraph" w:customStyle="1" w:styleId="InBriefOpener">
    <w:name w:val="InBrief Opener"/>
    <w:rsid w:val="0065770E"/>
    <w:pPr>
      <w:pageBreakBefore/>
      <w:spacing w:after="120" w:line="1040" w:lineRule="exact"/>
      <w:ind w:right="680"/>
    </w:pPr>
    <w:rPr>
      <w:rFonts w:asciiTheme="majorHAnsi" w:hAnsiTheme="majorHAnsi" w:cs="Times New Roman"/>
      <w:b/>
      <w:color w:val="4F81BD" w:themeColor="accent1"/>
      <w:sz w:val="96"/>
      <w:szCs w:val="20"/>
    </w:rPr>
  </w:style>
  <w:style w:type="paragraph" w:customStyle="1" w:styleId="InBriefTitle">
    <w:name w:val="InBrief Title"/>
    <w:next w:val="Para0"/>
    <w:qFormat/>
    <w:rsid w:val="0065770E"/>
    <w:pPr>
      <w:spacing w:after="360" w:line="320" w:lineRule="exact"/>
      <w:ind w:right="57"/>
    </w:pPr>
    <w:rPr>
      <w:rFonts w:asciiTheme="majorHAnsi" w:hAnsiTheme="majorHAnsi" w:cs="Times New Roman"/>
      <w:b/>
      <w:color w:val="4F81BD" w:themeColor="accent1"/>
      <w:sz w:val="28"/>
      <w:szCs w:val="20"/>
    </w:rPr>
  </w:style>
  <w:style w:type="paragraph" w:customStyle="1" w:styleId="Author">
    <w:name w:val="Author"/>
    <w:next w:val="Para0"/>
    <w:uiPriority w:val="6"/>
    <w:qFormat/>
    <w:rsid w:val="0065770E"/>
    <w:pPr>
      <w:spacing w:before="180" w:after="240" w:line="260" w:lineRule="exact"/>
      <w:ind w:right="284"/>
      <w:jc w:val="right"/>
    </w:pPr>
    <w:rPr>
      <w:rFonts w:asciiTheme="majorHAnsi" w:hAnsiTheme="majorHAnsi" w:cs="Times New Roman"/>
      <w:sz w:val="20"/>
      <w:szCs w:val="20"/>
    </w:rPr>
  </w:style>
  <w:style w:type="paragraph" w:customStyle="1" w:styleId="Heading2Indicator">
    <w:name w:val="Heading 2 (Indicator)"/>
    <w:next w:val="Para0"/>
    <w:uiPriority w:val="8"/>
    <w:qFormat/>
    <w:rsid w:val="0065770E"/>
    <w:pPr>
      <w:pageBreakBefore/>
      <w:spacing w:after="480" w:line="560" w:lineRule="exact"/>
      <w:outlineLvl w:val="1"/>
    </w:pPr>
    <w:rPr>
      <w:rFonts w:asciiTheme="majorHAnsi" w:eastAsiaTheme="majorEastAsia" w:hAnsiTheme="majorHAnsi" w:cstheme="majorBidi"/>
      <w:b/>
      <w:color w:val="4F81BD" w:themeColor="accent1"/>
      <w:sz w:val="52"/>
      <w:szCs w:val="26"/>
    </w:rPr>
  </w:style>
  <w:style w:type="paragraph" w:customStyle="1" w:styleId="BoxHeading2">
    <w:name w:val="Box Heading 2"/>
    <w:next w:val="Para0"/>
    <w:uiPriority w:val="14"/>
    <w:qFormat/>
    <w:rsid w:val="0065770E"/>
    <w:pPr>
      <w:spacing w:before="180" w:after="120" w:line="240" w:lineRule="auto"/>
    </w:pPr>
    <w:rPr>
      <w:rFonts w:asciiTheme="majorHAnsi" w:hAnsiTheme="majorHAnsi" w:cs="Times New Roman"/>
      <w:b/>
      <w:i/>
      <w:color w:val="000000" w:themeColor="text1"/>
      <w:sz w:val="20"/>
      <w:szCs w:val="20"/>
    </w:rPr>
  </w:style>
  <w:style w:type="paragraph" w:styleId="TOC9">
    <w:name w:val="toc 9"/>
    <w:next w:val="Normal"/>
    <w:autoRedefine/>
    <w:uiPriority w:val="39"/>
    <w:rsid w:val="0065770E"/>
    <w:pPr>
      <w:tabs>
        <w:tab w:val="right" w:pos="9072"/>
      </w:tabs>
      <w:spacing w:before="240" w:after="40" w:line="300" w:lineRule="exact"/>
      <w:ind w:left="284" w:right="652" w:hanging="284"/>
    </w:pPr>
    <w:rPr>
      <w:rFonts w:asciiTheme="majorHAnsi" w:hAnsiTheme="majorHAnsi" w:cs="Times New Roman"/>
      <w:b/>
      <w:color w:val="4F81BD" w:themeColor="accent1"/>
      <w:sz w:val="28"/>
      <w:szCs w:val="20"/>
    </w:rPr>
  </w:style>
  <w:style w:type="paragraph" w:customStyle="1" w:styleId="KeyBoxTitle">
    <w:name w:val="KeyBox Title"/>
    <w:basedOn w:val="Caption"/>
    <w:next w:val="Para0"/>
    <w:rsid w:val="0065770E"/>
    <w:pPr>
      <w:spacing w:before="0" w:after="360" w:line="440" w:lineRule="exact"/>
      <w:ind w:left="0" w:right="57"/>
      <w:jc w:val="left"/>
    </w:pPr>
    <w:rPr>
      <w:rFonts w:asciiTheme="majorHAnsi" w:eastAsiaTheme="majorEastAsia" w:hAnsiTheme="majorHAnsi" w:cstheme="majorBidi"/>
      <w:iCs w:val="0"/>
      <w:color w:val="4F81BD" w:themeColor="accent1"/>
      <w:sz w:val="36"/>
      <w:szCs w:val="26"/>
    </w:rPr>
  </w:style>
  <w:style w:type="paragraph" w:customStyle="1" w:styleId="Heading2IndicatorSublevel">
    <w:name w:val="Heading 2 (Indicator Sublevel)"/>
    <w:basedOn w:val="Heading2"/>
    <w:next w:val="Para0"/>
    <w:uiPriority w:val="9"/>
    <w:qFormat/>
    <w:rsid w:val="0065770E"/>
    <w:pPr>
      <w:numPr>
        <w:numId w:val="10"/>
      </w:numPr>
      <w:tabs>
        <w:tab w:val="left" w:pos="850"/>
        <w:tab w:val="left" w:pos="1191"/>
        <w:tab w:val="left" w:pos="1531"/>
      </w:tabs>
      <w:jc w:val="left"/>
      <w:outlineLvl w:val="2"/>
    </w:pPr>
    <w:rPr>
      <w:rFonts w:ascii="Times New Roman" w:eastAsiaTheme="minorHAnsi" w:hAnsi="Times New Roman"/>
      <w:bCs/>
      <w:szCs w:val="20"/>
    </w:rPr>
  </w:style>
  <w:style w:type="character" w:styleId="Strong">
    <w:name w:val="Strong"/>
    <w:basedOn w:val="DefaultParagraphFont"/>
    <w:uiPriority w:val="22"/>
    <w:rsid w:val="0065770E"/>
    <w:rPr>
      <w:b/>
      <w:bCs/>
    </w:rPr>
  </w:style>
  <w:style w:type="character" w:styleId="Emphasis">
    <w:name w:val="Emphasis"/>
    <w:basedOn w:val="DefaultParagraphFont"/>
    <w:uiPriority w:val="20"/>
    <w:rsid w:val="0065770E"/>
    <w:rPr>
      <w:i/>
      <w:iCs/>
    </w:rPr>
  </w:style>
  <w:style w:type="numbering" w:customStyle="1" w:styleId="Style1">
    <w:name w:val="Style1"/>
    <w:uiPriority w:val="99"/>
    <w:rsid w:val="00606268"/>
    <w:pPr>
      <w:numPr>
        <w:numId w:val="15"/>
      </w:numPr>
    </w:pPr>
  </w:style>
  <w:style w:type="paragraph" w:styleId="Revision">
    <w:name w:val="Revision"/>
    <w:hidden/>
    <w:uiPriority w:val="99"/>
    <w:semiHidden/>
    <w:rsid w:val="00CB79EF"/>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E248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48">
      <w:bodyDiv w:val="1"/>
      <w:marLeft w:val="0"/>
      <w:marRight w:val="0"/>
      <w:marTop w:val="0"/>
      <w:marBottom w:val="0"/>
      <w:divBdr>
        <w:top w:val="none" w:sz="0" w:space="0" w:color="auto"/>
        <w:left w:val="none" w:sz="0" w:space="0" w:color="auto"/>
        <w:bottom w:val="none" w:sz="0" w:space="0" w:color="auto"/>
        <w:right w:val="none" w:sz="0" w:space="0" w:color="auto"/>
      </w:divBdr>
    </w:div>
    <w:div w:id="2902292">
      <w:bodyDiv w:val="1"/>
      <w:marLeft w:val="0"/>
      <w:marRight w:val="0"/>
      <w:marTop w:val="0"/>
      <w:marBottom w:val="0"/>
      <w:divBdr>
        <w:top w:val="none" w:sz="0" w:space="0" w:color="auto"/>
        <w:left w:val="none" w:sz="0" w:space="0" w:color="auto"/>
        <w:bottom w:val="none" w:sz="0" w:space="0" w:color="auto"/>
        <w:right w:val="none" w:sz="0" w:space="0" w:color="auto"/>
      </w:divBdr>
    </w:div>
    <w:div w:id="5177440">
      <w:bodyDiv w:val="1"/>
      <w:marLeft w:val="0"/>
      <w:marRight w:val="0"/>
      <w:marTop w:val="0"/>
      <w:marBottom w:val="0"/>
      <w:divBdr>
        <w:top w:val="none" w:sz="0" w:space="0" w:color="auto"/>
        <w:left w:val="none" w:sz="0" w:space="0" w:color="auto"/>
        <w:bottom w:val="none" w:sz="0" w:space="0" w:color="auto"/>
        <w:right w:val="none" w:sz="0" w:space="0" w:color="auto"/>
      </w:divBdr>
    </w:div>
    <w:div w:id="5448687">
      <w:bodyDiv w:val="1"/>
      <w:marLeft w:val="0"/>
      <w:marRight w:val="0"/>
      <w:marTop w:val="0"/>
      <w:marBottom w:val="0"/>
      <w:divBdr>
        <w:top w:val="none" w:sz="0" w:space="0" w:color="auto"/>
        <w:left w:val="none" w:sz="0" w:space="0" w:color="auto"/>
        <w:bottom w:val="none" w:sz="0" w:space="0" w:color="auto"/>
        <w:right w:val="none" w:sz="0" w:space="0" w:color="auto"/>
      </w:divBdr>
    </w:div>
    <w:div w:id="6061801">
      <w:bodyDiv w:val="1"/>
      <w:marLeft w:val="0"/>
      <w:marRight w:val="0"/>
      <w:marTop w:val="0"/>
      <w:marBottom w:val="0"/>
      <w:divBdr>
        <w:top w:val="none" w:sz="0" w:space="0" w:color="auto"/>
        <w:left w:val="none" w:sz="0" w:space="0" w:color="auto"/>
        <w:bottom w:val="none" w:sz="0" w:space="0" w:color="auto"/>
        <w:right w:val="none" w:sz="0" w:space="0" w:color="auto"/>
      </w:divBdr>
    </w:div>
    <w:div w:id="8221272">
      <w:bodyDiv w:val="1"/>
      <w:marLeft w:val="0"/>
      <w:marRight w:val="0"/>
      <w:marTop w:val="0"/>
      <w:marBottom w:val="0"/>
      <w:divBdr>
        <w:top w:val="none" w:sz="0" w:space="0" w:color="auto"/>
        <w:left w:val="none" w:sz="0" w:space="0" w:color="auto"/>
        <w:bottom w:val="none" w:sz="0" w:space="0" w:color="auto"/>
        <w:right w:val="none" w:sz="0" w:space="0" w:color="auto"/>
      </w:divBdr>
    </w:div>
    <w:div w:id="9331414">
      <w:bodyDiv w:val="1"/>
      <w:marLeft w:val="0"/>
      <w:marRight w:val="0"/>
      <w:marTop w:val="0"/>
      <w:marBottom w:val="0"/>
      <w:divBdr>
        <w:top w:val="none" w:sz="0" w:space="0" w:color="auto"/>
        <w:left w:val="none" w:sz="0" w:space="0" w:color="auto"/>
        <w:bottom w:val="none" w:sz="0" w:space="0" w:color="auto"/>
        <w:right w:val="none" w:sz="0" w:space="0" w:color="auto"/>
      </w:divBdr>
    </w:div>
    <w:div w:id="9722924">
      <w:bodyDiv w:val="1"/>
      <w:marLeft w:val="0"/>
      <w:marRight w:val="0"/>
      <w:marTop w:val="0"/>
      <w:marBottom w:val="0"/>
      <w:divBdr>
        <w:top w:val="none" w:sz="0" w:space="0" w:color="auto"/>
        <w:left w:val="none" w:sz="0" w:space="0" w:color="auto"/>
        <w:bottom w:val="none" w:sz="0" w:space="0" w:color="auto"/>
        <w:right w:val="none" w:sz="0" w:space="0" w:color="auto"/>
      </w:divBdr>
    </w:div>
    <w:div w:id="15347227">
      <w:bodyDiv w:val="1"/>
      <w:marLeft w:val="0"/>
      <w:marRight w:val="0"/>
      <w:marTop w:val="0"/>
      <w:marBottom w:val="0"/>
      <w:divBdr>
        <w:top w:val="none" w:sz="0" w:space="0" w:color="auto"/>
        <w:left w:val="none" w:sz="0" w:space="0" w:color="auto"/>
        <w:bottom w:val="none" w:sz="0" w:space="0" w:color="auto"/>
        <w:right w:val="none" w:sz="0" w:space="0" w:color="auto"/>
      </w:divBdr>
    </w:div>
    <w:div w:id="15466550">
      <w:bodyDiv w:val="1"/>
      <w:marLeft w:val="0"/>
      <w:marRight w:val="0"/>
      <w:marTop w:val="0"/>
      <w:marBottom w:val="0"/>
      <w:divBdr>
        <w:top w:val="none" w:sz="0" w:space="0" w:color="auto"/>
        <w:left w:val="none" w:sz="0" w:space="0" w:color="auto"/>
        <w:bottom w:val="none" w:sz="0" w:space="0" w:color="auto"/>
        <w:right w:val="none" w:sz="0" w:space="0" w:color="auto"/>
      </w:divBdr>
    </w:div>
    <w:div w:id="16734168">
      <w:bodyDiv w:val="1"/>
      <w:marLeft w:val="0"/>
      <w:marRight w:val="0"/>
      <w:marTop w:val="0"/>
      <w:marBottom w:val="0"/>
      <w:divBdr>
        <w:top w:val="none" w:sz="0" w:space="0" w:color="auto"/>
        <w:left w:val="none" w:sz="0" w:space="0" w:color="auto"/>
        <w:bottom w:val="none" w:sz="0" w:space="0" w:color="auto"/>
        <w:right w:val="none" w:sz="0" w:space="0" w:color="auto"/>
      </w:divBdr>
    </w:div>
    <w:div w:id="16975562">
      <w:bodyDiv w:val="1"/>
      <w:marLeft w:val="0"/>
      <w:marRight w:val="0"/>
      <w:marTop w:val="0"/>
      <w:marBottom w:val="0"/>
      <w:divBdr>
        <w:top w:val="none" w:sz="0" w:space="0" w:color="auto"/>
        <w:left w:val="none" w:sz="0" w:space="0" w:color="auto"/>
        <w:bottom w:val="none" w:sz="0" w:space="0" w:color="auto"/>
        <w:right w:val="none" w:sz="0" w:space="0" w:color="auto"/>
      </w:divBdr>
    </w:div>
    <w:div w:id="19552476">
      <w:bodyDiv w:val="1"/>
      <w:marLeft w:val="0"/>
      <w:marRight w:val="0"/>
      <w:marTop w:val="0"/>
      <w:marBottom w:val="0"/>
      <w:divBdr>
        <w:top w:val="none" w:sz="0" w:space="0" w:color="auto"/>
        <w:left w:val="none" w:sz="0" w:space="0" w:color="auto"/>
        <w:bottom w:val="none" w:sz="0" w:space="0" w:color="auto"/>
        <w:right w:val="none" w:sz="0" w:space="0" w:color="auto"/>
      </w:divBdr>
    </w:div>
    <w:div w:id="20131125">
      <w:bodyDiv w:val="1"/>
      <w:marLeft w:val="0"/>
      <w:marRight w:val="0"/>
      <w:marTop w:val="0"/>
      <w:marBottom w:val="0"/>
      <w:divBdr>
        <w:top w:val="none" w:sz="0" w:space="0" w:color="auto"/>
        <w:left w:val="none" w:sz="0" w:space="0" w:color="auto"/>
        <w:bottom w:val="none" w:sz="0" w:space="0" w:color="auto"/>
        <w:right w:val="none" w:sz="0" w:space="0" w:color="auto"/>
      </w:divBdr>
    </w:div>
    <w:div w:id="21368550">
      <w:bodyDiv w:val="1"/>
      <w:marLeft w:val="0"/>
      <w:marRight w:val="0"/>
      <w:marTop w:val="0"/>
      <w:marBottom w:val="0"/>
      <w:divBdr>
        <w:top w:val="none" w:sz="0" w:space="0" w:color="auto"/>
        <w:left w:val="none" w:sz="0" w:space="0" w:color="auto"/>
        <w:bottom w:val="none" w:sz="0" w:space="0" w:color="auto"/>
        <w:right w:val="none" w:sz="0" w:space="0" w:color="auto"/>
      </w:divBdr>
    </w:div>
    <w:div w:id="26300483">
      <w:bodyDiv w:val="1"/>
      <w:marLeft w:val="0"/>
      <w:marRight w:val="0"/>
      <w:marTop w:val="0"/>
      <w:marBottom w:val="0"/>
      <w:divBdr>
        <w:top w:val="none" w:sz="0" w:space="0" w:color="auto"/>
        <w:left w:val="none" w:sz="0" w:space="0" w:color="auto"/>
        <w:bottom w:val="none" w:sz="0" w:space="0" w:color="auto"/>
        <w:right w:val="none" w:sz="0" w:space="0" w:color="auto"/>
      </w:divBdr>
    </w:div>
    <w:div w:id="26614075">
      <w:bodyDiv w:val="1"/>
      <w:marLeft w:val="0"/>
      <w:marRight w:val="0"/>
      <w:marTop w:val="0"/>
      <w:marBottom w:val="0"/>
      <w:divBdr>
        <w:top w:val="none" w:sz="0" w:space="0" w:color="auto"/>
        <w:left w:val="none" w:sz="0" w:space="0" w:color="auto"/>
        <w:bottom w:val="none" w:sz="0" w:space="0" w:color="auto"/>
        <w:right w:val="none" w:sz="0" w:space="0" w:color="auto"/>
      </w:divBdr>
    </w:div>
    <w:div w:id="27226192">
      <w:bodyDiv w:val="1"/>
      <w:marLeft w:val="0"/>
      <w:marRight w:val="0"/>
      <w:marTop w:val="0"/>
      <w:marBottom w:val="0"/>
      <w:divBdr>
        <w:top w:val="none" w:sz="0" w:space="0" w:color="auto"/>
        <w:left w:val="none" w:sz="0" w:space="0" w:color="auto"/>
        <w:bottom w:val="none" w:sz="0" w:space="0" w:color="auto"/>
        <w:right w:val="none" w:sz="0" w:space="0" w:color="auto"/>
      </w:divBdr>
    </w:div>
    <w:div w:id="27685461">
      <w:bodyDiv w:val="1"/>
      <w:marLeft w:val="0"/>
      <w:marRight w:val="0"/>
      <w:marTop w:val="0"/>
      <w:marBottom w:val="0"/>
      <w:divBdr>
        <w:top w:val="none" w:sz="0" w:space="0" w:color="auto"/>
        <w:left w:val="none" w:sz="0" w:space="0" w:color="auto"/>
        <w:bottom w:val="none" w:sz="0" w:space="0" w:color="auto"/>
        <w:right w:val="none" w:sz="0" w:space="0" w:color="auto"/>
      </w:divBdr>
    </w:div>
    <w:div w:id="30570271">
      <w:bodyDiv w:val="1"/>
      <w:marLeft w:val="0"/>
      <w:marRight w:val="0"/>
      <w:marTop w:val="0"/>
      <w:marBottom w:val="0"/>
      <w:divBdr>
        <w:top w:val="none" w:sz="0" w:space="0" w:color="auto"/>
        <w:left w:val="none" w:sz="0" w:space="0" w:color="auto"/>
        <w:bottom w:val="none" w:sz="0" w:space="0" w:color="auto"/>
        <w:right w:val="none" w:sz="0" w:space="0" w:color="auto"/>
      </w:divBdr>
    </w:div>
    <w:div w:id="31812663">
      <w:bodyDiv w:val="1"/>
      <w:marLeft w:val="0"/>
      <w:marRight w:val="0"/>
      <w:marTop w:val="0"/>
      <w:marBottom w:val="0"/>
      <w:divBdr>
        <w:top w:val="none" w:sz="0" w:space="0" w:color="auto"/>
        <w:left w:val="none" w:sz="0" w:space="0" w:color="auto"/>
        <w:bottom w:val="none" w:sz="0" w:space="0" w:color="auto"/>
        <w:right w:val="none" w:sz="0" w:space="0" w:color="auto"/>
      </w:divBdr>
    </w:div>
    <w:div w:id="34279081">
      <w:bodyDiv w:val="1"/>
      <w:marLeft w:val="0"/>
      <w:marRight w:val="0"/>
      <w:marTop w:val="0"/>
      <w:marBottom w:val="0"/>
      <w:divBdr>
        <w:top w:val="none" w:sz="0" w:space="0" w:color="auto"/>
        <w:left w:val="none" w:sz="0" w:space="0" w:color="auto"/>
        <w:bottom w:val="none" w:sz="0" w:space="0" w:color="auto"/>
        <w:right w:val="none" w:sz="0" w:space="0" w:color="auto"/>
      </w:divBdr>
    </w:div>
    <w:div w:id="34427230">
      <w:bodyDiv w:val="1"/>
      <w:marLeft w:val="0"/>
      <w:marRight w:val="0"/>
      <w:marTop w:val="0"/>
      <w:marBottom w:val="0"/>
      <w:divBdr>
        <w:top w:val="none" w:sz="0" w:space="0" w:color="auto"/>
        <w:left w:val="none" w:sz="0" w:space="0" w:color="auto"/>
        <w:bottom w:val="none" w:sz="0" w:space="0" w:color="auto"/>
        <w:right w:val="none" w:sz="0" w:space="0" w:color="auto"/>
      </w:divBdr>
    </w:div>
    <w:div w:id="34812791">
      <w:bodyDiv w:val="1"/>
      <w:marLeft w:val="0"/>
      <w:marRight w:val="0"/>
      <w:marTop w:val="0"/>
      <w:marBottom w:val="0"/>
      <w:divBdr>
        <w:top w:val="none" w:sz="0" w:space="0" w:color="auto"/>
        <w:left w:val="none" w:sz="0" w:space="0" w:color="auto"/>
        <w:bottom w:val="none" w:sz="0" w:space="0" w:color="auto"/>
        <w:right w:val="none" w:sz="0" w:space="0" w:color="auto"/>
      </w:divBdr>
    </w:div>
    <w:div w:id="35281263">
      <w:bodyDiv w:val="1"/>
      <w:marLeft w:val="0"/>
      <w:marRight w:val="0"/>
      <w:marTop w:val="0"/>
      <w:marBottom w:val="0"/>
      <w:divBdr>
        <w:top w:val="none" w:sz="0" w:space="0" w:color="auto"/>
        <w:left w:val="none" w:sz="0" w:space="0" w:color="auto"/>
        <w:bottom w:val="none" w:sz="0" w:space="0" w:color="auto"/>
        <w:right w:val="none" w:sz="0" w:space="0" w:color="auto"/>
      </w:divBdr>
    </w:div>
    <w:div w:id="35664810">
      <w:bodyDiv w:val="1"/>
      <w:marLeft w:val="0"/>
      <w:marRight w:val="0"/>
      <w:marTop w:val="0"/>
      <w:marBottom w:val="0"/>
      <w:divBdr>
        <w:top w:val="none" w:sz="0" w:space="0" w:color="auto"/>
        <w:left w:val="none" w:sz="0" w:space="0" w:color="auto"/>
        <w:bottom w:val="none" w:sz="0" w:space="0" w:color="auto"/>
        <w:right w:val="none" w:sz="0" w:space="0" w:color="auto"/>
      </w:divBdr>
    </w:div>
    <w:div w:id="37633991">
      <w:bodyDiv w:val="1"/>
      <w:marLeft w:val="0"/>
      <w:marRight w:val="0"/>
      <w:marTop w:val="0"/>
      <w:marBottom w:val="0"/>
      <w:divBdr>
        <w:top w:val="none" w:sz="0" w:space="0" w:color="auto"/>
        <w:left w:val="none" w:sz="0" w:space="0" w:color="auto"/>
        <w:bottom w:val="none" w:sz="0" w:space="0" w:color="auto"/>
        <w:right w:val="none" w:sz="0" w:space="0" w:color="auto"/>
      </w:divBdr>
    </w:div>
    <w:div w:id="39206858">
      <w:bodyDiv w:val="1"/>
      <w:marLeft w:val="0"/>
      <w:marRight w:val="0"/>
      <w:marTop w:val="0"/>
      <w:marBottom w:val="0"/>
      <w:divBdr>
        <w:top w:val="none" w:sz="0" w:space="0" w:color="auto"/>
        <w:left w:val="none" w:sz="0" w:space="0" w:color="auto"/>
        <w:bottom w:val="none" w:sz="0" w:space="0" w:color="auto"/>
        <w:right w:val="none" w:sz="0" w:space="0" w:color="auto"/>
      </w:divBdr>
    </w:div>
    <w:div w:id="39675110">
      <w:bodyDiv w:val="1"/>
      <w:marLeft w:val="0"/>
      <w:marRight w:val="0"/>
      <w:marTop w:val="0"/>
      <w:marBottom w:val="0"/>
      <w:divBdr>
        <w:top w:val="none" w:sz="0" w:space="0" w:color="auto"/>
        <w:left w:val="none" w:sz="0" w:space="0" w:color="auto"/>
        <w:bottom w:val="none" w:sz="0" w:space="0" w:color="auto"/>
        <w:right w:val="none" w:sz="0" w:space="0" w:color="auto"/>
      </w:divBdr>
    </w:div>
    <w:div w:id="41178348">
      <w:bodyDiv w:val="1"/>
      <w:marLeft w:val="0"/>
      <w:marRight w:val="0"/>
      <w:marTop w:val="0"/>
      <w:marBottom w:val="0"/>
      <w:divBdr>
        <w:top w:val="none" w:sz="0" w:space="0" w:color="auto"/>
        <w:left w:val="none" w:sz="0" w:space="0" w:color="auto"/>
        <w:bottom w:val="none" w:sz="0" w:space="0" w:color="auto"/>
        <w:right w:val="none" w:sz="0" w:space="0" w:color="auto"/>
      </w:divBdr>
    </w:div>
    <w:div w:id="42219041">
      <w:bodyDiv w:val="1"/>
      <w:marLeft w:val="0"/>
      <w:marRight w:val="0"/>
      <w:marTop w:val="0"/>
      <w:marBottom w:val="0"/>
      <w:divBdr>
        <w:top w:val="none" w:sz="0" w:space="0" w:color="auto"/>
        <w:left w:val="none" w:sz="0" w:space="0" w:color="auto"/>
        <w:bottom w:val="none" w:sz="0" w:space="0" w:color="auto"/>
        <w:right w:val="none" w:sz="0" w:space="0" w:color="auto"/>
      </w:divBdr>
    </w:div>
    <w:div w:id="43601244">
      <w:bodyDiv w:val="1"/>
      <w:marLeft w:val="0"/>
      <w:marRight w:val="0"/>
      <w:marTop w:val="0"/>
      <w:marBottom w:val="0"/>
      <w:divBdr>
        <w:top w:val="none" w:sz="0" w:space="0" w:color="auto"/>
        <w:left w:val="none" w:sz="0" w:space="0" w:color="auto"/>
        <w:bottom w:val="none" w:sz="0" w:space="0" w:color="auto"/>
        <w:right w:val="none" w:sz="0" w:space="0" w:color="auto"/>
      </w:divBdr>
    </w:div>
    <w:div w:id="44761749">
      <w:bodyDiv w:val="1"/>
      <w:marLeft w:val="0"/>
      <w:marRight w:val="0"/>
      <w:marTop w:val="0"/>
      <w:marBottom w:val="0"/>
      <w:divBdr>
        <w:top w:val="none" w:sz="0" w:space="0" w:color="auto"/>
        <w:left w:val="none" w:sz="0" w:space="0" w:color="auto"/>
        <w:bottom w:val="none" w:sz="0" w:space="0" w:color="auto"/>
        <w:right w:val="none" w:sz="0" w:space="0" w:color="auto"/>
      </w:divBdr>
    </w:div>
    <w:div w:id="45220998">
      <w:bodyDiv w:val="1"/>
      <w:marLeft w:val="0"/>
      <w:marRight w:val="0"/>
      <w:marTop w:val="0"/>
      <w:marBottom w:val="0"/>
      <w:divBdr>
        <w:top w:val="none" w:sz="0" w:space="0" w:color="auto"/>
        <w:left w:val="none" w:sz="0" w:space="0" w:color="auto"/>
        <w:bottom w:val="none" w:sz="0" w:space="0" w:color="auto"/>
        <w:right w:val="none" w:sz="0" w:space="0" w:color="auto"/>
      </w:divBdr>
    </w:div>
    <w:div w:id="48381213">
      <w:bodyDiv w:val="1"/>
      <w:marLeft w:val="0"/>
      <w:marRight w:val="0"/>
      <w:marTop w:val="0"/>
      <w:marBottom w:val="0"/>
      <w:divBdr>
        <w:top w:val="none" w:sz="0" w:space="0" w:color="auto"/>
        <w:left w:val="none" w:sz="0" w:space="0" w:color="auto"/>
        <w:bottom w:val="none" w:sz="0" w:space="0" w:color="auto"/>
        <w:right w:val="none" w:sz="0" w:space="0" w:color="auto"/>
      </w:divBdr>
    </w:div>
    <w:div w:id="49883477">
      <w:bodyDiv w:val="1"/>
      <w:marLeft w:val="0"/>
      <w:marRight w:val="0"/>
      <w:marTop w:val="0"/>
      <w:marBottom w:val="0"/>
      <w:divBdr>
        <w:top w:val="none" w:sz="0" w:space="0" w:color="auto"/>
        <w:left w:val="none" w:sz="0" w:space="0" w:color="auto"/>
        <w:bottom w:val="none" w:sz="0" w:space="0" w:color="auto"/>
        <w:right w:val="none" w:sz="0" w:space="0" w:color="auto"/>
      </w:divBdr>
    </w:div>
    <w:div w:id="50227909">
      <w:bodyDiv w:val="1"/>
      <w:marLeft w:val="0"/>
      <w:marRight w:val="0"/>
      <w:marTop w:val="0"/>
      <w:marBottom w:val="0"/>
      <w:divBdr>
        <w:top w:val="none" w:sz="0" w:space="0" w:color="auto"/>
        <w:left w:val="none" w:sz="0" w:space="0" w:color="auto"/>
        <w:bottom w:val="none" w:sz="0" w:space="0" w:color="auto"/>
        <w:right w:val="none" w:sz="0" w:space="0" w:color="auto"/>
      </w:divBdr>
    </w:div>
    <w:div w:id="52198938">
      <w:bodyDiv w:val="1"/>
      <w:marLeft w:val="0"/>
      <w:marRight w:val="0"/>
      <w:marTop w:val="0"/>
      <w:marBottom w:val="0"/>
      <w:divBdr>
        <w:top w:val="none" w:sz="0" w:space="0" w:color="auto"/>
        <w:left w:val="none" w:sz="0" w:space="0" w:color="auto"/>
        <w:bottom w:val="none" w:sz="0" w:space="0" w:color="auto"/>
        <w:right w:val="none" w:sz="0" w:space="0" w:color="auto"/>
      </w:divBdr>
    </w:div>
    <w:div w:id="52386594">
      <w:bodyDiv w:val="1"/>
      <w:marLeft w:val="0"/>
      <w:marRight w:val="0"/>
      <w:marTop w:val="0"/>
      <w:marBottom w:val="0"/>
      <w:divBdr>
        <w:top w:val="none" w:sz="0" w:space="0" w:color="auto"/>
        <w:left w:val="none" w:sz="0" w:space="0" w:color="auto"/>
        <w:bottom w:val="none" w:sz="0" w:space="0" w:color="auto"/>
        <w:right w:val="none" w:sz="0" w:space="0" w:color="auto"/>
      </w:divBdr>
    </w:div>
    <w:div w:id="59866030">
      <w:bodyDiv w:val="1"/>
      <w:marLeft w:val="0"/>
      <w:marRight w:val="0"/>
      <w:marTop w:val="0"/>
      <w:marBottom w:val="0"/>
      <w:divBdr>
        <w:top w:val="none" w:sz="0" w:space="0" w:color="auto"/>
        <w:left w:val="none" w:sz="0" w:space="0" w:color="auto"/>
        <w:bottom w:val="none" w:sz="0" w:space="0" w:color="auto"/>
        <w:right w:val="none" w:sz="0" w:space="0" w:color="auto"/>
      </w:divBdr>
    </w:div>
    <w:div w:id="60687879">
      <w:bodyDiv w:val="1"/>
      <w:marLeft w:val="0"/>
      <w:marRight w:val="0"/>
      <w:marTop w:val="0"/>
      <w:marBottom w:val="0"/>
      <w:divBdr>
        <w:top w:val="none" w:sz="0" w:space="0" w:color="auto"/>
        <w:left w:val="none" w:sz="0" w:space="0" w:color="auto"/>
        <w:bottom w:val="none" w:sz="0" w:space="0" w:color="auto"/>
        <w:right w:val="none" w:sz="0" w:space="0" w:color="auto"/>
      </w:divBdr>
    </w:div>
    <w:div w:id="62801684">
      <w:bodyDiv w:val="1"/>
      <w:marLeft w:val="0"/>
      <w:marRight w:val="0"/>
      <w:marTop w:val="0"/>
      <w:marBottom w:val="0"/>
      <w:divBdr>
        <w:top w:val="none" w:sz="0" w:space="0" w:color="auto"/>
        <w:left w:val="none" w:sz="0" w:space="0" w:color="auto"/>
        <w:bottom w:val="none" w:sz="0" w:space="0" w:color="auto"/>
        <w:right w:val="none" w:sz="0" w:space="0" w:color="auto"/>
      </w:divBdr>
    </w:div>
    <w:div w:id="63845805">
      <w:bodyDiv w:val="1"/>
      <w:marLeft w:val="0"/>
      <w:marRight w:val="0"/>
      <w:marTop w:val="0"/>
      <w:marBottom w:val="0"/>
      <w:divBdr>
        <w:top w:val="none" w:sz="0" w:space="0" w:color="auto"/>
        <w:left w:val="none" w:sz="0" w:space="0" w:color="auto"/>
        <w:bottom w:val="none" w:sz="0" w:space="0" w:color="auto"/>
        <w:right w:val="none" w:sz="0" w:space="0" w:color="auto"/>
      </w:divBdr>
    </w:div>
    <w:div w:id="65032241">
      <w:bodyDiv w:val="1"/>
      <w:marLeft w:val="0"/>
      <w:marRight w:val="0"/>
      <w:marTop w:val="0"/>
      <w:marBottom w:val="0"/>
      <w:divBdr>
        <w:top w:val="none" w:sz="0" w:space="0" w:color="auto"/>
        <w:left w:val="none" w:sz="0" w:space="0" w:color="auto"/>
        <w:bottom w:val="none" w:sz="0" w:space="0" w:color="auto"/>
        <w:right w:val="none" w:sz="0" w:space="0" w:color="auto"/>
      </w:divBdr>
    </w:div>
    <w:div w:id="66192816">
      <w:bodyDiv w:val="1"/>
      <w:marLeft w:val="0"/>
      <w:marRight w:val="0"/>
      <w:marTop w:val="0"/>
      <w:marBottom w:val="0"/>
      <w:divBdr>
        <w:top w:val="none" w:sz="0" w:space="0" w:color="auto"/>
        <w:left w:val="none" w:sz="0" w:space="0" w:color="auto"/>
        <w:bottom w:val="none" w:sz="0" w:space="0" w:color="auto"/>
        <w:right w:val="none" w:sz="0" w:space="0" w:color="auto"/>
      </w:divBdr>
    </w:div>
    <w:div w:id="68423577">
      <w:bodyDiv w:val="1"/>
      <w:marLeft w:val="0"/>
      <w:marRight w:val="0"/>
      <w:marTop w:val="0"/>
      <w:marBottom w:val="0"/>
      <w:divBdr>
        <w:top w:val="none" w:sz="0" w:space="0" w:color="auto"/>
        <w:left w:val="none" w:sz="0" w:space="0" w:color="auto"/>
        <w:bottom w:val="none" w:sz="0" w:space="0" w:color="auto"/>
        <w:right w:val="none" w:sz="0" w:space="0" w:color="auto"/>
      </w:divBdr>
    </w:div>
    <w:div w:id="68698068">
      <w:bodyDiv w:val="1"/>
      <w:marLeft w:val="0"/>
      <w:marRight w:val="0"/>
      <w:marTop w:val="0"/>
      <w:marBottom w:val="0"/>
      <w:divBdr>
        <w:top w:val="none" w:sz="0" w:space="0" w:color="auto"/>
        <w:left w:val="none" w:sz="0" w:space="0" w:color="auto"/>
        <w:bottom w:val="none" w:sz="0" w:space="0" w:color="auto"/>
        <w:right w:val="none" w:sz="0" w:space="0" w:color="auto"/>
      </w:divBdr>
    </w:div>
    <w:div w:id="69470343">
      <w:bodyDiv w:val="1"/>
      <w:marLeft w:val="0"/>
      <w:marRight w:val="0"/>
      <w:marTop w:val="0"/>
      <w:marBottom w:val="0"/>
      <w:divBdr>
        <w:top w:val="none" w:sz="0" w:space="0" w:color="auto"/>
        <w:left w:val="none" w:sz="0" w:space="0" w:color="auto"/>
        <w:bottom w:val="none" w:sz="0" w:space="0" w:color="auto"/>
        <w:right w:val="none" w:sz="0" w:space="0" w:color="auto"/>
      </w:divBdr>
    </w:div>
    <w:div w:id="70279501">
      <w:bodyDiv w:val="1"/>
      <w:marLeft w:val="0"/>
      <w:marRight w:val="0"/>
      <w:marTop w:val="0"/>
      <w:marBottom w:val="0"/>
      <w:divBdr>
        <w:top w:val="none" w:sz="0" w:space="0" w:color="auto"/>
        <w:left w:val="none" w:sz="0" w:space="0" w:color="auto"/>
        <w:bottom w:val="none" w:sz="0" w:space="0" w:color="auto"/>
        <w:right w:val="none" w:sz="0" w:space="0" w:color="auto"/>
      </w:divBdr>
    </w:div>
    <w:div w:id="71779232">
      <w:bodyDiv w:val="1"/>
      <w:marLeft w:val="0"/>
      <w:marRight w:val="0"/>
      <w:marTop w:val="0"/>
      <w:marBottom w:val="0"/>
      <w:divBdr>
        <w:top w:val="none" w:sz="0" w:space="0" w:color="auto"/>
        <w:left w:val="none" w:sz="0" w:space="0" w:color="auto"/>
        <w:bottom w:val="none" w:sz="0" w:space="0" w:color="auto"/>
        <w:right w:val="none" w:sz="0" w:space="0" w:color="auto"/>
      </w:divBdr>
    </w:div>
    <w:div w:id="71900626">
      <w:bodyDiv w:val="1"/>
      <w:marLeft w:val="0"/>
      <w:marRight w:val="0"/>
      <w:marTop w:val="0"/>
      <w:marBottom w:val="0"/>
      <w:divBdr>
        <w:top w:val="none" w:sz="0" w:space="0" w:color="auto"/>
        <w:left w:val="none" w:sz="0" w:space="0" w:color="auto"/>
        <w:bottom w:val="none" w:sz="0" w:space="0" w:color="auto"/>
        <w:right w:val="none" w:sz="0" w:space="0" w:color="auto"/>
      </w:divBdr>
    </w:div>
    <w:div w:id="73282967">
      <w:bodyDiv w:val="1"/>
      <w:marLeft w:val="0"/>
      <w:marRight w:val="0"/>
      <w:marTop w:val="0"/>
      <w:marBottom w:val="0"/>
      <w:divBdr>
        <w:top w:val="none" w:sz="0" w:space="0" w:color="auto"/>
        <w:left w:val="none" w:sz="0" w:space="0" w:color="auto"/>
        <w:bottom w:val="none" w:sz="0" w:space="0" w:color="auto"/>
        <w:right w:val="none" w:sz="0" w:space="0" w:color="auto"/>
      </w:divBdr>
    </w:div>
    <w:div w:id="76484249">
      <w:bodyDiv w:val="1"/>
      <w:marLeft w:val="0"/>
      <w:marRight w:val="0"/>
      <w:marTop w:val="0"/>
      <w:marBottom w:val="0"/>
      <w:divBdr>
        <w:top w:val="none" w:sz="0" w:space="0" w:color="auto"/>
        <w:left w:val="none" w:sz="0" w:space="0" w:color="auto"/>
        <w:bottom w:val="none" w:sz="0" w:space="0" w:color="auto"/>
        <w:right w:val="none" w:sz="0" w:space="0" w:color="auto"/>
      </w:divBdr>
    </w:div>
    <w:div w:id="76750469">
      <w:bodyDiv w:val="1"/>
      <w:marLeft w:val="0"/>
      <w:marRight w:val="0"/>
      <w:marTop w:val="0"/>
      <w:marBottom w:val="0"/>
      <w:divBdr>
        <w:top w:val="none" w:sz="0" w:space="0" w:color="auto"/>
        <w:left w:val="none" w:sz="0" w:space="0" w:color="auto"/>
        <w:bottom w:val="none" w:sz="0" w:space="0" w:color="auto"/>
        <w:right w:val="none" w:sz="0" w:space="0" w:color="auto"/>
      </w:divBdr>
    </w:div>
    <w:div w:id="77599641">
      <w:bodyDiv w:val="1"/>
      <w:marLeft w:val="0"/>
      <w:marRight w:val="0"/>
      <w:marTop w:val="0"/>
      <w:marBottom w:val="0"/>
      <w:divBdr>
        <w:top w:val="none" w:sz="0" w:space="0" w:color="auto"/>
        <w:left w:val="none" w:sz="0" w:space="0" w:color="auto"/>
        <w:bottom w:val="none" w:sz="0" w:space="0" w:color="auto"/>
        <w:right w:val="none" w:sz="0" w:space="0" w:color="auto"/>
      </w:divBdr>
    </w:div>
    <w:div w:id="78451384">
      <w:bodyDiv w:val="1"/>
      <w:marLeft w:val="0"/>
      <w:marRight w:val="0"/>
      <w:marTop w:val="0"/>
      <w:marBottom w:val="0"/>
      <w:divBdr>
        <w:top w:val="none" w:sz="0" w:space="0" w:color="auto"/>
        <w:left w:val="none" w:sz="0" w:space="0" w:color="auto"/>
        <w:bottom w:val="none" w:sz="0" w:space="0" w:color="auto"/>
        <w:right w:val="none" w:sz="0" w:space="0" w:color="auto"/>
      </w:divBdr>
    </w:div>
    <w:div w:id="84308483">
      <w:bodyDiv w:val="1"/>
      <w:marLeft w:val="0"/>
      <w:marRight w:val="0"/>
      <w:marTop w:val="0"/>
      <w:marBottom w:val="0"/>
      <w:divBdr>
        <w:top w:val="none" w:sz="0" w:space="0" w:color="auto"/>
        <w:left w:val="none" w:sz="0" w:space="0" w:color="auto"/>
        <w:bottom w:val="none" w:sz="0" w:space="0" w:color="auto"/>
        <w:right w:val="none" w:sz="0" w:space="0" w:color="auto"/>
      </w:divBdr>
    </w:div>
    <w:div w:id="84694874">
      <w:bodyDiv w:val="1"/>
      <w:marLeft w:val="0"/>
      <w:marRight w:val="0"/>
      <w:marTop w:val="0"/>
      <w:marBottom w:val="0"/>
      <w:divBdr>
        <w:top w:val="none" w:sz="0" w:space="0" w:color="auto"/>
        <w:left w:val="none" w:sz="0" w:space="0" w:color="auto"/>
        <w:bottom w:val="none" w:sz="0" w:space="0" w:color="auto"/>
        <w:right w:val="none" w:sz="0" w:space="0" w:color="auto"/>
      </w:divBdr>
    </w:div>
    <w:div w:id="85422909">
      <w:bodyDiv w:val="1"/>
      <w:marLeft w:val="0"/>
      <w:marRight w:val="0"/>
      <w:marTop w:val="0"/>
      <w:marBottom w:val="0"/>
      <w:divBdr>
        <w:top w:val="none" w:sz="0" w:space="0" w:color="auto"/>
        <w:left w:val="none" w:sz="0" w:space="0" w:color="auto"/>
        <w:bottom w:val="none" w:sz="0" w:space="0" w:color="auto"/>
        <w:right w:val="none" w:sz="0" w:space="0" w:color="auto"/>
      </w:divBdr>
    </w:div>
    <w:div w:id="87889465">
      <w:bodyDiv w:val="1"/>
      <w:marLeft w:val="0"/>
      <w:marRight w:val="0"/>
      <w:marTop w:val="0"/>
      <w:marBottom w:val="0"/>
      <w:divBdr>
        <w:top w:val="none" w:sz="0" w:space="0" w:color="auto"/>
        <w:left w:val="none" w:sz="0" w:space="0" w:color="auto"/>
        <w:bottom w:val="none" w:sz="0" w:space="0" w:color="auto"/>
        <w:right w:val="none" w:sz="0" w:space="0" w:color="auto"/>
      </w:divBdr>
    </w:div>
    <w:div w:id="91780258">
      <w:bodyDiv w:val="1"/>
      <w:marLeft w:val="0"/>
      <w:marRight w:val="0"/>
      <w:marTop w:val="0"/>
      <w:marBottom w:val="0"/>
      <w:divBdr>
        <w:top w:val="none" w:sz="0" w:space="0" w:color="auto"/>
        <w:left w:val="none" w:sz="0" w:space="0" w:color="auto"/>
        <w:bottom w:val="none" w:sz="0" w:space="0" w:color="auto"/>
        <w:right w:val="none" w:sz="0" w:space="0" w:color="auto"/>
      </w:divBdr>
    </w:div>
    <w:div w:id="91896439">
      <w:bodyDiv w:val="1"/>
      <w:marLeft w:val="0"/>
      <w:marRight w:val="0"/>
      <w:marTop w:val="0"/>
      <w:marBottom w:val="0"/>
      <w:divBdr>
        <w:top w:val="none" w:sz="0" w:space="0" w:color="auto"/>
        <w:left w:val="none" w:sz="0" w:space="0" w:color="auto"/>
        <w:bottom w:val="none" w:sz="0" w:space="0" w:color="auto"/>
        <w:right w:val="none" w:sz="0" w:space="0" w:color="auto"/>
      </w:divBdr>
    </w:div>
    <w:div w:id="92283079">
      <w:bodyDiv w:val="1"/>
      <w:marLeft w:val="0"/>
      <w:marRight w:val="0"/>
      <w:marTop w:val="0"/>
      <w:marBottom w:val="0"/>
      <w:divBdr>
        <w:top w:val="none" w:sz="0" w:space="0" w:color="auto"/>
        <w:left w:val="none" w:sz="0" w:space="0" w:color="auto"/>
        <w:bottom w:val="none" w:sz="0" w:space="0" w:color="auto"/>
        <w:right w:val="none" w:sz="0" w:space="0" w:color="auto"/>
      </w:divBdr>
    </w:div>
    <w:div w:id="96563361">
      <w:bodyDiv w:val="1"/>
      <w:marLeft w:val="0"/>
      <w:marRight w:val="0"/>
      <w:marTop w:val="0"/>
      <w:marBottom w:val="0"/>
      <w:divBdr>
        <w:top w:val="none" w:sz="0" w:space="0" w:color="auto"/>
        <w:left w:val="none" w:sz="0" w:space="0" w:color="auto"/>
        <w:bottom w:val="none" w:sz="0" w:space="0" w:color="auto"/>
        <w:right w:val="none" w:sz="0" w:space="0" w:color="auto"/>
      </w:divBdr>
    </w:div>
    <w:div w:id="97796187">
      <w:bodyDiv w:val="1"/>
      <w:marLeft w:val="0"/>
      <w:marRight w:val="0"/>
      <w:marTop w:val="0"/>
      <w:marBottom w:val="0"/>
      <w:divBdr>
        <w:top w:val="none" w:sz="0" w:space="0" w:color="auto"/>
        <w:left w:val="none" w:sz="0" w:space="0" w:color="auto"/>
        <w:bottom w:val="none" w:sz="0" w:space="0" w:color="auto"/>
        <w:right w:val="none" w:sz="0" w:space="0" w:color="auto"/>
      </w:divBdr>
    </w:div>
    <w:div w:id="98718874">
      <w:bodyDiv w:val="1"/>
      <w:marLeft w:val="0"/>
      <w:marRight w:val="0"/>
      <w:marTop w:val="0"/>
      <w:marBottom w:val="0"/>
      <w:divBdr>
        <w:top w:val="none" w:sz="0" w:space="0" w:color="auto"/>
        <w:left w:val="none" w:sz="0" w:space="0" w:color="auto"/>
        <w:bottom w:val="none" w:sz="0" w:space="0" w:color="auto"/>
        <w:right w:val="none" w:sz="0" w:space="0" w:color="auto"/>
      </w:divBdr>
    </w:div>
    <w:div w:id="98910436">
      <w:bodyDiv w:val="1"/>
      <w:marLeft w:val="0"/>
      <w:marRight w:val="0"/>
      <w:marTop w:val="0"/>
      <w:marBottom w:val="0"/>
      <w:divBdr>
        <w:top w:val="none" w:sz="0" w:space="0" w:color="auto"/>
        <w:left w:val="none" w:sz="0" w:space="0" w:color="auto"/>
        <w:bottom w:val="none" w:sz="0" w:space="0" w:color="auto"/>
        <w:right w:val="none" w:sz="0" w:space="0" w:color="auto"/>
      </w:divBdr>
    </w:div>
    <w:div w:id="99685796">
      <w:bodyDiv w:val="1"/>
      <w:marLeft w:val="0"/>
      <w:marRight w:val="0"/>
      <w:marTop w:val="0"/>
      <w:marBottom w:val="0"/>
      <w:divBdr>
        <w:top w:val="none" w:sz="0" w:space="0" w:color="auto"/>
        <w:left w:val="none" w:sz="0" w:space="0" w:color="auto"/>
        <w:bottom w:val="none" w:sz="0" w:space="0" w:color="auto"/>
        <w:right w:val="none" w:sz="0" w:space="0" w:color="auto"/>
      </w:divBdr>
    </w:div>
    <w:div w:id="99843651">
      <w:bodyDiv w:val="1"/>
      <w:marLeft w:val="0"/>
      <w:marRight w:val="0"/>
      <w:marTop w:val="0"/>
      <w:marBottom w:val="0"/>
      <w:divBdr>
        <w:top w:val="none" w:sz="0" w:space="0" w:color="auto"/>
        <w:left w:val="none" w:sz="0" w:space="0" w:color="auto"/>
        <w:bottom w:val="none" w:sz="0" w:space="0" w:color="auto"/>
        <w:right w:val="none" w:sz="0" w:space="0" w:color="auto"/>
      </w:divBdr>
    </w:div>
    <w:div w:id="100809246">
      <w:bodyDiv w:val="1"/>
      <w:marLeft w:val="0"/>
      <w:marRight w:val="0"/>
      <w:marTop w:val="0"/>
      <w:marBottom w:val="0"/>
      <w:divBdr>
        <w:top w:val="none" w:sz="0" w:space="0" w:color="auto"/>
        <w:left w:val="none" w:sz="0" w:space="0" w:color="auto"/>
        <w:bottom w:val="none" w:sz="0" w:space="0" w:color="auto"/>
        <w:right w:val="none" w:sz="0" w:space="0" w:color="auto"/>
      </w:divBdr>
    </w:div>
    <w:div w:id="101459603">
      <w:bodyDiv w:val="1"/>
      <w:marLeft w:val="0"/>
      <w:marRight w:val="0"/>
      <w:marTop w:val="0"/>
      <w:marBottom w:val="0"/>
      <w:divBdr>
        <w:top w:val="none" w:sz="0" w:space="0" w:color="auto"/>
        <w:left w:val="none" w:sz="0" w:space="0" w:color="auto"/>
        <w:bottom w:val="none" w:sz="0" w:space="0" w:color="auto"/>
        <w:right w:val="none" w:sz="0" w:space="0" w:color="auto"/>
      </w:divBdr>
    </w:div>
    <w:div w:id="101993441">
      <w:bodyDiv w:val="1"/>
      <w:marLeft w:val="0"/>
      <w:marRight w:val="0"/>
      <w:marTop w:val="0"/>
      <w:marBottom w:val="0"/>
      <w:divBdr>
        <w:top w:val="none" w:sz="0" w:space="0" w:color="auto"/>
        <w:left w:val="none" w:sz="0" w:space="0" w:color="auto"/>
        <w:bottom w:val="none" w:sz="0" w:space="0" w:color="auto"/>
        <w:right w:val="none" w:sz="0" w:space="0" w:color="auto"/>
      </w:divBdr>
    </w:div>
    <w:div w:id="104423966">
      <w:bodyDiv w:val="1"/>
      <w:marLeft w:val="0"/>
      <w:marRight w:val="0"/>
      <w:marTop w:val="0"/>
      <w:marBottom w:val="0"/>
      <w:divBdr>
        <w:top w:val="none" w:sz="0" w:space="0" w:color="auto"/>
        <w:left w:val="none" w:sz="0" w:space="0" w:color="auto"/>
        <w:bottom w:val="none" w:sz="0" w:space="0" w:color="auto"/>
        <w:right w:val="none" w:sz="0" w:space="0" w:color="auto"/>
      </w:divBdr>
    </w:div>
    <w:div w:id="105661741">
      <w:bodyDiv w:val="1"/>
      <w:marLeft w:val="0"/>
      <w:marRight w:val="0"/>
      <w:marTop w:val="0"/>
      <w:marBottom w:val="0"/>
      <w:divBdr>
        <w:top w:val="none" w:sz="0" w:space="0" w:color="auto"/>
        <w:left w:val="none" w:sz="0" w:space="0" w:color="auto"/>
        <w:bottom w:val="none" w:sz="0" w:space="0" w:color="auto"/>
        <w:right w:val="none" w:sz="0" w:space="0" w:color="auto"/>
      </w:divBdr>
    </w:div>
    <w:div w:id="106391754">
      <w:bodyDiv w:val="1"/>
      <w:marLeft w:val="0"/>
      <w:marRight w:val="0"/>
      <w:marTop w:val="0"/>
      <w:marBottom w:val="0"/>
      <w:divBdr>
        <w:top w:val="none" w:sz="0" w:space="0" w:color="auto"/>
        <w:left w:val="none" w:sz="0" w:space="0" w:color="auto"/>
        <w:bottom w:val="none" w:sz="0" w:space="0" w:color="auto"/>
        <w:right w:val="none" w:sz="0" w:space="0" w:color="auto"/>
      </w:divBdr>
    </w:div>
    <w:div w:id="107283936">
      <w:bodyDiv w:val="1"/>
      <w:marLeft w:val="0"/>
      <w:marRight w:val="0"/>
      <w:marTop w:val="0"/>
      <w:marBottom w:val="0"/>
      <w:divBdr>
        <w:top w:val="none" w:sz="0" w:space="0" w:color="auto"/>
        <w:left w:val="none" w:sz="0" w:space="0" w:color="auto"/>
        <w:bottom w:val="none" w:sz="0" w:space="0" w:color="auto"/>
        <w:right w:val="none" w:sz="0" w:space="0" w:color="auto"/>
      </w:divBdr>
    </w:div>
    <w:div w:id="108209057">
      <w:bodyDiv w:val="1"/>
      <w:marLeft w:val="0"/>
      <w:marRight w:val="0"/>
      <w:marTop w:val="0"/>
      <w:marBottom w:val="0"/>
      <w:divBdr>
        <w:top w:val="none" w:sz="0" w:space="0" w:color="auto"/>
        <w:left w:val="none" w:sz="0" w:space="0" w:color="auto"/>
        <w:bottom w:val="none" w:sz="0" w:space="0" w:color="auto"/>
        <w:right w:val="none" w:sz="0" w:space="0" w:color="auto"/>
      </w:divBdr>
    </w:div>
    <w:div w:id="110244604">
      <w:bodyDiv w:val="1"/>
      <w:marLeft w:val="0"/>
      <w:marRight w:val="0"/>
      <w:marTop w:val="0"/>
      <w:marBottom w:val="0"/>
      <w:divBdr>
        <w:top w:val="none" w:sz="0" w:space="0" w:color="auto"/>
        <w:left w:val="none" w:sz="0" w:space="0" w:color="auto"/>
        <w:bottom w:val="none" w:sz="0" w:space="0" w:color="auto"/>
        <w:right w:val="none" w:sz="0" w:space="0" w:color="auto"/>
      </w:divBdr>
    </w:div>
    <w:div w:id="112595881">
      <w:bodyDiv w:val="1"/>
      <w:marLeft w:val="0"/>
      <w:marRight w:val="0"/>
      <w:marTop w:val="0"/>
      <w:marBottom w:val="0"/>
      <w:divBdr>
        <w:top w:val="none" w:sz="0" w:space="0" w:color="auto"/>
        <w:left w:val="none" w:sz="0" w:space="0" w:color="auto"/>
        <w:bottom w:val="none" w:sz="0" w:space="0" w:color="auto"/>
        <w:right w:val="none" w:sz="0" w:space="0" w:color="auto"/>
      </w:divBdr>
    </w:div>
    <w:div w:id="114257571">
      <w:bodyDiv w:val="1"/>
      <w:marLeft w:val="0"/>
      <w:marRight w:val="0"/>
      <w:marTop w:val="0"/>
      <w:marBottom w:val="0"/>
      <w:divBdr>
        <w:top w:val="none" w:sz="0" w:space="0" w:color="auto"/>
        <w:left w:val="none" w:sz="0" w:space="0" w:color="auto"/>
        <w:bottom w:val="none" w:sz="0" w:space="0" w:color="auto"/>
        <w:right w:val="none" w:sz="0" w:space="0" w:color="auto"/>
      </w:divBdr>
    </w:div>
    <w:div w:id="114451899">
      <w:bodyDiv w:val="1"/>
      <w:marLeft w:val="0"/>
      <w:marRight w:val="0"/>
      <w:marTop w:val="0"/>
      <w:marBottom w:val="0"/>
      <w:divBdr>
        <w:top w:val="none" w:sz="0" w:space="0" w:color="auto"/>
        <w:left w:val="none" w:sz="0" w:space="0" w:color="auto"/>
        <w:bottom w:val="none" w:sz="0" w:space="0" w:color="auto"/>
        <w:right w:val="none" w:sz="0" w:space="0" w:color="auto"/>
      </w:divBdr>
    </w:div>
    <w:div w:id="114907055">
      <w:bodyDiv w:val="1"/>
      <w:marLeft w:val="0"/>
      <w:marRight w:val="0"/>
      <w:marTop w:val="0"/>
      <w:marBottom w:val="0"/>
      <w:divBdr>
        <w:top w:val="none" w:sz="0" w:space="0" w:color="auto"/>
        <w:left w:val="none" w:sz="0" w:space="0" w:color="auto"/>
        <w:bottom w:val="none" w:sz="0" w:space="0" w:color="auto"/>
        <w:right w:val="none" w:sz="0" w:space="0" w:color="auto"/>
      </w:divBdr>
    </w:div>
    <w:div w:id="115951620">
      <w:bodyDiv w:val="1"/>
      <w:marLeft w:val="0"/>
      <w:marRight w:val="0"/>
      <w:marTop w:val="0"/>
      <w:marBottom w:val="0"/>
      <w:divBdr>
        <w:top w:val="none" w:sz="0" w:space="0" w:color="auto"/>
        <w:left w:val="none" w:sz="0" w:space="0" w:color="auto"/>
        <w:bottom w:val="none" w:sz="0" w:space="0" w:color="auto"/>
        <w:right w:val="none" w:sz="0" w:space="0" w:color="auto"/>
      </w:divBdr>
    </w:div>
    <w:div w:id="116022482">
      <w:bodyDiv w:val="1"/>
      <w:marLeft w:val="0"/>
      <w:marRight w:val="0"/>
      <w:marTop w:val="0"/>
      <w:marBottom w:val="0"/>
      <w:divBdr>
        <w:top w:val="none" w:sz="0" w:space="0" w:color="auto"/>
        <w:left w:val="none" w:sz="0" w:space="0" w:color="auto"/>
        <w:bottom w:val="none" w:sz="0" w:space="0" w:color="auto"/>
        <w:right w:val="none" w:sz="0" w:space="0" w:color="auto"/>
      </w:divBdr>
    </w:div>
    <w:div w:id="117649744">
      <w:bodyDiv w:val="1"/>
      <w:marLeft w:val="0"/>
      <w:marRight w:val="0"/>
      <w:marTop w:val="0"/>
      <w:marBottom w:val="0"/>
      <w:divBdr>
        <w:top w:val="none" w:sz="0" w:space="0" w:color="auto"/>
        <w:left w:val="none" w:sz="0" w:space="0" w:color="auto"/>
        <w:bottom w:val="none" w:sz="0" w:space="0" w:color="auto"/>
        <w:right w:val="none" w:sz="0" w:space="0" w:color="auto"/>
      </w:divBdr>
    </w:div>
    <w:div w:id="118227823">
      <w:bodyDiv w:val="1"/>
      <w:marLeft w:val="0"/>
      <w:marRight w:val="0"/>
      <w:marTop w:val="0"/>
      <w:marBottom w:val="0"/>
      <w:divBdr>
        <w:top w:val="none" w:sz="0" w:space="0" w:color="auto"/>
        <w:left w:val="none" w:sz="0" w:space="0" w:color="auto"/>
        <w:bottom w:val="none" w:sz="0" w:space="0" w:color="auto"/>
        <w:right w:val="none" w:sz="0" w:space="0" w:color="auto"/>
      </w:divBdr>
    </w:div>
    <w:div w:id="119153286">
      <w:bodyDiv w:val="1"/>
      <w:marLeft w:val="0"/>
      <w:marRight w:val="0"/>
      <w:marTop w:val="0"/>
      <w:marBottom w:val="0"/>
      <w:divBdr>
        <w:top w:val="none" w:sz="0" w:space="0" w:color="auto"/>
        <w:left w:val="none" w:sz="0" w:space="0" w:color="auto"/>
        <w:bottom w:val="none" w:sz="0" w:space="0" w:color="auto"/>
        <w:right w:val="none" w:sz="0" w:space="0" w:color="auto"/>
      </w:divBdr>
    </w:div>
    <w:div w:id="120922404">
      <w:bodyDiv w:val="1"/>
      <w:marLeft w:val="0"/>
      <w:marRight w:val="0"/>
      <w:marTop w:val="0"/>
      <w:marBottom w:val="0"/>
      <w:divBdr>
        <w:top w:val="none" w:sz="0" w:space="0" w:color="auto"/>
        <w:left w:val="none" w:sz="0" w:space="0" w:color="auto"/>
        <w:bottom w:val="none" w:sz="0" w:space="0" w:color="auto"/>
        <w:right w:val="none" w:sz="0" w:space="0" w:color="auto"/>
      </w:divBdr>
    </w:div>
    <w:div w:id="121121136">
      <w:bodyDiv w:val="1"/>
      <w:marLeft w:val="0"/>
      <w:marRight w:val="0"/>
      <w:marTop w:val="0"/>
      <w:marBottom w:val="0"/>
      <w:divBdr>
        <w:top w:val="none" w:sz="0" w:space="0" w:color="auto"/>
        <w:left w:val="none" w:sz="0" w:space="0" w:color="auto"/>
        <w:bottom w:val="none" w:sz="0" w:space="0" w:color="auto"/>
        <w:right w:val="none" w:sz="0" w:space="0" w:color="auto"/>
      </w:divBdr>
    </w:div>
    <w:div w:id="122506241">
      <w:bodyDiv w:val="1"/>
      <w:marLeft w:val="0"/>
      <w:marRight w:val="0"/>
      <w:marTop w:val="0"/>
      <w:marBottom w:val="0"/>
      <w:divBdr>
        <w:top w:val="none" w:sz="0" w:space="0" w:color="auto"/>
        <w:left w:val="none" w:sz="0" w:space="0" w:color="auto"/>
        <w:bottom w:val="none" w:sz="0" w:space="0" w:color="auto"/>
        <w:right w:val="none" w:sz="0" w:space="0" w:color="auto"/>
      </w:divBdr>
    </w:div>
    <w:div w:id="122815462">
      <w:bodyDiv w:val="1"/>
      <w:marLeft w:val="0"/>
      <w:marRight w:val="0"/>
      <w:marTop w:val="0"/>
      <w:marBottom w:val="0"/>
      <w:divBdr>
        <w:top w:val="none" w:sz="0" w:space="0" w:color="auto"/>
        <w:left w:val="none" w:sz="0" w:space="0" w:color="auto"/>
        <w:bottom w:val="none" w:sz="0" w:space="0" w:color="auto"/>
        <w:right w:val="none" w:sz="0" w:space="0" w:color="auto"/>
      </w:divBdr>
    </w:div>
    <w:div w:id="123547160">
      <w:bodyDiv w:val="1"/>
      <w:marLeft w:val="0"/>
      <w:marRight w:val="0"/>
      <w:marTop w:val="0"/>
      <w:marBottom w:val="0"/>
      <w:divBdr>
        <w:top w:val="none" w:sz="0" w:space="0" w:color="auto"/>
        <w:left w:val="none" w:sz="0" w:space="0" w:color="auto"/>
        <w:bottom w:val="none" w:sz="0" w:space="0" w:color="auto"/>
        <w:right w:val="none" w:sz="0" w:space="0" w:color="auto"/>
      </w:divBdr>
    </w:div>
    <w:div w:id="125903189">
      <w:bodyDiv w:val="1"/>
      <w:marLeft w:val="0"/>
      <w:marRight w:val="0"/>
      <w:marTop w:val="0"/>
      <w:marBottom w:val="0"/>
      <w:divBdr>
        <w:top w:val="none" w:sz="0" w:space="0" w:color="auto"/>
        <w:left w:val="none" w:sz="0" w:space="0" w:color="auto"/>
        <w:bottom w:val="none" w:sz="0" w:space="0" w:color="auto"/>
        <w:right w:val="none" w:sz="0" w:space="0" w:color="auto"/>
      </w:divBdr>
    </w:div>
    <w:div w:id="126095610">
      <w:bodyDiv w:val="1"/>
      <w:marLeft w:val="0"/>
      <w:marRight w:val="0"/>
      <w:marTop w:val="0"/>
      <w:marBottom w:val="0"/>
      <w:divBdr>
        <w:top w:val="none" w:sz="0" w:space="0" w:color="auto"/>
        <w:left w:val="none" w:sz="0" w:space="0" w:color="auto"/>
        <w:bottom w:val="none" w:sz="0" w:space="0" w:color="auto"/>
        <w:right w:val="none" w:sz="0" w:space="0" w:color="auto"/>
      </w:divBdr>
    </w:div>
    <w:div w:id="126507772">
      <w:bodyDiv w:val="1"/>
      <w:marLeft w:val="0"/>
      <w:marRight w:val="0"/>
      <w:marTop w:val="0"/>
      <w:marBottom w:val="0"/>
      <w:divBdr>
        <w:top w:val="none" w:sz="0" w:space="0" w:color="auto"/>
        <w:left w:val="none" w:sz="0" w:space="0" w:color="auto"/>
        <w:bottom w:val="none" w:sz="0" w:space="0" w:color="auto"/>
        <w:right w:val="none" w:sz="0" w:space="0" w:color="auto"/>
      </w:divBdr>
    </w:div>
    <w:div w:id="127165613">
      <w:bodyDiv w:val="1"/>
      <w:marLeft w:val="0"/>
      <w:marRight w:val="0"/>
      <w:marTop w:val="0"/>
      <w:marBottom w:val="0"/>
      <w:divBdr>
        <w:top w:val="none" w:sz="0" w:space="0" w:color="auto"/>
        <w:left w:val="none" w:sz="0" w:space="0" w:color="auto"/>
        <w:bottom w:val="none" w:sz="0" w:space="0" w:color="auto"/>
        <w:right w:val="none" w:sz="0" w:space="0" w:color="auto"/>
      </w:divBdr>
    </w:div>
    <w:div w:id="128399772">
      <w:bodyDiv w:val="1"/>
      <w:marLeft w:val="0"/>
      <w:marRight w:val="0"/>
      <w:marTop w:val="0"/>
      <w:marBottom w:val="0"/>
      <w:divBdr>
        <w:top w:val="none" w:sz="0" w:space="0" w:color="auto"/>
        <w:left w:val="none" w:sz="0" w:space="0" w:color="auto"/>
        <w:bottom w:val="none" w:sz="0" w:space="0" w:color="auto"/>
        <w:right w:val="none" w:sz="0" w:space="0" w:color="auto"/>
      </w:divBdr>
    </w:div>
    <w:div w:id="132142437">
      <w:bodyDiv w:val="1"/>
      <w:marLeft w:val="0"/>
      <w:marRight w:val="0"/>
      <w:marTop w:val="0"/>
      <w:marBottom w:val="0"/>
      <w:divBdr>
        <w:top w:val="none" w:sz="0" w:space="0" w:color="auto"/>
        <w:left w:val="none" w:sz="0" w:space="0" w:color="auto"/>
        <w:bottom w:val="none" w:sz="0" w:space="0" w:color="auto"/>
        <w:right w:val="none" w:sz="0" w:space="0" w:color="auto"/>
      </w:divBdr>
    </w:div>
    <w:div w:id="136532744">
      <w:bodyDiv w:val="1"/>
      <w:marLeft w:val="0"/>
      <w:marRight w:val="0"/>
      <w:marTop w:val="0"/>
      <w:marBottom w:val="0"/>
      <w:divBdr>
        <w:top w:val="none" w:sz="0" w:space="0" w:color="auto"/>
        <w:left w:val="none" w:sz="0" w:space="0" w:color="auto"/>
        <w:bottom w:val="none" w:sz="0" w:space="0" w:color="auto"/>
        <w:right w:val="none" w:sz="0" w:space="0" w:color="auto"/>
      </w:divBdr>
    </w:div>
    <w:div w:id="136655541">
      <w:bodyDiv w:val="1"/>
      <w:marLeft w:val="0"/>
      <w:marRight w:val="0"/>
      <w:marTop w:val="0"/>
      <w:marBottom w:val="0"/>
      <w:divBdr>
        <w:top w:val="none" w:sz="0" w:space="0" w:color="auto"/>
        <w:left w:val="none" w:sz="0" w:space="0" w:color="auto"/>
        <w:bottom w:val="none" w:sz="0" w:space="0" w:color="auto"/>
        <w:right w:val="none" w:sz="0" w:space="0" w:color="auto"/>
      </w:divBdr>
    </w:div>
    <w:div w:id="137460854">
      <w:bodyDiv w:val="1"/>
      <w:marLeft w:val="0"/>
      <w:marRight w:val="0"/>
      <w:marTop w:val="0"/>
      <w:marBottom w:val="0"/>
      <w:divBdr>
        <w:top w:val="none" w:sz="0" w:space="0" w:color="auto"/>
        <w:left w:val="none" w:sz="0" w:space="0" w:color="auto"/>
        <w:bottom w:val="none" w:sz="0" w:space="0" w:color="auto"/>
        <w:right w:val="none" w:sz="0" w:space="0" w:color="auto"/>
      </w:divBdr>
    </w:div>
    <w:div w:id="137461003">
      <w:bodyDiv w:val="1"/>
      <w:marLeft w:val="0"/>
      <w:marRight w:val="0"/>
      <w:marTop w:val="0"/>
      <w:marBottom w:val="0"/>
      <w:divBdr>
        <w:top w:val="none" w:sz="0" w:space="0" w:color="auto"/>
        <w:left w:val="none" w:sz="0" w:space="0" w:color="auto"/>
        <w:bottom w:val="none" w:sz="0" w:space="0" w:color="auto"/>
        <w:right w:val="none" w:sz="0" w:space="0" w:color="auto"/>
      </w:divBdr>
    </w:div>
    <w:div w:id="138108845">
      <w:bodyDiv w:val="1"/>
      <w:marLeft w:val="0"/>
      <w:marRight w:val="0"/>
      <w:marTop w:val="0"/>
      <w:marBottom w:val="0"/>
      <w:divBdr>
        <w:top w:val="none" w:sz="0" w:space="0" w:color="auto"/>
        <w:left w:val="none" w:sz="0" w:space="0" w:color="auto"/>
        <w:bottom w:val="none" w:sz="0" w:space="0" w:color="auto"/>
        <w:right w:val="none" w:sz="0" w:space="0" w:color="auto"/>
      </w:divBdr>
    </w:div>
    <w:div w:id="140970707">
      <w:bodyDiv w:val="1"/>
      <w:marLeft w:val="0"/>
      <w:marRight w:val="0"/>
      <w:marTop w:val="0"/>
      <w:marBottom w:val="0"/>
      <w:divBdr>
        <w:top w:val="none" w:sz="0" w:space="0" w:color="auto"/>
        <w:left w:val="none" w:sz="0" w:space="0" w:color="auto"/>
        <w:bottom w:val="none" w:sz="0" w:space="0" w:color="auto"/>
        <w:right w:val="none" w:sz="0" w:space="0" w:color="auto"/>
      </w:divBdr>
    </w:div>
    <w:div w:id="145629859">
      <w:bodyDiv w:val="1"/>
      <w:marLeft w:val="0"/>
      <w:marRight w:val="0"/>
      <w:marTop w:val="0"/>
      <w:marBottom w:val="0"/>
      <w:divBdr>
        <w:top w:val="none" w:sz="0" w:space="0" w:color="auto"/>
        <w:left w:val="none" w:sz="0" w:space="0" w:color="auto"/>
        <w:bottom w:val="none" w:sz="0" w:space="0" w:color="auto"/>
        <w:right w:val="none" w:sz="0" w:space="0" w:color="auto"/>
      </w:divBdr>
    </w:div>
    <w:div w:id="145635034">
      <w:bodyDiv w:val="1"/>
      <w:marLeft w:val="0"/>
      <w:marRight w:val="0"/>
      <w:marTop w:val="0"/>
      <w:marBottom w:val="0"/>
      <w:divBdr>
        <w:top w:val="none" w:sz="0" w:space="0" w:color="auto"/>
        <w:left w:val="none" w:sz="0" w:space="0" w:color="auto"/>
        <w:bottom w:val="none" w:sz="0" w:space="0" w:color="auto"/>
        <w:right w:val="none" w:sz="0" w:space="0" w:color="auto"/>
      </w:divBdr>
    </w:div>
    <w:div w:id="147092207">
      <w:bodyDiv w:val="1"/>
      <w:marLeft w:val="0"/>
      <w:marRight w:val="0"/>
      <w:marTop w:val="0"/>
      <w:marBottom w:val="0"/>
      <w:divBdr>
        <w:top w:val="none" w:sz="0" w:space="0" w:color="auto"/>
        <w:left w:val="none" w:sz="0" w:space="0" w:color="auto"/>
        <w:bottom w:val="none" w:sz="0" w:space="0" w:color="auto"/>
        <w:right w:val="none" w:sz="0" w:space="0" w:color="auto"/>
      </w:divBdr>
    </w:div>
    <w:div w:id="147865551">
      <w:bodyDiv w:val="1"/>
      <w:marLeft w:val="0"/>
      <w:marRight w:val="0"/>
      <w:marTop w:val="0"/>
      <w:marBottom w:val="0"/>
      <w:divBdr>
        <w:top w:val="none" w:sz="0" w:space="0" w:color="auto"/>
        <w:left w:val="none" w:sz="0" w:space="0" w:color="auto"/>
        <w:bottom w:val="none" w:sz="0" w:space="0" w:color="auto"/>
        <w:right w:val="none" w:sz="0" w:space="0" w:color="auto"/>
      </w:divBdr>
    </w:div>
    <w:div w:id="150877847">
      <w:bodyDiv w:val="1"/>
      <w:marLeft w:val="0"/>
      <w:marRight w:val="0"/>
      <w:marTop w:val="0"/>
      <w:marBottom w:val="0"/>
      <w:divBdr>
        <w:top w:val="none" w:sz="0" w:space="0" w:color="auto"/>
        <w:left w:val="none" w:sz="0" w:space="0" w:color="auto"/>
        <w:bottom w:val="none" w:sz="0" w:space="0" w:color="auto"/>
        <w:right w:val="none" w:sz="0" w:space="0" w:color="auto"/>
      </w:divBdr>
    </w:div>
    <w:div w:id="151218946">
      <w:bodyDiv w:val="1"/>
      <w:marLeft w:val="0"/>
      <w:marRight w:val="0"/>
      <w:marTop w:val="0"/>
      <w:marBottom w:val="0"/>
      <w:divBdr>
        <w:top w:val="none" w:sz="0" w:space="0" w:color="auto"/>
        <w:left w:val="none" w:sz="0" w:space="0" w:color="auto"/>
        <w:bottom w:val="none" w:sz="0" w:space="0" w:color="auto"/>
        <w:right w:val="none" w:sz="0" w:space="0" w:color="auto"/>
      </w:divBdr>
    </w:div>
    <w:div w:id="151334482">
      <w:bodyDiv w:val="1"/>
      <w:marLeft w:val="0"/>
      <w:marRight w:val="0"/>
      <w:marTop w:val="0"/>
      <w:marBottom w:val="0"/>
      <w:divBdr>
        <w:top w:val="none" w:sz="0" w:space="0" w:color="auto"/>
        <w:left w:val="none" w:sz="0" w:space="0" w:color="auto"/>
        <w:bottom w:val="none" w:sz="0" w:space="0" w:color="auto"/>
        <w:right w:val="none" w:sz="0" w:space="0" w:color="auto"/>
      </w:divBdr>
    </w:div>
    <w:div w:id="152068005">
      <w:bodyDiv w:val="1"/>
      <w:marLeft w:val="0"/>
      <w:marRight w:val="0"/>
      <w:marTop w:val="0"/>
      <w:marBottom w:val="0"/>
      <w:divBdr>
        <w:top w:val="none" w:sz="0" w:space="0" w:color="auto"/>
        <w:left w:val="none" w:sz="0" w:space="0" w:color="auto"/>
        <w:bottom w:val="none" w:sz="0" w:space="0" w:color="auto"/>
        <w:right w:val="none" w:sz="0" w:space="0" w:color="auto"/>
      </w:divBdr>
    </w:div>
    <w:div w:id="152258656">
      <w:bodyDiv w:val="1"/>
      <w:marLeft w:val="0"/>
      <w:marRight w:val="0"/>
      <w:marTop w:val="0"/>
      <w:marBottom w:val="0"/>
      <w:divBdr>
        <w:top w:val="none" w:sz="0" w:space="0" w:color="auto"/>
        <w:left w:val="none" w:sz="0" w:space="0" w:color="auto"/>
        <w:bottom w:val="none" w:sz="0" w:space="0" w:color="auto"/>
        <w:right w:val="none" w:sz="0" w:space="0" w:color="auto"/>
      </w:divBdr>
    </w:div>
    <w:div w:id="153187367">
      <w:bodyDiv w:val="1"/>
      <w:marLeft w:val="0"/>
      <w:marRight w:val="0"/>
      <w:marTop w:val="0"/>
      <w:marBottom w:val="0"/>
      <w:divBdr>
        <w:top w:val="none" w:sz="0" w:space="0" w:color="auto"/>
        <w:left w:val="none" w:sz="0" w:space="0" w:color="auto"/>
        <w:bottom w:val="none" w:sz="0" w:space="0" w:color="auto"/>
        <w:right w:val="none" w:sz="0" w:space="0" w:color="auto"/>
      </w:divBdr>
    </w:div>
    <w:div w:id="155073390">
      <w:bodyDiv w:val="1"/>
      <w:marLeft w:val="0"/>
      <w:marRight w:val="0"/>
      <w:marTop w:val="0"/>
      <w:marBottom w:val="0"/>
      <w:divBdr>
        <w:top w:val="none" w:sz="0" w:space="0" w:color="auto"/>
        <w:left w:val="none" w:sz="0" w:space="0" w:color="auto"/>
        <w:bottom w:val="none" w:sz="0" w:space="0" w:color="auto"/>
        <w:right w:val="none" w:sz="0" w:space="0" w:color="auto"/>
      </w:divBdr>
    </w:div>
    <w:div w:id="155876412">
      <w:bodyDiv w:val="1"/>
      <w:marLeft w:val="0"/>
      <w:marRight w:val="0"/>
      <w:marTop w:val="0"/>
      <w:marBottom w:val="0"/>
      <w:divBdr>
        <w:top w:val="none" w:sz="0" w:space="0" w:color="auto"/>
        <w:left w:val="none" w:sz="0" w:space="0" w:color="auto"/>
        <w:bottom w:val="none" w:sz="0" w:space="0" w:color="auto"/>
        <w:right w:val="none" w:sz="0" w:space="0" w:color="auto"/>
      </w:divBdr>
    </w:div>
    <w:div w:id="157427593">
      <w:bodyDiv w:val="1"/>
      <w:marLeft w:val="0"/>
      <w:marRight w:val="0"/>
      <w:marTop w:val="0"/>
      <w:marBottom w:val="0"/>
      <w:divBdr>
        <w:top w:val="none" w:sz="0" w:space="0" w:color="auto"/>
        <w:left w:val="none" w:sz="0" w:space="0" w:color="auto"/>
        <w:bottom w:val="none" w:sz="0" w:space="0" w:color="auto"/>
        <w:right w:val="none" w:sz="0" w:space="0" w:color="auto"/>
      </w:divBdr>
    </w:div>
    <w:div w:id="160241040">
      <w:bodyDiv w:val="1"/>
      <w:marLeft w:val="0"/>
      <w:marRight w:val="0"/>
      <w:marTop w:val="0"/>
      <w:marBottom w:val="0"/>
      <w:divBdr>
        <w:top w:val="none" w:sz="0" w:space="0" w:color="auto"/>
        <w:left w:val="none" w:sz="0" w:space="0" w:color="auto"/>
        <w:bottom w:val="none" w:sz="0" w:space="0" w:color="auto"/>
        <w:right w:val="none" w:sz="0" w:space="0" w:color="auto"/>
      </w:divBdr>
    </w:div>
    <w:div w:id="163937770">
      <w:bodyDiv w:val="1"/>
      <w:marLeft w:val="0"/>
      <w:marRight w:val="0"/>
      <w:marTop w:val="0"/>
      <w:marBottom w:val="0"/>
      <w:divBdr>
        <w:top w:val="none" w:sz="0" w:space="0" w:color="auto"/>
        <w:left w:val="none" w:sz="0" w:space="0" w:color="auto"/>
        <w:bottom w:val="none" w:sz="0" w:space="0" w:color="auto"/>
        <w:right w:val="none" w:sz="0" w:space="0" w:color="auto"/>
      </w:divBdr>
    </w:div>
    <w:div w:id="164591682">
      <w:bodyDiv w:val="1"/>
      <w:marLeft w:val="0"/>
      <w:marRight w:val="0"/>
      <w:marTop w:val="0"/>
      <w:marBottom w:val="0"/>
      <w:divBdr>
        <w:top w:val="none" w:sz="0" w:space="0" w:color="auto"/>
        <w:left w:val="none" w:sz="0" w:space="0" w:color="auto"/>
        <w:bottom w:val="none" w:sz="0" w:space="0" w:color="auto"/>
        <w:right w:val="none" w:sz="0" w:space="0" w:color="auto"/>
      </w:divBdr>
    </w:div>
    <w:div w:id="165481769">
      <w:bodyDiv w:val="1"/>
      <w:marLeft w:val="0"/>
      <w:marRight w:val="0"/>
      <w:marTop w:val="0"/>
      <w:marBottom w:val="0"/>
      <w:divBdr>
        <w:top w:val="none" w:sz="0" w:space="0" w:color="auto"/>
        <w:left w:val="none" w:sz="0" w:space="0" w:color="auto"/>
        <w:bottom w:val="none" w:sz="0" w:space="0" w:color="auto"/>
        <w:right w:val="none" w:sz="0" w:space="0" w:color="auto"/>
      </w:divBdr>
    </w:div>
    <w:div w:id="168906338">
      <w:bodyDiv w:val="1"/>
      <w:marLeft w:val="0"/>
      <w:marRight w:val="0"/>
      <w:marTop w:val="0"/>
      <w:marBottom w:val="0"/>
      <w:divBdr>
        <w:top w:val="none" w:sz="0" w:space="0" w:color="auto"/>
        <w:left w:val="none" w:sz="0" w:space="0" w:color="auto"/>
        <w:bottom w:val="none" w:sz="0" w:space="0" w:color="auto"/>
        <w:right w:val="none" w:sz="0" w:space="0" w:color="auto"/>
      </w:divBdr>
    </w:div>
    <w:div w:id="169757748">
      <w:bodyDiv w:val="1"/>
      <w:marLeft w:val="0"/>
      <w:marRight w:val="0"/>
      <w:marTop w:val="0"/>
      <w:marBottom w:val="0"/>
      <w:divBdr>
        <w:top w:val="none" w:sz="0" w:space="0" w:color="auto"/>
        <w:left w:val="none" w:sz="0" w:space="0" w:color="auto"/>
        <w:bottom w:val="none" w:sz="0" w:space="0" w:color="auto"/>
        <w:right w:val="none" w:sz="0" w:space="0" w:color="auto"/>
      </w:divBdr>
    </w:div>
    <w:div w:id="174157319">
      <w:bodyDiv w:val="1"/>
      <w:marLeft w:val="0"/>
      <w:marRight w:val="0"/>
      <w:marTop w:val="0"/>
      <w:marBottom w:val="0"/>
      <w:divBdr>
        <w:top w:val="none" w:sz="0" w:space="0" w:color="auto"/>
        <w:left w:val="none" w:sz="0" w:space="0" w:color="auto"/>
        <w:bottom w:val="none" w:sz="0" w:space="0" w:color="auto"/>
        <w:right w:val="none" w:sz="0" w:space="0" w:color="auto"/>
      </w:divBdr>
    </w:div>
    <w:div w:id="174542060">
      <w:bodyDiv w:val="1"/>
      <w:marLeft w:val="0"/>
      <w:marRight w:val="0"/>
      <w:marTop w:val="0"/>
      <w:marBottom w:val="0"/>
      <w:divBdr>
        <w:top w:val="none" w:sz="0" w:space="0" w:color="auto"/>
        <w:left w:val="none" w:sz="0" w:space="0" w:color="auto"/>
        <w:bottom w:val="none" w:sz="0" w:space="0" w:color="auto"/>
        <w:right w:val="none" w:sz="0" w:space="0" w:color="auto"/>
      </w:divBdr>
    </w:div>
    <w:div w:id="175507644">
      <w:bodyDiv w:val="1"/>
      <w:marLeft w:val="0"/>
      <w:marRight w:val="0"/>
      <w:marTop w:val="0"/>
      <w:marBottom w:val="0"/>
      <w:divBdr>
        <w:top w:val="none" w:sz="0" w:space="0" w:color="auto"/>
        <w:left w:val="none" w:sz="0" w:space="0" w:color="auto"/>
        <w:bottom w:val="none" w:sz="0" w:space="0" w:color="auto"/>
        <w:right w:val="none" w:sz="0" w:space="0" w:color="auto"/>
      </w:divBdr>
    </w:div>
    <w:div w:id="175580682">
      <w:bodyDiv w:val="1"/>
      <w:marLeft w:val="0"/>
      <w:marRight w:val="0"/>
      <w:marTop w:val="0"/>
      <w:marBottom w:val="0"/>
      <w:divBdr>
        <w:top w:val="none" w:sz="0" w:space="0" w:color="auto"/>
        <w:left w:val="none" w:sz="0" w:space="0" w:color="auto"/>
        <w:bottom w:val="none" w:sz="0" w:space="0" w:color="auto"/>
        <w:right w:val="none" w:sz="0" w:space="0" w:color="auto"/>
      </w:divBdr>
    </w:div>
    <w:div w:id="177087863">
      <w:bodyDiv w:val="1"/>
      <w:marLeft w:val="0"/>
      <w:marRight w:val="0"/>
      <w:marTop w:val="0"/>
      <w:marBottom w:val="0"/>
      <w:divBdr>
        <w:top w:val="none" w:sz="0" w:space="0" w:color="auto"/>
        <w:left w:val="none" w:sz="0" w:space="0" w:color="auto"/>
        <w:bottom w:val="none" w:sz="0" w:space="0" w:color="auto"/>
        <w:right w:val="none" w:sz="0" w:space="0" w:color="auto"/>
      </w:divBdr>
    </w:div>
    <w:div w:id="181364462">
      <w:bodyDiv w:val="1"/>
      <w:marLeft w:val="0"/>
      <w:marRight w:val="0"/>
      <w:marTop w:val="0"/>
      <w:marBottom w:val="0"/>
      <w:divBdr>
        <w:top w:val="none" w:sz="0" w:space="0" w:color="auto"/>
        <w:left w:val="none" w:sz="0" w:space="0" w:color="auto"/>
        <w:bottom w:val="none" w:sz="0" w:space="0" w:color="auto"/>
        <w:right w:val="none" w:sz="0" w:space="0" w:color="auto"/>
      </w:divBdr>
    </w:div>
    <w:div w:id="181675749">
      <w:bodyDiv w:val="1"/>
      <w:marLeft w:val="0"/>
      <w:marRight w:val="0"/>
      <w:marTop w:val="0"/>
      <w:marBottom w:val="0"/>
      <w:divBdr>
        <w:top w:val="none" w:sz="0" w:space="0" w:color="auto"/>
        <w:left w:val="none" w:sz="0" w:space="0" w:color="auto"/>
        <w:bottom w:val="none" w:sz="0" w:space="0" w:color="auto"/>
        <w:right w:val="none" w:sz="0" w:space="0" w:color="auto"/>
      </w:divBdr>
    </w:div>
    <w:div w:id="186718451">
      <w:bodyDiv w:val="1"/>
      <w:marLeft w:val="0"/>
      <w:marRight w:val="0"/>
      <w:marTop w:val="0"/>
      <w:marBottom w:val="0"/>
      <w:divBdr>
        <w:top w:val="none" w:sz="0" w:space="0" w:color="auto"/>
        <w:left w:val="none" w:sz="0" w:space="0" w:color="auto"/>
        <w:bottom w:val="none" w:sz="0" w:space="0" w:color="auto"/>
        <w:right w:val="none" w:sz="0" w:space="0" w:color="auto"/>
      </w:divBdr>
    </w:div>
    <w:div w:id="186797319">
      <w:bodyDiv w:val="1"/>
      <w:marLeft w:val="0"/>
      <w:marRight w:val="0"/>
      <w:marTop w:val="0"/>
      <w:marBottom w:val="0"/>
      <w:divBdr>
        <w:top w:val="none" w:sz="0" w:space="0" w:color="auto"/>
        <w:left w:val="none" w:sz="0" w:space="0" w:color="auto"/>
        <w:bottom w:val="none" w:sz="0" w:space="0" w:color="auto"/>
        <w:right w:val="none" w:sz="0" w:space="0" w:color="auto"/>
      </w:divBdr>
    </w:div>
    <w:div w:id="189268682">
      <w:bodyDiv w:val="1"/>
      <w:marLeft w:val="0"/>
      <w:marRight w:val="0"/>
      <w:marTop w:val="0"/>
      <w:marBottom w:val="0"/>
      <w:divBdr>
        <w:top w:val="none" w:sz="0" w:space="0" w:color="auto"/>
        <w:left w:val="none" w:sz="0" w:space="0" w:color="auto"/>
        <w:bottom w:val="none" w:sz="0" w:space="0" w:color="auto"/>
        <w:right w:val="none" w:sz="0" w:space="0" w:color="auto"/>
      </w:divBdr>
    </w:div>
    <w:div w:id="191497556">
      <w:bodyDiv w:val="1"/>
      <w:marLeft w:val="0"/>
      <w:marRight w:val="0"/>
      <w:marTop w:val="0"/>
      <w:marBottom w:val="0"/>
      <w:divBdr>
        <w:top w:val="none" w:sz="0" w:space="0" w:color="auto"/>
        <w:left w:val="none" w:sz="0" w:space="0" w:color="auto"/>
        <w:bottom w:val="none" w:sz="0" w:space="0" w:color="auto"/>
        <w:right w:val="none" w:sz="0" w:space="0" w:color="auto"/>
      </w:divBdr>
    </w:div>
    <w:div w:id="193151871">
      <w:bodyDiv w:val="1"/>
      <w:marLeft w:val="0"/>
      <w:marRight w:val="0"/>
      <w:marTop w:val="0"/>
      <w:marBottom w:val="0"/>
      <w:divBdr>
        <w:top w:val="none" w:sz="0" w:space="0" w:color="auto"/>
        <w:left w:val="none" w:sz="0" w:space="0" w:color="auto"/>
        <w:bottom w:val="none" w:sz="0" w:space="0" w:color="auto"/>
        <w:right w:val="none" w:sz="0" w:space="0" w:color="auto"/>
      </w:divBdr>
    </w:div>
    <w:div w:id="194125859">
      <w:bodyDiv w:val="1"/>
      <w:marLeft w:val="0"/>
      <w:marRight w:val="0"/>
      <w:marTop w:val="0"/>
      <w:marBottom w:val="0"/>
      <w:divBdr>
        <w:top w:val="none" w:sz="0" w:space="0" w:color="auto"/>
        <w:left w:val="none" w:sz="0" w:space="0" w:color="auto"/>
        <w:bottom w:val="none" w:sz="0" w:space="0" w:color="auto"/>
        <w:right w:val="none" w:sz="0" w:space="0" w:color="auto"/>
      </w:divBdr>
    </w:div>
    <w:div w:id="196046033">
      <w:bodyDiv w:val="1"/>
      <w:marLeft w:val="0"/>
      <w:marRight w:val="0"/>
      <w:marTop w:val="0"/>
      <w:marBottom w:val="0"/>
      <w:divBdr>
        <w:top w:val="none" w:sz="0" w:space="0" w:color="auto"/>
        <w:left w:val="none" w:sz="0" w:space="0" w:color="auto"/>
        <w:bottom w:val="none" w:sz="0" w:space="0" w:color="auto"/>
        <w:right w:val="none" w:sz="0" w:space="0" w:color="auto"/>
      </w:divBdr>
    </w:div>
    <w:div w:id="197206757">
      <w:bodyDiv w:val="1"/>
      <w:marLeft w:val="0"/>
      <w:marRight w:val="0"/>
      <w:marTop w:val="0"/>
      <w:marBottom w:val="0"/>
      <w:divBdr>
        <w:top w:val="none" w:sz="0" w:space="0" w:color="auto"/>
        <w:left w:val="none" w:sz="0" w:space="0" w:color="auto"/>
        <w:bottom w:val="none" w:sz="0" w:space="0" w:color="auto"/>
        <w:right w:val="none" w:sz="0" w:space="0" w:color="auto"/>
      </w:divBdr>
    </w:div>
    <w:div w:id="197207207">
      <w:bodyDiv w:val="1"/>
      <w:marLeft w:val="0"/>
      <w:marRight w:val="0"/>
      <w:marTop w:val="0"/>
      <w:marBottom w:val="0"/>
      <w:divBdr>
        <w:top w:val="none" w:sz="0" w:space="0" w:color="auto"/>
        <w:left w:val="none" w:sz="0" w:space="0" w:color="auto"/>
        <w:bottom w:val="none" w:sz="0" w:space="0" w:color="auto"/>
        <w:right w:val="none" w:sz="0" w:space="0" w:color="auto"/>
      </w:divBdr>
    </w:div>
    <w:div w:id="197208838">
      <w:bodyDiv w:val="1"/>
      <w:marLeft w:val="0"/>
      <w:marRight w:val="0"/>
      <w:marTop w:val="0"/>
      <w:marBottom w:val="0"/>
      <w:divBdr>
        <w:top w:val="none" w:sz="0" w:space="0" w:color="auto"/>
        <w:left w:val="none" w:sz="0" w:space="0" w:color="auto"/>
        <w:bottom w:val="none" w:sz="0" w:space="0" w:color="auto"/>
        <w:right w:val="none" w:sz="0" w:space="0" w:color="auto"/>
      </w:divBdr>
    </w:div>
    <w:div w:id="200637138">
      <w:bodyDiv w:val="1"/>
      <w:marLeft w:val="0"/>
      <w:marRight w:val="0"/>
      <w:marTop w:val="0"/>
      <w:marBottom w:val="0"/>
      <w:divBdr>
        <w:top w:val="none" w:sz="0" w:space="0" w:color="auto"/>
        <w:left w:val="none" w:sz="0" w:space="0" w:color="auto"/>
        <w:bottom w:val="none" w:sz="0" w:space="0" w:color="auto"/>
        <w:right w:val="none" w:sz="0" w:space="0" w:color="auto"/>
      </w:divBdr>
    </w:div>
    <w:div w:id="201096404">
      <w:bodyDiv w:val="1"/>
      <w:marLeft w:val="0"/>
      <w:marRight w:val="0"/>
      <w:marTop w:val="0"/>
      <w:marBottom w:val="0"/>
      <w:divBdr>
        <w:top w:val="none" w:sz="0" w:space="0" w:color="auto"/>
        <w:left w:val="none" w:sz="0" w:space="0" w:color="auto"/>
        <w:bottom w:val="none" w:sz="0" w:space="0" w:color="auto"/>
        <w:right w:val="none" w:sz="0" w:space="0" w:color="auto"/>
      </w:divBdr>
    </w:div>
    <w:div w:id="201330377">
      <w:bodyDiv w:val="1"/>
      <w:marLeft w:val="0"/>
      <w:marRight w:val="0"/>
      <w:marTop w:val="0"/>
      <w:marBottom w:val="0"/>
      <w:divBdr>
        <w:top w:val="none" w:sz="0" w:space="0" w:color="auto"/>
        <w:left w:val="none" w:sz="0" w:space="0" w:color="auto"/>
        <w:bottom w:val="none" w:sz="0" w:space="0" w:color="auto"/>
        <w:right w:val="none" w:sz="0" w:space="0" w:color="auto"/>
      </w:divBdr>
    </w:div>
    <w:div w:id="201402073">
      <w:bodyDiv w:val="1"/>
      <w:marLeft w:val="0"/>
      <w:marRight w:val="0"/>
      <w:marTop w:val="0"/>
      <w:marBottom w:val="0"/>
      <w:divBdr>
        <w:top w:val="none" w:sz="0" w:space="0" w:color="auto"/>
        <w:left w:val="none" w:sz="0" w:space="0" w:color="auto"/>
        <w:bottom w:val="none" w:sz="0" w:space="0" w:color="auto"/>
        <w:right w:val="none" w:sz="0" w:space="0" w:color="auto"/>
      </w:divBdr>
    </w:div>
    <w:div w:id="204026750">
      <w:bodyDiv w:val="1"/>
      <w:marLeft w:val="0"/>
      <w:marRight w:val="0"/>
      <w:marTop w:val="0"/>
      <w:marBottom w:val="0"/>
      <w:divBdr>
        <w:top w:val="none" w:sz="0" w:space="0" w:color="auto"/>
        <w:left w:val="none" w:sz="0" w:space="0" w:color="auto"/>
        <w:bottom w:val="none" w:sz="0" w:space="0" w:color="auto"/>
        <w:right w:val="none" w:sz="0" w:space="0" w:color="auto"/>
      </w:divBdr>
    </w:div>
    <w:div w:id="204830488">
      <w:bodyDiv w:val="1"/>
      <w:marLeft w:val="0"/>
      <w:marRight w:val="0"/>
      <w:marTop w:val="0"/>
      <w:marBottom w:val="0"/>
      <w:divBdr>
        <w:top w:val="none" w:sz="0" w:space="0" w:color="auto"/>
        <w:left w:val="none" w:sz="0" w:space="0" w:color="auto"/>
        <w:bottom w:val="none" w:sz="0" w:space="0" w:color="auto"/>
        <w:right w:val="none" w:sz="0" w:space="0" w:color="auto"/>
      </w:divBdr>
    </w:div>
    <w:div w:id="206375753">
      <w:bodyDiv w:val="1"/>
      <w:marLeft w:val="0"/>
      <w:marRight w:val="0"/>
      <w:marTop w:val="0"/>
      <w:marBottom w:val="0"/>
      <w:divBdr>
        <w:top w:val="none" w:sz="0" w:space="0" w:color="auto"/>
        <w:left w:val="none" w:sz="0" w:space="0" w:color="auto"/>
        <w:bottom w:val="none" w:sz="0" w:space="0" w:color="auto"/>
        <w:right w:val="none" w:sz="0" w:space="0" w:color="auto"/>
      </w:divBdr>
    </w:div>
    <w:div w:id="207298252">
      <w:bodyDiv w:val="1"/>
      <w:marLeft w:val="0"/>
      <w:marRight w:val="0"/>
      <w:marTop w:val="0"/>
      <w:marBottom w:val="0"/>
      <w:divBdr>
        <w:top w:val="none" w:sz="0" w:space="0" w:color="auto"/>
        <w:left w:val="none" w:sz="0" w:space="0" w:color="auto"/>
        <w:bottom w:val="none" w:sz="0" w:space="0" w:color="auto"/>
        <w:right w:val="none" w:sz="0" w:space="0" w:color="auto"/>
      </w:divBdr>
    </w:div>
    <w:div w:id="210699286">
      <w:bodyDiv w:val="1"/>
      <w:marLeft w:val="0"/>
      <w:marRight w:val="0"/>
      <w:marTop w:val="0"/>
      <w:marBottom w:val="0"/>
      <w:divBdr>
        <w:top w:val="none" w:sz="0" w:space="0" w:color="auto"/>
        <w:left w:val="none" w:sz="0" w:space="0" w:color="auto"/>
        <w:bottom w:val="none" w:sz="0" w:space="0" w:color="auto"/>
        <w:right w:val="none" w:sz="0" w:space="0" w:color="auto"/>
      </w:divBdr>
    </w:div>
    <w:div w:id="211813182">
      <w:bodyDiv w:val="1"/>
      <w:marLeft w:val="0"/>
      <w:marRight w:val="0"/>
      <w:marTop w:val="0"/>
      <w:marBottom w:val="0"/>
      <w:divBdr>
        <w:top w:val="none" w:sz="0" w:space="0" w:color="auto"/>
        <w:left w:val="none" w:sz="0" w:space="0" w:color="auto"/>
        <w:bottom w:val="none" w:sz="0" w:space="0" w:color="auto"/>
        <w:right w:val="none" w:sz="0" w:space="0" w:color="auto"/>
      </w:divBdr>
    </w:div>
    <w:div w:id="212544066">
      <w:bodyDiv w:val="1"/>
      <w:marLeft w:val="0"/>
      <w:marRight w:val="0"/>
      <w:marTop w:val="0"/>
      <w:marBottom w:val="0"/>
      <w:divBdr>
        <w:top w:val="none" w:sz="0" w:space="0" w:color="auto"/>
        <w:left w:val="none" w:sz="0" w:space="0" w:color="auto"/>
        <w:bottom w:val="none" w:sz="0" w:space="0" w:color="auto"/>
        <w:right w:val="none" w:sz="0" w:space="0" w:color="auto"/>
      </w:divBdr>
    </w:div>
    <w:div w:id="214708017">
      <w:bodyDiv w:val="1"/>
      <w:marLeft w:val="0"/>
      <w:marRight w:val="0"/>
      <w:marTop w:val="0"/>
      <w:marBottom w:val="0"/>
      <w:divBdr>
        <w:top w:val="none" w:sz="0" w:space="0" w:color="auto"/>
        <w:left w:val="none" w:sz="0" w:space="0" w:color="auto"/>
        <w:bottom w:val="none" w:sz="0" w:space="0" w:color="auto"/>
        <w:right w:val="none" w:sz="0" w:space="0" w:color="auto"/>
      </w:divBdr>
    </w:div>
    <w:div w:id="217909683">
      <w:bodyDiv w:val="1"/>
      <w:marLeft w:val="0"/>
      <w:marRight w:val="0"/>
      <w:marTop w:val="0"/>
      <w:marBottom w:val="0"/>
      <w:divBdr>
        <w:top w:val="none" w:sz="0" w:space="0" w:color="auto"/>
        <w:left w:val="none" w:sz="0" w:space="0" w:color="auto"/>
        <w:bottom w:val="none" w:sz="0" w:space="0" w:color="auto"/>
        <w:right w:val="none" w:sz="0" w:space="0" w:color="auto"/>
      </w:divBdr>
    </w:div>
    <w:div w:id="219362007">
      <w:bodyDiv w:val="1"/>
      <w:marLeft w:val="0"/>
      <w:marRight w:val="0"/>
      <w:marTop w:val="0"/>
      <w:marBottom w:val="0"/>
      <w:divBdr>
        <w:top w:val="none" w:sz="0" w:space="0" w:color="auto"/>
        <w:left w:val="none" w:sz="0" w:space="0" w:color="auto"/>
        <w:bottom w:val="none" w:sz="0" w:space="0" w:color="auto"/>
        <w:right w:val="none" w:sz="0" w:space="0" w:color="auto"/>
      </w:divBdr>
    </w:div>
    <w:div w:id="229196784">
      <w:bodyDiv w:val="1"/>
      <w:marLeft w:val="0"/>
      <w:marRight w:val="0"/>
      <w:marTop w:val="0"/>
      <w:marBottom w:val="0"/>
      <w:divBdr>
        <w:top w:val="none" w:sz="0" w:space="0" w:color="auto"/>
        <w:left w:val="none" w:sz="0" w:space="0" w:color="auto"/>
        <w:bottom w:val="none" w:sz="0" w:space="0" w:color="auto"/>
        <w:right w:val="none" w:sz="0" w:space="0" w:color="auto"/>
      </w:divBdr>
    </w:div>
    <w:div w:id="230043652">
      <w:bodyDiv w:val="1"/>
      <w:marLeft w:val="0"/>
      <w:marRight w:val="0"/>
      <w:marTop w:val="0"/>
      <w:marBottom w:val="0"/>
      <w:divBdr>
        <w:top w:val="none" w:sz="0" w:space="0" w:color="auto"/>
        <w:left w:val="none" w:sz="0" w:space="0" w:color="auto"/>
        <w:bottom w:val="none" w:sz="0" w:space="0" w:color="auto"/>
        <w:right w:val="none" w:sz="0" w:space="0" w:color="auto"/>
      </w:divBdr>
    </w:div>
    <w:div w:id="232549122">
      <w:bodyDiv w:val="1"/>
      <w:marLeft w:val="0"/>
      <w:marRight w:val="0"/>
      <w:marTop w:val="0"/>
      <w:marBottom w:val="0"/>
      <w:divBdr>
        <w:top w:val="none" w:sz="0" w:space="0" w:color="auto"/>
        <w:left w:val="none" w:sz="0" w:space="0" w:color="auto"/>
        <w:bottom w:val="none" w:sz="0" w:space="0" w:color="auto"/>
        <w:right w:val="none" w:sz="0" w:space="0" w:color="auto"/>
      </w:divBdr>
    </w:div>
    <w:div w:id="234978836">
      <w:bodyDiv w:val="1"/>
      <w:marLeft w:val="0"/>
      <w:marRight w:val="0"/>
      <w:marTop w:val="0"/>
      <w:marBottom w:val="0"/>
      <w:divBdr>
        <w:top w:val="none" w:sz="0" w:space="0" w:color="auto"/>
        <w:left w:val="none" w:sz="0" w:space="0" w:color="auto"/>
        <w:bottom w:val="none" w:sz="0" w:space="0" w:color="auto"/>
        <w:right w:val="none" w:sz="0" w:space="0" w:color="auto"/>
      </w:divBdr>
    </w:div>
    <w:div w:id="235433383">
      <w:bodyDiv w:val="1"/>
      <w:marLeft w:val="0"/>
      <w:marRight w:val="0"/>
      <w:marTop w:val="0"/>
      <w:marBottom w:val="0"/>
      <w:divBdr>
        <w:top w:val="none" w:sz="0" w:space="0" w:color="auto"/>
        <w:left w:val="none" w:sz="0" w:space="0" w:color="auto"/>
        <w:bottom w:val="none" w:sz="0" w:space="0" w:color="auto"/>
        <w:right w:val="none" w:sz="0" w:space="0" w:color="auto"/>
      </w:divBdr>
    </w:div>
    <w:div w:id="235558291">
      <w:bodyDiv w:val="1"/>
      <w:marLeft w:val="0"/>
      <w:marRight w:val="0"/>
      <w:marTop w:val="0"/>
      <w:marBottom w:val="0"/>
      <w:divBdr>
        <w:top w:val="none" w:sz="0" w:space="0" w:color="auto"/>
        <w:left w:val="none" w:sz="0" w:space="0" w:color="auto"/>
        <w:bottom w:val="none" w:sz="0" w:space="0" w:color="auto"/>
        <w:right w:val="none" w:sz="0" w:space="0" w:color="auto"/>
      </w:divBdr>
    </w:div>
    <w:div w:id="235868297">
      <w:bodyDiv w:val="1"/>
      <w:marLeft w:val="0"/>
      <w:marRight w:val="0"/>
      <w:marTop w:val="0"/>
      <w:marBottom w:val="0"/>
      <w:divBdr>
        <w:top w:val="none" w:sz="0" w:space="0" w:color="auto"/>
        <w:left w:val="none" w:sz="0" w:space="0" w:color="auto"/>
        <w:bottom w:val="none" w:sz="0" w:space="0" w:color="auto"/>
        <w:right w:val="none" w:sz="0" w:space="0" w:color="auto"/>
      </w:divBdr>
    </w:div>
    <w:div w:id="236063406">
      <w:bodyDiv w:val="1"/>
      <w:marLeft w:val="0"/>
      <w:marRight w:val="0"/>
      <w:marTop w:val="0"/>
      <w:marBottom w:val="0"/>
      <w:divBdr>
        <w:top w:val="none" w:sz="0" w:space="0" w:color="auto"/>
        <w:left w:val="none" w:sz="0" w:space="0" w:color="auto"/>
        <w:bottom w:val="none" w:sz="0" w:space="0" w:color="auto"/>
        <w:right w:val="none" w:sz="0" w:space="0" w:color="auto"/>
      </w:divBdr>
    </w:div>
    <w:div w:id="236403904">
      <w:bodyDiv w:val="1"/>
      <w:marLeft w:val="0"/>
      <w:marRight w:val="0"/>
      <w:marTop w:val="0"/>
      <w:marBottom w:val="0"/>
      <w:divBdr>
        <w:top w:val="none" w:sz="0" w:space="0" w:color="auto"/>
        <w:left w:val="none" w:sz="0" w:space="0" w:color="auto"/>
        <w:bottom w:val="none" w:sz="0" w:space="0" w:color="auto"/>
        <w:right w:val="none" w:sz="0" w:space="0" w:color="auto"/>
      </w:divBdr>
    </w:div>
    <w:div w:id="239411022">
      <w:bodyDiv w:val="1"/>
      <w:marLeft w:val="0"/>
      <w:marRight w:val="0"/>
      <w:marTop w:val="0"/>
      <w:marBottom w:val="0"/>
      <w:divBdr>
        <w:top w:val="none" w:sz="0" w:space="0" w:color="auto"/>
        <w:left w:val="none" w:sz="0" w:space="0" w:color="auto"/>
        <w:bottom w:val="none" w:sz="0" w:space="0" w:color="auto"/>
        <w:right w:val="none" w:sz="0" w:space="0" w:color="auto"/>
      </w:divBdr>
    </w:div>
    <w:div w:id="239754447">
      <w:bodyDiv w:val="1"/>
      <w:marLeft w:val="0"/>
      <w:marRight w:val="0"/>
      <w:marTop w:val="0"/>
      <w:marBottom w:val="0"/>
      <w:divBdr>
        <w:top w:val="none" w:sz="0" w:space="0" w:color="auto"/>
        <w:left w:val="none" w:sz="0" w:space="0" w:color="auto"/>
        <w:bottom w:val="none" w:sz="0" w:space="0" w:color="auto"/>
        <w:right w:val="none" w:sz="0" w:space="0" w:color="auto"/>
      </w:divBdr>
    </w:div>
    <w:div w:id="240024774">
      <w:bodyDiv w:val="1"/>
      <w:marLeft w:val="0"/>
      <w:marRight w:val="0"/>
      <w:marTop w:val="0"/>
      <w:marBottom w:val="0"/>
      <w:divBdr>
        <w:top w:val="none" w:sz="0" w:space="0" w:color="auto"/>
        <w:left w:val="none" w:sz="0" w:space="0" w:color="auto"/>
        <w:bottom w:val="none" w:sz="0" w:space="0" w:color="auto"/>
        <w:right w:val="none" w:sz="0" w:space="0" w:color="auto"/>
      </w:divBdr>
    </w:div>
    <w:div w:id="243536593">
      <w:bodyDiv w:val="1"/>
      <w:marLeft w:val="0"/>
      <w:marRight w:val="0"/>
      <w:marTop w:val="0"/>
      <w:marBottom w:val="0"/>
      <w:divBdr>
        <w:top w:val="none" w:sz="0" w:space="0" w:color="auto"/>
        <w:left w:val="none" w:sz="0" w:space="0" w:color="auto"/>
        <w:bottom w:val="none" w:sz="0" w:space="0" w:color="auto"/>
        <w:right w:val="none" w:sz="0" w:space="0" w:color="auto"/>
      </w:divBdr>
    </w:div>
    <w:div w:id="244532406">
      <w:bodyDiv w:val="1"/>
      <w:marLeft w:val="0"/>
      <w:marRight w:val="0"/>
      <w:marTop w:val="0"/>
      <w:marBottom w:val="0"/>
      <w:divBdr>
        <w:top w:val="none" w:sz="0" w:space="0" w:color="auto"/>
        <w:left w:val="none" w:sz="0" w:space="0" w:color="auto"/>
        <w:bottom w:val="none" w:sz="0" w:space="0" w:color="auto"/>
        <w:right w:val="none" w:sz="0" w:space="0" w:color="auto"/>
      </w:divBdr>
    </w:div>
    <w:div w:id="244610636">
      <w:bodyDiv w:val="1"/>
      <w:marLeft w:val="0"/>
      <w:marRight w:val="0"/>
      <w:marTop w:val="0"/>
      <w:marBottom w:val="0"/>
      <w:divBdr>
        <w:top w:val="none" w:sz="0" w:space="0" w:color="auto"/>
        <w:left w:val="none" w:sz="0" w:space="0" w:color="auto"/>
        <w:bottom w:val="none" w:sz="0" w:space="0" w:color="auto"/>
        <w:right w:val="none" w:sz="0" w:space="0" w:color="auto"/>
      </w:divBdr>
    </w:div>
    <w:div w:id="246305267">
      <w:bodyDiv w:val="1"/>
      <w:marLeft w:val="0"/>
      <w:marRight w:val="0"/>
      <w:marTop w:val="0"/>
      <w:marBottom w:val="0"/>
      <w:divBdr>
        <w:top w:val="none" w:sz="0" w:space="0" w:color="auto"/>
        <w:left w:val="none" w:sz="0" w:space="0" w:color="auto"/>
        <w:bottom w:val="none" w:sz="0" w:space="0" w:color="auto"/>
        <w:right w:val="none" w:sz="0" w:space="0" w:color="auto"/>
      </w:divBdr>
    </w:div>
    <w:div w:id="247665007">
      <w:bodyDiv w:val="1"/>
      <w:marLeft w:val="0"/>
      <w:marRight w:val="0"/>
      <w:marTop w:val="0"/>
      <w:marBottom w:val="0"/>
      <w:divBdr>
        <w:top w:val="none" w:sz="0" w:space="0" w:color="auto"/>
        <w:left w:val="none" w:sz="0" w:space="0" w:color="auto"/>
        <w:bottom w:val="none" w:sz="0" w:space="0" w:color="auto"/>
        <w:right w:val="none" w:sz="0" w:space="0" w:color="auto"/>
      </w:divBdr>
    </w:div>
    <w:div w:id="254561737">
      <w:bodyDiv w:val="1"/>
      <w:marLeft w:val="0"/>
      <w:marRight w:val="0"/>
      <w:marTop w:val="0"/>
      <w:marBottom w:val="0"/>
      <w:divBdr>
        <w:top w:val="none" w:sz="0" w:space="0" w:color="auto"/>
        <w:left w:val="none" w:sz="0" w:space="0" w:color="auto"/>
        <w:bottom w:val="none" w:sz="0" w:space="0" w:color="auto"/>
        <w:right w:val="none" w:sz="0" w:space="0" w:color="auto"/>
      </w:divBdr>
    </w:div>
    <w:div w:id="256787898">
      <w:bodyDiv w:val="1"/>
      <w:marLeft w:val="0"/>
      <w:marRight w:val="0"/>
      <w:marTop w:val="0"/>
      <w:marBottom w:val="0"/>
      <w:divBdr>
        <w:top w:val="none" w:sz="0" w:space="0" w:color="auto"/>
        <w:left w:val="none" w:sz="0" w:space="0" w:color="auto"/>
        <w:bottom w:val="none" w:sz="0" w:space="0" w:color="auto"/>
        <w:right w:val="none" w:sz="0" w:space="0" w:color="auto"/>
      </w:divBdr>
    </w:div>
    <w:div w:id="259683674">
      <w:bodyDiv w:val="1"/>
      <w:marLeft w:val="0"/>
      <w:marRight w:val="0"/>
      <w:marTop w:val="0"/>
      <w:marBottom w:val="0"/>
      <w:divBdr>
        <w:top w:val="none" w:sz="0" w:space="0" w:color="auto"/>
        <w:left w:val="none" w:sz="0" w:space="0" w:color="auto"/>
        <w:bottom w:val="none" w:sz="0" w:space="0" w:color="auto"/>
        <w:right w:val="none" w:sz="0" w:space="0" w:color="auto"/>
      </w:divBdr>
    </w:div>
    <w:div w:id="262306804">
      <w:bodyDiv w:val="1"/>
      <w:marLeft w:val="0"/>
      <w:marRight w:val="0"/>
      <w:marTop w:val="0"/>
      <w:marBottom w:val="0"/>
      <w:divBdr>
        <w:top w:val="none" w:sz="0" w:space="0" w:color="auto"/>
        <w:left w:val="none" w:sz="0" w:space="0" w:color="auto"/>
        <w:bottom w:val="none" w:sz="0" w:space="0" w:color="auto"/>
        <w:right w:val="none" w:sz="0" w:space="0" w:color="auto"/>
      </w:divBdr>
    </w:div>
    <w:div w:id="267853586">
      <w:bodyDiv w:val="1"/>
      <w:marLeft w:val="0"/>
      <w:marRight w:val="0"/>
      <w:marTop w:val="0"/>
      <w:marBottom w:val="0"/>
      <w:divBdr>
        <w:top w:val="none" w:sz="0" w:space="0" w:color="auto"/>
        <w:left w:val="none" w:sz="0" w:space="0" w:color="auto"/>
        <w:bottom w:val="none" w:sz="0" w:space="0" w:color="auto"/>
        <w:right w:val="none" w:sz="0" w:space="0" w:color="auto"/>
      </w:divBdr>
    </w:div>
    <w:div w:id="271405007">
      <w:bodyDiv w:val="1"/>
      <w:marLeft w:val="0"/>
      <w:marRight w:val="0"/>
      <w:marTop w:val="0"/>
      <w:marBottom w:val="0"/>
      <w:divBdr>
        <w:top w:val="none" w:sz="0" w:space="0" w:color="auto"/>
        <w:left w:val="none" w:sz="0" w:space="0" w:color="auto"/>
        <w:bottom w:val="none" w:sz="0" w:space="0" w:color="auto"/>
        <w:right w:val="none" w:sz="0" w:space="0" w:color="auto"/>
      </w:divBdr>
    </w:div>
    <w:div w:id="272513891">
      <w:bodyDiv w:val="1"/>
      <w:marLeft w:val="0"/>
      <w:marRight w:val="0"/>
      <w:marTop w:val="0"/>
      <w:marBottom w:val="0"/>
      <w:divBdr>
        <w:top w:val="none" w:sz="0" w:space="0" w:color="auto"/>
        <w:left w:val="none" w:sz="0" w:space="0" w:color="auto"/>
        <w:bottom w:val="none" w:sz="0" w:space="0" w:color="auto"/>
        <w:right w:val="none" w:sz="0" w:space="0" w:color="auto"/>
      </w:divBdr>
    </w:div>
    <w:div w:id="274678231">
      <w:bodyDiv w:val="1"/>
      <w:marLeft w:val="0"/>
      <w:marRight w:val="0"/>
      <w:marTop w:val="0"/>
      <w:marBottom w:val="0"/>
      <w:divBdr>
        <w:top w:val="none" w:sz="0" w:space="0" w:color="auto"/>
        <w:left w:val="none" w:sz="0" w:space="0" w:color="auto"/>
        <w:bottom w:val="none" w:sz="0" w:space="0" w:color="auto"/>
        <w:right w:val="none" w:sz="0" w:space="0" w:color="auto"/>
      </w:divBdr>
    </w:div>
    <w:div w:id="274949549">
      <w:bodyDiv w:val="1"/>
      <w:marLeft w:val="0"/>
      <w:marRight w:val="0"/>
      <w:marTop w:val="0"/>
      <w:marBottom w:val="0"/>
      <w:divBdr>
        <w:top w:val="none" w:sz="0" w:space="0" w:color="auto"/>
        <w:left w:val="none" w:sz="0" w:space="0" w:color="auto"/>
        <w:bottom w:val="none" w:sz="0" w:space="0" w:color="auto"/>
        <w:right w:val="none" w:sz="0" w:space="0" w:color="auto"/>
      </w:divBdr>
    </w:div>
    <w:div w:id="274992488">
      <w:bodyDiv w:val="1"/>
      <w:marLeft w:val="0"/>
      <w:marRight w:val="0"/>
      <w:marTop w:val="0"/>
      <w:marBottom w:val="0"/>
      <w:divBdr>
        <w:top w:val="none" w:sz="0" w:space="0" w:color="auto"/>
        <w:left w:val="none" w:sz="0" w:space="0" w:color="auto"/>
        <w:bottom w:val="none" w:sz="0" w:space="0" w:color="auto"/>
        <w:right w:val="none" w:sz="0" w:space="0" w:color="auto"/>
      </w:divBdr>
    </w:div>
    <w:div w:id="275600602">
      <w:bodyDiv w:val="1"/>
      <w:marLeft w:val="0"/>
      <w:marRight w:val="0"/>
      <w:marTop w:val="0"/>
      <w:marBottom w:val="0"/>
      <w:divBdr>
        <w:top w:val="none" w:sz="0" w:space="0" w:color="auto"/>
        <w:left w:val="none" w:sz="0" w:space="0" w:color="auto"/>
        <w:bottom w:val="none" w:sz="0" w:space="0" w:color="auto"/>
        <w:right w:val="none" w:sz="0" w:space="0" w:color="auto"/>
      </w:divBdr>
    </w:div>
    <w:div w:id="276068397">
      <w:bodyDiv w:val="1"/>
      <w:marLeft w:val="0"/>
      <w:marRight w:val="0"/>
      <w:marTop w:val="0"/>
      <w:marBottom w:val="0"/>
      <w:divBdr>
        <w:top w:val="none" w:sz="0" w:space="0" w:color="auto"/>
        <w:left w:val="none" w:sz="0" w:space="0" w:color="auto"/>
        <w:bottom w:val="none" w:sz="0" w:space="0" w:color="auto"/>
        <w:right w:val="none" w:sz="0" w:space="0" w:color="auto"/>
      </w:divBdr>
    </w:div>
    <w:div w:id="276640969">
      <w:bodyDiv w:val="1"/>
      <w:marLeft w:val="0"/>
      <w:marRight w:val="0"/>
      <w:marTop w:val="0"/>
      <w:marBottom w:val="0"/>
      <w:divBdr>
        <w:top w:val="none" w:sz="0" w:space="0" w:color="auto"/>
        <w:left w:val="none" w:sz="0" w:space="0" w:color="auto"/>
        <w:bottom w:val="none" w:sz="0" w:space="0" w:color="auto"/>
        <w:right w:val="none" w:sz="0" w:space="0" w:color="auto"/>
      </w:divBdr>
    </w:div>
    <w:div w:id="278493631">
      <w:bodyDiv w:val="1"/>
      <w:marLeft w:val="0"/>
      <w:marRight w:val="0"/>
      <w:marTop w:val="0"/>
      <w:marBottom w:val="0"/>
      <w:divBdr>
        <w:top w:val="none" w:sz="0" w:space="0" w:color="auto"/>
        <w:left w:val="none" w:sz="0" w:space="0" w:color="auto"/>
        <w:bottom w:val="none" w:sz="0" w:space="0" w:color="auto"/>
        <w:right w:val="none" w:sz="0" w:space="0" w:color="auto"/>
      </w:divBdr>
    </w:div>
    <w:div w:id="279996594">
      <w:bodyDiv w:val="1"/>
      <w:marLeft w:val="0"/>
      <w:marRight w:val="0"/>
      <w:marTop w:val="0"/>
      <w:marBottom w:val="0"/>
      <w:divBdr>
        <w:top w:val="none" w:sz="0" w:space="0" w:color="auto"/>
        <w:left w:val="none" w:sz="0" w:space="0" w:color="auto"/>
        <w:bottom w:val="none" w:sz="0" w:space="0" w:color="auto"/>
        <w:right w:val="none" w:sz="0" w:space="0" w:color="auto"/>
      </w:divBdr>
    </w:div>
    <w:div w:id="282346252">
      <w:bodyDiv w:val="1"/>
      <w:marLeft w:val="0"/>
      <w:marRight w:val="0"/>
      <w:marTop w:val="0"/>
      <w:marBottom w:val="0"/>
      <w:divBdr>
        <w:top w:val="none" w:sz="0" w:space="0" w:color="auto"/>
        <w:left w:val="none" w:sz="0" w:space="0" w:color="auto"/>
        <w:bottom w:val="none" w:sz="0" w:space="0" w:color="auto"/>
        <w:right w:val="none" w:sz="0" w:space="0" w:color="auto"/>
      </w:divBdr>
    </w:div>
    <w:div w:id="283930058">
      <w:bodyDiv w:val="1"/>
      <w:marLeft w:val="0"/>
      <w:marRight w:val="0"/>
      <w:marTop w:val="0"/>
      <w:marBottom w:val="0"/>
      <w:divBdr>
        <w:top w:val="none" w:sz="0" w:space="0" w:color="auto"/>
        <w:left w:val="none" w:sz="0" w:space="0" w:color="auto"/>
        <w:bottom w:val="none" w:sz="0" w:space="0" w:color="auto"/>
        <w:right w:val="none" w:sz="0" w:space="0" w:color="auto"/>
      </w:divBdr>
    </w:div>
    <w:div w:id="284967767">
      <w:bodyDiv w:val="1"/>
      <w:marLeft w:val="0"/>
      <w:marRight w:val="0"/>
      <w:marTop w:val="0"/>
      <w:marBottom w:val="0"/>
      <w:divBdr>
        <w:top w:val="none" w:sz="0" w:space="0" w:color="auto"/>
        <w:left w:val="none" w:sz="0" w:space="0" w:color="auto"/>
        <w:bottom w:val="none" w:sz="0" w:space="0" w:color="auto"/>
        <w:right w:val="none" w:sz="0" w:space="0" w:color="auto"/>
      </w:divBdr>
    </w:div>
    <w:div w:id="290291062">
      <w:bodyDiv w:val="1"/>
      <w:marLeft w:val="0"/>
      <w:marRight w:val="0"/>
      <w:marTop w:val="0"/>
      <w:marBottom w:val="0"/>
      <w:divBdr>
        <w:top w:val="none" w:sz="0" w:space="0" w:color="auto"/>
        <w:left w:val="none" w:sz="0" w:space="0" w:color="auto"/>
        <w:bottom w:val="none" w:sz="0" w:space="0" w:color="auto"/>
        <w:right w:val="none" w:sz="0" w:space="0" w:color="auto"/>
      </w:divBdr>
    </w:div>
    <w:div w:id="292256178">
      <w:bodyDiv w:val="1"/>
      <w:marLeft w:val="0"/>
      <w:marRight w:val="0"/>
      <w:marTop w:val="0"/>
      <w:marBottom w:val="0"/>
      <w:divBdr>
        <w:top w:val="none" w:sz="0" w:space="0" w:color="auto"/>
        <w:left w:val="none" w:sz="0" w:space="0" w:color="auto"/>
        <w:bottom w:val="none" w:sz="0" w:space="0" w:color="auto"/>
        <w:right w:val="none" w:sz="0" w:space="0" w:color="auto"/>
      </w:divBdr>
    </w:div>
    <w:div w:id="294601567">
      <w:bodyDiv w:val="1"/>
      <w:marLeft w:val="0"/>
      <w:marRight w:val="0"/>
      <w:marTop w:val="0"/>
      <w:marBottom w:val="0"/>
      <w:divBdr>
        <w:top w:val="none" w:sz="0" w:space="0" w:color="auto"/>
        <w:left w:val="none" w:sz="0" w:space="0" w:color="auto"/>
        <w:bottom w:val="none" w:sz="0" w:space="0" w:color="auto"/>
        <w:right w:val="none" w:sz="0" w:space="0" w:color="auto"/>
      </w:divBdr>
    </w:div>
    <w:div w:id="297227820">
      <w:bodyDiv w:val="1"/>
      <w:marLeft w:val="0"/>
      <w:marRight w:val="0"/>
      <w:marTop w:val="0"/>
      <w:marBottom w:val="0"/>
      <w:divBdr>
        <w:top w:val="none" w:sz="0" w:space="0" w:color="auto"/>
        <w:left w:val="none" w:sz="0" w:space="0" w:color="auto"/>
        <w:bottom w:val="none" w:sz="0" w:space="0" w:color="auto"/>
        <w:right w:val="none" w:sz="0" w:space="0" w:color="auto"/>
      </w:divBdr>
    </w:div>
    <w:div w:id="298001743">
      <w:bodyDiv w:val="1"/>
      <w:marLeft w:val="0"/>
      <w:marRight w:val="0"/>
      <w:marTop w:val="0"/>
      <w:marBottom w:val="0"/>
      <w:divBdr>
        <w:top w:val="none" w:sz="0" w:space="0" w:color="auto"/>
        <w:left w:val="none" w:sz="0" w:space="0" w:color="auto"/>
        <w:bottom w:val="none" w:sz="0" w:space="0" w:color="auto"/>
        <w:right w:val="none" w:sz="0" w:space="0" w:color="auto"/>
      </w:divBdr>
    </w:div>
    <w:div w:id="298001833">
      <w:bodyDiv w:val="1"/>
      <w:marLeft w:val="0"/>
      <w:marRight w:val="0"/>
      <w:marTop w:val="0"/>
      <w:marBottom w:val="0"/>
      <w:divBdr>
        <w:top w:val="none" w:sz="0" w:space="0" w:color="auto"/>
        <w:left w:val="none" w:sz="0" w:space="0" w:color="auto"/>
        <w:bottom w:val="none" w:sz="0" w:space="0" w:color="auto"/>
        <w:right w:val="none" w:sz="0" w:space="0" w:color="auto"/>
      </w:divBdr>
    </w:div>
    <w:div w:id="299002620">
      <w:bodyDiv w:val="1"/>
      <w:marLeft w:val="0"/>
      <w:marRight w:val="0"/>
      <w:marTop w:val="0"/>
      <w:marBottom w:val="0"/>
      <w:divBdr>
        <w:top w:val="none" w:sz="0" w:space="0" w:color="auto"/>
        <w:left w:val="none" w:sz="0" w:space="0" w:color="auto"/>
        <w:bottom w:val="none" w:sz="0" w:space="0" w:color="auto"/>
        <w:right w:val="none" w:sz="0" w:space="0" w:color="auto"/>
      </w:divBdr>
    </w:div>
    <w:div w:id="299771794">
      <w:bodyDiv w:val="1"/>
      <w:marLeft w:val="0"/>
      <w:marRight w:val="0"/>
      <w:marTop w:val="0"/>
      <w:marBottom w:val="0"/>
      <w:divBdr>
        <w:top w:val="none" w:sz="0" w:space="0" w:color="auto"/>
        <w:left w:val="none" w:sz="0" w:space="0" w:color="auto"/>
        <w:bottom w:val="none" w:sz="0" w:space="0" w:color="auto"/>
        <w:right w:val="none" w:sz="0" w:space="0" w:color="auto"/>
      </w:divBdr>
    </w:div>
    <w:div w:id="300116633">
      <w:bodyDiv w:val="1"/>
      <w:marLeft w:val="0"/>
      <w:marRight w:val="0"/>
      <w:marTop w:val="0"/>
      <w:marBottom w:val="0"/>
      <w:divBdr>
        <w:top w:val="none" w:sz="0" w:space="0" w:color="auto"/>
        <w:left w:val="none" w:sz="0" w:space="0" w:color="auto"/>
        <w:bottom w:val="none" w:sz="0" w:space="0" w:color="auto"/>
        <w:right w:val="none" w:sz="0" w:space="0" w:color="auto"/>
      </w:divBdr>
    </w:div>
    <w:div w:id="301496542">
      <w:bodyDiv w:val="1"/>
      <w:marLeft w:val="0"/>
      <w:marRight w:val="0"/>
      <w:marTop w:val="0"/>
      <w:marBottom w:val="0"/>
      <w:divBdr>
        <w:top w:val="none" w:sz="0" w:space="0" w:color="auto"/>
        <w:left w:val="none" w:sz="0" w:space="0" w:color="auto"/>
        <w:bottom w:val="none" w:sz="0" w:space="0" w:color="auto"/>
        <w:right w:val="none" w:sz="0" w:space="0" w:color="auto"/>
      </w:divBdr>
    </w:div>
    <w:div w:id="303437217">
      <w:bodyDiv w:val="1"/>
      <w:marLeft w:val="0"/>
      <w:marRight w:val="0"/>
      <w:marTop w:val="0"/>
      <w:marBottom w:val="0"/>
      <w:divBdr>
        <w:top w:val="none" w:sz="0" w:space="0" w:color="auto"/>
        <w:left w:val="none" w:sz="0" w:space="0" w:color="auto"/>
        <w:bottom w:val="none" w:sz="0" w:space="0" w:color="auto"/>
        <w:right w:val="none" w:sz="0" w:space="0" w:color="auto"/>
      </w:divBdr>
    </w:div>
    <w:div w:id="303511777">
      <w:bodyDiv w:val="1"/>
      <w:marLeft w:val="0"/>
      <w:marRight w:val="0"/>
      <w:marTop w:val="0"/>
      <w:marBottom w:val="0"/>
      <w:divBdr>
        <w:top w:val="none" w:sz="0" w:space="0" w:color="auto"/>
        <w:left w:val="none" w:sz="0" w:space="0" w:color="auto"/>
        <w:bottom w:val="none" w:sz="0" w:space="0" w:color="auto"/>
        <w:right w:val="none" w:sz="0" w:space="0" w:color="auto"/>
      </w:divBdr>
    </w:div>
    <w:div w:id="304239775">
      <w:bodyDiv w:val="1"/>
      <w:marLeft w:val="0"/>
      <w:marRight w:val="0"/>
      <w:marTop w:val="0"/>
      <w:marBottom w:val="0"/>
      <w:divBdr>
        <w:top w:val="none" w:sz="0" w:space="0" w:color="auto"/>
        <w:left w:val="none" w:sz="0" w:space="0" w:color="auto"/>
        <w:bottom w:val="none" w:sz="0" w:space="0" w:color="auto"/>
        <w:right w:val="none" w:sz="0" w:space="0" w:color="auto"/>
      </w:divBdr>
      <w:divsChild>
        <w:div w:id="375812171">
          <w:marLeft w:val="706"/>
          <w:marRight w:val="0"/>
          <w:marTop w:val="0"/>
          <w:marBottom w:val="0"/>
          <w:divBdr>
            <w:top w:val="none" w:sz="0" w:space="0" w:color="auto"/>
            <w:left w:val="none" w:sz="0" w:space="0" w:color="auto"/>
            <w:bottom w:val="none" w:sz="0" w:space="0" w:color="auto"/>
            <w:right w:val="none" w:sz="0" w:space="0" w:color="auto"/>
          </w:divBdr>
        </w:div>
      </w:divsChild>
    </w:div>
    <w:div w:id="304313828">
      <w:bodyDiv w:val="1"/>
      <w:marLeft w:val="0"/>
      <w:marRight w:val="0"/>
      <w:marTop w:val="0"/>
      <w:marBottom w:val="0"/>
      <w:divBdr>
        <w:top w:val="none" w:sz="0" w:space="0" w:color="auto"/>
        <w:left w:val="none" w:sz="0" w:space="0" w:color="auto"/>
        <w:bottom w:val="none" w:sz="0" w:space="0" w:color="auto"/>
        <w:right w:val="none" w:sz="0" w:space="0" w:color="auto"/>
      </w:divBdr>
    </w:div>
    <w:div w:id="305093016">
      <w:bodyDiv w:val="1"/>
      <w:marLeft w:val="0"/>
      <w:marRight w:val="0"/>
      <w:marTop w:val="0"/>
      <w:marBottom w:val="0"/>
      <w:divBdr>
        <w:top w:val="none" w:sz="0" w:space="0" w:color="auto"/>
        <w:left w:val="none" w:sz="0" w:space="0" w:color="auto"/>
        <w:bottom w:val="none" w:sz="0" w:space="0" w:color="auto"/>
        <w:right w:val="none" w:sz="0" w:space="0" w:color="auto"/>
      </w:divBdr>
    </w:div>
    <w:div w:id="305744437">
      <w:bodyDiv w:val="1"/>
      <w:marLeft w:val="0"/>
      <w:marRight w:val="0"/>
      <w:marTop w:val="0"/>
      <w:marBottom w:val="0"/>
      <w:divBdr>
        <w:top w:val="none" w:sz="0" w:space="0" w:color="auto"/>
        <w:left w:val="none" w:sz="0" w:space="0" w:color="auto"/>
        <w:bottom w:val="none" w:sz="0" w:space="0" w:color="auto"/>
        <w:right w:val="none" w:sz="0" w:space="0" w:color="auto"/>
      </w:divBdr>
    </w:div>
    <w:div w:id="308363002">
      <w:bodyDiv w:val="1"/>
      <w:marLeft w:val="0"/>
      <w:marRight w:val="0"/>
      <w:marTop w:val="0"/>
      <w:marBottom w:val="0"/>
      <w:divBdr>
        <w:top w:val="none" w:sz="0" w:space="0" w:color="auto"/>
        <w:left w:val="none" w:sz="0" w:space="0" w:color="auto"/>
        <w:bottom w:val="none" w:sz="0" w:space="0" w:color="auto"/>
        <w:right w:val="none" w:sz="0" w:space="0" w:color="auto"/>
      </w:divBdr>
    </w:div>
    <w:div w:id="308479618">
      <w:bodyDiv w:val="1"/>
      <w:marLeft w:val="0"/>
      <w:marRight w:val="0"/>
      <w:marTop w:val="0"/>
      <w:marBottom w:val="0"/>
      <w:divBdr>
        <w:top w:val="none" w:sz="0" w:space="0" w:color="auto"/>
        <w:left w:val="none" w:sz="0" w:space="0" w:color="auto"/>
        <w:bottom w:val="none" w:sz="0" w:space="0" w:color="auto"/>
        <w:right w:val="none" w:sz="0" w:space="0" w:color="auto"/>
      </w:divBdr>
    </w:div>
    <w:div w:id="311717195">
      <w:bodyDiv w:val="1"/>
      <w:marLeft w:val="0"/>
      <w:marRight w:val="0"/>
      <w:marTop w:val="0"/>
      <w:marBottom w:val="0"/>
      <w:divBdr>
        <w:top w:val="none" w:sz="0" w:space="0" w:color="auto"/>
        <w:left w:val="none" w:sz="0" w:space="0" w:color="auto"/>
        <w:bottom w:val="none" w:sz="0" w:space="0" w:color="auto"/>
        <w:right w:val="none" w:sz="0" w:space="0" w:color="auto"/>
      </w:divBdr>
    </w:div>
    <w:div w:id="312485703">
      <w:bodyDiv w:val="1"/>
      <w:marLeft w:val="0"/>
      <w:marRight w:val="0"/>
      <w:marTop w:val="0"/>
      <w:marBottom w:val="0"/>
      <w:divBdr>
        <w:top w:val="none" w:sz="0" w:space="0" w:color="auto"/>
        <w:left w:val="none" w:sz="0" w:space="0" w:color="auto"/>
        <w:bottom w:val="none" w:sz="0" w:space="0" w:color="auto"/>
        <w:right w:val="none" w:sz="0" w:space="0" w:color="auto"/>
      </w:divBdr>
    </w:div>
    <w:div w:id="315497854">
      <w:bodyDiv w:val="1"/>
      <w:marLeft w:val="0"/>
      <w:marRight w:val="0"/>
      <w:marTop w:val="0"/>
      <w:marBottom w:val="0"/>
      <w:divBdr>
        <w:top w:val="none" w:sz="0" w:space="0" w:color="auto"/>
        <w:left w:val="none" w:sz="0" w:space="0" w:color="auto"/>
        <w:bottom w:val="none" w:sz="0" w:space="0" w:color="auto"/>
        <w:right w:val="none" w:sz="0" w:space="0" w:color="auto"/>
      </w:divBdr>
    </w:div>
    <w:div w:id="315687881">
      <w:bodyDiv w:val="1"/>
      <w:marLeft w:val="0"/>
      <w:marRight w:val="0"/>
      <w:marTop w:val="0"/>
      <w:marBottom w:val="0"/>
      <w:divBdr>
        <w:top w:val="none" w:sz="0" w:space="0" w:color="auto"/>
        <w:left w:val="none" w:sz="0" w:space="0" w:color="auto"/>
        <w:bottom w:val="none" w:sz="0" w:space="0" w:color="auto"/>
        <w:right w:val="none" w:sz="0" w:space="0" w:color="auto"/>
      </w:divBdr>
    </w:div>
    <w:div w:id="316229216">
      <w:bodyDiv w:val="1"/>
      <w:marLeft w:val="0"/>
      <w:marRight w:val="0"/>
      <w:marTop w:val="0"/>
      <w:marBottom w:val="0"/>
      <w:divBdr>
        <w:top w:val="none" w:sz="0" w:space="0" w:color="auto"/>
        <w:left w:val="none" w:sz="0" w:space="0" w:color="auto"/>
        <w:bottom w:val="none" w:sz="0" w:space="0" w:color="auto"/>
        <w:right w:val="none" w:sz="0" w:space="0" w:color="auto"/>
      </w:divBdr>
    </w:div>
    <w:div w:id="317001876">
      <w:bodyDiv w:val="1"/>
      <w:marLeft w:val="0"/>
      <w:marRight w:val="0"/>
      <w:marTop w:val="0"/>
      <w:marBottom w:val="0"/>
      <w:divBdr>
        <w:top w:val="none" w:sz="0" w:space="0" w:color="auto"/>
        <w:left w:val="none" w:sz="0" w:space="0" w:color="auto"/>
        <w:bottom w:val="none" w:sz="0" w:space="0" w:color="auto"/>
        <w:right w:val="none" w:sz="0" w:space="0" w:color="auto"/>
      </w:divBdr>
    </w:div>
    <w:div w:id="319428248">
      <w:bodyDiv w:val="1"/>
      <w:marLeft w:val="0"/>
      <w:marRight w:val="0"/>
      <w:marTop w:val="0"/>
      <w:marBottom w:val="0"/>
      <w:divBdr>
        <w:top w:val="none" w:sz="0" w:space="0" w:color="auto"/>
        <w:left w:val="none" w:sz="0" w:space="0" w:color="auto"/>
        <w:bottom w:val="none" w:sz="0" w:space="0" w:color="auto"/>
        <w:right w:val="none" w:sz="0" w:space="0" w:color="auto"/>
      </w:divBdr>
    </w:div>
    <w:div w:id="321278130">
      <w:bodyDiv w:val="1"/>
      <w:marLeft w:val="0"/>
      <w:marRight w:val="0"/>
      <w:marTop w:val="0"/>
      <w:marBottom w:val="0"/>
      <w:divBdr>
        <w:top w:val="none" w:sz="0" w:space="0" w:color="auto"/>
        <w:left w:val="none" w:sz="0" w:space="0" w:color="auto"/>
        <w:bottom w:val="none" w:sz="0" w:space="0" w:color="auto"/>
        <w:right w:val="none" w:sz="0" w:space="0" w:color="auto"/>
      </w:divBdr>
    </w:div>
    <w:div w:id="321542397">
      <w:bodyDiv w:val="1"/>
      <w:marLeft w:val="0"/>
      <w:marRight w:val="0"/>
      <w:marTop w:val="0"/>
      <w:marBottom w:val="0"/>
      <w:divBdr>
        <w:top w:val="none" w:sz="0" w:space="0" w:color="auto"/>
        <w:left w:val="none" w:sz="0" w:space="0" w:color="auto"/>
        <w:bottom w:val="none" w:sz="0" w:space="0" w:color="auto"/>
        <w:right w:val="none" w:sz="0" w:space="0" w:color="auto"/>
      </w:divBdr>
    </w:div>
    <w:div w:id="322703566">
      <w:bodyDiv w:val="1"/>
      <w:marLeft w:val="0"/>
      <w:marRight w:val="0"/>
      <w:marTop w:val="0"/>
      <w:marBottom w:val="0"/>
      <w:divBdr>
        <w:top w:val="none" w:sz="0" w:space="0" w:color="auto"/>
        <w:left w:val="none" w:sz="0" w:space="0" w:color="auto"/>
        <w:bottom w:val="none" w:sz="0" w:space="0" w:color="auto"/>
        <w:right w:val="none" w:sz="0" w:space="0" w:color="auto"/>
      </w:divBdr>
    </w:div>
    <w:div w:id="326132465">
      <w:bodyDiv w:val="1"/>
      <w:marLeft w:val="0"/>
      <w:marRight w:val="0"/>
      <w:marTop w:val="0"/>
      <w:marBottom w:val="0"/>
      <w:divBdr>
        <w:top w:val="none" w:sz="0" w:space="0" w:color="auto"/>
        <w:left w:val="none" w:sz="0" w:space="0" w:color="auto"/>
        <w:bottom w:val="none" w:sz="0" w:space="0" w:color="auto"/>
        <w:right w:val="none" w:sz="0" w:space="0" w:color="auto"/>
      </w:divBdr>
    </w:div>
    <w:div w:id="328683092">
      <w:bodyDiv w:val="1"/>
      <w:marLeft w:val="0"/>
      <w:marRight w:val="0"/>
      <w:marTop w:val="0"/>
      <w:marBottom w:val="0"/>
      <w:divBdr>
        <w:top w:val="none" w:sz="0" w:space="0" w:color="auto"/>
        <w:left w:val="none" w:sz="0" w:space="0" w:color="auto"/>
        <w:bottom w:val="none" w:sz="0" w:space="0" w:color="auto"/>
        <w:right w:val="none" w:sz="0" w:space="0" w:color="auto"/>
      </w:divBdr>
    </w:div>
    <w:div w:id="331642788">
      <w:bodyDiv w:val="1"/>
      <w:marLeft w:val="0"/>
      <w:marRight w:val="0"/>
      <w:marTop w:val="0"/>
      <w:marBottom w:val="0"/>
      <w:divBdr>
        <w:top w:val="none" w:sz="0" w:space="0" w:color="auto"/>
        <w:left w:val="none" w:sz="0" w:space="0" w:color="auto"/>
        <w:bottom w:val="none" w:sz="0" w:space="0" w:color="auto"/>
        <w:right w:val="none" w:sz="0" w:space="0" w:color="auto"/>
      </w:divBdr>
    </w:div>
    <w:div w:id="331884052">
      <w:bodyDiv w:val="1"/>
      <w:marLeft w:val="0"/>
      <w:marRight w:val="0"/>
      <w:marTop w:val="0"/>
      <w:marBottom w:val="0"/>
      <w:divBdr>
        <w:top w:val="none" w:sz="0" w:space="0" w:color="auto"/>
        <w:left w:val="none" w:sz="0" w:space="0" w:color="auto"/>
        <w:bottom w:val="none" w:sz="0" w:space="0" w:color="auto"/>
        <w:right w:val="none" w:sz="0" w:space="0" w:color="auto"/>
      </w:divBdr>
    </w:div>
    <w:div w:id="334579372">
      <w:bodyDiv w:val="1"/>
      <w:marLeft w:val="0"/>
      <w:marRight w:val="0"/>
      <w:marTop w:val="0"/>
      <w:marBottom w:val="0"/>
      <w:divBdr>
        <w:top w:val="none" w:sz="0" w:space="0" w:color="auto"/>
        <w:left w:val="none" w:sz="0" w:space="0" w:color="auto"/>
        <w:bottom w:val="none" w:sz="0" w:space="0" w:color="auto"/>
        <w:right w:val="none" w:sz="0" w:space="0" w:color="auto"/>
      </w:divBdr>
    </w:div>
    <w:div w:id="340084659">
      <w:bodyDiv w:val="1"/>
      <w:marLeft w:val="0"/>
      <w:marRight w:val="0"/>
      <w:marTop w:val="0"/>
      <w:marBottom w:val="0"/>
      <w:divBdr>
        <w:top w:val="none" w:sz="0" w:space="0" w:color="auto"/>
        <w:left w:val="none" w:sz="0" w:space="0" w:color="auto"/>
        <w:bottom w:val="none" w:sz="0" w:space="0" w:color="auto"/>
        <w:right w:val="none" w:sz="0" w:space="0" w:color="auto"/>
      </w:divBdr>
    </w:div>
    <w:div w:id="340158400">
      <w:bodyDiv w:val="1"/>
      <w:marLeft w:val="0"/>
      <w:marRight w:val="0"/>
      <w:marTop w:val="0"/>
      <w:marBottom w:val="0"/>
      <w:divBdr>
        <w:top w:val="none" w:sz="0" w:space="0" w:color="auto"/>
        <w:left w:val="none" w:sz="0" w:space="0" w:color="auto"/>
        <w:bottom w:val="none" w:sz="0" w:space="0" w:color="auto"/>
        <w:right w:val="none" w:sz="0" w:space="0" w:color="auto"/>
      </w:divBdr>
    </w:div>
    <w:div w:id="343897306">
      <w:bodyDiv w:val="1"/>
      <w:marLeft w:val="0"/>
      <w:marRight w:val="0"/>
      <w:marTop w:val="0"/>
      <w:marBottom w:val="0"/>
      <w:divBdr>
        <w:top w:val="none" w:sz="0" w:space="0" w:color="auto"/>
        <w:left w:val="none" w:sz="0" w:space="0" w:color="auto"/>
        <w:bottom w:val="none" w:sz="0" w:space="0" w:color="auto"/>
        <w:right w:val="none" w:sz="0" w:space="0" w:color="auto"/>
      </w:divBdr>
    </w:div>
    <w:div w:id="343938009">
      <w:bodyDiv w:val="1"/>
      <w:marLeft w:val="0"/>
      <w:marRight w:val="0"/>
      <w:marTop w:val="0"/>
      <w:marBottom w:val="0"/>
      <w:divBdr>
        <w:top w:val="none" w:sz="0" w:space="0" w:color="auto"/>
        <w:left w:val="none" w:sz="0" w:space="0" w:color="auto"/>
        <w:bottom w:val="none" w:sz="0" w:space="0" w:color="auto"/>
        <w:right w:val="none" w:sz="0" w:space="0" w:color="auto"/>
      </w:divBdr>
    </w:div>
    <w:div w:id="346106657">
      <w:bodyDiv w:val="1"/>
      <w:marLeft w:val="0"/>
      <w:marRight w:val="0"/>
      <w:marTop w:val="0"/>
      <w:marBottom w:val="0"/>
      <w:divBdr>
        <w:top w:val="none" w:sz="0" w:space="0" w:color="auto"/>
        <w:left w:val="none" w:sz="0" w:space="0" w:color="auto"/>
        <w:bottom w:val="none" w:sz="0" w:space="0" w:color="auto"/>
        <w:right w:val="none" w:sz="0" w:space="0" w:color="auto"/>
      </w:divBdr>
    </w:div>
    <w:div w:id="347298437">
      <w:bodyDiv w:val="1"/>
      <w:marLeft w:val="0"/>
      <w:marRight w:val="0"/>
      <w:marTop w:val="0"/>
      <w:marBottom w:val="0"/>
      <w:divBdr>
        <w:top w:val="none" w:sz="0" w:space="0" w:color="auto"/>
        <w:left w:val="none" w:sz="0" w:space="0" w:color="auto"/>
        <w:bottom w:val="none" w:sz="0" w:space="0" w:color="auto"/>
        <w:right w:val="none" w:sz="0" w:space="0" w:color="auto"/>
      </w:divBdr>
    </w:div>
    <w:div w:id="347946183">
      <w:bodyDiv w:val="1"/>
      <w:marLeft w:val="0"/>
      <w:marRight w:val="0"/>
      <w:marTop w:val="0"/>
      <w:marBottom w:val="0"/>
      <w:divBdr>
        <w:top w:val="none" w:sz="0" w:space="0" w:color="auto"/>
        <w:left w:val="none" w:sz="0" w:space="0" w:color="auto"/>
        <w:bottom w:val="none" w:sz="0" w:space="0" w:color="auto"/>
        <w:right w:val="none" w:sz="0" w:space="0" w:color="auto"/>
      </w:divBdr>
    </w:div>
    <w:div w:id="348142049">
      <w:bodyDiv w:val="1"/>
      <w:marLeft w:val="0"/>
      <w:marRight w:val="0"/>
      <w:marTop w:val="0"/>
      <w:marBottom w:val="0"/>
      <w:divBdr>
        <w:top w:val="none" w:sz="0" w:space="0" w:color="auto"/>
        <w:left w:val="none" w:sz="0" w:space="0" w:color="auto"/>
        <w:bottom w:val="none" w:sz="0" w:space="0" w:color="auto"/>
        <w:right w:val="none" w:sz="0" w:space="0" w:color="auto"/>
      </w:divBdr>
    </w:div>
    <w:div w:id="348873963">
      <w:bodyDiv w:val="1"/>
      <w:marLeft w:val="0"/>
      <w:marRight w:val="0"/>
      <w:marTop w:val="0"/>
      <w:marBottom w:val="0"/>
      <w:divBdr>
        <w:top w:val="none" w:sz="0" w:space="0" w:color="auto"/>
        <w:left w:val="none" w:sz="0" w:space="0" w:color="auto"/>
        <w:bottom w:val="none" w:sz="0" w:space="0" w:color="auto"/>
        <w:right w:val="none" w:sz="0" w:space="0" w:color="auto"/>
      </w:divBdr>
    </w:div>
    <w:div w:id="354624629">
      <w:bodyDiv w:val="1"/>
      <w:marLeft w:val="0"/>
      <w:marRight w:val="0"/>
      <w:marTop w:val="0"/>
      <w:marBottom w:val="0"/>
      <w:divBdr>
        <w:top w:val="none" w:sz="0" w:space="0" w:color="auto"/>
        <w:left w:val="none" w:sz="0" w:space="0" w:color="auto"/>
        <w:bottom w:val="none" w:sz="0" w:space="0" w:color="auto"/>
        <w:right w:val="none" w:sz="0" w:space="0" w:color="auto"/>
      </w:divBdr>
    </w:div>
    <w:div w:id="355932504">
      <w:bodyDiv w:val="1"/>
      <w:marLeft w:val="0"/>
      <w:marRight w:val="0"/>
      <w:marTop w:val="0"/>
      <w:marBottom w:val="0"/>
      <w:divBdr>
        <w:top w:val="none" w:sz="0" w:space="0" w:color="auto"/>
        <w:left w:val="none" w:sz="0" w:space="0" w:color="auto"/>
        <w:bottom w:val="none" w:sz="0" w:space="0" w:color="auto"/>
        <w:right w:val="none" w:sz="0" w:space="0" w:color="auto"/>
      </w:divBdr>
    </w:div>
    <w:div w:id="357857695">
      <w:bodyDiv w:val="1"/>
      <w:marLeft w:val="0"/>
      <w:marRight w:val="0"/>
      <w:marTop w:val="0"/>
      <w:marBottom w:val="0"/>
      <w:divBdr>
        <w:top w:val="none" w:sz="0" w:space="0" w:color="auto"/>
        <w:left w:val="none" w:sz="0" w:space="0" w:color="auto"/>
        <w:bottom w:val="none" w:sz="0" w:space="0" w:color="auto"/>
        <w:right w:val="none" w:sz="0" w:space="0" w:color="auto"/>
      </w:divBdr>
    </w:div>
    <w:div w:id="358316632">
      <w:bodyDiv w:val="1"/>
      <w:marLeft w:val="0"/>
      <w:marRight w:val="0"/>
      <w:marTop w:val="0"/>
      <w:marBottom w:val="0"/>
      <w:divBdr>
        <w:top w:val="none" w:sz="0" w:space="0" w:color="auto"/>
        <w:left w:val="none" w:sz="0" w:space="0" w:color="auto"/>
        <w:bottom w:val="none" w:sz="0" w:space="0" w:color="auto"/>
        <w:right w:val="none" w:sz="0" w:space="0" w:color="auto"/>
      </w:divBdr>
    </w:div>
    <w:div w:id="358747599">
      <w:bodyDiv w:val="1"/>
      <w:marLeft w:val="0"/>
      <w:marRight w:val="0"/>
      <w:marTop w:val="0"/>
      <w:marBottom w:val="0"/>
      <w:divBdr>
        <w:top w:val="none" w:sz="0" w:space="0" w:color="auto"/>
        <w:left w:val="none" w:sz="0" w:space="0" w:color="auto"/>
        <w:bottom w:val="none" w:sz="0" w:space="0" w:color="auto"/>
        <w:right w:val="none" w:sz="0" w:space="0" w:color="auto"/>
      </w:divBdr>
    </w:div>
    <w:div w:id="360135224">
      <w:bodyDiv w:val="1"/>
      <w:marLeft w:val="0"/>
      <w:marRight w:val="0"/>
      <w:marTop w:val="0"/>
      <w:marBottom w:val="0"/>
      <w:divBdr>
        <w:top w:val="none" w:sz="0" w:space="0" w:color="auto"/>
        <w:left w:val="none" w:sz="0" w:space="0" w:color="auto"/>
        <w:bottom w:val="none" w:sz="0" w:space="0" w:color="auto"/>
        <w:right w:val="none" w:sz="0" w:space="0" w:color="auto"/>
      </w:divBdr>
    </w:div>
    <w:div w:id="361247627">
      <w:bodyDiv w:val="1"/>
      <w:marLeft w:val="0"/>
      <w:marRight w:val="0"/>
      <w:marTop w:val="0"/>
      <w:marBottom w:val="0"/>
      <w:divBdr>
        <w:top w:val="none" w:sz="0" w:space="0" w:color="auto"/>
        <w:left w:val="none" w:sz="0" w:space="0" w:color="auto"/>
        <w:bottom w:val="none" w:sz="0" w:space="0" w:color="auto"/>
        <w:right w:val="none" w:sz="0" w:space="0" w:color="auto"/>
      </w:divBdr>
    </w:div>
    <w:div w:id="362487832">
      <w:bodyDiv w:val="1"/>
      <w:marLeft w:val="0"/>
      <w:marRight w:val="0"/>
      <w:marTop w:val="0"/>
      <w:marBottom w:val="0"/>
      <w:divBdr>
        <w:top w:val="none" w:sz="0" w:space="0" w:color="auto"/>
        <w:left w:val="none" w:sz="0" w:space="0" w:color="auto"/>
        <w:bottom w:val="none" w:sz="0" w:space="0" w:color="auto"/>
        <w:right w:val="none" w:sz="0" w:space="0" w:color="auto"/>
      </w:divBdr>
    </w:div>
    <w:div w:id="364334228">
      <w:bodyDiv w:val="1"/>
      <w:marLeft w:val="0"/>
      <w:marRight w:val="0"/>
      <w:marTop w:val="0"/>
      <w:marBottom w:val="0"/>
      <w:divBdr>
        <w:top w:val="none" w:sz="0" w:space="0" w:color="auto"/>
        <w:left w:val="none" w:sz="0" w:space="0" w:color="auto"/>
        <w:bottom w:val="none" w:sz="0" w:space="0" w:color="auto"/>
        <w:right w:val="none" w:sz="0" w:space="0" w:color="auto"/>
      </w:divBdr>
    </w:div>
    <w:div w:id="367029757">
      <w:bodyDiv w:val="1"/>
      <w:marLeft w:val="0"/>
      <w:marRight w:val="0"/>
      <w:marTop w:val="0"/>
      <w:marBottom w:val="0"/>
      <w:divBdr>
        <w:top w:val="none" w:sz="0" w:space="0" w:color="auto"/>
        <w:left w:val="none" w:sz="0" w:space="0" w:color="auto"/>
        <w:bottom w:val="none" w:sz="0" w:space="0" w:color="auto"/>
        <w:right w:val="none" w:sz="0" w:space="0" w:color="auto"/>
      </w:divBdr>
    </w:div>
    <w:div w:id="369035589">
      <w:bodyDiv w:val="1"/>
      <w:marLeft w:val="0"/>
      <w:marRight w:val="0"/>
      <w:marTop w:val="0"/>
      <w:marBottom w:val="0"/>
      <w:divBdr>
        <w:top w:val="none" w:sz="0" w:space="0" w:color="auto"/>
        <w:left w:val="none" w:sz="0" w:space="0" w:color="auto"/>
        <w:bottom w:val="none" w:sz="0" w:space="0" w:color="auto"/>
        <w:right w:val="none" w:sz="0" w:space="0" w:color="auto"/>
      </w:divBdr>
    </w:div>
    <w:div w:id="369111288">
      <w:bodyDiv w:val="1"/>
      <w:marLeft w:val="0"/>
      <w:marRight w:val="0"/>
      <w:marTop w:val="0"/>
      <w:marBottom w:val="0"/>
      <w:divBdr>
        <w:top w:val="none" w:sz="0" w:space="0" w:color="auto"/>
        <w:left w:val="none" w:sz="0" w:space="0" w:color="auto"/>
        <w:bottom w:val="none" w:sz="0" w:space="0" w:color="auto"/>
        <w:right w:val="none" w:sz="0" w:space="0" w:color="auto"/>
      </w:divBdr>
    </w:div>
    <w:div w:id="370611099">
      <w:bodyDiv w:val="1"/>
      <w:marLeft w:val="0"/>
      <w:marRight w:val="0"/>
      <w:marTop w:val="0"/>
      <w:marBottom w:val="0"/>
      <w:divBdr>
        <w:top w:val="none" w:sz="0" w:space="0" w:color="auto"/>
        <w:left w:val="none" w:sz="0" w:space="0" w:color="auto"/>
        <w:bottom w:val="none" w:sz="0" w:space="0" w:color="auto"/>
        <w:right w:val="none" w:sz="0" w:space="0" w:color="auto"/>
      </w:divBdr>
    </w:div>
    <w:div w:id="373622117">
      <w:bodyDiv w:val="1"/>
      <w:marLeft w:val="0"/>
      <w:marRight w:val="0"/>
      <w:marTop w:val="0"/>
      <w:marBottom w:val="0"/>
      <w:divBdr>
        <w:top w:val="none" w:sz="0" w:space="0" w:color="auto"/>
        <w:left w:val="none" w:sz="0" w:space="0" w:color="auto"/>
        <w:bottom w:val="none" w:sz="0" w:space="0" w:color="auto"/>
        <w:right w:val="none" w:sz="0" w:space="0" w:color="auto"/>
      </w:divBdr>
    </w:div>
    <w:div w:id="374231716">
      <w:bodyDiv w:val="1"/>
      <w:marLeft w:val="0"/>
      <w:marRight w:val="0"/>
      <w:marTop w:val="0"/>
      <w:marBottom w:val="0"/>
      <w:divBdr>
        <w:top w:val="none" w:sz="0" w:space="0" w:color="auto"/>
        <w:left w:val="none" w:sz="0" w:space="0" w:color="auto"/>
        <w:bottom w:val="none" w:sz="0" w:space="0" w:color="auto"/>
        <w:right w:val="none" w:sz="0" w:space="0" w:color="auto"/>
      </w:divBdr>
    </w:div>
    <w:div w:id="376124000">
      <w:bodyDiv w:val="1"/>
      <w:marLeft w:val="0"/>
      <w:marRight w:val="0"/>
      <w:marTop w:val="0"/>
      <w:marBottom w:val="0"/>
      <w:divBdr>
        <w:top w:val="none" w:sz="0" w:space="0" w:color="auto"/>
        <w:left w:val="none" w:sz="0" w:space="0" w:color="auto"/>
        <w:bottom w:val="none" w:sz="0" w:space="0" w:color="auto"/>
        <w:right w:val="none" w:sz="0" w:space="0" w:color="auto"/>
      </w:divBdr>
    </w:div>
    <w:div w:id="376395908">
      <w:bodyDiv w:val="1"/>
      <w:marLeft w:val="0"/>
      <w:marRight w:val="0"/>
      <w:marTop w:val="0"/>
      <w:marBottom w:val="0"/>
      <w:divBdr>
        <w:top w:val="none" w:sz="0" w:space="0" w:color="auto"/>
        <w:left w:val="none" w:sz="0" w:space="0" w:color="auto"/>
        <w:bottom w:val="none" w:sz="0" w:space="0" w:color="auto"/>
        <w:right w:val="none" w:sz="0" w:space="0" w:color="auto"/>
      </w:divBdr>
    </w:div>
    <w:div w:id="377166360">
      <w:bodyDiv w:val="1"/>
      <w:marLeft w:val="0"/>
      <w:marRight w:val="0"/>
      <w:marTop w:val="0"/>
      <w:marBottom w:val="0"/>
      <w:divBdr>
        <w:top w:val="none" w:sz="0" w:space="0" w:color="auto"/>
        <w:left w:val="none" w:sz="0" w:space="0" w:color="auto"/>
        <w:bottom w:val="none" w:sz="0" w:space="0" w:color="auto"/>
        <w:right w:val="none" w:sz="0" w:space="0" w:color="auto"/>
      </w:divBdr>
    </w:div>
    <w:div w:id="378894857">
      <w:bodyDiv w:val="1"/>
      <w:marLeft w:val="0"/>
      <w:marRight w:val="0"/>
      <w:marTop w:val="0"/>
      <w:marBottom w:val="0"/>
      <w:divBdr>
        <w:top w:val="none" w:sz="0" w:space="0" w:color="auto"/>
        <w:left w:val="none" w:sz="0" w:space="0" w:color="auto"/>
        <w:bottom w:val="none" w:sz="0" w:space="0" w:color="auto"/>
        <w:right w:val="none" w:sz="0" w:space="0" w:color="auto"/>
      </w:divBdr>
    </w:div>
    <w:div w:id="381289625">
      <w:bodyDiv w:val="1"/>
      <w:marLeft w:val="0"/>
      <w:marRight w:val="0"/>
      <w:marTop w:val="0"/>
      <w:marBottom w:val="0"/>
      <w:divBdr>
        <w:top w:val="none" w:sz="0" w:space="0" w:color="auto"/>
        <w:left w:val="none" w:sz="0" w:space="0" w:color="auto"/>
        <w:bottom w:val="none" w:sz="0" w:space="0" w:color="auto"/>
        <w:right w:val="none" w:sz="0" w:space="0" w:color="auto"/>
      </w:divBdr>
    </w:div>
    <w:div w:id="381903888">
      <w:bodyDiv w:val="1"/>
      <w:marLeft w:val="0"/>
      <w:marRight w:val="0"/>
      <w:marTop w:val="0"/>
      <w:marBottom w:val="0"/>
      <w:divBdr>
        <w:top w:val="none" w:sz="0" w:space="0" w:color="auto"/>
        <w:left w:val="none" w:sz="0" w:space="0" w:color="auto"/>
        <w:bottom w:val="none" w:sz="0" w:space="0" w:color="auto"/>
        <w:right w:val="none" w:sz="0" w:space="0" w:color="auto"/>
      </w:divBdr>
    </w:div>
    <w:div w:id="381907731">
      <w:bodyDiv w:val="1"/>
      <w:marLeft w:val="0"/>
      <w:marRight w:val="0"/>
      <w:marTop w:val="0"/>
      <w:marBottom w:val="0"/>
      <w:divBdr>
        <w:top w:val="none" w:sz="0" w:space="0" w:color="auto"/>
        <w:left w:val="none" w:sz="0" w:space="0" w:color="auto"/>
        <w:bottom w:val="none" w:sz="0" w:space="0" w:color="auto"/>
        <w:right w:val="none" w:sz="0" w:space="0" w:color="auto"/>
      </w:divBdr>
    </w:div>
    <w:div w:id="389228519">
      <w:bodyDiv w:val="1"/>
      <w:marLeft w:val="0"/>
      <w:marRight w:val="0"/>
      <w:marTop w:val="0"/>
      <w:marBottom w:val="0"/>
      <w:divBdr>
        <w:top w:val="none" w:sz="0" w:space="0" w:color="auto"/>
        <w:left w:val="none" w:sz="0" w:space="0" w:color="auto"/>
        <w:bottom w:val="none" w:sz="0" w:space="0" w:color="auto"/>
        <w:right w:val="none" w:sz="0" w:space="0" w:color="auto"/>
      </w:divBdr>
    </w:div>
    <w:div w:id="392773854">
      <w:bodyDiv w:val="1"/>
      <w:marLeft w:val="0"/>
      <w:marRight w:val="0"/>
      <w:marTop w:val="0"/>
      <w:marBottom w:val="0"/>
      <w:divBdr>
        <w:top w:val="none" w:sz="0" w:space="0" w:color="auto"/>
        <w:left w:val="none" w:sz="0" w:space="0" w:color="auto"/>
        <w:bottom w:val="none" w:sz="0" w:space="0" w:color="auto"/>
        <w:right w:val="none" w:sz="0" w:space="0" w:color="auto"/>
      </w:divBdr>
    </w:div>
    <w:div w:id="393353820">
      <w:bodyDiv w:val="1"/>
      <w:marLeft w:val="0"/>
      <w:marRight w:val="0"/>
      <w:marTop w:val="0"/>
      <w:marBottom w:val="0"/>
      <w:divBdr>
        <w:top w:val="none" w:sz="0" w:space="0" w:color="auto"/>
        <w:left w:val="none" w:sz="0" w:space="0" w:color="auto"/>
        <w:bottom w:val="none" w:sz="0" w:space="0" w:color="auto"/>
        <w:right w:val="none" w:sz="0" w:space="0" w:color="auto"/>
      </w:divBdr>
    </w:div>
    <w:div w:id="393624438">
      <w:bodyDiv w:val="1"/>
      <w:marLeft w:val="0"/>
      <w:marRight w:val="0"/>
      <w:marTop w:val="0"/>
      <w:marBottom w:val="0"/>
      <w:divBdr>
        <w:top w:val="none" w:sz="0" w:space="0" w:color="auto"/>
        <w:left w:val="none" w:sz="0" w:space="0" w:color="auto"/>
        <w:bottom w:val="none" w:sz="0" w:space="0" w:color="auto"/>
        <w:right w:val="none" w:sz="0" w:space="0" w:color="auto"/>
      </w:divBdr>
    </w:div>
    <w:div w:id="395931967">
      <w:bodyDiv w:val="1"/>
      <w:marLeft w:val="0"/>
      <w:marRight w:val="0"/>
      <w:marTop w:val="0"/>
      <w:marBottom w:val="0"/>
      <w:divBdr>
        <w:top w:val="none" w:sz="0" w:space="0" w:color="auto"/>
        <w:left w:val="none" w:sz="0" w:space="0" w:color="auto"/>
        <w:bottom w:val="none" w:sz="0" w:space="0" w:color="auto"/>
        <w:right w:val="none" w:sz="0" w:space="0" w:color="auto"/>
      </w:divBdr>
    </w:div>
    <w:div w:id="399333505">
      <w:bodyDiv w:val="1"/>
      <w:marLeft w:val="0"/>
      <w:marRight w:val="0"/>
      <w:marTop w:val="0"/>
      <w:marBottom w:val="0"/>
      <w:divBdr>
        <w:top w:val="none" w:sz="0" w:space="0" w:color="auto"/>
        <w:left w:val="none" w:sz="0" w:space="0" w:color="auto"/>
        <w:bottom w:val="none" w:sz="0" w:space="0" w:color="auto"/>
        <w:right w:val="none" w:sz="0" w:space="0" w:color="auto"/>
      </w:divBdr>
    </w:div>
    <w:div w:id="402413104">
      <w:bodyDiv w:val="1"/>
      <w:marLeft w:val="0"/>
      <w:marRight w:val="0"/>
      <w:marTop w:val="0"/>
      <w:marBottom w:val="0"/>
      <w:divBdr>
        <w:top w:val="none" w:sz="0" w:space="0" w:color="auto"/>
        <w:left w:val="none" w:sz="0" w:space="0" w:color="auto"/>
        <w:bottom w:val="none" w:sz="0" w:space="0" w:color="auto"/>
        <w:right w:val="none" w:sz="0" w:space="0" w:color="auto"/>
      </w:divBdr>
    </w:div>
    <w:div w:id="403726414">
      <w:bodyDiv w:val="1"/>
      <w:marLeft w:val="0"/>
      <w:marRight w:val="0"/>
      <w:marTop w:val="0"/>
      <w:marBottom w:val="0"/>
      <w:divBdr>
        <w:top w:val="none" w:sz="0" w:space="0" w:color="auto"/>
        <w:left w:val="none" w:sz="0" w:space="0" w:color="auto"/>
        <w:bottom w:val="none" w:sz="0" w:space="0" w:color="auto"/>
        <w:right w:val="none" w:sz="0" w:space="0" w:color="auto"/>
      </w:divBdr>
    </w:div>
    <w:div w:id="409811408">
      <w:bodyDiv w:val="1"/>
      <w:marLeft w:val="0"/>
      <w:marRight w:val="0"/>
      <w:marTop w:val="0"/>
      <w:marBottom w:val="0"/>
      <w:divBdr>
        <w:top w:val="none" w:sz="0" w:space="0" w:color="auto"/>
        <w:left w:val="none" w:sz="0" w:space="0" w:color="auto"/>
        <w:bottom w:val="none" w:sz="0" w:space="0" w:color="auto"/>
        <w:right w:val="none" w:sz="0" w:space="0" w:color="auto"/>
      </w:divBdr>
    </w:div>
    <w:div w:id="410010828">
      <w:bodyDiv w:val="1"/>
      <w:marLeft w:val="0"/>
      <w:marRight w:val="0"/>
      <w:marTop w:val="0"/>
      <w:marBottom w:val="0"/>
      <w:divBdr>
        <w:top w:val="none" w:sz="0" w:space="0" w:color="auto"/>
        <w:left w:val="none" w:sz="0" w:space="0" w:color="auto"/>
        <w:bottom w:val="none" w:sz="0" w:space="0" w:color="auto"/>
        <w:right w:val="none" w:sz="0" w:space="0" w:color="auto"/>
      </w:divBdr>
    </w:div>
    <w:div w:id="411700362">
      <w:bodyDiv w:val="1"/>
      <w:marLeft w:val="0"/>
      <w:marRight w:val="0"/>
      <w:marTop w:val="0"/>
      <w:marBottom w:val="0"/>
      <w:divBdr>
        <w:top w:val="none" w:sz="0" w:space="0" w:color="auto"/>
        <w:left w:val="none" w:sz="0" w:space="0" w:color="auto"/>
        <w:bottom w:val="none" w:sz="0" w:space="0" w:color="auto"/>
        <w:right w:val="none" w:sz="0" w:space="0" w:color="auto"/>
      </w:divBdr>
    </w:div>
    <w:div w:id="413934989">
      <w:bodyDiv w:val="1"/>
      <w:marLeft w:val="0"/>
      <w:marRight w:val="0"/>
      <w:marTop w:val="0"/>
      <w:marBottom w:val="0"/>
      <w:divBdr>
        <w:top w:val="none" w:sz="0" w:space="0" w:color="auto"/>
        <w:left w:val="none" w:sz="0" w:space="0" w:color="auto"/>
        <w:bottom w:val="none" w:sz="0" w:space="0" w:color="auto"/>
        <w:right w:val="none" w:sz="0" w:space="0" w:color="auto"/>
      </w:divBdr>
    </w:div>
    <w:div w:id="414399353">
      <w:bodyDiv w:val="1"/>
      <w:marLeft w:val="0"/>
      <w:marRight w:val="0"/>
      <w:marTop w:val="0"/>
      <w:marBottom w:val="0"/>
      <w:divBdr>
        <w:top w:val="none" w:sz="0" w:space="0" w:color="auto"/>
        <w:left w:val="none" w:sz="0" w:space="0" w:color="auto"/>
        <w:bottom w:val="none" w:sz="0" w:space="0" w:color="auto"/>
        <w:right w:val="none" w:sz="0" w:space="0" w:color="auto"/>
      </w:divBdr>
    </w:div>
    <w:div w:id="414866572">
      <w:bodyDiv w:val="1"/>
      <w:marLeft w:val="0"/>
      <w:marRight w:val="0"/>
      <w:marTop w:val="0"/>
      <w:marBottom w:val="0"/>
      <w:divBdr>
        <w:top w:val="none" w:sz="0" w:space="0" w:color="auto"/>
        <w:left w:val="none" w:sz="0" w:space="0" w:color="auto"/>
        <w:bottom w:val="none" w:sz="0" w:space="0" w:color="auto"/>
        <w:right w:val="none" w:sz="0" w:space="0" w:color="auto"/>
      </w:divBdr>
    </w:div>
    <w:div w:id="416708176">
      <w:bodyDiv w:val="1"/>
      <w:marLeft w:val="0"/>
      <w:marRight w:val="0"/>
      <w:marTop w:val="0"/>
      <w:marBottom w:val="0"/>
      <w:divBdr>
        <w:top w:val="none" w:sz="0" w:space="0" w:color="auto"/>
        <w:left w:val="none" w:sz="0" w:space="0" w:color="auto"/>
        <w:bottom w:val="none" w:sz="0" w:space="0" w:color="auto"/>
        <w:right w:val="none" w:sz="0" w:space="0" w:color="auto"/>
      </w:divBdr>
    </w:div>
    <w:div w:id="417020695">
      <w:bodyDiv w:val="1"/>
      <w:marLeft w:val="0"/>
      <w:marRight w:val="0"/>
      <w:marTop w:val="0"/>
      <w:marBottom w:val="0"/>
      <w:divBdr>
        <w:top w:val="none" w:sz="0" w:space="0" w:color="auto"/>
        <w:left w:val="none" w:sz="0" w:space="0" w:color="auto"/>
        <w:bottom w:val="none" w:sz="0" w:space="0" w:color="auto"/>
        <w:right w:val="none" w:sz="0" w:space="0" w:color="auto"/>
      </w:divBdr>
    </w:div>
    <w:div w:id="419833936">
      <w:bodyDiv w:val="1"/>
      <w:marLeft w:val="0"/>
      <w:marRight w:val="0"/>
      <w:marTop w:val="0"/>
      <w:marBottom w:val="0"/>
      <w:divBdr>
        <w:top w:val="none" w:sz="0" w:space="0" w:color="auto"/>
        <w:left w:val="none" w:sz="0" w:space="0" w:color="auto"/>
        <w:bottom w:val="none" w:sz="0" w:space="0" w:color="auto"/>
        <w:right w:val="none" w:sz="0" w:space="0" w:color="auto"/>
      </w:divBdr>
    </w:div>
    <w:div w:id="421031713">
      <w:bodyDiv w:val="1"/>
      <w:marLeft w:val="0"/>
      <w:marRight w:val="0"/>
      <w:marTop w:val="0"/>
      <w:marBottom w:val="0"/>
      <w:divBdr>
        <w:top w:val="none" w:sz="0" w:space="0" w:color="auto"/>
        <w:left w:val="none" w:sz="0" w:space="0" w:color="auto"/>
        <w:bottom w:val="none" w:sz="0" w:space="0" w:color="auto"/>
        <w:right w:val="none" w:sz="0" w:space="0" w:color="auto"/>
      </w:divBdr>
    </w:div>
    <w:div w:id="423652232">
      <w:bodyDiv w:val="1"/>
      <w:marLeft w:val="0"/>
      <w:marRight w:val="0"/>
      <w:marTop w:val="0"/>
      <w:marBottom w:val="0"/>
      <w:divBdr>
        <w:top w:val="none" w:sz="0" w:space="0" w:color="auto"/>
        <w:left w:val="none" w:sz="0" w:space="0" w:color="auto"/>
        <w:bottom w:val="none" w:sz="0" w:space="0" w:color="auto"/>
        <w:right w:val="none" w:sz="0" w:space="0" w:color="auto"/>
      </w:divBdr>
    </w:div>
    <w:div w:id="426272660">
      <w:bodyDiv w:val="1"/>
      <w:marLeft w:val="0"/>
      <w:marRight w:val="0"/>
      <w:marTop w:val="0"/>
      <w:marBottom w:val="0"/>
      <w:divBdr>
        <w:top w:val="none" w:sz="0" w:space="0" w:color="auto"/>
        <w:left w:val="none" w:sz="0" w:space="0" w:color="auto"/>
        <w:bottom w:val="none" w:sz="0" w:space="0" w:color="auto"/>
        <w:right w:val="none" w:sz="0" w:space="0" w:color="auto"/>
      </w:divBdr>
    </w:div>
    <w:div w:id="428887957">
      <w:bodyDiv w:val="1"/>
      <w:marLeft w:val="0"/>
      <w:marRight w:val="0"/>
      <w:marTop w:val="0"/>
      <w:marBottom w:val="0"/>
      <w:divBdr>
        <w:top w:val="none" w:sz="0" w:space="0" w:color="auto"/>
        <w:left w:val="none" w:sz="0" w:space="0" w:color="auto"/>
        <w:bottom w:val="none" w:sz="0" w:space="0" w:color="auto"/>
        <w:right w:val="none" w:sz="0" w:space="0" w:color="auto"/>
      </w:divBdr>
    </w:div>
    <w:div w:id="428934546">
      <w:bodyDiv w:val="1"/>
      <w:marLeft w:val="0"/>
      <w:marRight w:val="0"/>
      <w:marTop w:val="0"/>
      <w:marBottom w:val="0"/>
      <w:divBdr>
        <w:top w:val="none" w:sz="0" w:space="0" w:color="auto"/>
        <w:left w:val="none" w:sz="0" w:space="0" w:color="auto"/>
        <w:bottom w:val="none" w:sz="0" w:space="0" w:color="auto"/>
        <w:right w:val="none" w:sz="0" w:space="0" w:color="auto"/>
      </w:divBdr>
    </w:div>
    <w:div w:id="431628675">
      <w:bodyDiv w:val="1"/>
      <w:marLeft w:val="0"/>
      <w:marRight w:val="0"/>
      <w:marTop w:val="0"/>
      <w:marBottom w:val="0"/>
      <w:divBdr>
        <w:top w:val="none" w:sz="0" w:space="0" w:color="auto"/>
        <w:left w:val="none" w:sz="0" w:space="0" w:color="auto"/>
        <w:bottom w:val="none" w:sz="0" w:space="0" w:color="auto"/>
        <w:right w:val="none" w:sz="0" w:space="0" w:color="auto"/>
      </w:divBdr>
    </w:div>
    <w:div w:id="434256402">
      <w:bodyDiv w:val="1"/>
      <w:marLeft w:val="0"/>
      <w:marRight w:val="0"/>
      <w:marTop w:val="0"/>
      <w:marBottom w:val="0"/>
      <w:divBdr>
        <w:top w:val="none" w:sz="0" w:space="0" w:color="auto"/>
        <w:left w:val="none" w:sz="0" w:space="0" w:color="auto"/>
        <w:bottom w:val="none" w:sz="0" w:space="0" w:color="auto"/>
        <w:right w:val="none" w:sz="0" w:space="0" w:color="auto"/>
      </w:divBdr>
    </w:div>
    <w:div w:id="436218491">
      <w:bodyDiv w:val="1"/>
      <w:marLeft w:val="0"/>
      <w:marRight w:val="0"/>
      <w:marTop w:val="0"/>
      <w:marBottom w:val="0"/>
      <w:divBdr>
        <w:top w:val="none" w:sz="0" w:space="0" w:color="auto"/>
        <w:left w:val="none" w:sz="0" w:space="0" w:color="auto"/>
        <w:bottom w:val="none" w:sz="0" w:space="0" w:color="auto"/>
        <w:right w:val="none" w:sz="0" w:space="0" w:color="auto"/>
      </w:divBdr>
    </w:div>
    <w:div w:id="439182585">
      <w:bodyDiv w:val="1"/>
      <w:marLeft w:val="0"/>
      <w:marRight w:val="0"/>
      <w:marTop w:val="0"/>
      <w:marBottom w:val="0"/>
      <w:divBdr>
        <w:top w:val="none" w:sz="0" w:space="0" w:color="auto"/>
        <w:left w:val="none" w:sz="0" w:space="0" w:color="auto"/>
        <w:bottom w:val="none" w:sz="0" w:space="0" w:color="auto"/>
        <w:right w:val="none" w:sz="0" w:space="0" w:color="auto"/>
      </w:divBdr>
    </w:div>
    <w:div w:id="440224171">
      <w:bodyDiv w:val="1"/>
      <w:marLeft w:val="0"/>
      <w:marRight w:val="0"/>
      <w:marTop w:val="0"/>
      <w:marBottom w:val="0"/>
      <w:divBdr>
        <w:top w:val="none" w:sz="0" w:space="0" w:color="auto"/>
        <w:left w:val="none" w:sz="0" w:space="0" w:color="auto"/>
        <w:bottom w:val="none" w:sz="0" w:space="0" w:color="auto"/>
        <w:right w:val="none" w:sz="0" w:space="0" w:color="auto"/>
      </w:divBdr>
    </w:div>
    <w:div w:id="441460616">
      <w:bodyDiv w:val="1"/>
      <w:marLeft w:val="0"/>
      <w:marRight w:val="0"/>
      <w:marTop w:val="0"/>
      <w:marBottom w:val="0"/>
      <w:divBdr>
        <w:top w:val="none" w:sz="0" w:space="0" w:color="auto"/>
        <w:left w:val="none" w:sz="0" w:space="0" w:color="auto"/>
        <w:bottom w:val="none" w:sz="0" w:space="0" w:color="auto"/>
        <w:right w:val="none" w:sz="0" w:space="0" w:color="auto"/>
      </w:divBdr>
    </w:div>
    <w:div w:id="441874994">
      <w:bodyDiv w:val="1"/>
      <w:marLeft w:val="0"/>
      <w:marRight w:val="0"/>
      <w:marTop w:val="0"/>
      <w:marBottom w:val="0"/>
      <w:divBdr>
        <w:top w:val="none" w:sz="0" w:space="0" w:color="auto"/>
        <w:left w:val="none" w:sz="0" w:space="0" w:color="auto"/>
        <w:bottom w:val="none" w:sz="0" w:space="0" w:color="auto"/>
        <w:right w:val="none" w:sz="0" w:space="0" w:color="auto"/>
      </w:divBdr>
    </w:div>
    <w:div w:id="443614416">
      <w:bodyDiv w:val="1"/>
      <w:marLeft w:val="0"/>
      <w:marRight w:val="0"/>
      <w:marTop w:val="0"/>
      <w:marBottom w:val="0"/>
      <w:divBdr>
        <w:top w:val="none" w:sz="0" w:space="0" w:color="auto"/>
        <w:left w:val="none" w:sz="0" w:space="0" w:color="auto"/>
        <w:bottom w:val="none" w:sz="0" w:space="0" w:color="auto"/>
        <w:right w:val="none" w:sz="0" w:space="0" w:color="auto"/>
      </w:divBdr>
    </w:div>
    <w:div w:id="443694963">
      <w:bodyDiv w:val="1"/>
      <w:marLeft w:val="0"/>
      <w:marRight w:val="0"/>
      <w:marTop w:val="0"/>
      <w:marBottom w:val="0"/>
      <w:divBdr>
        <w:top w:val="none" w:sz="0" w:space="0" w:color="auto"/>
        <w:left w:val="none" w:sz="0" w:space="0" w:color="auto"/>
        <w:bottom w:val="none" w:sz="0" w:space="0" w:color="auto"/>
        <w:right w:val="none" w:sz="0" w:space="0" w:color="auto"/>
      </w:divBdr>
    </w:div>
    <w:div w:id="446704504">
      <w:bodyDiv w:val="1"/>
      <w:marLeft w:val="0"/>
      <w:marRight w:val="0"/>
      <w:marTop w:val="0"/>
      <w:marBottom w:val="0"/>
      <w:divBdr>
        <w:top w:val="none" w:sz="0" w:space="0" w:color="auto"/>
        <w:left w:val="none" w:sz="0" w:space="0" w:color="auto"/>
        <w:bottom w:val="none" w:sz="0" w:space="0" w:color="auto"/>
        <w:right w:val="none" w:sz="0" w:space="0" w:color="auto"/>
      </w:divBdr>
    </w:div>
    <w:div w:id="447234787">
      <w:bodyDiv w:val="1"/>
      <w:marLeft w:val="0"/>
      <w:marRight w:val="0"/>
      <w:marTop w:val="0"/>
      <w:marBottom w:val="0"/>
      <w:divBdr>
        <w:top w:val="none" w:sz="0" w:space="0" w:color="auto"/>
        <w:left w:val="none" w:sz="0" w:space="0" w:color="auto"/>
        <w:bottom w:val="none" w:sz="0" w:space="0" w:color="auto"/>
        <w:right w:val="none" w:sz="0" w:space="0" w:color="auto"/>
      </w:divBdr>
    </w:div>
    <w:div w:id="447822669">
      <w:bodyDiv w:val="1"/>
      <w:marLeft w:val="0"/>
      <w:marRight w:val="0"/>
      <w:marTop w:val="0"/>
      <w:marBottom w:val="0"/>
      <w:divBdr>
        <w:top w:val="none" w:sz="0" w:space="0" w:color="auto"/>
        <w:left w:val="none" w:sz="0" w:space="0" w:color="auto"/>
        <w:bottom w:val="none" w:sz="0" w:space="0" w:color="auto"/>
        <w:right w:val="none" w:sz="0" w:space="0" w:color="auto"/>
      </w:divBdr>
    </w:div>
    <w:div w:id="450975353">
      <w:bodyDiv w:val="1"/>
      <w:marLeft w:val="0"/>
      <w:marRight w:val="0"/>
      <w:marTop w:val="0"/>
      <w:marBottom w:val="0"/>
      <w:divBdr>
        <w:top w:val="none" w:sz="0" w:space="0" w:color="auto"/>
        <w:left w:val="none" w:sz="0" w:space="0" w:color="auto"/>
        <w:bottom w:val="none" w:sz="0" w:space="0" w:color="auto"/>
        <w:right w:val="none" w:sz="0" w:space="0" w:color="auto"/>
      </w:divBdr>
    </w:div>
    <w:div w:id="452557171">
      <w:bodyDiv w:val="1"/>
      <w:marLeft w:val="0"/>
      <w:marRight w:val="0"/>
      <w:marTop w:val="0"/>
      <w:marBottom w:val="0"/>
      <w:divBdr>
        <w:top w:val="none" w:sz="0" w:space="0" w:color="auto"/>
        <w:left w:val="none" w:sz="0" w:space="0" w:color="auto"/>
        <w:bottom w:val="none" w:sz="0" w:space="0" w:color="auto"/>
        <w:right w:val="none" w:sz="0" w:space="0" w:color="auto"/>
      </w:divBdr>
    </w:div>
    <w:div w:id="452985350">
      <w:bodyDiv w:val="1"/>
      <w:marLeft w:val="0"/>
      <w:marRight w:val="0"/>
      <w:marTop w:val="0"/>
      <w:marBottom w:val="0"/>
      <w:divBdr>
        <w:top w:val="none" w:sz="0" w:space="0" w:color="auto"/>
        <w:left w:val="none" w:sz="0" w:space="0" w:color="auto"/>
        <w:bottom w:val="none" w:sz="0" w:space="0" w:color="auto"/>
        <w:right w:val="none" w:sz="0" w:space="0" w:color="auto"/>
      </w:divBdr>
    </w:div>
    <w:div w:id="453443926">
      <w:bodyDiv w:val="1"/>
      <w:marLeft w:val="0"/>
      <w:marRight w:val="0"/>
      <w:marTop w:val="0"/>
      <w:marBottom w:val="0"/>
      <w:divBdr>
        <w:top w:val="none" w:sz="0" w:space="0" w:color="auto"/>
        <w:left w:val="none" w:sz="0" w:space="0" w:color="auto"/>
        <w:bottom w:val="none" w:sz="0" w:space="0" w:color="auto"/>
        <w:right w:val="none" w:sz="0" w:space="0" w:color="auto"/>
      </w:divBdr>
    </w:div>
    <w:div w:id="454494934">
      <w:bodyDiv w:val="1"/>
      <w:marLeft w:val="0"/>
      <w:marRight w:val="0"/>
      <w:marTop w:val="0"/>
      <w:marBottom w:val="0"/>
      <w:divBdr>
        <w:top w:val="none" w:sz="0" w:space="0" w:color="auto"/>
        <w:left w:val="none" w:sz="0" w:space="0" w:color="auto"/>
        <w:bottom w:val="none" w:sz="0" w:space="0" w:color="auto"/>
        <w:right w:val="none" w:sz="0" w:space="0" w:color="auto"/>
      </w:divBdr>
    </w:div>
    <w:div w:id="456535305">
      <w:bodyDiv w:val="1"/>
      <w:marLeft w:val="0"/>
      <w:marRight w:val="0"/>
      <w:marTop w:val="0"/>
      <w:marBottom w:val="0"/>
      <w:divBdr>
        <w:top w:val="none" w:sz="0" w:space="0" w:color="auto"/>
        <w:left w:val="none" w:sz="0" w:space="0" w:color="auto"/>
        <w:bottom w:val="none" w:sz="0" w:space="0" w:color="auto"/>
        <w:right w:val="none" w:sz="0" w:space="0" w:color="auto"/>
      </w:divBdr>
    </w:div>
    <w:div w:id="459960869">
      <w:bodyDiv w:val="1"/>
      <w:marLeft w:val="0"/>
      <w:marRight w:val="0"/>
      <w:marTop w:val="0"/>
      <w:marBottom w:val="0"/>
      <w:divBdr>
        <w:top w:val="none" w:sz="0" w:space="0" w:color="auto"/>
        <w:left w:val="none" w:sz="0" w:space="0" w:color="auto"/>
        <w:bottom w:val="none" w:sz="0" w:space="0" w:color="auto"/>
        <w:right w:val="none" w:sz="0" w:space="0" w:color="auto"/>
      </w:divBdr>
    </w:div>
    <w:div w:id="463158358">
      <w:bodyDiv w:val="1"/>
      <w:marLeft w:val="0"/>
      <w:marRight w:val="0"/>
      <w:marTop w:val="0"/>
      <w:marBottom w:val="0"/>
      <w:divBdr>
        <w:top w:val="none" w:sz="0" w:space="0" w:color="auto"/>
        <w:left w:val="none" w:sz="0" w:space="0" w:color="auto"/>
        <w:bottom w:val="none" w:sz="0" w:space="0" w:color="auto"/>
        <w:right w:val="none" w:sz="0" w:space="0" w:color="auto"/>
      </w:divBdr>
    </w:div>
    <w:div w:id="463734885">
      <w:bodyDiv w:val="1"/>
      <w:marLeft w:val="0"/>
      <w:marRight w:val="0"/>
      <w:marTop w:val="0"/>
      <w:marBottom w:val="0"/>
      <w:divBdr>
        <w:top w:val="none" w:sz="0" w:space="0" w:color="auto"/>
        <w:left w:val="none" w:sz="0" w:space="0" w:color="auto"/>
        <w:bottom w:val="none" w:sz="0" w:space="0" w:color="auto"/>
        <w:right w:val="none" w:sz="0" w:space="0" w:color="auto"/>
      </w:divBdr>
    </w:div>
    <w:div w:id="470368010">
      <w:bodyDiv w:val="1"/>
      <w:marLeft w:val="0"/>
      <w:marRight w:val="0"/>
      <w:marTop w:val="0"/>
      <w:marBottom w:val="0"/>
      <w:divBdr>
        <w:top w:val="none" w:sz="0" w:space="0" w:color="auto"/>
        <w:left w:val="none" w:sz="0" w:space="0" w:color="auto"/>
        <w:bottom w:val="none" w:sz="0" w:space="0" w:color="auto"/>
        <w:right w:val="none" w:sz="0" w:space="0" w:color="auto"/>
      </w:divBdr>
    </w:div>
    <w:div w:id="471482948">
      <w:bodyDiv w:val="1"/>
      <w:marLeft w:val="0"/>
      <w:marRight w:val="0"/>
      <w:marTop w:val="0"/>
      <w:marBottom w:val="0"/>
      <w:divBdr>
        <w:top w:val="none" w:sz="0" w:space="0" w:color="auto"/>
        <w:left w:val="none" w:sz="0" w:space="0" w:color="auto"/>
        <w:bottom w:val="none" w:sz="0" w:space="0" w:color="auto"/>
        <w:right w:val="none" w:sz="0" w:space="0" w:color="auto"/>
      </w:divBdr>
    </w:div>
    <w:div w:id="473765473">
      <w:bodyDiv w:val="1"/>
      <w:marLeft w:val="0"/>
      <w:marRight w:val="0"/>
      <w:marTop w:val="0"/>
      <w:marBottom w:val="0"/>
      <w:divBdr>
        <w:top w:val="none" w:sz="0" w:space="0" w:color="auto"/>
        <w:left w:val="none" w:sz="0" w:space="0" w:color="auto"/>
        <w:bottom w:val="none" w:sz="0" w:space="0" w:color="auto"/>
        <w:right w:val="none" w:sz="0" w:space="0" w:color="auto"/>
      </w:divBdr>
    </w:div>
    <w:div w:id="473789800">
      <w:bodyDiv w:val="1"/>
      <w:marLeft w:val="0"/>
      <w:marRight w:val="0"/>
      <w:marTop w:val="0"/>
      <w:marBottom w:val="0"/>
      <w:divBdr>
        <w:top w:val="none" w:sz="0" w:space="0" w:color="auto"/>
        <w:left w:val="none" w:sz="0" w:space="0" w:color="auto"/>
        <w:bottom w:val="none" w:sz="0" w:space="0" w:color="auto"/>
        <w:right w:val="none" w:sz="0" w:space="0" w:color="auto"/>
      </w:divBdr>
    </w:div>
    <w:div w:id="474564270">
      <w:bodyDiv w:val="1"/>
      <w:marLeft w:val="0"/>
      <w:marRight w:val="0"/>
      <w:marTop w:val="0"/>
      <w:marBottom w:val="0"/>
      <w:divBdr>
        <w:top w:val="none" w:sz="0" w:space="0" w:color="auto"/>
        <w:left w:val="none" w:sz="0" w:space="0" w:color="auto"/>
        <w:bottom w:val="none" w:sz="0" w:space="0" w:color="auto"/>
        <w:right w:val="none" w:sz="0" w:space="0" w:color="auto"/>
      </w:divBdr>
    </w:div>
    <w:div w:id="477303262">
      <w:bodyDiv w:val="1"/>
      <w:marLeft w:val="0"/>
      <w:marRight w:val="0"/>
      <w:marTop w:val="0"/>
      <w:marBottom w:val="0"/>
      <w:divBdr>
        <w:top w:val="none" w:sz="0" w:space="0" w:color="auto"/>
        <w:left w:val="none" w:sz="0" w:space="0" w:color="auto"/>
        <w:bottom w:val="none" w:sz="0" w:space="0" w:color="auto"/>
        <w:right w:val="none" w:sz="0" w:space="0" w:color="auto"/>
      </w:divBdr>
    </w:div>
    <w:div w:id="477309351">
      <w:bodyDiv w:val="1"/>
      <w:marLeft w:val="0"/>
      <w:marRight w:val="0"/>
      <w:marTop w:val="0"/>
      <w:marBottom w:val="0"/>
      <w:divBdr>
        <w:top w:val="none" w:sz="0" w:space="0" w:color="auto"/>
        <w:left w:val="none" w:sz="0" w:space="0" w:color="auto"/>
        <w:bottom w:val="none" w:sz="0" w:space="0" w:color="auto"/>
        <w:right w:val="none" w:sz="0" w:space="0" w:color="auto"/>
      </w:divBdr>
    </w:div>
    <w:div w:id="477772364">
      <w:bodyDiv w:val="1"/>
      <w:marLeft w:val="0"/>
      <w:marRight w:val="0"/>
      <w:marTop w:val="0"/>
      <w:marBottom w:val="0"/>
      <w:divBdr>
        <w:top w:val="none" w:sz="0" w:space="0" w:color="auto"/>
        <w:left w:val="none" w:sz="0" w:space="0" w:color="auto"/>
        <w:bottom w:val="none" w:sz="0" w:space="0" w:color="auto"/>
        <w:right w:val="none" w:sz="0" w:space="0" w:color="auto"/>
      </w:divBdr>
    </w:div>
    <w:div w:id="479157458">
      <w:bodyDiv w:val="1"/>
      <w:marLeft w:val="0"/>
      <w:marRight w:val="0"/>
      <w:marTop w:val="0"/>
      <w:marBottom w:val="0"/>
      <w:divBdr>
        <w:top w:val="none" w:sz="0" w:space="0" w:color="auto"/>
        <w:left w:val="none" w:sz="0" w:space="0" w:color="auto"/>
        <w:bottom w:val="none" w:sz="0" w:space="0" w:color="auto"/>
        <w:right w:val="none" w:sz="0" w:space="0" w:color="auto"/>
      </w:divBdr>
    </w:div>
    <w:div w:id="479351692">
      <w:bodyDiv w:val="1"/>
      <w:marLeft w:val="0"/>
      <w:marRight w:val="0"/>
      <w:marTop w:val="0"/>
      <w:marBottom w:val="0"/>
      <w:divBdr>
        <w:top w:val="none" w:sz="0" w:space="0" w:color="auto"/>
        <w:left w:val="none" w:sz="0" w:space="0" w:color="auto"/>
        <w:bottom w:val="none" w:sz="0" w:space="0" w:color="auto"/>
        <w:right w:val="none" w:sz="0" w:space="0" w:color="auto"/>
      </w:divBdr>
    </w:div>
    <w:div w:id="481312200">
      <w:bodyDiv w:val="1"/>
      <w:marLeft w:val="0"/>
      <w:marRight w:val="0"/>
      <w:marTop w:val="0"/>
      <w:marBottom w:val="0"/>
      <w:divBdr>
        <w:top w:val="none" w:sz="0" w:space="0" w:color="auto"/>
        <w:left w:val="none" w:sz="0" w:space="0" w:color="auto"/>
        <w:bottom w:val="none" w:sz="0" w:space="0" w:color="auto"/>
        <w:right w:val="none" w:sz="0" w:space="0" w:color="auto"/>
      </w:divBdr>
    </w:div>
    <w:div w:id="481388056">
      <w:bodyDiv w:val="1"/>
      <w:marLeft w:val="0"/>
      <w:marRight w:val="0"/>
      <w:marTop w:val="0"/>
      <w:marBottom w:val="0"/>
      <w:divBdr>
        <w:top w:val="none" w:sz="0" w:space="0" w:color="auto"/>
        <w:left w:val="none" w:sz="0" w:space="0" w:color="auto"/>
        <w:bottom w:val="none" w:sz="0" w:space="0" w:color="auto"/>
        <w:right w:val="none" w:sz="0" w:space="0" w:color="auto"/>
      </w:divBdr>
    </w:div>
    <w:div w:id="487597217">
      <w:bodyDiv w:val="1"/>
      <w:marLeft w:val="0"/>
      <w:marRight w:val="0"/>
      <w:marTop w:val="0"/>
      <w:marBottom w:val="0"/>
      <w:divBdr>
        <w:top w:val="none" w:sz="0" w:space="0" w:color="auto"/>
        <w:left w:val="none" w:sz="0" w:space="0" w:color="auto"/>
        <w:bottom w:val="none" w:sz="0" w:space="0" w:color="auto"/>
        <w:right w:val="none" w:sz="0" w:space="0" w:color="auto"/>
      </w:divBdr>
    </w:div>
    <w:div w:id="491021814">
      <w:bodyDiv w:val="1"/>
      <w:marLeft w:val="0"/>
      <w:marRight w:val="0"/>
      <w:marTop w:val="0"/>
      <w:marBottom w:val="0"/>
      <w:divBdr>
        <w:top w:val="none" w:sz="0" w:space="0" w:color="auto"/>
        <w:left w:val="none" w:sz="0" w:space="0" w:color="auto"/>
        <w:bottom w:val="none" w:sz="0" w:space="0" w:color="auto"/>
        <w:right w:val="none" w:sz="0" w:space="0" w:color="auto"/>
      </w:divBdr>
    </w:div>
    <w:div w:id="493301944">
      <w:bodyDiv w:val="1"/>
      <w:marLeft w:val="0"/>
      <w:marRight w:val="0"/>
      <w:marTop w:val="0"/>
      <w:marBottom w:val="0"/>
      <w:divBdr>
        <w:top w:val="none" w:sz="0" w:space="0" w:color="auto"/>
        <w:left w:val="none" w:sz="0" w:space="0" w:color="auto"/>
        <w:bottom w:val="none" w:sz="0" w:space="0" w:color="auto"/>
        <w:right w:val="none" w:sz="0" w:space="0" w:color="auto"/>
      </w:divBdr>
    </w:div>
    <w:div w:id="494958332">
      <w:bodyDiv w:val="1"/>
      <w:marLeft w:val="0"/>
      <w:marRight w:val="0"/>
      <w:marTop w:val="0"/>
      <w:marBottom w:val="0"/>
      <w:divBdr>
        <w:top w:val="none" w:sz="0" w:space="0" w:color="auto"/>
        <w:left w:val="none" w:sz="0" w:space="0" w:color="auto"/>
        <w:bottom w:val="none" w:sz="0" w:space="0" w:color="auto"/>
        <w:right w:val="none" w:sz="0" w:space="0" w:color="auto"/>
      </w:divBdr>
    </w:div>
    <w:div w:id="495074865">
      <w:bodyDiv w:val="1"/>
      <w:marLeft w:val="0"/>
      <w:marRight w:val="0"/>
      <w:marTop w:val="0"/>
      <w:marBottom w:val="0"/>
      <w:divBdr>
        <w:top w:val="none" w:sz="0" w:space="0" w:color="auto"/>
        <w:left w:val="none" w:sz="0" w:space="0" w:color="auto"/>
        <w:bottom w:val="none" w:sz="0" w:space="0" w:color="auto"/>
        <w:right w:val="none" w:sz="0" w:space="0" w:color="auto"/>
      </w:divBdr>
    </w:div>
    <w:div w:id="496120487">
      <w:bodyDiv w:val="1"/>
      <w:marLeft w:val="0"/>
      <w:marRight w:val="0"/>
      <w:marTop w:val="0"/>
      <w:marBottom w:val="0"/>
      <w:divBdr>
        <w:top w:val="none" w:sz="0" w:space="0" w:color="auto"/>
        <w:left w:val="none" w:sz="0" w:space="0" w:color="auto"/>
        <w:bottom w:val="none" w:sz="0" w:space="0" w:color="auto"/>
        <w:right w:val="none" w:sz="0" w:space="0" w:color="auto"/>
      </w:divBdr>
    </w:div>
    <w:div w:id="496579206">
      <w:bodyDiv w:val="1"/>
      <w:marLeft w:val="0"/>
      <w:marRight w:val="0"/>
      <w:marTop w:val="0"/>
      <w:marBottom w:val="0"/>
      <w:divBdr>
        <w:top w:val="none" w:sz="0" w:space="0" w:color="auto"/>
        <w:left w:val="none" w:sz="0" w:space="0" w:color="auto"/>
        <w:bottom w:val="none" w:sz="0" w:space="0" w:color="auto"/>
        <w:right w:val="none" w:sz="0" w:space="0" w:color="auto"/>
      </w:divBdr>
    </w:div>
    <w:div w:id="497307834">
      <w:bodyDiv w:val="1"/>
      <w:marLeft w:val="0"/>
      <w:marRight w:val="0"/>
      <w:marTop w:val="0"/>
      <w:marBottom w:val="0"/>
      <w:divBdr>
        <w:top w:val="none" w:sz="0" w:space="0" w:color="auto"/>
        <w:left w:val="none" w:sz="0" w:space="0" w:color="auto"/>
        <w:bottom w:val="none" w:sz="0" w:space="0" w:color="auto"/>
        <w:right w:val="none" w:sz="0" w:space="0" w:color="auto"/>
      </w:divBdr>
    </w:div>
    <w:div w:id="497504350">
      <w:bodyDiv w:val="1"/>
      <w:marLeft w:val="0"/>
      <w:marRight w:val="0"/>
      <w:marTop w:val="0"/>
      <w:marBottom w:val="0"/>
      <w:divBdr>
        <w:top w:val="none" w:sz="0" w:space="0" w:color="auto"/>
        <w:left w:val="none" w:sz="0" w:space="0" w:color="auto"/>
        <w:bottom w:val="none" w:sz="0" w:space="0" w:color="auto"/>
        <w:right w:val="none" w:sz="0" w:space="0" w:color="auto"/>
      </w:divBdr>
    </w:div>
    <w:div w:id="498159291">
      <w:bodyDiv w:val="1"/>
      <w:marLeft w:val="0"/>
      <w:marRight w:val="0"/>
      <w:marTop w:val="0"/>
      <w:marBottom w:val="0"/>
      <w:divBdr>
        <w:top w:val="none" w:sz="0" w:space="0" w:color="auto"/>
        <w:left w:val="none" w:sz="0" w:space="0" w:color="auto"/>
        <w:bottom w:val="none" w:sz="0" w:space="0" w:color="auto"/>
        <w:right w:val="none" w:sz="0" w:space="0" w:color="auto"/>
      </w:divBdr>
    </w:div>
    <w:div w:id="498227679">
      <w:bodyDiv w:val="1"/>
      <w:marLeft w:val="0"/>
      <w:marRight w:val="0"/>
      <w:marTop w:val="0"/>
      <w:marBottom w:val="0"/>
      <w:divBdr>
        <w:top w:val="none" w:sz="0" w:space="0" w:color="auto"/>
        <w:left w:val="none" w:sz="0" w:space="0" w:color="auto"/>
        <w:bottom w:val="none" w:sz="0" w:space="0" w:color="auto"/>
        <w:right w:val="none" w:sz="0" w:space="0" w:color="auto"/>
      </w:divBdr>
    </w:div>
    <w:div w:id="501238374">
      <w:bodyDiv w:val="1"/>
      <w:marLeft w:val="0"/>
      <w:marRight w:val="0"/>
      <w:marTop w:val="0"/>
      <w:marBottom w:val="0"/>
      <w:divBdr>
        <w:top w:val="none" w:sz="0" w:space="0" w:color="auto"/>
        <w:left w:val="none" w:sz="0" w:space="0" w:color="auto"/>
        <w:bottom w:val="none" w:sz="0" w:space="0" w:color="auto"/>
        <w:right w:val="none" w:sz="0" w:space="0" w:color="auto"/>
      </w:divBdr>
    </w:div>
    <w:div w:id="501287027">
      <w:bodyDiv w:val="1"/>
      <w:marLeft w:val="0"/>
      <w:marRight w:val="0"/>
      <w:marTop w:val="0"/>
      <w:marBottom w:val="0"/>
      <w:divBdr>
        <w:top w:val="none" w:sz="0" w:space="0" w:color="auto"/>
        <w:left w:val="none" w:sz="0" w:space="0" w:color="auto"/>
        <w:bottom w:val="none" w:sz="0" w:space="0" w:color="auto"/>
        <w:right w:val="none" w:sz="0" w:space="0" w:color="auto"/>
      </w:divBdr>
    </w:div>
    <w:div w:id="502430663">
      <w:bodyDiv w:val="1"/>
      <w:marLeft w:val="0"/>
      <w:marRight w:val="0"/>
      <w:marTop w:val="0"/>
      <w:marBottom w:val="0"/>
      <w:divBdr>
        <w:top w:val="none" w:sz="0" w:space="0" w:color="auto"/>
        <w:left w:val="none" w:sz="0" w:space="0" w:color="auto"/>
        <w:bottom w:val="none" w:sz="0" w:space="0" w:color="auto"/>
        <w:right w:val="none" w:sz="0" w:space="0" w:color="auto"/>
      </w:divBdr>
    </w:div>
    <w:div w:id="504327286">
      <w:bodyDiv w:val="1"/>
      <w:marLeft w:val="0"/>
      <w:marRight w:val="0"/>
      <w:marTop w:val="0"/>
      <w:marBottom w:val="0"/>
      <w:divBdr>
        <w:top w:val="none" w:sz="0" w:space="0" w:color="auto"/>
        <w:left w:val="none" w:sz="0" w:space="0" w:color="auto"/>
        <w:bottom w:val="none" w:sz="0" w:space="0" w:color="auto"/>
        <w:right w:val="none" w:sz="0" w:space="0" w:color="auto"/>
      </w:divBdr>
    </w:div>
    <w:div w:id="504520132">
      <w:bodyDiv w:val="1"/>
      <w:marLeft w:val="0"/>
      <w:marRight w:val="0"/>
      <w:marTop w:val="0"/>
      <w:marBottom w:val="0"/>
      <w:divBdr>
        <w:top w:val="none" w:sz="0" w:space="0" w:color="auto"/>
        <w:left w:val="none" w:sz="0" w:space="0" w:color="auto"/>
        <w:bottom w:val="none" w:sz="0" w:space="0" w:color="auto"/>
        <w:right w:val="none" w:sz="0" w:space="0" w:color="auto"/>
      </w:divBdr>
    </w:div>
    <w:div w:id="505480715">
      <w:bodyDiv w:val="1"/>
      <w:marLeft w:val="0"/>
      <w:marRight w:val="0"/>
      <w:marTop w:val="0"/>
      <w:marBottom w:val="0"/>
      <w:divBdr>
        <w:top w:val="none" w:sz="0" w:space="0" w:color="auto"/>
        <w:left w:val="none" w:sz="0" w:space="0" w:color="auto"/>
        <w:bottom w:val="none" w:sz="0" w:space="0" w:color="auto"/>
        <w:right w:val="none" w:sz="0" w:space="0" w:color="auto"/>
      </w:divBdr>
    </w:div>
    <w:div w:id="506289655">
      <w:bodyDiv w:val="1"/>
      <w:marLeft w:val="0"/>
      <w:marRight w:val="0"/>
      <w:marTop w:val="0"/>
      <w:marBottom w:val="0"/>
      <w:divBdr>
        <w:top w:val="none" w:sz="0" w:space="0" w:color="auto"/>
        <w:left w:val="none" w:sz="0" w:space="0" w:color="auto"/>
        <w:bottom w:val="none" w:sz="0" w:space="0" w:color="auto"/>
        <w:right w:val="none" w:sz="0" w:space="0" w:color="auto"/>
      </w:divBdr>
    </w:div>
    <w:div w:id="506600092">
      <w:bodyDiv w:val="1"/>
      <w:marLeft w:val="0"/>
      <w:marRight w:val="0"/>
      <w:marTop w:val="0"/>
      <w:marBottom w:val="0"/>
      <w:divBdr>
        <w:top w:val="none" w:sz="0" w:space="0" w:color="auto"/>
        <w:left w:val="none" w:sz="0" w:space="0" w:color="auto"/>
        <w:bottom w:val="none" w:sz="0" w:space="0" w:color="auto"/>
        <w:right w:val="none" w:sz="0" w:space="0" w:color="auto"/>
      </w:divBdr>
    </w:div>
    <w:div w:id="507792900">
      <w:bodyDiv w:val="1"/>
      <w:marLeft w:val="0"/>
      <w:marRight w:val="0"/>
      <w:marTop w:val="0"/>
      <w:marBottom w:val="0"/>
      <w:divBdr>
        <w:top w:val="none" w:sz="0" w:space="0" w:color="auto"/>
        <w:left w:val="none" w:sz="0" w:space="0" w:color="auto"/>
        <w:bottom w:val="none" w:sz="0" w:space="0" w:color="auto"/>
        <w:right w:val="none" w:sz="0" w:space="0" w:color="auto"/>
      </w:divBdr>
    </w:div>
    <w:div w:id="508568843">
      <w:bodyDiv w:val="1"/>
      <w:marLeft w:val="0"/>
      <w:marRight w:val="0"/>
      <w:marTop w:val="0"/>
      <w:marBottom w:val="0"/>
      <w:divBdr>
        <w:top w:val="none" w:sz="0" w:space="0" w:color="auto"/>
        <w:left w:val="none" w:sz="0" w:space="0" w:color="auto"/>
        <w:bottom w:val="none" w:sz="0" w:space="0" w:color="auto"/>
        <w:right w:val="none" w:sz="0" w:space="0" w:color="auto"/>
      </w:divBdr>
    </w:div>
    <w:div w:id="509609908">
      <w:bodyDiv w:val="1"/>
      <w:marLeft w:val="0"/>
      <w:marRight w:val="0"/>
      <w:marTop w:val="0"/>
      <w:marBottom w:val="0"/>
      <w:divBdr>
        <w:top w:val="none" w:sz="0" w:space="0" w:color="auto"/>
        <w:left w:val="none" w:sz="0" w:space="0" w:color="auto"/>
        <w:bottom w:val="none" w:sz="0" w:space="0" w:color="auto"/>
        <w:right w:val="none" w:sz="0" w:space="0" w:color="auto"/>
      </w:divBdr>
    </w:div>
    <w:div w:id="509681499">
      <w:bodyDiv w:val="1"/>
      <w:marLeft w:val="0"/>
      <w:marRight w:val="0"/>
      <w:marTop w:val="0"/>
      <w:marBottom w:val="0"/>
      <w:divBdr>
        <w:top w:val="none" w:sz="0" w:space="0" w:color="auto"/>
        <w:left w:val="none" w:sz="0" w:space="0" w:color="auto"/>
        <w:bottom w:val="none" w:sz="0" w:space="0" w:color="auto"/>
        <w:right w:val="none" w:sz="0" w:space="0" w:color="auto"/>
      </w:divBdr>
    </w:div>
    <w:div w:id="511144736">
      <w:bodyDiv w:val="1"/>
      <w:marLeft w:val="0"/>
      <w:marRight w:val="0"/>
      <w:marTop w:val="0"/>
      <w:marBottom w:val="0"/>
      <w:divBdr>
        <w:top w:val="none" w:sz="0" w:space="0" w:color="auto"/>
        <w:left w:val="none" w:sz="0" w:space="0" w:color="auto"/>
        <w:bottom w:val="none" w:sz="0" w:space="0" w:color="auto"/>
        <w:right w:val="none" w:sz="0" w:space="0" w:color="auto"/>
      </w:divBdr>
    </w:div>
    <w:div w:id="516190716">
      <w:bodyDiv w:val="1"/>
      <w:marLeft w:val="0"/>
      <w:marRight w:val="0"/>
      <w:marTop w:val="0"/>
      <w:marBottom w:val="0"/>
      <w:divBdr>
        <w:top w:val="none" w:sz="0" w:space="0" w:color="auto"/>
        <w:left w:val="none" w:sz="0" w:space="0" w:color="auto"/>
        <w:bottom w:val="none" w:sz="0" w:space="0" w:color="auto"/>
        <w:right w:val="none" w:sz="0" w:space="0" w:color="auto"/>
      </w:divBdr>
    </w:div>
    <w:div w:id="516503441">
      <w:bodyDiv w:val="1"/>
      <w:marLeft w:val="0"/>
      <w:marRight w:val="0"/>
      <w:marTop w:val="0"/>
      <w:marBottom w:val="0"/>
      <w:divBdr>
        <w:top w:val="none" w:sz="0" w:space="0" w:color="auto"/>
        <w:left w:val="none" w:sz="0" w:space="0" w:color="auto"/>
        <w:bottom w:val="none" w:sz="0" w:space="0" w:color="auto"/>
        <w:right w:val="none" w:sz="0" w:space="0" w:color="auto"/>
      </w:divBdr>
    </w:div>
    <w:div w:id="517352237">
      <w:bodyDiv w:val="1"/>
      <w:marLeft w:val="0"/>
      <w:marRight w:val="0"/>
      <w:marTop w:val="0"/>
      <w:marBottom w:val="0"/>
      <w:divBdr>
        <w:top w:val="none" w:sz="0" w:space="0" w:color="auto"/>
        <w:left w:val="none" w:sz="0" w:space="0" w:color="auto"/>
        <w:bottom w:val="none" w:sz="0" w:space="0" w:color="auto"/>
        <w:right w:val="none" w:sz="0" w:space="0" w:color="auto"/>
      </w:divBdr>
    </w:div>
    <w:div w:id="517545602">
      <w:bodyDiv w:val="1"/>
      <w:marLeft w:val="0"/>
      <w:marRight w:val="0"/>
      <w:marTop w:val="0"/>
      <w:marBottom w:val="0"/>
      <w:divBdr>
        <w:top w:val="none" w:sz="0" w:space="0" w:color="auto"/>
        <w:left w:val="none" w:sz="0" w:space="0" w:color="auto"/>
        <w:bottom w:val="none" w:sz="0" w:space="0" w:color="auto"/>
        <w:right w:val="none" w:sz="0" w:space="0" w:color="auto"/>
      </w:divBdr>
    </w:div>
    <w:div w:id="518391529">
      <w:bodyDiv w:val="1"/>
      <w:marLeft w:val="0"/>
      <w:marRight w:val="0"/>
      <w:marTop w:val="0"/>
      <w:marBottom w:val="0"/>
      <w:divBdr>
        <w:top w:val="none" w:sz="0" w:space="0" w:color="auto"/>
        <w:left w:val="none" w:sz="0" w:space="0" w:color="auto"/>
        <w:bottom w:val="none" w:sz="0" w:space="0" w:color="auto"/>
        <w:right w:val="none" w:sz="0" w:space="0" w:color="auto"/>
      </w:divBdr>
    </w:div>
    <w:div w:id="519123688">
      <w:bodyDiv w:val="1"/>
      <w:marLeft w:val="0"/>
      <w:marRight w:val="0"/>
      <w:marTop w:val="0"/>
      <w:marBottom w:val="0"/>
      <w:divBdr>
        <w:top w:val="none" w:sz="0" w:space="0" w:color="auto"/>
        <w:left w:val="none" w:sz="0" w:space="0" w:color="auto"/>
        <w:bottom w:val="none" w:sz="0" w:space="0" w:color="auto"/>
        <w:right w:val="none" w:sz="0" w:space="0" w:color="auto"/>
      </w:divBdr>
    </w:div>
    <w:div w:id="519585161">
      <w:bodyDiv w:val="1"/>
      <w:marLeft w:val="0"/>
      <w:marRight w:val="0"/>
      <w:marTop w:val="0"/>
      <w:marBottom w:val="0"/>
      <w:divBdr>
        <w:top w:val="none" w:sz="0" w:space="0" w:color="auto"/>
        <w:left w:val="none" w:sz="0" w:space="0" w:color="auto"/>
        <w:bottom w:val="none" w:sz="0" w:space="0" w:color="auto"/>
        <w:right w:val="none" w:sz="0" w:space="0" w:color="auto"/>
      </w:divBdr>
    </w:div>
    <w:div w:id="522597791">
      <w:bodyDiv w:val="1"/>
      <w:marLeft w:val="0"/>
      <w:marRight w:val="0"/>
      <w:marTop w:val="0"/>
      <w:marBottom w:val="0"/>
      <w:divBdr>
        <w:top w:val="none" w:sz="0" w:space="0" w:color="auto"/>
        <w:left w:val="none" w:sz="0" w:space="0" w:color="auto"/>
        <w:bottom w:val="none" w:sz="0" w:space="0" w:color="auto"/>
        <w:right w:val="none" w:sz="0" w:space="0" w:color="auto"/>
      </w:divBdr>
    </w:div>
    <w:div w:id="523904425">
      <w:bodyDiv w:val="1"/>
      <w:marLeft w:val="0"/>
      <w:marRight w:val="0"/>
      <w:marTop w:val="0"/>
      <w:marBottom w:val="0"/>
      <w:divBdr>
        <w:top w:val="none" w:sz="0" w:space="0" w:color="auto"/>
        <w:left w:val="none" w:sz="0" w:space="0" w:color="auto"/>
        <w:bottom w:val="none" w:sz="0" w:space="0" w:color="auto"/>
        <w:right w:val="none" w:sz="0" w:space="0" w:color="auto"/>
      </w:divBdr>
    </w:div>
    <w:div w:id="524052049">
      <w:bodyDiv w:val="1"/>
      <w:marLeft w:val="0"/>
      <w:marRight w:val="0"/>
      <w:marTop w:val="0"/>
      <w:marBottom w:val="0"/>
      <w:divBdr>
        <w:top w:val="none" w:sz="0" w:space="0" w:color="auto"/>
        <w:left w:val="none" w:sz="0" w:space="0" w:color="auto"/>
        <w:bottom w:val="none" w:sz="0" w:space="0" w:color="auto"/>
        <w:right w:val="none" w:sz="0" w:space="0" w:color="auto"/>
      </w:divBdr>
    </w:div>
    <w:div w:id="525407856">
      <w:bodyDiv w:val="1"/>
      <w:marLeft w:val="0"/>
      <w:marRight w:val="0"/>
      <w:marTop w:val="0"/>
      <w:marBottom w:val="0"/>
      <w:divBdr>
        <w:top w:val="none" w:sz="0" w:space="0" w:color="auto"/>
        <w:left w:val="none" w:sz="0" w:space="0" w:color="auto"/>
        <w:bottom w:val="none" w:sz="0" w:space="0" w:color="auto"/>
        <w:right w:val="none" w:sz="0" w:space="0" w:color="auto"/>
      </w:divBdr>
    </w:div>
    <w:div w:id="525605158">
      <w:bodyDiv w:val="1"/>
      <w:marLeft w:val="0"/>
      <w:marRight w:val="0"/>
      <w:marTop w:val="0"/>
      <w:marBottom w:val="0"/>
      <w:divBdr>
        <w:top w:val="none" w:sz="0" w:space="0" w:color="auto"/>
        <w:left w:val="none" w:sz="0" w:space="0" w:color="auto"/>
        <w:bottom w:val="none" w:sz="0" w:space="0" w:color="auto"/>
        <w:right w:val="none" w:sz="0" w:space="0" w:color="auto"/>
      </w:divBdr>
    </w:div>
    <w:div w:id="527135347">
      <w:bodyDiv w:val="1"/>
      <w:marLeft w:val="0"/>
      <w:marRight w:val="0"/>
      <w:marTop w:val="0"/>
      <w:marBottom w:val="0"/>
      <w:divBdr>
        <w:top w:val="none" w:sz="0" w:space="0" w:color="auto"/>
        <w:left w:val="none" w:sz="0" w:space="0" w:color="auto"/>
        <w:bottom w:val="none" w:sz="0" w:space="0" w:color="auto"/>
        <w:right w:val="none" w:sz="0" w:space="0" w:color="auto"/>
      </w:divBdr>
    </w:div>
    <w:div w:id="527255089">
      <w:bodyDiv w:val="1"/>
      <w:marLeft w:val="0"/>
      <w:marRight w:val="0"/>
      <w:marTop w:val="0"/>
      <w:marBottom w:val="0"/>
      <w:divBdr>
        <w:top w:val="none" w:sz="0" w:space="0" w:color="auto"/>
        <w:left w:val="none" w:sz="0" w:space="0" w:color="auto"/>
        <w:bottom w:val="none" w:sz="0" w:space="0" w:color="auto"/>
        <w:right w:val="none" w:sz="0" w:space="0" w:color="auto"/>
      </w:divBdr>
    </w:div>
    <w:div w:id="527376557">
      <w:bodyDiv w:val="1"/>
      <w:marLeft w:val="0"/>
      <w:marRight w:val="0"/>
      <w:marTop w:val="0"/>
      <w:marBottom w:val="0"/>
      <w:divBdr>
        <w:top w:val="none" w:sz="0" w:space="0" w:color="auto"/>
        <w:left w:val="none" w:sz="0" w:space="0" w:color="auto"/>
        <w:bottom w:val="none" w:sz="0" w:space="0" w:color="auto"/>
        <w:right w:val="none" w:sz="0" w:space="0" w:color="auto"/>
      </w:divBdr>
    </w:div>
    <w:div w:id="529340810">
      <w:bodyDiv w:val="1"/>
      <w:marLeft w:val="0"/>
      <w:marRight w:val="0"/>
      <w:marTop w:val="0"/>
      <w:marBottom w:val="0"/>
      <w:divBdr>
        <w:top w:val="none" w:sz="0" w:space="0" w:color="auto"/>
        <w:left w:val="none" w:sz="0" w:space="0" w:color="auto"/>
        <w:bottom w:val="none" w:sz="0" w:space="0" w:color="auto"/>
        <w:right w:val="none" w:sz="0" w:space="0" w:color="auto"/>
      </w:divBdr>
    </w:div>
    <w:div w:id="536090209">
      <w:bodyDiv w:val="1"/>
      <w:marLeft w:val="0"/>
      <w:marRight w:val="0"/>
      <w:marTop w:val="0"/>
      <w:marBottom w:val="0"/>
      <w:divBdr>
        <w:top w:val="none" w:sz="0" w:space="0" w:color="auto"/>
        <w:left w:val="none" w:sz="0" w:space="0" w:color="auto"/>
        <w:bottom w:val="none" w:sz="0" w:space="0" w:color="auto"/>
        <w:right w:val="none" w:sz="0" w:space="0" w:color="auto"/>
      </w:divBdr>
    </w:div>
    <w:div w:id="537006686">
      <w:bodyDiv w:val="1"/>
      <w:marLeft w:val="0"/>
      <w:marRight w:val="0"/>
      <w:marTop w:val="0"/>
      <w:marBottom w:val="0"/>
      <w:divBdr>
        <w:top w:val="none" w:sz="0" w:space="0" w:color="auto"/>
        <w:left w:val="none" w:sz="0" w:space="0" w:color="auto"/>
        <w:bottom w:val="none" w:sz="0" w:space="0" w:color="auto"/>
        <w:right w:val="none" w:sz="0" w:space="0" w:color="auto"/>
      </w:divBdr>
    </w:div>
    <w:div w:id="537814505">
      <w:bodyDiv w:val="1"/>
      <w:marLeft w:val="0"/>
      <w:marRight w:val="0"/>
      <w:marTop w:val="0"/>
      <w:marBottom w:val="0"/>
      <w:divBdr>
        <w:top w:val="none" w:sz="0" w:space="0" w:color="auto"/>
        <w:left w:val="none" w:sz="0" w:space="0" w:color="auto"/>
        <w:bottom w:val="none" w:sz="0" w:space="0" w:color="auto"/>
        <w:right w:val="none" w:sz="0" w:space="0" w:color="auto"/>
      </w:divBdr>
    </w:div>
    <w:div w:id="544802863">
      <w:bodyDiv w:val="1"/>
      <w:marLeft w:val="0"/>
      <w:marRight w:val="0"/>
      <w:marTop w:val="0"/>
      <w:marBottom w:val="0"/>
      <w:divBdr>
        <w:top w:val="none" w:sz="0" w:space="0" w:color="auto"/>
        <w:left w:val="none" w:sz="0" w:space="0" w:color="auto"/>
        <w:bottom w:val="none" w:sz="0" w:space="0" w:color="auto"/>
        <w:right w:val="none" w:sz="0" w:space="0" w:color="auto"/>
      </w:divBdr>
    </w:div>
    <w:div w:id="547372829">
      <w:bodyDiv w:val="1"/>
      <w:marLeft w:val="0"/>
      <w:marRight w:val="0"/>
      <w:marTop w:val="0"/>
      <w:marBottom w:val="0"/>
      <w:divBdr>
        <w:top w:val="none" w:sz="0" w:space="0" w:color="auto"/>
        <w:left w:val="none" w:sz="0" w:space="0" w:color="auto"/>
        <w:bottom w:val="none" w:sz="0" w:space="0" w:color="auto"/>
        <w:right w:val="none" w:sz="0" w:space="0" w:color="auto"/>
      </w:divBdr>
    </w:div>
    <w:div w:id="548034566">
      <w:bodyDiv w:val="1"/>
      <w:marLeft w:val="0"/>
      <w:marRight w:val="0"/>
      <w:marTop w:val="0"/>
      <w:marBottom w:val="0"/>
      <w:divBdr>
        <w:top w:val="none" w:sz="0" w:space="0" w:color="auto"/>
        <w:left w:val="none" w:sz="0" w:space="0" w:color="auto"/>
        <w:bottom w:val="none" w:sz="0" w:space="0" w:color="auto"/>
        <w:right w:val="none" w:sz="0" w:space="0" w:color="auto"/>
      </w:divBdr>
    </w:div>
    <w:div w:id="548079927">
      <w:bodyDiv w:val="1"/>
      <w:marLeft w:val="0"/>
      <w:marRight w:val="0"/>
      <w:marTop w:val="0"/>
      <w:marBottom w:val="0"/>
      <w:divBdr>
        <w:top w:val="none" w:sz="0" w:space="0" w:color="auto"/>
        <w:left w:val="none" w:sz="0" w:space="0" w:color="auto"/>
        <w:bottom w:val="none" w:sz="0" w:space="0" w:color="auto"/>
        <w:right w:val="none" w:sz="0" w:space="0" w:color="auto"/>
      </w:divBdr>
    </w:div>
    <w:div w:id="549074371">
      <w:bodyDiv w:val="1"/>
      <w:marLeft w:val="0"/>
      <w:marRight w:val="0"/>
      <w:marTop w:val="0"/>
      <w:marBottom w:val="0"/>
      <w:divBdr>
        <w:top w:val="none" w:sz="0" w:space="0" w:color="auto"/>
        <w:left w:val="none" w:sz="0" w:space="0" w:color="auto"/>
        <w:bottom w:val="none" w:sz="0" w:space="0" w:color="auto"/>
        <w:right w:val="none" w:sz="0" w:space="0" w:color="auto"/>
      </w:divBdr>
    </w:div>
    <w:div w:id="549222287">
      <w:bodyDiv w:val="1"/>
      <w:marLeft w:val="0"/>
      <w:marRight w:val="0"/>
      <w:marTop w:val="0"/>
      <w:marBottom w:val="0"/>
      <w:divBdr>
        <w:top w:val="none" w:sz="0" w:space="0" w:color="auto"/>
        <w:left w:val="none" w:sz="0" w:space="0" w:color="auto"/>
        <w:bottom w:val="none" w:sz="0" w:space="0" w:color="auto"/>
        <w:right w:val="none" w:sz="0" w:space="0" w:color="auto"/>
      </w:divBdr>
    </w:div>
    <w:div w:id="549263515">
      <w:bodyDiv w:val="1"/>
      <w:marLeft w:val="0"/>
      <w:marRight w:val="0"/>
      <w:marTop w:val="0"/>
      <w:marBottom w:val="0"/>
      <w:divBdr>
        <w:top w:val="none" w:sz="0" w:space="0" w:color="auto"/>
        <w:left w:val="none" w:sz="0" w:space="0" w:color="auto"/>
        <w:bottom w:val="none" w:sz="0" w:space="0" w:color="auto"/>
        <w:right w:val="none" w:sz="0" w:space="0" w:color="auto"/>
      </w:divBdr>
    </w:div>
    <w:div w:id="550583020">
      <w:bodyDiv w:val="1"/>
      <w:marLeft w:val="0"/>
      <w:marRight w:val="0"/>
      <w:marTop w:val="0"/>
      <w:marBottom w:val="0"/>
      <w:divBdr>
        <w:top w:val="none" w:sz="0" w:space="0" w:color="auto"/>
        <w:left w:val="none" w:sz="0" w:space="0" w:color="auto"/>
        <w:bottom w:val="none" w:sz="0" w:space="0" w:color="auto"/>
        <w:right w:val="none" w:sz="0" w:space="0" w:color="auto"/>
      </w:divBdr>
    </w:div>
    <w:div w:id="552547572">
      <w:bodyDiv w:val="1"/>
      <w:marLeft w:val="0"/>
      <w:marRight w:val="0"/>
      <w:marTop w:val="0"/>
      <w:marBottom w:val="0"/>
      <w:divBdr>
        <w:top w:val="none" w:sz="0" w:space="0" w:color="auto"/>
        <w:left w:val="none" w:sz="0" w:space="0" w:color="auto"/>
        <w:bottom w:val="none" w:sz="0" w:space="0" w:color="auto"/>
        <w:right w:val="none" w:sz="0" w:space="0" w:color="auto"/>
      </w:divBdr>
    </w:div>
    <w:div w:id="553548115">
      <w:bodyDiv w:val="1"/>
      <w:marLeft w:val="0"/>
      <w:marRight w:val="0"/>
      <w:marTop w:val="0"/>
      <w:marBottom w:val="0"/>
      <w:divBdr>
        <w:top w:val="none" w:sz="0" w:space="0" w:color="auto"/>
        <w:left w:val="none" w:sz="0" w:space="0" w:color="auto"/>
        <w:bottom w:val="none" w:sz="0" w:space="0" w:color="auto"/>
        <w:right w:val="none" w:sz="0" w:space="0" w:color="auto"/>
      </w:divBdr>
    </w:div>
    <w:div w:id="553582858">
      <w:bodyDiv w:val="1"/>
      <w:marLeft w:val="0"/>
      <w:marRight w:val="0"/>
      <w:marTop w:val="0"/>
      <w:marBottom w:val="0"/>
      <w:divBdr>
        <w:top w:val="none" w:sz="0" w:space="0" w:color="auto"/>
        <w:left w:val="none" w:sz="0" w:space="0" w:color="auto"/>
        <w:bottom w:val="none" w:sz="0" w:space="0" w:color="auto"/>
        <w:right w:val="none" w:sz="0" w:space="0" w:color="auto"/>
      </w:divBdr>
    </w:div>
    <w:div w:id="554509986">
      <w:bodyDiv w:val="1"/>
      <w:marLeft w:val="0"/>
      <w:marRight w:val="0"/>
      <w:marTop w:val="0"/>
      <w:marBottom w:val="0"/>
      <w:divBdr>
        <w:top w:val="none" w:sz="0" w:space="0" w:color="auto"/>
        <w:left w:val="none" w:sz="0" w:space="0" w:color="auto"/>
        <w:bottom w:val="none" w:sz="0" w:space="0" w:color="auto"/>
        <w:right w:val="none" w:sz="0" w:space="0" w:color="auto"/>
      </w:divBdr>
    </w:div>
    <w:div w:id="556088143">
      <w:bodyDiv w:val="1"/>
      <w:marLeft w:val="0"/>
      <w:marRight w:val="0"/>
      <w:marTop w:val="0"/>
      <w:marBottom w:val="0"/>
      <w:divBdr>
        <w:top w:val="none" w:sz="0" w:space="0" w:color="auto"/>
        <w:left w:val="none" w:sz="0" w:space="0" w:color="auto"/>
        <w:bottom w:val="none" w:sz="0" w:space="0" w:color="auto"/>
        <w:right w:val="none" w:sz="0" w:space="0" w:color="auto"/>
      </w:divBdr>
    </w:div>
    <w:div w:id="558052410">
      <w:bodyDiv w:val="1"/>
      <w:marLeft w:val="0"/>
      <w:marRight w:val="0"/>
      <w:marTop w:val="0"/>
      <w:marBottom w:val="0"/>
      <w:divBdr>
        <w:top w:val="none" w:sz="0" w:space="0" w:color="auto"/>
        <w:left w:val="none" w:sz="0" w:space="0" w:color="auto"/>
        <w:bottom w:val="none" w:sz="0" w:space="0" w:color="auto"/>
        <w:right w:val="none" w:sz="0" w:space="0" w:color="auto"/>
      </w:divBdr>
    </w:div>
    <w:div w:id="558249644">
      <w:bodyDiv w:val="1"/>
      <w:marLeft w:val="0"/>
      <w:marRight w:val="0"/>
      <w:marTop w:val="0"/>
      <w:marBottom w:val="0"/>
      <w:divBdr>
        <w:top w:val="none" w:sz="0" w:space="0" w:color="auto"/>
        <w:left w:val="none" w:sz="0" w:space="0" w:color="auto"/>
        <w:bottom w:val="none" w:sz="0" w:space="0" w:color="auto"/>
        <w:right w:val="none" w:sz="0" w:space="0" w:color="auto"/>
      </w:divBdr>
    </w:div>
    <w:div w:id="561912516">
      <w:bodyDiv w:val="1"/>
      <w:marLeft w:val="0"/>
      <w:marRight w:val="0"/>
      <w:marTop w:val="0"/>
      <w:marBottom w:val="0"/>
      <w:divBdr>
        <w:top w:val="none" w:sz="0" w:space="0" w:color="auto"/>
        <w:left w:val="none" w:sz="0" w:space="0" w:color="auto"/>
        <w:bottom w:val="none" w:sz="0" w:space="0" w:color="auto"/>
        <w:right w:val="none" w:sz="0" w:space="0" w:color="auto"/>
      </w:divBdr>
    </w:div>
    <w:div w:id="562639652">
      <w:bodyDiv w:val="1"/>
      <w:marLeft w:val="0"/>
      <w:marRight w:val="0"/>
      <w:marTop w:val="0"/>
      <w:marBottom w:val="0"/>
      <w:divBdr>
        <w:top w:val="none" w:sz="0" w:space="0" w:color="auto"/>
        <w:left w:val="none" w:sz="0" w:space="0" w:color="auto"/>
        <w:bottom w:val="none" w:sz="0" w:space="0" w:color="auto"/>
        <w:right w:val="none" w:sz="0" w:space="0" w:color="auto"/>
      </w:divBdr>
    </w:div>
    <w:div w:id="563178600">
      <w:bodyDiv w:val="1"/>
      <w:marLeft w:val="0"/>
      <w:marRight w:val="0"/>
      <w:marTop w:val="0"/>
      <w:marBottom w:val="0"/>
      <w:divBdr>
        <w:top w:val="none" w:sz="0" w:space="0" w:color="auto"/>
        <w:left w:val="none" w:sz="0" w:space="0" w:color="auto"/>
        <w:bottom w:val="none" w:sz="0" w:space="0" w:color="auto"/>
        <w:right w:val="none" w:sz="0" w:space="0" w:color="auto"/>
      </w:divBdr>
    </w:div>
    <w:div w:id="563874360">
      <w:bodyDiv w:val="1"/>
      <w:marLeft w:val="0"/>
      <w:marRight w:val="0"/>
      <w:marTop w:val="0"/>
      <w:marBottom w:val="0"/>
      <w:divBdr>
        <w:top w:val="none" w:sz="0" w:space="0" w:color="auto"/>
        <w:left w:val="none" w:sz="0" w:space="0" w:color="auto"/>
        <w:bottom w:val="none" w:sz="0" w:space="0" w:color="auto"/>
        <w:right w:val="none" w:sz="0" w:space="0" w:color="auto"/>
      </w:divBdr>
    </w:div>
    <w:div w:id="563880407">
      <w:bodyDiv w:val="1"/>
      <w:marLeft w:val="0"/>
      <w:marRight w:val="0"/>
      <w:marTop w:val="0"/>
      <w:marBottom w:val="0"/>
      <w:divBdr>
        <w:top w:val="none" w:sz="0" w:space="0" w:color="auto"/>
        <w:left w:val="none" w:sz="0" w:space="0" w:color="auto"/>
        <w:bottom w:val="none" w:sz="0" w:space="0" w:color="auto"/>
        <w:right w:val="none" w:sz="0" w:space="0" w:color="auto"/>
      </w:divBdr>
    </w:div>
    <w:div w:id="564295118">
      <w:bodyDiv w:val="1"/>
      <w:marLeft w:val="0"/>
      <w:marRight w:val="0"/>
      <w:marTop w:val="0"/>
      <w:marBottom w:val="0"/>
      <w:divBdr>
        <w:top w:val="none" w:sz="0" w:space="0" w:color="auto"/>
        <w:left w:val="none" w:sz="0" w:space="0" w:color="auto"/>
        <w:bottom w:val="none" w:sz="0" w:space="0" w:color="auto"/>
        <w:right w:val="none" w:sz="0" w:space="0" w:color="auto"/>
      </w:divBdr>
    </w:div>
    <w:div w:id="565646030">
      <w:bodyDiv w:val="1"/>
      <w:marLeft w:val="0"/>
      <w:marRight w:val="0"/>
      <w:marTop w:val="0"/>
      <w:marBottom w:val="0"/>
      <w:divBdr>
        <w:top w:val="none" w:sz="0" w:space="0" w:color="auto"/>
        <w:left w:val="none" w:sz="0" w:space="0" w:color="auto"/>
        <w:bottom w:val="none" w:sz="0" w:space="0" w:color="auto"/>
        <w:right w:val="none" w:sz="0" w:space="0" w:color="auto"/>
      </w:divBdr>
    </w:div>
    <w:div w:id="570425771">
      <w:bodyDiv w:val="1"/>
      <w:marLeft w:val="0"/>
      <w:marRight w:val="0"/>
      <w:marTop w:val="0"/>
      <w:marBottom w:val="0"/>
      <w:divBdr>
        <w:top w:val="none" w:sz="0" w:space="0" w:color="auto"/>
        <w:left w:val="none" w:sz="0" w:space="0" w:color="auto"/>
        <w:bottom w:val="none" w:sz="0" w:space="0" w:color="auto"/>
        <w:right w:val="none" w:sz="0" w:space="0" w:color="auto"/>
      </w:divBdr>
    </w:div>
    <w:div w:id="574823164">
      <w:bodyDiv w:val="1"/>
      <w:marLeft w:val="0"/>
      <w:marRight w:val="0"/>
      <w:marTop w:val="0"/>
      <w:marBottom w:val="0"/>
      <w:divBdr>
        <w:top w:val="none" w:sz="0" w:space="0" w:color="auto"/>
        <w:left w:val="none" w:sz="0" w:space="0" w:color="auto"/>
        <w:bottom w:val="none" w:sz="0" w:space="0" w:color="auto"/>
        <w:right w:val="none" w:sz="0" w:space="0" w:color="auto"/>
      </w:divBdr>
    </w:div>
    <w:div w:id="575171846">
      <w:bodyDiv w:val="1"/>
      <w:marLeft w:val="0"/>
      <w:marRight w:val="0"/>
      <w:marTop w:val="0"/>
      <w:marBottom w:val="0"/>
      <w:divBdr>
        <w:top w:val="none" w:sz="0" w:space="0" w:color="auto"/>
        <w:left w:val="none" w:sz="0" w:space="0" w:color="auto"/>
        <w:bottom w:val="none" w:sz="0" w:space="0" w:color="auto"/>
        <w:right w:val="none" w:sz="0" w:space="0" w:color="auto"/>
      </w:divBdr>
    </w:div>
    <w:div w:id="576135422">
      <w:bodyDiv w:val="1"/>
      <w:marLeft w:val="0"/>
      <w:marRight w:val="0"/>
      <w:marTop w:val="0"/>
      <w:marBottom w:val="0"/>
      <w:divBdr>
        <w:top w:val="none" w:sz="0" w:space="0" w:color="auto"/>
        <w:left w:val="none" w:sz="0" w:space="0" w:color="auto"/>
        <w:bottom w:val="none" w:sz="0" w:space="0" w:color="auto"/>
        <w:right w:val="none" w:sz="0" w:space="0" w:color="auto"/>
      </w:divBdr>
    </w:div>
    <w:div w:id="576938562">
      <w:bodyDiv w:val="1"/>
      <w:marLeft w:val="0"/>
      <w:marRight w:val="0"/>
      <w:marTop w:val="0"/>
      <w:marBottom w:val="0"/>
      <w:divBdr>
        <w:top w:val="none" w:sz="0" w:space="0" w:color="auto"/>
        <w:left w:val="none" w:sz="0" w:space="0" w:color="auto"/>
        <w:bottom w:val="none" w:sz="0" w:space="0" w:color="auto"/>
        <w:right w:val="none" w:sz="0" w:space="0" w:color="auto"/>
      </w:divBdr>
    </w:div>
    <w:div w:id="579096682">
      <w:bodyDiv w:val="1"/>
      <w:marLeft w:val="0"/>
      <w:marRight w:val="0"/>
      <w:marTop w:val="0"/>
      <w:marBottom w:val="0"/>
      <w:divBdr>
        <w:top w:val="none" w:sz="0" w:space="0" w:color="auto"/>
        <w:left w:val="none" w:sz="0" w:space="0" w:color="auto"/>
        <w:bottom w:val="none" w:sz="0" w:space="0" w:color="auto"/>
        <w:right w:val="none" w:sz="0" w:space="0" w:color="auto"/>
      </w:divBdr>
    </w:div>
    <w:div w:id="579871584">
      <w:bodyDiv w:val="1"/>
      <w:marLeft w:val="0"/>
      <w:marRight w:val="0"/>
      <w:marTop w:val="0"/>
      <w:marBottom w:val="0"/>
      <w:divBdr>
        <w:top w:val="none" w:sz="0" w:space="0" w:color="auto"/>
        <w:left w:val="none" w:sz="0" w:space="0" w:color="auto"/>
        <w:bottom w:val="none" w:sz="0" w:space="0" w:color="auto"/>
        <w:right w:val="none" w:sz="0" w:space="0" w:color="auto"/>
      </w:divBdr>
    </w:div>
    <w:div w:id="581377522">
      <w:bodyDiv w:val="1"/>
      <w:marLeft w:val="0"/>
      <w:marRight w:val="0"/>
      <w:marTop w:val="0"/>
      <w:marBottom w:val="0"/>
      <w:divBdr>
        <w:top w:val="none" w:sz="0" w:space="0" w:color="auto"/>
        <w:left w:val="none" w:sz="0" w:space="0" w:color="auto"/>
        <w:bottom w:val="none" w:sz="0" w:space="0" w:color="auto"/>
        <w:right w:val="none" w:sz="0" w:space="0" w:color="auto"/>
      </w:divBdr>
    </w:div>
    <w:div w:id="584609471">
      <w:bodyDiv w:val="1"/>
      <w:marLeft w:val="0"/>
      <w:marRight w:val="0"/>
      <w:marTop w:val="0"/>
      <w:marBottom w:val="0"/>
      <w:divBdr>
        <w:top w:val="none" w:sz="0" w:space="0" w:color="auto"/>
        <w:left w:val="none" w:sz="0" w:space="0" w:color="auto"/>
        <w:bottom w:val="none" w:sz="0" w:space="0" w:color="auto"/>
        <w:right w:val="none" w:sz="0" w:space="0" w:color="auto"/>
      </w:divBdr>
    </w:div>
    <w:div w:id="588658435">
      <w:bodyDiv w:val="1"/>
      <w:marLeft w:val="0"/>
      <w:marRight w:val="0"/>
      <w:marTop w:val="0"/>
      <w:marBottom w:val="0"/>
      <w:divBdr>
        <w:top w:val="none" w:sz="0" w:space="0" w:color="auto"/>
        <w:left w:val="none" w:sz="0" w:space="0" w:color="auto"/>
        <w:bottom w:val="none" w:sz="0" w:space="0" w:color="auto"/>
        <w:right w:val="none" w:sz="0" w:space="0" w:color="auto"/>
      </w:divBdr>
    </w:div>
    <w:div w:id="589505592">
      <w:bodyDiv w:val="1"/>
      <w:marLeft w:val="0"/>
      <w:marRight w:val="0"/>
      <w:marTop w:val="0"/>
      <w:marBottom w:val="0"/>
      <w:divBdr>
        <w:top w:val="none" w:sz="0" w:space="0" w:color="auto"/>
        <w:left w:val="none" w:sz="0" w:space="0" w:color="auto"/>
        <w:bottom w:val="none" w:sz="0" w:space="0" w:color="auto"/>
        <w:right w:val="none" w:sz="0" w:space="0" w:color="auto"/>
      </w:divBdr>
    </w:div>
    <w:div w:id="591275944">
      <w:bodyDiv w:val="1"/>
      <w:marLeft w:val="0"/>
      <w:marRight w:val="0"/>
      <w:marTop w:val="0"/>
      <w:marBottom w:val="0"/>
      <w:divBdr>
        <w:top w:val="none" w:sz="0" w:space="0" w:color="auto"/>
        <w:left w:val="none" w:sz="0" w:space="0" w:color="auto"/>
        <w:bottom w:val="none" w:sz="0" w:space="0" w:color="auto"/>
        <w:right w:val="none" w:sz="0" w:space="0" w:color="auto"/>
      </w:divBdr>
    </w:div>
    <w:div w:id="591624007">
      <w:bodyDiv w:val="1"/>
      <w:marLeft w:val="0"/>
      <w:marRight w:val="0"/>
      <w:marTop w:val="0"/>
      <w:marBottom w:val="0"/>
      <w:divBdr>
        <w:top w:val="none" w:sz="0" w:space="0" w:color="auto"/>
        <w:left w:val="none" w:sz="0" w:space="0" w:color="auto"/>
        <w:bottom w:val="none" w:sz="0" w:space="0" w:color="auto"/>
        <w:right w:val="none" w:sz="0" w:space="0" w:color="auto"/>
      </w:divBdr>
    </w:div>
    <w:div w:id="592279800">
      <w:bodyDiv w:val="1"/>
      <w:marLeft w:val="0"/>
      <w:marRight w:val="0"/>
      <w:marTop w:val="0"/>
      <w:marBottom w:val="0"/>
      <w:divBdr>
        <w:top w:val="none" w:sz="0" w:space="0" w:color="auto"/>
        <w:left w:val="none" w:sz="0" w:space="0" w:color="auto"/>
        <w:bottom w:val="none" w:sz="0" w:space="0" w:color="auto"/>
        <w:right w:val="none" w:sz="0" w:space="0" w:color="auto"/>
      </w:divBdr>
    </w:div>
    <w:div w:id="592472088">
      <w:bodyDiv w:val="1"/>
      <w:marLeft w:val="0"/>
      <w:marRight w:val="0"/>
      <w:marTop w:val="0"/>
      <w:marBottom w:val="0"/>
      <w:divBdr>
        <w:top w:val="none" w:sz="0" w:space="0" w:color="auto"/>
        <w:left w:val="none" w:sz="0" w:space="0" w:color="auto"/>
        <w:bottom w:val="none" w:sz="0" w:space="0" w:color="auto"/>
        <w:right w:val="none" w:sz="0" w:space="0" w:color="auto"/>
      </w:divBdr>
    </w:div>
    <w:div w:id="594049883">
      <w:bodyDiv w:val="1"/>
      <w:marLeft w:val="0"/>
      <w:marRight w:val="0"/>
      <w:marTop w:val="0"/>
      <w:marBottom w:val="0"/>
      <w:divBdr>
        <w:top w:val="none" w:sz="0" w:space="0" w:color="auto"/>
        <w:left w:val="none" w:sz="0" w:space="0" w:color="auto"/>
        <w:bottom w:val="none" w:sz="0" w:space="0" w:color="auto"/>
        <w:right w:val="none" w:sz="0" w:space="0" w:color="auto"/>
      </w:divBdr>
    </w:div>
    <w:div w:id="594942597">
      <w:bodyDiv w:val="1"/>
      <w:marLeft w:val="0"/>
      <w:marRight w:val="0"/>
      <w:marTop w:val="0"/>
      <w:marBottom w:val="0"/>
      <w:divBdr>
        <w:top w:val="none" w:sz="0" w:space="0" w:color="auto"/>
        <w:left w:val="none" w:sz="0" w:space="0" w:color="auto"/>
        <w:bottom w:val="none" w:sz="0" w:space="0" w:color="auto"/>
        <w:right w:val="none" w:sz="0" w:space="0" w:color="auto"/>
      </w:divBdr>
    </w:div>
    <w:div w:id="595558313">
      <w:bodyDiv w:val="1"/>
      <w:marLeft w:val="0"/>
      <w:marRight w:val="0"/>
      <w:marTop w:val="0"/>
      <w:marBottom w:val="0"/>
      <w:divBdr>
        <w:top w:val="none" w:sz="0" w:space="0" w:color="auto"/>
        <w:left w:val="none" w:sz="0" w:space="0" w:color="auto"/>
        <w:bottom w:val="none" w:sz="0" w:space="0" w:color="auto"/>
        <w:right w:val="none" w:sz="0" w:space="0" w:color="auto"/>
      </w:divBdr>
    </w:div>
    <w:div w:id="596791915">
      <w:bodyDiv w:val="1"/>
      <w:marLeft w:val="0"/>
      <w:marRight w:val="0"/>
      <w:marTop w:val="0"/>
      <w:marBottom w:val="0"/>
      <w:divBdr>
        <w:top w:val="none" w:sz="0" w:space="0" w:color="auto"/>
        <w:left w:val="none" w:sz="0" w:space="0" w:color="auto"/>
        <w:bottom w:val="none" w:sz="0" w:space="0" w:color="auto"/>
        <w:right w:val="none" w:sz="0" w:space="0" w:color="auto"/>
      </w:divBdr>
    </w:div>
    <w:div w:id="599678950">
      <w:bodyDiv w:val="1"/>
      <w:marLeft w:val="0"/>
      <w:marRight w:val="0"/>
      <w:marTop w:val="0"/>
      <w:marBottom w:val="0"/>
      <w:divBdr>
        <w:top w:val="none" w:sz="0" w:space="0" w:color="auto"/>
        <w:left w:val="none" w:sz="0" w:space="0" w:color="auto"/>
        <w:bottom w:val="none" w:sz="0" w:space="0" w:color="auto"/>
        <w:right w:val="none" w:sz="0" w:space="0" w:color="auto"/>
      </w:divBdr>
    </w:div>
    <w:div w:id="604770995">
      <w:bodyDiv w:val="1"/>
      <w:marLeft w:val="0"/>
      <w:marRight w:val="0"/>
      <w:marTop w:val="0"/>
      <w:marBottom w:val="0"/>
      <w:divBdr>
        <w:top w:val="none" w:sz="0" w:space="0" w:color="auto"/>
        <w:left w:val="none" w:sz="0" w:space="0" w:color="auto"/>
        <w:bottom w:val="none" w:sz="0" w:space="0" w:color="auto"/>
        <w:right w:val="none" w:sz="0" w:space="0" w:color="auto"/>
      </w:divBdr>
    </w:div>
    <w:div w:id="604920310">
      <w:bodyDiv w:val="1"/>
      <w:marLeft w:val="0"/>
      <w:marRight w:val="0"/>
      <w:marTop w:val="0"/>
      <w:marBottom w:val="0"/>
      <w:divBdr>
        <w:top w:val="none" w:sz="0" w:space="0" w:color="auto"/>
        <w:left w:val="none" w:sz="0" w:space="0" w:color="auto"/>
        <w:bottom w:val="none" w:sz="0" w:space="0" w:color="auto"/>
        <w:right w:val="none" w:sz="0" w:space="0" w:color="auto"/>
      </w:divBdr>
    </w:div>
    <w:div w:id="605116114">
      <w:bodyDiv w:val="1"/>
      <w:marLeft w:val="0"/>
      <w:marRight w:val="0"/>
      <w:marTop w:val="0"/>
      <w:marBottom w:val="0"/>
      <w:divBdr>
        <w:top w:val="none" w:sz="0" w:space="0" w:color="auto"/>
        <w:left w:val="none" w:sz="0" w:space="0" w:color="auto"/>
        <w:bottom w:val="none" w:sz="0" w:space="0" w:color="auto"/>
        <w:right w:val="none" w:sz="0" w:space="0" w:color="auto"/>
      </w:divBdr>
    </w:div>
    <w:div w:id="607661379">
      <w:bodyDiv w:val="1"/>
      <w:marLeft w:val="0"/>
      <w:marRight w:val="0"/>
      <w:marTop w:val="0"/>
      <w:marBottom w:val="0"/>
      <w:divBdr>
        <w:top w:val="none" w:sz="0" w:space="0" w:color="auto"/>
        <w:left w:val="none" w:sz="0" w:space="0" w:color="auto"/>
        <w:bottom w:val="none" w:sz="0" w:space="0" w:color="auto"/>
        <w:right w:val="none" w:sz="0" w:space="0" w:color="auto"/>
      </w:divBdr>
    </w:div>
    <w:div w:id="608125464">
      <w:bodyDiv w:val="1"/>
      <w:marLeft w:val="0"/>
      <w:marRight w:val="0"/>
      <w:marTop w:val="0"/>
      <w:marBottom w:val="0"/>
      <w:divBdr>
        <w:top w:val="none" w:sz="0" w:space="0" w:color="auto"/>
        <w:left w:val="none" w:sz="0" w:space="0" w:color="auto"/>
        <w:bottom w:val="none" w:sz="0" w:space="0" w:color="auto"/>
        <w:right w:val="none" w:sz="0" w:space="0" w:color="auto"/>
      </w:divBdr>
    </w:div>
    <w:div w:id="610472342">
      <w:bodyDiv w:val="1"/>
      <w:marLeft w:val="0"/>
      <w:marRight w:val="0"/>
      <w:marTop w:val="0"/>
      <w:marBottom w:val="0"/>
      <w:divBdr>
        <w:top w:val="none" w:sz="0" w:space="0" w:color="auto"/>
        <w:left w:val="none" w:sz="0" w:space="0" w:color="auto"/>
        <w:bottom w:val="none" w:sz="0" w:space="0" w:color="auto"/>
        <w:right w:val="none" w:sz="0" w:space="0" w:color="auto"/>
      </w:divBdr>
    </w:div>
    <w:div w:id="611590509">
      <w:bodyDiv w:val="1"/>
      <w:marLeft w:val="0"/>
      <w:marRight w:val="0"/>
      <w:marTop w:val="0"/>
      <w:marBottom w:val="0"/>
      <w:divBdr>
        <w:top w:val="none" w:sz="0" w:space="0" w:color="auto"/>
        <w:left w:val="none" w:sz="0" w:space="0" w:color="auto"/>
        <w:bottom w:val="none" w:sz="0" w:space="0" w:color="auto"/>
        <w:right w:val="none" w:sz="0" w:space="0" w:color="auto"/>
      </w:divBdr>
    </w:div>
    <w:div w:id="612058989">
      <w:bodyDiv w:val="1"/>
      <w:marLeft w:val="0"/>
      <w:marRight w:val="0"/>
      <w:marTop w:val="0"/>
      <w:marBottom w:val="0"/>
      <w:divBdr>
        <w:top w:val="none" w:sz="0" w:space="0" w:color="auto"/>
        <w:left w:val="none" w:sz="0" w:space="0" w:color="auto"/>
        <w:bottom w:val="none" w:sz="0" w:space="0" w:color="auto"/>
        <w:right w:val="none" w:sz="0" w:space="0" w:color="auto"/>
      </w:divBdr>
    </w:div>
    <w:div w:id="612176856">
      <w:bodyDiv w:val="1"/>
      <w:marLeft w:val="0"/>
      <w:marRight w:val="0"/>
      <w:marTop w:val="0"/>
      <w:marBottom w:val="0"/>
      <w:divBdr>
        <w:top w:val="none" w:sz="0" w:space="0" w:color="auto"/>
        <w:left w:val="none" w:sz="0" w:space="0" w:color="auto"/>
        <w:bottom w:val="none" w:sz="0" w:space="0" w:color="auto"/>
        <w:right w:val="none" w:sz="0" w:space="0" w:color="auto"/>
      </w:divBdr>
    </w:div>
    <w:div w:id="612783738">
      <w:bodyDiv w:val="1"/>
      <w:marLeft w:val="0"/>
      <w:marRight w:val="0"/>
      <w:marTop w:val="0"/>
      <w:marBottom w:val="0"/>
      <w:divBdr>
        <w:top w:val="none" w:sz="0" w:space="0" w:color="auto"/>
        <w:left w:val="none" w:sz="0" w:space="0" w:color="auto"/>
        <w:bottom w:val="none" w:sz="0" w:space="0" w:color="auto"/>
        <w:right w:val="none" w:sz="0" w:space="0" w:color="auto"/>
      </w:divBdr>
    </w:div>
    <w:div w:id="614290080">
      <w:bodyDiv w:val="1"/>
      <w:marLeft w:val="0"/>
      <w:marRight w:val="0"/>
      <w:marTop w:val="0"/>
      <w:marBottom w:val="0"/>
      <w:divBdr>
        <w:top w:val="none" w:sz="0" w:space="0" w:color="auto"/>
        <w:left w:val="none" w:sz="0" w:space="0" w:color="auto"/>
        <w:bottom w:val="none" w:sz="0" w:space="0" w:color="auto"/>
        <w:right w:val="none" w:sz="0" w:space="0" w:color="auto"/>
      </w:divBdr>
    </w:div>
    <w:div w:id="615674631">
      <w:bodyDiv w:val="1"/>
      <w:marLeft w:val="0"/>
      <w:marRight w:val="0"/>
      <w:marTop w:val="0"/>
      <w:marBottom w:val="0"/>
      <w:divBdr>
        <w:top w:val="none" w:sz="0" w:space="0" w:color="auto"/>
        <w:left w:val="none" w:sz="0" w:space="0" w:color="auto"/>
        <w:bottom w:val="none" w:sz="0" w:space="0" w:color="auto"/>
        <w:right w:val="none" w:sz="0" w:space="0" w:color="auto"/>
      </w:divBdr>
    </w:div>
    <w:div w:id="616911630">
      <w:bodyDiv w:val="1"/>
      <w:marLeft w:val="0"/>
      <w:marRight w:val="0"/>
      <w:marTop w:val="0"/>
      <w:marBottom w:val="0"/>
      <w:divBdr>
        <w:top w:val="none" w:sz="0" w:space="0" w:color="auto"/>
        <w:left w:val="none" w:sz="0" w:space="0" w:color="auto"/>
        <w:bottom w:val="none" w:sz="0" w:space="0" w:color="auto"/>
        <w:right w:val="none" w:sz="0" w:space="0" w:color="auto"/>
      </w:divBdr>
    </w:div>
    <w:div w:id="617030455">
      <w:bodyDiv w:val="1"/>
      <w:marLeft w:val="0"/>
      <w:marRight w:val="0"/>
      <w:marTop w:val="0"/>
      <w:marBottom w:val="0"/>
      <w:divBdr>
        <w:top w:val="none" w:sz="0" w:space="0" w:color="auto"/>
        <w:left w:val="none" w:sz="0" w:space="0" w:color="auto"/>
        <w:bottom w:val="none" w:sz="0" w:space="0" w:color="auto"/>
        <w:right w:val="none" w:sz="0" w:space="0" w:color="auto"/>
      </w:divBdr>
    </w:div>
    <w:div w:id="617415807">
      <w:bodyDiv w:val="1"/>
      <w:marLeft w:val="0"/>
      <w:marRight w:val="0"/>
      <w:marTop w:val="0"/>
      <w:marBottom w:val="0"/>
      <w:divBdr>
        <w:top w:val="none" w:sz="0" w:space="0" w:color="auto"/>
        <w:left w:val="none" w:sz="0" w:space="0" w:color="auto"/>
        <w:bottom w:val="none" w:sz="0" w:space="0" w:color="auto"/>
        <w:right w:val="none" w:sz="0" w:space="0" w:color="auto"/>
      </w:divBdr>
    </w:div>
    <w:div w:id="617639183">
      <w:bodyDiv w:val="1"/>
      <w:marLeft w:val="0"/>
      <w:marRight w:val="0"/>
      <w:marTop w:val="0"/>
      <w:marBottom w:val="0"/>
      <w:divBdr>
        <w:top w:val="none" w:sz="0" w:space="0" w:color="auto"/>
        <w:left w:val="none" w:sz="0" w:space="0" w:color="auto"/>
        <w:bottom w:val="none" w:sz="0" w:space="0" w:color="auto"/>
        <w:right w:val="none" w:sz="0" w:space="0" w:color="auto"/>
      </w:divBdr>
    </w:div>
    <w:div w:id="618528877">
      <w:bodyDiv w:val="1"/>
      <w:marLeft w:val="0"/>
      <w:marRight w:val="0"/>
      <w:marTop w:val="0"/>
      <w:marBottom w:val="0"/>
      <w:divBdr>
        <w:top w:val="none" w:sz="0" w:space="0" w:color="auto"/>
        <w:left w:val="none" w:sz="0" w:space="0" w:color="auto"/>
        <w:bottom w:val="none" w:sz="0" w:space="0" w:color="auto"/>
        <w:right w:val="none" w:sz="0" w:space="0" w:color="auto"/>
      </w:divBdr>
    </w:div>
    <w:div w:id="621573599">
      <w:bodyDiv w:val="1"/>
      <w:marLeft w:val="0"/>
      <w:marRight w:val="0"/>
      <w:marTop w:val="0"/>
      <w:marBottom w:val="0"/>
      <w:divBdr>
        <w:top w:val="none" w:sz="0" w:space="0" w:color="auto"/>
        <w:left w:val="none" w:sz="0" w:space="0" w:color="auto"/>
        <w:bottom w:val="none" w:sz="0" w:space="0" w:color="auto"/>
        <w:right w:val="none" w:sz="0" w:space="0" w:color="auto"/>
      </w:divBdr>
    </w:div>
    <w:div w:id="623313657">
      <w:bodyDiv w:val="1"/>
      <w:marLeft w:val="0"/>
      <w:marRight w:val="0"/>
      <w:marTop w:val="0"/>
      <w:marBottom w:val="0"/>
      <w:divBdr>
        <w:top w:val="none" w:sz="0" w:space="0" w:color="auto"/>
        <w:left w:val="none" w:sz="0" w:space="0" w:color="auto"/>
        <w:bottom w:val="none" w:sz="0" w:space="0" w:color="auto"/>
        <w:right w:val="none" w:sz="0" w:space="0" w:color="auto"/>
      </w:divBdr>
    </w:div>
    <w:div w:id="623342653">
      <w:bodyDiv w:val="1"/>
      <w:marLeft w:val="0"/>
      <w:marRight w:val="0"/>
      <w:marTop w:val="0"/>
      <w:marBottom w:val="0"/>
      <w:divBdr>
        <w:top w:val="none" w:sz="0" w:space="0" w:color="auto"/>
        <w:left w:val="none" w:sz="0" w:space="0" w:color="auto"/>
        <w:bottom w:val="none" w:sz="0" w:space="0" w:color="auto"/>
        <w:right w:val="none" w:sz="0" w:space="0" w:color="auto"/>
      </w:divBdr>
    </w:div>
    <w:div w:id="623661966">
      <w:bodyDiv w:val="1"/>
      <w:marLeft w:val="0"/>
      <w:marRight w:val="0"/>
      <w:marTop w:val="0"/>
      <w:marBottom w:val="0"/>
      <w:divBdr>
        <w:top w:val="none" w:sz="0" w:space="0" w:color="auto"/>
        <w:left w:val="none" w:sz="0" w:space="0" w:color="auto"/>
        <w:bottom w:val="none" w:sz="0" w:space="0" w:color="auto"/>
        <w:right w:val="none" w:sz="0" w:space="0" w:color="auto"/>
      </w:divBdr>
    </w:div>
    <w:div w:id="624509539">
      <w:bodyDiv w:val="1"/>
      <w:marLeft w:val="0"/>
      <w:marRight w:val="0"/>
      <w:marTop w:val="0"/>
      <w:marBottom w:val="0"/>
      <w:divBdr>
        <w:top w:val="none" w:sz="0" w:space="0" w:color="auto"/>
        <w:left w:val="none" w:sz="0" w:space="0" w:color="auto"/>
        <w:bottom w:val="none" w:sz="0" w:space="0" w:color="auto"/>
        <w:right w:val="none" w:sz="0" w:space="0" w:color="auto"/>
      </w:divBdr>
    </w:div>
    <w:div w:id="627316516">
      <w:bodyDiv w:val="1"/>
      <w:marLeft w:val="0"/>
      <w:marRight w:val="0"/>
      <w:marTop w:val="0"/>
      <w:marBottom w:val="0"/>
      <w:divBdr>
        <w:top w:val="none" w:sz="0" w:space="0" w:color="auto"/>
        <w:left w:val="none" w:sz="0" w:space="0" w:color="auto"/>
        <w:bottom w:val="none" w:sz="0" w:space="0" w:color="auto"/>
        <w:right w:val="none" w:sz="0" w:space="0" w:color="auto"/>
      </w:divBdr>
    </w:div>
    <w:div w:id="627777746">
      <w:bodyDiv w:val="1"/>
      <w:marLeft w:val="0"/>
      <w:marRight w:val="0"/>
      <w:marTop w:val="0"/>
      <w:marBottom w:val="0"/>
      <w:divBdr>
        <w:top w:val="none" w:sz="0" w:space="0" w:color="auto"/>
        <w:left w:val="none" w:sz="0" w:space="0" w:color="auto"/>
        <w:bottom w:val="none" w:sz="0" w:space="0" w:color="auto"/>
        <w:right w:val="none" w:sz="0" w:space="0" w:color="auto"/>
      </w:divBdr>
    </w:div>
    <w:div w:id="627932008">
      <w:bodyDiv w:val="1"/>
      <w:marLeft w:val="0"/>
      <w:marRight w:val="0"/>
      <w:marTop w:val="0"/>
      <w:marBottom w:val="0"/>
      <w:divBdr>
        <w:top w:val="none" w:sz="0" w:space="0" w:color="auto"/>
        <w:left w:val="none" w:sz="0" w:space="0" w:color="auto"/>
        <w:bottom w:val="none" w:sz="0" w:space="0" w:color="auto"/>
        <w:right w:val="none" w:sz="0" w:space="0" w:color="auto"/>
      </w:divBdr>
    </w:div>
    <w:div w:id="629094386">
      <w:bodyDiv w:val="1"/>
      <w:marLeft w:val="0"/>
      <w:marRight w:val="0"/>
      <w:marTop w:val="0"/>
      <w:marBottom w:val="0"/>
      <w:divBdr>
        <w:top w:val="none" w:sz="0" w:space="0" w:color="auto"/>
        <w:left w:val="none" w:sz="0" w:space="0" w:color="auto"/>
        <w:bottom w:val="none" w:sz="0" w:space="0" w:color="auto"/>
        <w:right w:val="none" w:sz="0" w:space="0" w:color="auto"/>
      </w:divBdr>
    </w:div>
    <w:div w:id="629165476">
      <w:bodyDiv w:val="1"/>
      <w:marLeft w:val="0"/>
      <w:marRight w:val="0"/>
      <w:marTop w:val="0"/>
      <w:marBottom w:val="0"/>
      <w:divBdr>
        <w:top w:val="none" w:sz="0" w:space="0" w:color="auto"/>
        <w:left w:val="none" w:sz="0" w:space="0" w:color="auto"/>
        <w:bottom w:val="none" w:sz="0" w:space="0" w:color="auto"/>
        <w:right w:val="none" w:sz="0" w:space="0" w:color="auto"/>
      </w:divBdr>
    </w:div>
    <w:div w:id="630208780">
      <w:bodyDiv w:val="1"/>
      <w:marLeft w:val="0"/>
      <w:marRight w:val="0"/>
      <w:marTop w:val="0"/>
      <w:marBottom w:val="0"/>
      <w:divBdr>
        <w:top w:val="none" w:sz="0" w:space="0" w:color="auto"/>
        <w:left w:val="none" w:sz="0" w:space="0" w:color="auto"/>
        <w:bottom w:val="none" w:sz="0" w:space="0" w:color="auto"/>
        <w:right w:val="none" w:sz="0" w:space="0" w:color="auto"/>
      </w:divBdr>
    </w:div>
    <w:div w:id="630480457">
      <w:bodyDiv w:val="1"/>
      <w:marLeft w:val="0"/>
      <w:marRight w:val="0"/>
      <w:marTop w:val="0"/>
      <w:marBottom w:val="0"/>
      <w:divBdr>
        <w:top w:val="none" w:sz="0" w:space="0" w:color="auto"/>
        <w:left w:val="none" w:sz="0" w:space="0" w:color="auto"/>
        <w:bottom w:val="none" w:sz="0" w:space="0" w:color="auto"/>
        <w:right w:val="none" w:sz="0" w:space="0" w:color="auto"/>
      </w:divBdr>
    </w:div>
    <w:div w:id="631525277">
      <w:bodyDiv w:val="1"/>
      <w:marLeft w:val="0"/>
      <w:marRight w:val="0"/>
      <w:marTop w:val="0"/>
      <w:marBottom w:val="0"/>
      <w:divBdr>
        <w:top w:val="none" w:sz="0" w:space="0" w:color="auto"/>
        <w:left w:val="none" w:sz="0" w:space="0" w:color="auto"/>
        <w:bottom w:val="none" w:sz="0" w:space="0" w:color="auto"/>
        <w:right w:val="none" w:sz="0" w:space="0" w:color="auto"/>
      </w:divBdr>
    </w:div>
    <w:div w:id="632637734">
      <w:bodyDiv w:val="1"/>
      <w:marLeft w:val="0"/>
      <w:marRight w:val="0"/>
      <w:marTop w:val="0"/>
      <w:marBottom w:val="0"/>
      <w:divBdr>
        <w:top w:val="none" w:sz="0" w:space="0" w:color="auto"/>
        <w:left w:val="none" w:sz="0" w:space="0" w:color="auto"/>
        <w:bottom w:val="none" w:sz="0" w:space="0" w:color="auto"/>
        <w:right w:val="none" w:sz="0" w:space="0" w:color="auto"/>
      </w:divBdr>
    </w:div>
    <w:div w:id="633295160">
      <w:bodyDiv w:val="1"/>
      <w:marLeft w:val="0"/>
      <w:marRight w:val="0"/>
      <w:marTop w:val="0"/>
      <w:marBottom w:val="0"/>
      <w:divBdr>
        <w:top w:val="none" w:sz="0" w:space="0" w:color="auto"/>
        <w:left w:val="none" w:sz="0" w:space="0" w:color="auto"/>
        <w:bottom w:val="none" w:sz="0" w:space="0" w:color="auto"/>
        <w:right w:val="none" w:sz="0" w:space="0" w:color="auto"/>
      </w:divBdr>
    </w:div>
    <w:div w:id="634258893">
      <w:bodyDiv w:val="1"/>
      <w:marLeft w:val="0"/>
      <w:marRight w:val="0"/>
      <w:marTop w:val="0"/>
      <w:marBottom w:val="0"/>
      <w:divBdr>
        <w:top w:val="none" w:sz="0" w:space="0" w:color="auto"/>
        <w:left w:val="none" w:sz="0" w:space="0" w:color="auto"/>
        <w:bottom w:val="none" w:sz="0" w:space="0" w:color="auto"/>
        <w:right w:val="none" w:sz="0" w:space="0" w:color="auto"/>
      </w:divBdr>
    </w:div>
    <w:div w:id="634408944">
      <w:bodyDiv w:val="1"/>
      <w:marLeft w:val="0"/>
      <w:marRight w:val="0"/>
      <w:marTop w:val="0"/>
      <w:marBottom w:val="0"/>
      <w:divBdr>
        <w:top w:val="none" w:sz="0" w:space="0" w:color="auto"/>
        <w:left w:val="none" w:sz="0" w:space="0" w:color="auto"/>
        <w:bottom w:val="none" w:sz="0" w:space="0" w:color="auto"/>
        <w:right w:val="none" w:sz="0" w:space="0" w:color="auto"/>
      </w:divBdr>
    </w:div>
    <w:div w:id="638531870">
      <w:bodyDiv w:val="1"/>
      <w:marLeft w:val="0"/>
      <w:marRight w:val="0"/>
      <w:marTop w:val="0"/>
      <w:marBottom w:val="0"/>
      <w:divBdr>
        <w:top w:val="none" w:sz="0" w:space="0" w:color="auto"/>
        <w:left w:val="none" w:sz="0" w:space="0" w:color="auto"/>
        <w:bottom w:val="none" w:sz="0" w:space="0" w:color="auto"/>
        <w:right w:val="none" w:sz="0" w:space="0" w:color="auto"/>
      </w:divBdr>
    </w:div>
    <w:div w:id="639192024">
      <w:bodyDiv w:val="1"/>
      <w:marLeft w:val="0"/>
      <w:marRight w:val="0"/>
      <w:marTop w:val="0"/>
      <w:marBottom w:val="0"/>
      <w:divBdr>
        <w:top w:val="none" w:sz="0" w:space="0" w:color="auto"/>
        <w:left w:val="none" w:sz="0" w:space="0" w:color="auto"/>
        <w:bottom w:val="none" w:sz="0" w:space="0" w:color="auto"/>
        <w:right w:val="none" w:sz="0" w:space="0" w:color="auto"/>
      </w:divBdr>
    </w:div>
    <w:div w:id="640571877">
      <w:bodyDiv w:val="1"/>
      <w:marLeft w:val="0"/>
      <w:marRight w:val="0"/>
      <w:marTop w:val="0"/>
      <w:marBottom w:val="0"/>
      <w:divBdr>
        <w:top w:val="none" w:sz="0" w:space="0" w:color="auto"/>
        <w:left w:val="none" w:sz="0" w:space="0" w:color="auto"/>
        <w:bottom w:val="none" w:sz="0" w:space="0" w:color="auto"/>
        <w:right w:val="none" w:sz="0" w:space="0" w:color="auto"/>
      </w:divBdr>
    </w:div>
    <w:div w:id="641275962">
      <w:bodyDiv w:val="1"/>
      <w:marLeft w:val="0"/>
      <w:marRight w:val="0"/>
      <w:marTop w:val="0"/>
      <w:marBottom w:val="0"/>
      <w:divBdr>
        <w:top w:val="none" w:sz="0" w:space="0" w:color="auto"/>
        <w:left w:val="none" w:sz="0" w:space="0" w:color="auto"/>
        <w:bottom w:val="none" w:sz="0" w:space="0" w:color="auto"/>
        <w:right w:val="none" w:sz="0" w:space="0" w:color="auto"/>
      </w:divBdr>
    </w:div>
    <w:div w:id="642001517">
      <w:bodyDiv w:val="1"/>
      <w:marLeft w:val="0"/>
      <w:marRight w:val="0"/>
      <w:marTop w:val="0"/>
      <w:marBottom w:val="0"/>
      <w:divBdr>
        <w:top w:val="none" w:sz="0" w:space="0" w:color="auto"/>
        <w:left w:val="none" w:sz="0" w:space="0" w:color="auto"/>
        <w:bottom w:val="none" w:sz="0" w:space="0" w:color="auto"/>
        <w:right w:val="none" w:sz="0" w:space="0" w:color="auto"/>
      </w:divBdr>
    </w:div>
    <w:div w:id="642660427">
      <w:bodyDiv w:val="1"/>
      <w:marLeft w:val="0"/>
      <w:marRight w:val="0"/>
      <w:marTop w:val="0"/>
      <w:marBottom w:val="0"/>
      <w:divBdr>
        <w:top w:val="none" w:sz="0" w:space="0" w:color="auto"/>
        <w:left w:val="none" w:sz="0" w:space="0" w:color="auto"/>
        <w:bottom w:val="none" w:sz="0" w:space="0" w:color="auto"/>
        <w:right w:val="none" w:sz="0" w:space="0" w:color="auto"/>
      </w:divBdr>
    </w:div>
    <w:div w:id="643117600">
      <w:bodyDiv w:val="1"/>
      <w:marLeft w:val="0"/>
      <w:marRight w:val="0"/>
      <w:marTop w:val="0"/>
      <w:marBottom w:val="0"/>
      <w:divBdr>
        <w:top w:val="none" w:sz="0" w:space="0" w:color="auto"/>
        <w:left w:val="none" w:sz="0" w:space="0" w:color="auto"/>
        <w:bottom w:val="none" w:sz="0" w:space="0" w:color="auto"/>
        <w:right w:val="none" w:sz="0" w:space="0" w:color="auto"/>
      </w:divBdr>
    </w:div>
    <w:div w:id="643896399">
      <w:bodyDiv w:val="1"/>
      <w:marLeft w:val="0"/>
      <w:marRight w:val="0"/>
      <w:marTop w:val="0"/>
      <w:marBottom w:val="0"/>
      <w:divBdr>
        <w:top w:val="none" w:sz="0" w:space="0" w:color="auto"/>
        <w:left w:val="none" w:sz="0" w:space="0" w:color="auto"/>
        <w:bottom w:val="none" w:sz="0" w:space="0" w:color="auto"/>
        <w:right w:val="none" w:sz="0" w:space="0" w:color="auto"/>
      </w:divBdr>
    </w:div>
    <w:div w:id="644046710">
      <w:bodyDiv w:val="1"/>
      <w:marLeft w:val="0"/>
      <w:marRight w:val="0"/>
      <w:marTop w:val="0"/>
      <w:marBottom w:val="0"/>
      <w:divBdr>
        <w:top w:val="none" w:sz="0" w:space="0" w:color="auto"/>
        <w:left w:val="none" w:sz="0" w:space="0" w:color="auto"/>
        <w:bottom w:val="none" w:sz="0" w:space="0" w:color="auto"/>
        <w:right w:val="none" w:sz="0" w:space="0" w:color="auto"/>
      </w:divBdr>
    </w:div>
    <w:div w:id="645745032">
      <w:bodyDiv w:val="1"/>
      <w:marLeft w:val="0"/>
      <w:marRight w:val="0"/>
      <w:marTop w:val="0"/>
      <w:marBottom w:val="0"/>
      <w:divBdr>
        <w:top w:val="none" w:sz="0" w:space="0" w:color="auto"/>
        <w:left w:val="none" w:sz="0" w:space="0" w:color="auto"/>
        <w:bottom w:val="none" w:sz="0" w:space="0" w:color="auto"/>
        <w:right w:val="none" w:sz="0" w:space="0" w:color="auto"/>
      </w:divBdr>
    </w:div>
    <w:div w:id="647129691">
      <w:bodyDiv w:val="1"/>
      <w:marLeft w:val="0"/>
      <w:marRight w:val="0"/>
      <w:marTop w:val="0"/>
      <w:marBottom w:val="0"/>
      <w:divBdr>
        <w:top w:val="none" w:sz="0" w:space="0" w:color="auto"/>
        <w:left w:val="none" w:sz="0" w:space="0" w:color="auto"/>
        <w:bottom w:val="none" w:sz="0" w:space="0" w:color="auto"/>
        <w:right w:val="none" w:sz="0" w:space="0" w:color="auto"/>
      </w:divBdr>
    </w:div>
    <w:div w:id="651369683">
      <w:bodyDiv w:val="1"/>
      <w:marLeft w:val="0"/>
      <w:marRight w:val="0"/>
      <w:marTop w:val="0"/>
      <w:marBottom w:val="0"/>
      <w:divBdr>
        <w:top w:val="none" w:sz="0" w:space="0" w:color="auto"/>
        <w:left w:val="none" w:sz="0" w:space="0" w:color="auto"/>
        <w:bottom w:val="none" w:sz="0" w:space="0" w:color="auto"/>
        <w:right w:val="none" w:sz="0" w:space="0" w:color="auto"/>
      </w:divBdr>
    </w:div>
    <w:div w:id="652876046">
      <w:bodyDiv w:val="1"/>
      <w:marLeft w:val="0"/>
      <w:marRight w:val="0"/>
      <w:marTop w:val="0"/>
      <w:marBottom w:val="0"/>
      <w:divBdr>
        <w:top w:val="none" w:sz="0" w:space="0" w:color="auto"/>
        <w:left w:val="none" w:sz="0" w:space="0" w:color="auto"/>
        <w:bottom w:val="none" w:sz="0" w:space="0" w:color="auto"/>
        <w:right w:val="none" w:sz="0" w:space="0" w:color="auto"/>
      </w:divBdr>
    </w:div>
    <w:div w:id="654070974">
      <w:bodyDiv w:val="1"/>
      <w:marLeft w:val="0"/>
      <w:marRight w:val="0"/>
      <w:marTop w:val="0"/>
      <w:marBottom w:val="0"/>
      <w:divBdr>
        <w:top w:val="none" w:sz="0" w:space="0" w:color="auto"/>
        <w:left w:val="none" w:sz="0" w:space="0" w:color="auto"/>
        <w:bottom w:val="none" w:sz="0" w:space="0" w:color="auto"/>
        <w:right w:val="none" w:sz="0" w:space="0" w:color="auto"/>
      </w:divBdr>
    </w:div>
    <w:div w:id="660960975">
      <w:bodyDiv w:val="1"/>
      <w:marLeft w:val="0"/>
      <w:marRight w:val="0"/>
      <w:marTop w:val="0"/>
      <w:marBottom w:val="0"/>
      <w:divBdr>
        <w:top w:val="none" w:sz="0" w:space="0" w:color="auto"/>
        <w:left w:val="none" w:sz="0" w:space="0" w:color="auto"/>
        <w:bottom w:val="none" w:sz="0" w:space="0" w:color="auto"/>
        <w:right w:val="none" w:sz="0" w:space="0" w:color="auto"/>
      </w:divBdr>
    </w:div>
    <w:div w:id="663969287">
      <w:bodyDiv w:val="1"/>
      <w:marLeft w:val="0"/>
      <w:marRight w:val="0"/>
      <w:marTop w:val="0"/>
      <w:marBottom w:val="0"/>
      <w:divBdr>
        <w:top w:val="none" w:sz="0" w:space="0" w:color="auto"/>
        <w:left w:val="none" w:sz="0" w:space="0" w:color="auto"/>
        <w:bottom w:val="none" w:sz="0" w:space="0" w:color="auto"/>
        <w:right w:val="none" w:sz="0" w:space="0" w:color="auto"/>
      </w:divBdr>
    </w:div>
    <w:div w:id="666633263">
      <w:bodyDiv w:val="1"/>
      <w:marLeft w:val="0"/>
      <w:marRight w:val="0"/>
      <w:marTop w:val="0"/>
      <w:marBottom w:val="0"/>
      <w:divBdr>
        <w:top w:val="none" w:sz="0" w:space="0" w:color="auto"/>
        <w:left w:val="none" w:sz="0" w:space="0" w:color="auto"/>
        <w:bottom w:val="none" w:sz="0" w:space="0" w:color="auto"/>
        <w:right w:val="none" w:sz="0" w:space="0" w:color="auto"/>
      </w:divBdr>
    </w:div>
    <w:div w:id="668868584">
      <w:bodyDiv w:val="1"/>
      <w:marLeft w:val="0"/>
      <w:marRight w:val="0"/>
      <w:marTop w:val="0"/>
      <w:marBottom w:val="0"/>
      <w:divBdr>
        <w:top w:val="none" w:sz="0" w:space="0" w:color="auto"/>
        <w:left w:val="none" w:sz="0" w:space="0" w:color="auto"/>
        <w:bottom w:val="none" w:sz="0" w:space="0" w:color="auto"/>
        <w:right w:val="none" w:sz="0" w:space="0" w:color="auto"/>
      </w:divBdr>
    </w:div>
    <w:div w:id="670521307">
      <w:bodyDiv w:val="1"/>
      <w:marLeft w:val="0"/>
      <w:marRight w:val="0"/>
      <w:marTop w:val="0"/>
      <w:marBottom w:val="0"/>
      <w:divBdr>
        <w:top w:val="none" w:sz="0" w:space="0" w:color="auto"/>
        <w:left w:val="none" w:sz="0" w:space="0" w:color="auto"/>
        <w:bottom w:val="none" w:sz="0" w:space="0" w:color="auto"/>
        <w:right w:val="none" w:sz="0" w:space="0" w:color="auto"/>
      </w:divBdr>
    </w:div>
    <w:div w:id="670838901">
      <w:bodyDiv w:val="1"/>
      <w:marLeft w:val="0"/>
      <w:marRight w:val="0"/>
      <w:marTop w:val="0"/>
      <w:marBottom w:val="0"/>
      <w:divBdr>
        <w:top w:val="none" w:sz="0" w:space="0" w:color="auto"/>
        <w:left w:val="none" w:sz="0" w:space="0" w:color="auto"/>
        <w:bottom w:val="none" w:sz="0" w:space="0" w:color="auto"/>
        <w:right w:val="none" w:sz="0" w:space="0" w:color="auto"/>
      </w:divBdr>
    </w:div>
    <w:div w:id="672924078">
      <w:bodyDiv w:val="1"/>
      <w:marLeft w:val="0"/>
      <w:marRight w:val="0"/>
      <w:marTop w:val="0"/>
      <w:marBottom w:val="0"/>
      <w:divBdr>
        <w:top w:val="none" w:sz="0" w:space="0" w:color="auto"/>
        <w:left w:val="none" w:sz="0" w:space="0" w:color="auto"/>
        <w:bottom w:val="none" w:sz="0" w:space="0" w:color="auto"/>
        <w:right w:val="none" w:sz="0" w:space="0" w:color="auto"/>
      </w:divBdr>
    </w:div>
    <w:div w:id="674922281">
      <w:bodyDiv w:val="1"/>
      <w:marLeft w:val="0"/>
      <w:marRight w:val="0"/>
      <w:marTop w:val="0"/>
      <w:marBottom w:val="0"/>
      <w:divBdr>
        <w:top w:val="none" w:sz="0" w:space="0" w:color="auto"/>
        <w:left w:val="none" w:sz="0" w:space="0" w:color="auto"/>
        <w:bottom w:val="none" w:sz="0" w:space="0" w:color="auto"/>
        <w:right w:val="none" w:sz="0" w:space="0" w:color="auto"/>
      </w:divBdr>
    </w:div>
    <w:div w:id="678040044">
      <w:bodyDiv w:val="1"/>
      <w:marLeft w:val="0"/>
      <w:marRight w:val="0"/>
      <w:marTop w:val="0"/>
      <w:marBottom w:val="0"/>
      <w:divBdr>
        <w:top w:val="none" w:sz="0" w:space="0" w:color="auto"/>
        <w:left w:val="none" w:sz="0" w:space="0" w:color="auto"/>
        <w:bottom w:val="none" w:sz="0" w:space="0" w:color="auto"/>
        <w:right w:val="none" w:sz="0" w:space="0" w:color="auto"/>
      </w:divBdr>
    </w:div>
    <w:div w:id="678429609">
      <w:bodyDiv w:val="1"/>
      <w:marLeft w:val="0"/>
      <w:marRight w:val="0"/>
      <w:marTop w:val="0"/>
      <w:marBottom w:val="0"/>
      <w:divBdr>
        <w:top w:val="none" w:sz="0" w:space="0" w:color="auto"/>
        <w:left w:val="none" w:sz="0" w:space="0" w:color="auto"/>
        <w:bottom w:val="none" w:sz="0" w:space="0" w:color="auto"/>
        <w:right w:val="none" w:sz="0" w:space="0" w:color="auto"/>
      </w:divBdr>
    </w:div>
    <w:div w:id="678779838">
      <w:bodyDiv w:val="1"/>
      <w:marLeft w:val="0"/>
      <w:marRight w:val="0"/>
      <w:marTop w:val="0"/>
      <w:marBottom w:val="0"/>
      <w:divBdr>
        <w:top w:val="none" w:sz="0" w:space="0" w:color="auto"/>
        <w:left w:val="none" w:sz="0" w:space="0" w:color="auto"/>
        <w:bottom w:val="none" w:sz="0" w:space="0" w:color="auto"/>
        <w:right w:val="none" w:sz="0" w:space="0" w:color="auto"/>
      </w:divBdr>
    </w:div>
    <w:div w:id="681518240">
      <w:bodyDiv w:val="1"/>
      <w:marLeft w:val="0"/>
      <w:marRight w:val="0"/>
      <w:marTop w:val="0"/>
      <w:marBottom w:val="0"/>
      <w:divBdr>
        <w:top w:val="none" w:sz="0" w:space="0" w:color="auto"/>
        <w:left w:val="none" w:sz="0" w:space="0" w:color="auto"/>
        <w:bottom w:val="none" w:sz="0" w:space="0" w:color="auto"/>
        <w:right w:val="none" w:sz="0" w:space="0" w:color="auto"/>
      </w:divBdr>
      <w:divsChild>
        <w:div w:id="912592334">
          <w:marLeft w:val="274"/>
          <w:marRight w:val="0"/>
          <w:marTop w:val="60"/>
          <w:marBottom w:val="0"/>
          <w:divBdr>
            <w:top w:val="none" w:sz="0" w:space="0" w:color="auto"/>
            <w:left w:val="none" w:sz="0" w:space="0" w:color="auto"/>
            <w:bottom w:val="none" w:sz="0" w:space="0" w:color="auto"/>
            <w:right w:val="none" w:sz="0" w:space="0" w:color="auto"/>
          </w:divBdr>
        </w:div>
        <w:div w:id="957031970">
          <w:marLeft w:val="274"/>
          <w:marRight w:val="0"/>
          <w:marTop w:val="60"/>
          <w:marBottom w:val="0"/>
          <w:divBdr>
            <w:top w:val="none" w:sz="0" w:space="0" w:color="auto"/>
            <w:left w:val="none" w:sz="0" w:space="0" w:color="auto"/>
            <w:bottom w:val="none" w:sz="0" w:space="0" w:color="auto"/>
            <w:right w:val="none" w:sz="0" w:space="0" w:color="auto"/>
          </w:divBdr>
        </w:div>
        <w:div w:id="1083918025">
          <w:marLeft w:val="274"/>
          <w:marRight w:val="0"/>
          <w:marTop w:val="60"/>
          <w:marBottom w:val="0"/>
          <w:divBdr>
            <w:top w:val="none" w:sz="0" w:space="0" w:color="auto"/>
            <w:left w:val="none" w:sz="0" w:space="0" w:color="auto"/>
            <w:bottom w:val="none" w:sz="0" w:space="0" w:color="auto"/>
            <w:right w:val="none" w:sz="0" w:space="0" w:color="auto"/>
          </w:divBdr>
        </w:div>
        <w:div w:id="1166094426">
          <w:marLeft w:val="274"/>
          <w:marRight w:val="0"/>
          <w:marTop w:val="60"/>
          <w:marBottom w:val="0"/>
          <w:divBdr>
            <w:top w:val="none" w:sz="0" w:space="0" w:color="auto"/>
            <w:left w:val="none" w:sz="0" w:space="0" w:color="auto"/>
            <w:bottom w:val="none" w:sz="0" w:space="0" w:color="auto"/>
            <w:right w:val="none" w:sz="0" w:space="0" w:color="auto"/>
          </w:divBdr>
        </w:div>
        <w:div w:id="1280646180">
          <w:marLeft w:val="274"/>
          <w:marRight w:val="0"/>
          <w:marTop w:val="60"/>
          <w:marBottom w:val="0"/>
          <w:divBdr>
            <w:top w:val="none" w:sz="0" w:space="0" w:color="auto"/>
            <w:left w:val="none" w:sz="0" w:space="0" w:color="auto"/>
            <w:bottom w:val="none" w:sz="0" w:space="0" w:color="auto"/>
            <w:right w:val="none" w:sz="0" w:space="0" w:color="auto"/>
          </w:divBdr>
        </w:div>
        <w:div w:id="1471097455">
          <w:marLeft w:val="274"/>
          <w:marRight w:val="0"/>
          <w:marTop w:val="60"/>
          <w:marBottom w:val="0"/>
          <w:divBdr>
            <w:top w:val="none" w:sz="0" w:space="0" w:color="auto"/>
            <w:left w:val="none" w:sz="0" w:space="0" w:color="auto"/>
            <w:bottom w:val="none" w:sz="0" w:space="0" w:color="auto"/>
            <w:right w:val="none" w:sz="0" w:space="0" w:color="auto"/>
          </w:divBdr>
        </w:div>
        <w:div w:id="1501193256">
          <w:marLeft w:val="274"/>
          <w:marRight w:val="0"/>
          <w:marTop w:val="60"/>
          <w:marBottom w:val="0"/>
          <w:divBdr>
            <w:top w:val="none" w:sz="0" w:space="0" w:color="auto"/>
            <w:left w:val="none" w:sz="0" w:space="0" w:color="auto"/>
            <w:bottom w:val="none" w:sz="0" w:space="0" w:color="auto"/>
            <w:right w:val="none" w:sz="0" w:space="0" w:color="auto"/>
          </w:divBdr>
        </w:div>
        <w:div w:id="1574778639">
          <w:marLeft w:val="274"/>
          <w:marRight w:val="0"/>
          <w:marTop w:val="60"/>
          <w:marBottom w:val="0"/>
          <w:divBdr>
            <w:top w:val="none" w:sz="0" w:space="0" w:color="auto"/>
            <w:left w:val="none" w:sz="0" w:space="0" w:color="auto"/>
            <w:bottom w:val="none" w:sz="0" w:space="0" w:color="auto"/>
            <w:right w:val="none" w:sz="0" w:space="0" w:color="auto"/>
          </w:divBdr>
        </w:div>
        <w:div w:id="1579710866">
          <w:marLeft w:val="274"/>
          <w:marRight w:val="0"/>
          <w:marTop w:val="60"/>
          <w:marBottom w:val="0"/>
          <w:divBdr>
            <w:top w:val="none" w:sz="0" w:space="0" w:color="auto"/>
            <w:left w:val="none" w:sz="0" w:space="0" w:color="auto"/>
            <w:bottom w:val="none" w:sz="0" w:space="0" w:color="auto"/>
            <w:right w:val="none" w:sz="0" w:space="0" w:color="auto"/>
          </w:divBdr>
        </w:div>
        <w:div w:id="1797016941">
          <w:marLeft w:val="274"/>
          <w:marRight w:val="0"/>
          <w:marTop w:val="60"/>
          <w:marBottom w:val="0"/>
          <w:divBdr>
            <w:top w:val="none" w:sz="0" w:space="0" w:color="auto"/>
            <w:left w:val="none" w:sz="0" w:space="0" w:color="auto"/>
            <w:bottom w:val="none" w:sz="0" w:space="0" w:color="auto"/>
            <w:right w:val="none" w:sz="0" w:space="0" w:color="auto"/>
          </w:divBdr>
        </w:div>
      </w:divsChild>
    </w:div>
    <w:div w:id="682056355">
      <w:bodyDiv w:val="1"/>
      <w:marLeft w:val="0"/>
      <w:marRight w:val="0"/>
      <w:marTop w:val="0"/>
      <w:marBottom w:val="0"/>
      <w:divBdr>
        <w:top w:val="none" w:sz="0" w:space="0" w:color="auto"/>
        <w:left w:val="none" w:sz="0" w:space="0" w:color="auto"/>
        <w:bottom w:val="none" w:sz="0" w:space="0" w:color="auto"/>
        <w:right w:val="none" w:sz="0" w:space="0" w:color="auto"/>
      </w:divBdr>
    </w:div>
    <w:div w:id="684795508">
      <w:bodyDiv w:val="1"/>
      <w:marLeft w:val="0"/>
      <w:marRight w:val="0"/>
      <w:marTop w:val="0"/>
      <w:marBottom w:val="0"/>
      <w:divBdr>
        <w:top w:val="none" w:sz="0" w:space="0" w:color="auto"/>
        <w:left w:val="none" w:sz="0" w:space="0" w:color="auto"/>
        <w:bottom w:val="none" w:sz="0" w:space="0" w:color="auto"/>
        <w:right w:val="none" w:sz="0" w:space="0" w:color="auto"/>
      </w:divBdr>
    </w:div>
    <w:div w:id="685211112">
      <w:bodyDiv w:val="1"/>
      <w:marLeft w:val="0"/>
      <w:marRight w:val="0"/>
      <w:marTop w:val="0"/>
      <w:marBottom w:val="0"/>
      <w:divBdr>
        <w:top w:val="none" w:sz="0" w:space="0" w:color="auto"/>
        <w:left w:val="none" w:sz="0" w:space="0" w:color="auto"/>
        <w:bottom w:val="none" w:sz="0" w:space="0" w:color="auto"/>
        <w:right w:val="none" w:sz="0" w:space="0" w:color="auto"/>
      </w:divBdr>
    </w:div>
    <w:div w:id="685860885">
      <w:bodyDiv w:val="1"/>
      <w:marLeft w:val="0"/>
      <w:marRight w:val="0"/>
      <w:marTop w:val="0"/>
      <w:marBottom w:val="0"/>
      <w:divBdr>
        <w:top w:val="none" w:sz="0" w:space="0" w:color="auto"/>
        <w:left w:val="none" w:sz="0" w:space="0" w:color="auto"/>
        <w:bottom w:val="none" w:sz="0" w:space="0" w:color="auto"/>
        <w:right w:val="none" w:sz="0" w:space="0" w:color="auto"/>
      </w:divBdr>
    </w:div>
    <w:div w:id="690692545">
      <w:bodyDiv w:val="1"/>
      <w:marLeft w:val="0"/>
      <w:marRight w:val="0"/>
      <w:marTop w:val="0"/>
      <w:marBottom w:val="0"/>
      <w:divBdr>
        <w:top w:val="none" w:sz="0" w:space="0" w:color="auto"/>
        <w:left w:val="none" w:sz="0" w:space="0" w:color="auto"/>
        <w:bottom w:val="none" w:sz="0" w:space="0" w:color="auto"/>
        <w:right w:val="none" w:sz="0" w:space="0" w:color="auto"/>
      </w:divBdr>
    </w:div>
    <w:div w:id="690959801">
      <w:bodyDiv w:val="1"/>
      <w:marLeft w:val="0"/>
      <w:marRight w:val="0"/>
      <w:marTop w:val="0"/>
      <w:marBottom w:val="0"/>
      <w:divBdr>
        <w:top w:val="none" w:sz="0" w:space="0" w:color="auto"/>
        <w:left w:val="none" w:sz="0" w:space="0" w:color="auto"/>
        <w:bottom w:val="none" w:sz="0" w:space="0" w:color="auto"/>
        <w:right w:val="none" w:sz="0" w:space="0" w:color="auto"/>
      </w:divBdr>
    </w:div>
    <w:div w:id="691684448">
      <w:bodyDiv w:val="1"/>
      <w:marLeft w:val="0"/>
      <w:marRight w:val="0"/>
      <w:marTop w:val="0"/>
      <w:marBottom w:val="0"/>
      <w:divBdr>
        <w:top w:val="none" w:sz="0" w:space="0" w:color="auto"/>
        <w:left w:val="none" w:sz="0" w:space="0" w:color="auto"/>
        <w:bottom w:val="none" w:sz="0" w:space="0" w:color="auto"/>
        <w:right w:val="none" w:sz="0" w:space="0" w:color="auto"/>
      </w:divBdr>
    </w:div>
    <w:div w:id="691804733">
      <w:bodyDiv w:val="1"/>
      <w:marLeft w:val="0"/>
      <w:marRight w:val="0"/>
      <w:marTop w:val="0"/>
      <w:marBottom w:val="0"/>
      <w:divBdr>
        <w:top w:val="none" w:sz="0" w:space="0" w:color="auto"/>
        <w:left w:val="none" w:sz="0" w:space="0" w:color="auto"/>
        <w:bottom w:val="none" w:sz="0" w:space="0" w:color="auto"/>
        <w:right w:val="none" w:sz="0" w:space="0" w:color="auto"/>
      </w:divBdr>
    </w:div>
    <w:div w:id="692145571">
      <w:bodyDiv w:val="1"/>
      <w:marLeft w:val="0"/>
      <w:marRight w:val="0"/>
      <w:marTop w:val="0"/>
      <w:marBottom w:val="0"/>
      <w:divBdr>
        <w:top w:val="none" w:sz="0" w:space="0" w:color="auto"/>
        <w:left w:val="none" w:sz="0" w:space="0" w:color="auto"/>
        <w:bottom w:val="none" w:sz="0" w:space="0" w:color="auto"/>
        <w:right w:val="none" w:sz="0" w:space="0" w:color="auto"/>
      </w:divBdr>
    </w:div>
    <w:div w:id="693576001">
      <w:bodyDiv w:val="1"/>
      <w:marLeft w:val="0"/>
      <w:marRight w:val="0"/>
      <w:marTop w:val="0"/>
      <w:marBottom w:val="0"/>
      <w:divBdr>
        <w:top w:val="none" w:sz="0" w:space="0" w:color="auto"/>
        <w:left w:val="none" w:sz="0" w:space="0" w:color="auto"/>
        <w:bottom w:val="none" w:sz="0" w:space="0" w:color="auto"/>
        <w:right w:val="none" w:sz="0" w:space="0" w:color="auto"/>
      </w:divBdr>
    </w:div>
    <w:div w:id="694694920">
      <w:bodyDiv w:val="1"/>
      <w:marLeft w:val="0"/>
      <w:marRight w:val="0"/>
      <w:marTop w:val="0"/>
      <w:marBottom w:val="0"/>
      <w:divBdr>
        <w:top w:val="none" w:sz="0" w:space="0" w:color="auto"/>
        <w:left w:val="none" w:sz="0" w:space="0" w:color="auto"/>
        <w:bottom w:val="none" w:sz="0" w:space="0" w:color="auto"/>
        <w:right w:val="none" w:sz="0" w:space="0" w:color="auto"/>
      </w:divBdr>
    </w:div>
    <w:div w:id="696472217">
      <w:bodyDiv w:val="1"/>
      <w:marLeft w:val="0"/>
      <w:marRight w:val="0"/>
      <w:marTop w:val="0"/>
      <w:marBottom w:val="0"/>
      <w:divBdr>
        <w:top w:val="none" w:sz="0" w:space="0" w:color="auto"/>
        <w:left w:val="none" w:sz="0" w:space="0" w:color="auto"/>
        <w:bottom w:val="none" w:sz="0" w:space="0" w:color="auto"/>
        <w:right w:val="none" w:sz="0" w:space="0" w:color="auto"/>
      </w:divBdr>
    </w:div>
    <w:div w:id="697973060">
      <w:bodyDiv w:val="1"/>
      <w:marLeft w:val="0"/>
      <w:marRight w:val="0"/>
      <w:marTop w:val="0"/>
      <w:marBottom w:val="0"/>
      <w:divBdr>
        <w:top w:val="none" w:sz="0" w:space="0" w:color="auto"/>
        <w:left w:val="none" w:sz="0" w:space="0" w:color="auto"/>
        <w:bottom w:val="none" w:sz="0" w:space="0" w:color="auto"/>
        <w:right w:val="none" w:sz="0" w:space="0" w:color="auto"/>
      </w:divBdr>
    </w:div>
    <w:div w:id="699740736">
      <w:bodyDiv w:val="1"/>
      <w:marLeft w:val="0"/>
      <w:marRight w:val="0"/>
      <w:marTop w:val="0"/>
      <w:marBottom w:val="0"/>
      <w:divBdr>
        <w:top w:val="none" w:sz="0" w:space="0" w:color="auto"/>
        <w:left w:val="none" w:sz="0" w:space="0" w:color="auto"/>
        <w:bottom w:val="none" w:sz="0" w:space="0" w:color="auto"/>
        <w:right w:val="none" w:sz="0" w:space="0" w:color="auto"/>
      </w:divBdr>
    </w:div>
    <w:div w:id="700516672">
      <w:bodyDiv w:val="1"/>
      <w:marLeft w:val="0"/>
      <w:marRight w:val="0"/>
      <w:marTop w:val="0"/>
      <w:marBottom w:val="0"/>
      <w:divBdr>
        <w:top w:val="none" w:sz="0" w:space="0" w:color="auto"/>
        <w:left w:val="none" w:sz="0" w:space="0" w:color="auto"/>
        <w:bottom w:val="none" w:sz="0" w:space="0" w:color="auto"/>
        <w:right w:val="none" w:sz="0" w:space="0" w:color="auto"/>
      </w:divBdr>
    </w:div>
    <w:div w:id="701901904">
      <w:bodyDiv w:val="1"/>
      <w:marLeft w:val="0"/>
      <w:marRight w:val="0"/>
      <w:marTop w:val="0"/>
      <w:marBottom w:val="0"/>
      <w:divBdr>
        <w:top w:val="none" w:sz="0" w:space="0" w:color="auto"/>
        <w:left w:val="none" w:sz="0" w:space="0" w:color="auto"/>
        <w:bottom w:val="none" w:sz="0" w:space="0" w:color="auto"/>
        <w:right w:val="none" w:sz="0" w:space="0" w:color="auto"/>
      </w:divBdr>
    </w:div>
    <w:div w:id="702287599">
      <w:bodyDiv w:val="1"/>
      <w:marLeft w:val="0"/>
      <w:marRight w:val="0"/>
      <w:marTop w:val="0"/>
      <w:marBottom w:val="0"/>
      <w:divBdr>
        <w:top w:val="none" w:sz="0" w:space="0" w:color="auto"/>
        <w:left w:val="none" w:sz="0" w:space="0" w:color="auto"/>
        <w:bottom w:val="none" w:sz="0" w:space="0" w:color="auto"/>
        <w:right w:val="none" w:sz="0" w:space="0" w:color="auto"/>
      </w:divBdr>
    </w:div>
    <w:div w:id="703290382">
      <w:bodyDiv w:val="1"/>
      <w:marLeft w:val="0"/>
      <w:marRight w:val="0"/>
      <w:marTop w:val="0"/>
      <w:marBottom w:val="0"/>
      <w:divBdr>
        <w:top w:val="none" w:sz="0" w:space="0" w:color="auto"/>
        <w:left w:val="none" w:sz="0" w:space="0" w:color="auto"/>
        <w:bottom w:val="none" w:sz="0" w:space="0" w:color="auto"/>
        <w:right w:val="none" w:sz="0" w:space="0" w:color="auto"/>
      </w:divBdr>
    </w:div>
    <w:div w:id="705913115">
      <w:bodyDiv w:val="1"/>
      <w:marLeft w:val="0"/>
      <w:marRight w:val="0"/>
      <w:marTop w:val="0"/>
      <w:marBottom w:val="0"/>
      <w:divBdr>
        <w:top w:val="none" w:sz="0" w:space="0" w:color="auto"/>
        <w:left w:val="none" w:sz="0" w:space="0" w:color="auto"/>
        <w:bottom w:val="none" w:sz="0" w:space="0" w:color="auto"/>
        <w:right w:val="none" w:sz="0" w:space="0" w:color="auto"/>
      </w:divBdr>
    </w:div>
    <w:div w:id="708576987">
      <w:bodyDiv w:val="1"/>
      <w:marLeft w:val="0"/>
      <w:marRight w:val="0"/>
      <w:marTop w:val="0"/>
      <w:marBottom w:val="0"/>
      <w:divBdr>
        <w:top w:val="none" w:sz="0" w:space="0" w:color="auto"/>
        <w:left w:val="none" w:sz="0" w:space="0" w:color="auto"/>
        <w:bottom w:val="none" w:sz="0" w:space="0" w:color="auto"/>
        <w:right w:val="none" w:sz="0" w:space="0" w:color="auto"/>
      </w:divBdr>
    </w:div>
    <w:div w:id="709037255">
      <w:bodyDiv w:val="1"/>
      <w:marLeft w:val="0"/>
      <w:marRight w:val="0"/>
      <w:marTop w:val="0"/>
      <w:marBottom w:val="0"/>
      <w:divBdr>
        <w:top w:val="none" w:sz="0" w:space="0" w:color="auto"/>
        <w:left w:val="none" w:sz="0" w:space="0" w:color="auto"/>
        <w:bottom w:val="none" w:sz="0" w:space="0" w:color="auto"/>
        <w:right w:val="none" w:sz="0" w:space="0" w:color="auto"/>
      </w:divBdr>
    </w:div>
    <w:div w:id="709259447">
      <w:bodyDiv w:val="1"/>
      <w:marLeft w:val="0"/>
      <w:marRight w:val="0"/>
      <w:marTop w:val="0"/>
      <w:marBottom w:val="0"/>
      <w:divBdr>
        <w:top w:val="none" w:sz="0" w:space="0" w:color="auto"/>
        <w:left w:val="none" w:sz="0" w:space="0" w:color="auto"/>
        <w:bottom w:val="none" w:sz="0" w:space="0" w:color="auto"/>
        <w:right w:val="none" w:sz="0" w:space="0" w:color="auto"/>
      </w:divBdr>
    </w:div>
    <w:div w:id="709575954">
      <w:bodyDiv w:val="1"/>
      <w:marLeft w:val="0"/>
      <w:marRight w:val="0"/>
      <w:marTop w:val="0"/>
      <w:marBottom w:val="0"/>
      <w:divBdr>
        <w:top w:val="none" w:sz="0" w:space="0" w:color="auto"/>
        <w:left w:val="none" w:sz="0" w:space="0" w:color="auto"/>
        <w:bottom w:val="none" w:sz="0" w:space="0" w:color="auto"/>
        <w:right w:val="none" w:sz="0" w:space="0" w:color="auto"/>
      </w:divBdr>
    </w:div>
    <w:div w:id="709770836">
      <w:bodyDiv w:val="1"/>
      <w:marLeft w:val="0"/>
      <w:marRight w:val="0"/>
      <w:marTop w:val="0"/>
      <w:marBottom w:val="0"/>
      <w:divBdr>
        <w:top w:val="none" w:sz="0" w:space="0" w:color="auto"/>
        <w:left w:val="none" w:sz="0" w:space="0" w:color="auto"/>
        <w:bottom w:val="none" w:sz="0" w:space="0" w:color="auto"/>
        <w:right w:val="none" w:sz="0" w:space="0" w:color="auto"/>
      </w:divBdr>
    </w:div>
    <w:div w:id="710695019">
      <w:bodyDiv w:val="1"/>
      <w:marLeft w:val="0"/>
      <w:marRight w:val="0"/>
      <w:marTop w:val="0"/>
      <w:marBottom w:val="0"/>
      <w:divBdr>
        <w:top w:val="none" w:sz="0" w:space="0" w:color="auto"/>
        <w:left w:val="none" w:sz="0" w:space="0" w:color="auto"/>
        <w:bottom w:val="none" w:sz="0" w:space="0" w:color="auto"/>
        <w:right w:val="none" w:sz="0" w:space="0" w:color="auto"/>
      </w:divBdr>
    </w:div>
    <w:div w:id="712198347">
      <w:bodyDiv w:val="1"/>
      <w:marLeft w:val="0"/>
      <w:marRight w:val="0"/>
      <w:marTop w:val="0"/>
      <w:marBottom w:val="0"/>
      <w:divBdr>
        <w:top w:val="none" w:sz="0" w:space="0" w:color="auto"/>
        <w:left w:val="none" w:sz="0" w:space="0" w:color="auto"/>
        <w:bottom w:val="none" w:sz="0" w:space="0" w:color="auto"/>
        <w:right w:val="none" w:sz="0" w:space="0" w:color="auto"/>
      </w:divBdr>
    </w:div>
    <w:div w:id="713969127">
      <w:bodyDiv w:val="1"/>
      <w:marLeft w:val="0"/>
      <w:marRight w:val="0"/>
      <w:marTop w:val="0"/>
      <w:marBottom w:val="0"/>
      <w:divBdr>
        <w:top w:val="none" w:sz="0" w:space="0" w:color="auto"/>
        <w:left w:val="none" w:sz="0" w:space="0" w:color="auto"/>
        <w:bottom w:val="none" w:sz="0" w:space="0" w:color="auto"/>
        <w:right w:val="none" w:sz="0" w:space="0" w:color="auto"/>
      </w:divBdr>
    </w:div>
    <w:div w:id="717508565">
      <w:bodyDiv w:val="1"/>
      <w:marLeft w:val="0"/>
      <w:marRight w:val="0"/>
      <w:marTop w:val="0"/>
      <w:marBottom w:val="0"/>
      <w:divBdr>
        <w:top w:val="none" w:sz="0" w:space="0" w:color="auto"/>
        <w:left w:val="none" w:sz="0" w:space="0" w:color="auto"/>
        <w:bottom w:val="none" w:sz="0" w:space="0" w:color="auto"/>
        <w:right w:val="none" w:sz="0" w:space="0" w:color="auto"/>
      </w:divBdr>
    </w:div>
    <w:div w:id="720715593">
      <w:bodyDiv w:val="1"/>
      <w:marLeft w:val="0"/>
      <w:marRight w:val="0"/>
      <w:marTop w:val="0"/>
      <w:marBottom w:val="0"/>
      <w:divBdr>
        <w:top w:val="none" w:sz="0" w:space="0" w:color="auto"/>
        <w:left w:val="none" w:sz="0" w:space="0" w:color="auto"/>
        <w:bottom w:val="none" w:sz="0" w:space="0" w:color="auto"/>
        <w:right w:val="none" w:sz="0" w:space="0" w:color="auto"/>
      </w:divBdr>
    </w:div>
    <w:div w:id="720907202">
      <w:bodyDiv w:val="1"/>
      <w:marLeft w:val="0"/>
      <w:marRight w:val="0"/>
      <w:marTop w:val="0"/>
      <w:marBottom w:val="0"/>
      <w:divBdr>
        <w:top w:val="none" w:sz="0" w:space="0" w:color="auto"/>
        <w:left w:val="none" w:sz="0" w:space="0" w:color="auto"/>
        <w:bottom w:val="none" w:sz="0" w:space="0" w:color="auto"/>
        <w:right w:val="none" w:sz="0" w:space="0" w:color="auto"/>
      </w:divBdr>
    </w:div>
    <w:div w:id="722025957">
      <w:bodyDiv w:val="1"/>
      <w:marLeft w:val="0"/>
      <w:marRight w:val="0"/>
      <w:marTop w:val="0"/>
      <w:marBottom w:val="0"/>
      <w:divBdr>
        <w:top w:val="none" w:sz="0" w:space="0" w:color="auto"/>
        <w:left w:val="none" w:sz="0" w:space="0" w:color="auto"/>
        <w:bottom w:val="none" w:sz="0" w:space="0" w:color="auto"/>
        <w:right w:val="none" w:sz="0" w:space="0" w:color="auto"/>
      </w:divBdr>
    </w:div>
    <w:div w:id="722103095">
      <w:bodyDiv w:val="1"/>
      <w:marLeft w:val="0"/>
      <w:marRight w:val="0"/>
      <w:marTop w:val="0"/>
      <w:marBottom w:val="0"/>
      <w:divBdr>
        <w:top w:val="none" w:sz="0" w:space="0" w:color="auto"/>
        <w:left w:val="none" w:sz="0" w:space="0" w:color="auto"/>
        <w:bottom w:val="none" w:sz="0" w:space="0" w:color="auto"/>
        <w:right w:val="none" w:sz="0" w:space="0" w:color="auto"/>
      </w:divBdr>
    </w:div>
    <w:div w:id="722293426">
      <w:bodyDiv w:val="1"/>
      <w:marLeft w:val="0"/>
      <w:marRight w:val="0"/>
      <w:marTop w:val="0"/>
      <w:marBottom w:val="0"/>
      <w:divBdr>
        <w:top w:val="none" w:sz="0" w:space="0" w:color="auto"/>
        <w:left w:val="none" w:sz="0" w:space="0" w:color="auto"/>
        <w:bottom w:val="none" w:sz="0" w:space="0" w:color="auto"/>
        <w:right w:val="none" w:sz="0" w:space="0" w:color="auto"/>
      </w:divBdr>
    </w:div>
    <w:div w:id="724720247">
      <w:bodyDiv w:val="1"/>
      <w:marLeft w:val="0"/>
      <w:marRight w:val="0"/>
      <w:marTop w:val="0"/>
      <w:marBottom w:val="0"/>
      <w:divBdr>
        <w:top w:val="none" w:sz="0" w:space="0" w:color="auto"/>
        <w:left w:val="none" w:sz="0" w:space="0" w:color="auto"/>
        <w:bottom w:val="none" w:sz="0" w:space="0" w:color="auto"/>
        <w:right w:val="none" w:sz="0" w:space="0" w:color="auto"/>
      </w:divBdr>
    </w:div>
    <w:div w:id="725295705">
      <w:bodyDiv w:val="1"/>
      <w:marLeft w:val="0"/>
      <w:marRight w:val="0"/>
      <w:marTop w:val="0"/>
      <w:marBottom w:val="0"/>
      <w:divBdr>
        <w:top w:val="none" w:sz="0" w:space="0" w:color="auto"/>
        <w:left w:val="none" w:sz="0" w:space="0" w:color="auto"/>
        <w:bottom w:val="none" w:sz="0" w:space="0" w:color="auto"/>
        <w:right w:val="none" w:sz="0" w:space="0" w:color="auto"/>
      </w:divBdr>
    </w:div>
    <w:div w:id="726073724">
      <w:bodyDiv w:val="1"/>
      <w:marLeft w:val="0"/>
      <w:marRight w:val="0"/>
      <w:marTop w:val="0"/>
      <w:marBottom w:val="0"/>
      <w:divBdr>
        <w:top w:val="none" w:sz="0" w:space="0" w:color="auto"/>
        <w:left w:val="none" w:sz="0" w:space="0" w:color="auto"/>
        <w:bottom w:val="none" w:sz="0" w:space="0" w:color="auto"/>
        <w:right w:val="none" w:sz="0" w:space="0" w:color="auto"/>
      </w:divBdr>
    </w:div>
    <w:div w:id="726800084">
      <w:bodyDiv w:val="1"/>
      <w:marLeft w:val="0"/>
      <w:marRight w:val="0"/>
      <w:marTop w:val="0"/>
      <w:marBottom w:val="0"/>
      <w:divBdr>
        <w:top w:val="none" w:sz="0" w:space="0" w:color="auto"/>
        <w:left w:val="none" w:sz="0" w:space="0" w:color="auto"/>
        <w:bottom w:val="none" w:sz="0" w:space="0" w:color="auto"/>
        <w:right w:val="none" w:sz="0" w:space="0" w:color="auto"/>
      </w:divBdr>
    </w:div>
    <w:div w:id="726998735">
      <w:bodyDiv w:val="1"/>
      <w:marLeft w:val="0"/>
      <w:marRight w:val="0"/>
      <w:marTop w:val="0"/>
      <w:marBottom w:val="0"/>
      <w:divBdr>
        <w:top w:val="none" w:sz="0" w:space="0" w:color="auto"/>
        <w:left w:val="none" w:sz="0" w:space="0" w:color="auto"/>
        <w:bottom w:val="none" w:sz="0" w:space="0" w:color="auto"/>
        <w:right w:val="none" w:sz="0" w:space="0" w:color="auto"/>
      </w:divBdr>
    </w:div>
    <w:div w:id="729427894">
      <w:bodyDiv w:val="1"/>
      <w:marLeft w:val="0"/>
      <w:marRight w:val="0"/>
      <w:marTop w:val="0"/>
      <w:marBottom w:val="0"/>
      <w:divBdr>
        <w:top w:val="none" w:sz="0" w:space="0" w:color="auto"/>
        <w:left w:val="none" w:sz="0" w:space="0" w:color="auto"/>
        <w:bottom w:val="none" w:sz="0" w:space="0" w:color="auto"/>
        <w:right w:val="none" w:sz="0" w:space="0" w:color="auto"/>
      </w:divBdr>
    </w:div>
    <w:div w:id="729571843">
      <w:bodyDiv w:val="1"/>
      <w:marLeft w:val="0"/>
      <w:marRight w:val="0"/>
      <w:marTop w:val="0"/>
      <w:marBottom w:val="0"/>
      <w:divBdr>
        <w:top w:val="none" w:sz="0" w:space="0" w:color="auto"/>
        <w:left w:val="none" w:sz="0" w:space="0" w:color="auto"/>
        <w:bottom w:val="none" w:sz="0" w:space="0" w:color="auto"/>
        <w:right w:val="none" w:sz="0" w:space="0" w:color="auto"/>
      </w:divBdr>
    </w:div>
    <w:div w:id="729690786">
      <w:bodyDiv w:val="1"/>
      <w:marLeft w:val="0"/>
      <w:marRight w:val="0"/>
      <w:marTop w:val="0"/>
      <w:marBottom w:val="0"/>
      <w:divBdr>
        <w:top w:val="none" w:sz="0" w:space="0" w:color="auto"/>
        <w:left w:val="none" w:sz="0" w:space="0" w:color="auto"/>
        <w:bottom w:val="none" w:sz="0" w:space="0" w:color="auto"/>
        <w:right w:val="none" w:sz="0" w:space="0" w:color="auto"/>
      </w:divBdr>
    </w:div>
    <w:div w:id="731661789">
      <w:bodyDiv w:val="1"/>
      <w:marLeft w:val="0"/>
      <w:marRight w:val="0"/>
      <w:marTop w:val="0"/>
      <w:marBottom w:val="0"/>
      <w:divBdr>
        <w:top w:val="none" w:sz="0" w:space="0" w:color="auto"/>
        <w:left w:val="none" w:sz="0" w:space="0" w:color="auto"/>
        <w:bottom w:val="none" w:sz="0" w:space="0" w:color="auto"/>
        <w:right w:val="none" w:sz="0" w:space="0" w:color="auto"/>
      </w:divBdr>
    </w:div>
    <w:div w:id="732779870">
      <w:bodyDiv w:val="1"/>
      <w:marLeft w:val="0"/>
      <w:marRight w:val="0"/>
      <w:marTop w:val="0"/>
      <w:marBottom w:val="0"/>
      <w:divBdr>
        <w:top w:val="none" w:sz="0" w:space="0" w:color="auto"/>
        <w:left w:val="none" w:sz="0" w:space="0" w:color="auto"/>
        <w:bottom w:val="none" w:sz="0" w:space="0" w:color="auto"/>
        <w:right w:val="none" w:sz="0" w:space="0" w:color="auto"/>
      </w:divBdr>
    </w:div>
    <w:div w:id="733770646">
      <w:bodyDiv w:val="1"/>
      <w:marLeft w:val="0"/>
      <w:marRight w:val="0"/>
      <w:marTop w:val="0"/>
      <w:marBottom w:val="0"/>
      <w:divBdr>
        <w:top w:val="none" w:sz="0" w:space="0" w:color="auto"/>
        <w:left w:val="none" w:sz="0" w:space="0" w:color="auto"/>
        <w:bottom w:val="none" w:sz="0" w:space="0" w:color="auto"/>
        <w:right w:val="none" w:sz="0" w:space="0" w:color="auto"/>
      </w:divBdr>
    </w:div>
    <w:div w:id="733891744">
      <w:bodyDiv w:val="1"/>
      <w:marLeft w:val="0"/>
      <w:marRight w:val="0"/>
      <w:marTop w:val="0"/>
      <w:marBottom w:val="0"/>
      <w:divBdr>
        <w:top w:val="none" w:sz="0" w:space="0" w:color="auto"/>
        <w:left w:val="none" w:sz="0" w:space="0" w:color="auto"/>
        <w:bottom w:val="none" w:sz="0" w:space="0" w:color="auto"/>
        <w:right w:val="none" w:sz="0" w:space="0" w:color="auto"/>
      </w:divBdr>
    </w:div>
    <w:div w:id="737753376">
      <w:bodyDiv w:val="1"/>
      <w:marLeft w:val="0"/>
      <w:marRight w:val="0"/>
      <w:marTop w:val="0"/>
      <w:marBottom w:val="0"/>
      <w:divBdr>
        <w:top w:val="none" w:sz="0" w:space="0" w:color="auto"/>
        <w:left w:val="none" w:sz="0" w:space="0" w:color="auto"/>
        <w:bottom w:val="none" w:sz="0" w:space="0" w:color="auto"/>
        <w:right w:val="none" w:sz="0" w:space="0" w:color="auto"/>
      </w:divBdr>
    </w:div>
    <w:div w:id="741488498">
      <w:bodyDiv w:val="1"/>
      <w:marLeft w:val="0"/>
      <w:marRight w:val="0"/>
      <w:marTop w:val="0"/>
      <w:marBottom w:val="0"/>
      <w:divBdr>
        <w:top w:val="none" w:sz="0" w:space="0" w:color="auto"/>
        <w:left w:val="none" w:sz="0" w:space="0" w:color="auto"/>
        <w:bottom w:val="none" w:sz="0" w:space="0" w:color="auto"/>
        <w:right w:val="none" w:sz="0" w:space="0" w:color="auto"/>
      </w:divBdr>
    </w:div>
    <w:div w:id="742675817">
      <w:bodyDiv w:val="1"/>
      <w:marLeft w:val="0"/>
      <w:marRight w:val="0"/>
      <w:marTop w:val="0"/>
      <w:marBottom w:val="0"/>
      <w:divBdr>
        <w:top w:val="none" w:sz="0" w:space="0" w:color="auto"/>
        <w:left w:val="none" w:sz="0" w:space="0" w:color="auto"/>
        <w:bottom w:val="none" w:sz="0" w:space="0" w:color="auto"/>
        <w:right w:val="none" w:sz="0" w:space="0" w:color="auto"/>
      </w:divBdr>
    </w:div>
    <w:div w:id="742682079">
      <w:bodyDiv w:val="1"/>
      <w:marLeft w:val="0"/>
      <w:marRight w:val="0"/>
      <w:marTop w:val="0"/>
      <w:marBottom w:val="0"/>
      <w:divBdr>
        <w:top w:val="none" w:sz="0" w:space="0" w:color="auto"/>
        <w:left w:val="none" w:sz="0" w:space="0" w:color="auto"/>
        <w:bottom w:val="none" w:sz="0" w:space="0" w:color="auto"/>
        <w:right w:val="none" w:sz="0" w:space="0" w:color="auto"/>
      </w:divBdr>
    </w:div>
    <w:div w:id="742948718">
      <w:bodyDiv w:val="1"/>
      <w:marLeft w:val="0"/>
      <w:marRight w:val="0"/>
      <w:marTop w:val="0"/>
      <w:marBottom w:val="0"/>
      <w:divBdr>
        <w:top w:val="none" w:sz="0" w:space="0" w:color="auto"/>
        <w:left w:val="none" w:sz="0" w:space="0" w:color="auto"/>
        <w:bottom w:val="none" w:sz="0" w:space="0" w:color="auto"/>
        <w:right w:val="none" w:sz="0" w:space="0" w:color="auto"/>
      </w:divBdr>
    </w:div>
    <w:div w:id="744112959">
      <w:bodyDiv w:val="1"/>
      <w:marLeft w:val="0"/>
      <w:marRight w:val="0"/>
      <w:marTop w:val="0"/>
      <w:marBottom w:val="0"/>
      <w:divBdr>
        <w:top w:val="none" w:sz="0" w:space="0" w:color="auto"/>
        <w:left w:val="none" w:sz="0" w:space="0" w:color="auto"/>
        <w:bottom w:val="none" w:sz="0" w:space="0" w:color="auto"/>
        <w:right w:val="none" w:sz="0" w:space="0" w:color="auto"/>
      </w:divBdr>
    </w:div>
    <w:div w:id="746342813">
      <w:bodyDiv w:val="1"/>
      <w:marLeft w:val="0"/>
      <w:marRight w:val="0"/>
      <w:marTop w:val="0"/>
      <w:marBottom w:val="0"/>
      <w:divBdr>
        <w:top w:val="none" w:sz="0" w:space="0" w:color="auto"/>
        <w:left w:val="none" w:sz="0" w:space="0" w:color="auto"/>
        <w:bottom w:val="none" w:sz="0" w:space="0" w:color="auto"/>
        <w:right w:val="none" w:sz="0" w:space="0" w:color="auto"/>
      </w:divBdr>
    </w:div>
    <w:div w:id="746999813">
      <w:bodyDiv w:val="1"/>
      <w:marLeft w:val="0"/>
      <w:marRight w:val="0"/>
      <w:marTop w:val="0"/>
      <w:marBottom w:val="0"/>
      <w:divBdr>
        <w:top w:val="none" w:sz="0" w:space="0" w:color="auto"/>
        <w:left w:val="none" w:sz="0" w:space="0" w:color="auto"/>
        <w:bottom w:val="none" w:sz="0" w:space="0" w:color="auto"/>
        <w:right w:val="none" w:sz="0" w:space="0" w:color="auto"/>
      </w:divBdr>
    </w:div>
    <w:div w:id="747338514">
      <w:bodyDiv w:val="1"/>
      <w:marLeft w:val="0"/>
      <w:marRight w:val="0"/>
      <w:marTop w:val="0"/>
      <w:marBottom w:val="0"/>
      <w:divBdr>
        <w:top w:val="none" w:sz="0" w:space="0" w:color="auto"/>
        <w:left w:val="none" w:sz="0" w:space="0" w:color="auto"/>
        <w:bottom w:val="none" w:sz="0" w:space="0" w:color="auto"/>
        <w:right w:val="none" w:sz="0" w:space="0" w:color="auto"/>
      </w:divBdr>
    </w:div>
    <w:div w:id="748578189">
      <w:bodyDiv w:val="1"/>
      <w:marLeft w:val="0"/>
      <w:marRight w:val="0"/>
      <w:marTop w:val="0"/>
      <w:marBottom w:val="0"/>
      <w:divBdr>
        <w:top w:val="none" w:sz="0" w:space="0" w:color="auto"/>
        <w:left w:val="none" w:sz="0" w:space="0" w:color="auto"/>
        <w:bottom w:val="none" w:sz="0" w:space="0" w:color="auto"/>
        <w:right w:val="none" w:sz="0" w:space="0" w:color="auto"/>
      </w:divBdr>
    </w:div>
    <w:div w:id="750006247">
      <w:bodyDiv w:val="1"/>
      <w:marLeft w:val="0"/>
      <w:marRight w:val="0"/>
      <w:marTop w:val="0"/>
      <w:marBottom w:val="0"/>
      <w:divBdr>
        <w:top w:val="none" w:sz="0" w:space="0" w:color="auto"/>
        <w:left w:val="none" w:sz="0" w:space="0" w:color="auto"/>
        <w:bottom w:val="none" w:sz="0" w:space="0" w:color="auto"/>
        <w:right w:val="none" w:sz="0" w:space="0" w:color="auto"/>
      </w:divBdr>
    </w:div>
    <w:div w:id="751774631">
      <w:bodyDiv w:val="1"/>
      <w:marLeft w:val="0"/>
      <w:marRight w:val="0"/>
      <w:marTop w:val="0"/>
      <w:marBottom w:val="0"/>
      <w:divBdr>
        <w:top w:val="none" w:sz="0" w:space="0" w:color="auto"/>
        <w:left w:val="none" w:sz="0" w:space="0" w:color="auto"/>
        <w:bottom w:val="none" w:sz="0" w:space="0" w:color="auto"/>
        <w:right w:val="none" w:sz="0" w:space="0" w:color="auto"/>
      </w:divBdr>
    </w:div>
    <w:div w:id="752120776">
      <w:bodyDiv w:val="1"/>
      <w:marLeft w:val="0"/>
      <w:marRight w:val="0"/>
      <w:marTop w:val="0"/>
      <w:marBottom w:val="0"/>
      <w:divBdr>
        <w:top w:val="none" w:sz="0" w:space="0" w:color="auto"/>
        <w:left w:val="none" w:sz="0" w:space="0" w:color="auto"/>
        <w:bottom w:val="none" w:sz="0" w:space="0" w:color="auto"/>
        <w:right w:val="none" w:sz="0" w:space="0" w:color="auto"/>
      </w:divBdr>
    </w:div>
    <w:div w:id="753629667">
      <w:bodyDiv w:val="1"/>
      <w:marLeft w:val="0"/>
      <w:marRight w:val="0"/>
      <w:marTop w:val="0"/>
      <w:marBottom w:val="0"/>
      <w:divBdr>
        <w:top w:val="none" w:sz="0" w:space="0" w:color="auto"/>
        <w:left w:val="none" w:sz="0" w:space="0" w:color="auto"/>
        <w:bottom w:val="none" w:sz="0" w:space="0" w:color="auto"/>
        <w:right w:val="none" w:sz="0" w:space="0" w:color="auto"/>
      </w:divBdr>
    </w:div>
    <w:div w:id="756249613">
      <w:bodyDiv w:val="1"/>
      <w:marLeft w:val="0"/>
      <w:marRight w:val="0"/>
      <w:marTop w:val="0"/>
      <w:marBottom w:val="0"/>
      <w:divBdr>
        <w:top w:val="none" w:sz="0" w:space="0" w:color="auto"/>
        <w:left w:val="none" w:sz="0" w:space="0" w:color="auto"/>
        <w:bottom w:val="none" w:sz="0" w:space="0" w:color="auto"/>
        <w:right w:val="none" w:sz="0" w:space="0" w:color="auto"/>
      </w:divBdr>
    </w:div>
    <w:div w:id="760294987">
      <w:bodyDiv w:val="1"/>
      <w:marLeft w:val="0"/>
      <w:marRight w:val="0"/>
      <w:marTop w:val="0"/>
      <w:marBottom w:val="0"/>
      <w:divBdr>
        <w:top w:val="none" w:sz="0" w:space="0" w:color="auto"/>
        <w:left w:val="none" w:sz="0" w:space="0" w:color="auto"/>
        <w:bottom w:val="none" w:sz="0" w:space="0" w:color="auto"/>
        <w:right w:val="none" w:sz="0" w:space="0" w:color="auto"/>
      </w:divBdr>
    </w:div>
    <w:div w:id="761684329">
      <w:bodyDiv w:val="1"/>
      <w:marLeft w:val="0"/>
      <w:marRight w:val="0"/>
      <w:marTop w:val="0"/>
      <w:marBottom w:val="0"/>
      <w:divBdr>
        <w:top w:val="none" w:sz="0" w:space="0" w:color="auto"/>
        <w:left w:val="none" w:sz="0" w:space="0" w:color="auto"/>
        <w:bottom w:val="none" w:sz="0" w:space="0" w:color="auto"/>
        <w:right w:val="none" w:sz="0" w:space="0" w:color="auto"/>
      </w:divBdr>
    </w:div>
    <w:div w:id="762192789">
      <w:bodyDiv w:val="1"/>
      <w:marLeft w:val="0"/>
      <w:marRight w:val="0"/>
      <w:marTop w:val="0"/>
      <w:marBottom w:val="0"/>
      <w:divBdr>
        <w:top w:val="none" w:sz="0" w:space="0" w:color="auto"/>
        <w:left w:val="none" w:sz="0" w:space="0" w:color="auto"/>
        <w:bottom w:val="none" w:sz="0" w:space="0" w:color="auto"/>
        <w:right w:val="none" w:sz="0" w:space="0" w:color="auto"/>
      </w:divBdr>
    </w:div>
    <w:div w:id="762334208">
      <w:bodyDiv w:val="1"/>
      <w:marLeft w:val="0"/>
      <w:marRight w:val="0"/>
      <w:marTop w:val="0"/>
      <w:marBottom w:val="0"/>
      <w:divBdr>
        <w:top w:val="none" w:sz="0" w:space="0" w:color="auto"/>
        <w:left w:val="none" w:sz="0" w:space="0" w:color="auto"/>
        <w:bottom w:val="none" w:sz="0" w:space="0" w:color="auto"/>
        <w:right w:val="none" w:sz="0" w:space="0" w:color="auto"/>
      </w:divBdr>
    </w:div>
    <w:div w:id="762993378">
      <w:bodyDiv w:val="1"/>
      <w:marLeft w:val="0"/>
      <w:marRight w:val="0"/>
      <w:marTop w:val="0"/>
      <w:marBottom w:val="0"/>
      <w:divBdr>
        <w:top w:val="none" w:sz="0" w:space="0" w:color="auto"/>
        <w:left w:val="none" w:sz="0" w:space="0" w:color="auto"/>
        <w:bottom w:val="none" w:sz="0" w:space="0" w:color="auto"/>
        <w:right w:val="none" w:sz="0" w:space="0" w:color="auto"/>
      </w:divBdr>
    </w:div>
    <w:div w:id="764690491">
      <w:bodyDiv w:val="1"/>
      <w:marLeft w:val="0"/>
      <w:marRight w:val="0"/>
      <w:marTop w:val="0"/>
      <w:marBottom w:val="0"/>
      <w:divBdr>
        <w:top w:val="none" w:sz="0" w:space="0" w:color="auto"/>
        <w:left w:val="none" w:sz="0" w:space="0" w:color="auto"/>
        <w:bottom w:val="none" w:sz="0" w:space="0" w:color="auto"/>
        <w:right w:val="none" w:sz="0" w:space="0" w:color="auto"/>
      </w:divBdr>
    </w:div>
    <w:div w:id="765737722">
      <w:bodyDiv w:val="1"/>
      <w:marLeft w:val="0"/>
      <w:marRight w:val="0"/>
      <w:marTop w:val="0"/>
      <w:marBottom w:val="0"/>
      <w:divBdr>
        <w:top w:val="none" w:sz="0" w:space="0" w:color="auto"/>
        <w:left w:val="none" w:sz="0" w:space="0" w:color="auto"/>
        <w:bottom w:val="none" w:sz="0" w:space="0" w:color="auto"/>
        <w:right w:val="none" w:sz="0" w:space="0" w:color="auto"/>
      </w:divBdr>
    </w:div>
    <w:div w:id="766969727">
      <w:bodyDiv w:val="1"/>
      <w:marLeft w:val="0"/>
      <w:marRight w:val="0"/>
      <w:marTop w:val="0"/>
      <w:marBottom w:val="0"/>
      <w:divBdr>
        <w:top w:val="none" w:sz="0" w:space="0" w:color="auto"/>
        <w:left w:val="none" w:sz="0" w:space="0" w:color="auto"/>
        <w:bottom w:val="none" w:sz="0" w:space="0" w:color="auto"/>
        <w:right w:val="none" w:sz="0" w:space="0" w:color="auto"/>
      </w:divBdr>
    </w:div>
    <w:div w:id="767042378">
      <w:bodyDiv w:val="1"/>
      <w:marLeft w:val="0"/>
      <w:marRight w:val="0"/>
      <w:marTop w:val="0"/>
      <w:marBottom w:val="0"/>
      <w:divBdr>
        <w:top w:val="none" w:sz="0" w:space="0" w:color="auto"/>
        <w:left w:val="none" w:sz="0" w:space="0" w:color="auto"/>
        <w:bottom w:val="none" w:sz="0" w:space="0" w:color="auto"/>
        <w:right w:val="none" w:sz="0" w:space="0" w:color="auto"/>
      </w:divBdr>
    </w:div>
    <w:div w:id="768745014">
      <w:bodyDiv w:val="1"/>
      <w:marLeft w:val="0"/>
      <w:marRight w:val="0"/>
      <w:marTop w:val="0"/>
      <w:marBottom w:val="0"/>
      <w:divBdr>
        <w:top w:val="none" w:sz="0" w:space="0" w:color="auto"/>
        <w:left w:val="none" w:sz="0" w:space="0" w:color="auto"/>
        <w:bottom w:val="none" w:sz="0" w:space="0" w:color="auto"/>
        <w:right w:val="none" w:sz="0" w:space="0" w:color="auto"/>
      </w:divBdr>
    </w:div>
    <w:div w:id="769933528">
      <w:bodyDiv w:val="1"/>
      <w:marLeft w:val="0"/>
      <w:marRight w:val="0"/>
      <w:marTop w:val="0"/>
      <w:marBottom w:val="0"/>
      <w:divBdr>
        <w:top w:val="none" w:sz="0" w:space="0" w:color="auto"/>
        <w:left w:val="none" w:sz="0" w:space="0" w:color="auto"/>
        <w:bottom w:val="none" w:sz="0" w:space="0" w:color="auto"/>
        <w:right w:val="none" w:sz="0" w:space="0" w:color="auto"/>
      </w:divBdr>
    </w:div>
    <w:div w:id="771709265">
      <w:bodyDiv w:val="1"/>
      <w:marLeft w:val="0"/>
      <w:marRight w:val="0"/>
      <w:marTop w:val="0"/>
      <w:marBottom w:val="0"/>
      <w:divBdr>
        <w:top w:val="none" w:sz="0" w:space="0" w:color="auto"/>
        <w:left w:val="none" w:sz="0" w:space="0" w:color="auto"/>
        <w:bottom w:val="none" w:sz="0" w:space="0" w:color="auto"/>
        <w:right w:val="none" w:sz="0" w:space="0" w:color="auto"/>
      </w:divBdr>
    </w:div>
    <w:div w:id="772870146">
      <w:bodyDiv w:val="1"/>
      <w:marLeft w:val="0"/>
      <w:marRight w:val="0"/>
      <w:marTop w:val="0"/>
      <w:marBottom w:val="0"/>
      <w:divBdr>
        <w:top w:val="none" w:sz="0" w:space="0" w:color="auto"/>
        <w:left w:val="none" w:sz="0" w:space="0" w:color="auto"/>
        <w:bottom w:val="none" w:sz="0" w:space="0" w:color="auto"/>
        <w:right w:val="none" w:sz="0" w:space="0" w:color="auto"/>
      </w:divBdr>
    </w:div>
    <w:div w:id="774524757">
      <w:bodyDiv w:val="1"/>
      <w:marLeft w:val="0"/>
      <w:marRight w:val="0"/>
      <w:marTop w:val="0"/>
      <w:marBottom w:val="0"/>
      <w:divBdr>
        <w:top w:val="none" w:sz="0" w:space="0" w:color="auto"/>
        <w:left w:val="none" w:sz="0" w:space="0" w:color="auto"/>
        <w:bottom w:val="none" w:sz="0" w:space="0" w:color="auto"/>
        <w:right w:val="none" w:sz="0" w:space="0" w:color="auto"/>
      </w:divBdr>
    </w:div>
    <w:div w:id="774593132">
      <w:bodyDiv w:val="1"/>
      <w:marLeft w:val="0"/>
      <w:marRight w:val="0"/>
      <w:marTop w:val="0"/>
      <w:marBottom w:val="0"/>
      <w:divBdr>
        <w:top w:val="none" w:sz="0" w:space="0" w:color="auto"/>
        <w:left w:val="none" w:sz="0" w:space="0" w:color="auto"/>
        <w:bottom w:val="none" w:sz="0" w:space="0" w:color="auto"/>
        <w:right w:val="none" w:sz="0" w:space="0" w:color="auto"/>
      </w:divBdr>
    </w:div>
    <w:div w:id="774902039">
      <w:bodyDiv w:val="1"/>
      <w:marLeft w:val="0"/>
      <w:marRight w:val="0"/>
      <w:marTop w:val="0"/>
      <w:marBottom w:val="0"/>
      <w:divBdr>
        <w:top w:val="none" w:sz="0" w:space="0" w:color="auto"/>
        <w:left w:val="none" w:sz="0" w:space="0" w:color="auto"/>
        <w:bottom w:val="none" w:sz="0" w:space="0" w:color="auto"/>
        <w:right w:val="none" w:sz="0" w:space="0" w:color="auto"/>
      </w:divBdr>
    </w:div>
    <w:div w:id="775756213">
      <w:bodyDiv w:val="1"/>
      <w:marLeft w:val="0"/>
      <w:marRight w:val="0"/>
      <w:marTop w:val="0"/>
      <w:marBottom w:val="0"/>
      <w:divBdr>
        <w:top w:val="none" w:sz="0" w:space="0" w:color="auto"/>
        <w:left w:val="none" w:sz="0" w:space="0" w:color="auto"/>
        <w:bottom w:val="none" w:sz="0" w:space="0" w:color="auto"/>
        <w:right w:val="none" w:sz="0" w:space="0" w:color="auto"/>
      </w:divBdr>
    </w:div>
    <w:div w:id="779840100">
      <w:bodyDiv w:val="1"/>
      <w:marLeft w:val="0"/>
      <w:marRight w:val="0"/>
      <w:marTop w:val="0"/>
      <w:marBottom w:val="0"/>
      <w:divBdr>
        <w:top w:val="none" w:sz="0" w:space="0" w:color="auto"/>
        <w:left w:val="none" w:sz="0" w:space="0" w:color="auto"/>
        <w:bottom w:val="none" w:sz="0" w:space="0" w:color="auto"/>
        <w:right w:val="none" w:sz="0" w:space="0" w:color="auto"/>
      </w:divBdr>
      <w:divsChild>
        <w:div w:id="1654094237">
          <w:marLeft w:val="288"/>
          <w:marRight w:val="0"/>
          <w:marTop w:val="60"/>
          <w:marBottom w:val="0"/>
          <w:divBdr>
            <w:top w:val="none" w:sz="0" w:space="0" w:color="auto"/>
            <w:left w:val="none" w:sz="0" w:space="0" w:color="auto"/>
            <w:bottom w:val="none" w:sz="0" w:space="0" w:color="auto"/>
            <w:right w:val="none" w:sz="0" w:space="0" w:color="auto"/>
          </w:divBdr>
        </w:div>
      </w:divsChild>
    </w:div>
    <w:div w:id="781268680">
      <w:bodyDiv w:val="1"/>
      <w:marLeft w:val="0"/>
      <w:marRight w:val="0"/>
      <w:marTop w:val="0"/>
      <w:marBottom w:val="0"/>
      <w:divBdr>
        <w:top w:val="none" w:sz="0" w:space="0" w:color="auto"/>
        <w:left w:val="none" w:sz="0" w:space="0" w:color="auto"/>
        <w:bottom w:val="none" w:sz="0" w:space="0" w:color="auto"/>
        <w:right w:val="none" w:sz="0" w:space="0" w:color="auto"/>
      </w:divBdr>
    </w:div>
    <w:div w:id="781386653">
      <w:bodyDiv w:val="1"/>
      <w:marLeft w:val="0"/>
      <w:marRight w:val="0"/>
      <w:marTop w:val="0"/>
      <w:marBottom w:val="0"/>
      <w:divBdr>
        <w:top w:val="none" w:sz="0" w:space="0" w:color="auto"/>
        <w:left w:val="none" w:sz="0" w:space="0" w:color="auto"/>
        <w:bottom w:val="none" w:sz="0" w:space="0" w:color="auto"/>
        <w:right w:val="none" w:sz="0" w:space="0" w:color="auto"/>
      </w:divBdr>
    </w:div>
    <w:div w:id="781613699">
      <w:bodyDiv w:val="1"/>
      <w:marLeft w:val="0"/>
      <w:marRight w:val="0"/>
      <w:marTop w:val="0"/>
      <w:marBottom w:val="0"/>
      <w:divBdr>
        <w:top w:val="none" w:sz="0" w:space="0" w:color="auto"/>
        <w:left w:val="none" w:sz="0" w:space="0" w:color="auto"/>
        <w:bottom w:val="none" w:sz="0" w:space="0" w:color="auto"/>
        <w:right w:val="none" w:sz="0" w:space="0" w:color="auto"/>
      </w:divBdr>
    </w:div>
    <w:div w:id="783773948">
      <w:bodyDiv w:val="1"/>
      <w:marLeft w:val="0"/>
      <w:marRight w:val="0"/>
      <w:marTop w:val="0"/>
      <w:marBottom w:val="0"/>
      <w:divBdr>
        <w:top w:val="none" w:sz="0" w:space="0" w:color="auto"/>
        <w:left w:val="none" w:sz="0" w:space="0" w:color="auto"/>
        <w:bottom w:val="none" w:sz="0" w:space="0" w:color="auto"/>
        <w:right w:val="none" w:sz="0" w:space="0" w:color="auto"/>
      </w:divBdr>
    </w:div>
    <w:div w:id="784077013">
      <w:bodyDiv w:val="1"/>
      <w:marLeft w:val="0"/>
      <w:marRight w:val="0"/>
      <w:marTop w:val="0"/>
      <w:marBottom w:val="0"/>
      <w:divBdr>
        <w:top w:val="none" w:sz="0" w:space="0" w:color="auto"/>
        <w:left w:val="none" w:sz="0" w:space="0" w:color="auto"/>
        <w:bottom w:val="none" w:sz="0" w:space="0" w:color="auto"/>
        <w:right w:val="none" w:sz="0" w:space="0" w:color="auto"/>
      </w:divBdr>
    </w:div>
    <w:div w:id="784353454">
      <w:bodyDiv w:val="1"/>
      <w:marLeft w:val="0"/>
      <w:marRight w:val="0"/>
      <w:marTop w:val="0"/>
      <w:marBottom w:val="0"/>
      <w:divBdr>
        <w:top w:val="none" w:sz="0" w:space="0" w:color="auto"/>
        <w:left w:val="none" w:sz="0" w:space="0" w:color="auto"/>
        <w:bottom w:val="none" w:sz="0" w:space="0" w:color="auto"/>
        <w:right w:val="none" w:sz="0" w:space="0" w:color="auto"/>
      </w:divBdr>
    </w:div>
    <w:div w:id="785584467">
      <w:bodyDiv w:val="1"/>
      <w:marLeft w:val="0"/>
      <w:marRight w:val="0"/>
      <w:marTop w:val="0"/>
      <w:marBottom w:val="0"/>
      <w:divBdr>
        <w:top w:val="none" w:sz="0" w:space="0" w:color="auto"/>
        <w:left w:val="none" w:sz="0" w:space="0" w:color="auto"/>
        <w:bottom w:val="none" w:sz="0" w:space="0" w:color="auto"/>
        <w:right w:val="none" w:sz="0" w:space="0" w:color="auto"/>
      </w:divBdr>
    </w:div>
    <w:div w:id="786582827">
      <w:bodyDiv w:val="1"/>
      <w:marLeft w:val="0"/>
      <w:marRight w:val="0"/>
      <w:marTop w:val="0"/>
      <w:marBottom w:val="0"/>
      <w:divBdr>
        <w:top w:val="none" w:sz="0" w:space="0" w:color="auto"/>
        <w:left w:val="none" w:sz="0" w:space="0" w:color="auto"/>
        <w:bottom w:val="none" w:sz="0" w:space="0" w:color="auto"/>
        <w:right w:val="none" w:sz="0" w:space="0" w:color="auto"/>
      </w:divBdr>
    </w:div>
    <w:div w:id="788007878">
      <w:bodyDiv w:val="1"/>
      <w:marLeft w:val="0"/>
      <w:marRight w:val="0"/>
      <w:marTop w:val="0"/>
      <w:marBottom w:val="0"/>
      <w:divBdr>
        <w:top w:val="none" w:sz="0" w:space="0" w:color="auto"/>
        <w:left w:val="none" w:sz="0" w:space="0" w:color="auto"/>
        <w:bottom w:val="none" w:sz="0" w:space="0" w:color="auto"/>
        <w:right w:val="none" w:sz="0" w:space="0" w:color="auto"/>
      </w:divBdr>
    </w:div>
    <w:div w:id="790131189">
      <w:bodyDiv w:val="1"/>
      <w:marLeft w:val="0"/>
      <w:marRight w:val="0"/>
      <w:marTop w:val="0"/>
      <w:marBottom w:val="0"/>
      <w:divBdr>
        <w:top w:val="none" w:sz="0" w:space="0" w:color="auto"/>
        <w:left w:val="none" w:sz="0" w:space="0" w:color="auto"/>
        <w:bottom w:val="none" w:sz="0" w:space="0" w:color="auto"/>
        <w:right w:val="none" w:sz="0" w:space="0" w:color="auto"/>
      </w:divBdr>
    </w:div>
    <w:div w:id="792291121">
      <w:bodyDiv w:val="1"/>
      <w:marLeft w:val="0"/>
      <w:marRight w:val="0"/>
      <w:marTop w:val="0"/>
      <w:marBottom w:val="0"/>
      <w:divBdr>
        <w:top w:val="none" w:sz="0" w:space="0" w:color="auto"/>
        <w:left w:val="none" w:sz="0" w:space="0" w:color="auto"/>
        <w:bottom w:val="none" w:sz="0" w:space="0" w:color="auto"/>
        <w:right w:val="none" w:sz="0" w:space="0" w:color="auto"/>
      </w:divBdr>
    </w:div>
    <w:div w:id="794714526">
      <w:bodyDiv w:val="1"/>
      <w:marLeft w:val="0"/>
      <w:marRight w:val="0"/>
      <w:marTop w:val="0"/>
      <w:marBottom w:val="0"/>
      <w:divBdr>
        <w:top w:val="none" w:sz="0" w:space="0" w:color="auto"/>
        <w:left w:val="none" w:sz="0" w:space="0" w:color="auto"/>
        <w:bottom w:val="none" w:sz="0" w:space="0" w:color="auto"/>
        <w:right w:val="none" w:sz="0" w:space="0" w:color="auto"/>
      </w:divBdr>
    </w:div>
    <w:div w:id="796753238">
      <w:bodyDiv w:val="1"/>
      <w:marLeft w:val="0"/>
      <w:marRight w:val="0"/>
      <w:marTop w:val="0"/>
      <w:marBottom w:val="0"/>
      <w:divBdr>
        <w:top w:val="none" w:sz="0" w:space="0" w:color="auto"/>
        <w:left w:val="none" w:sz="0" w:space="0" w:color="auto"/>
        <w:bottom w:val="none" w:sz="0" w:space="0" w:color="auto"/>
        <w:right w:val="none" w:sz="0" w:space="0" w:color="auto"/>
      </w:divBdr>
    </w:div>
    <w:div w:id="797991582">
      <w:bodyDiv w:val="1"/>
      <w:marLeft w:val="0"/>
      <w:marRight w:val="0"/>
      <w:marTop w:val="0"/>
      <w:marBottom w:val="0"/>
      <w:divBdr>
        <w:top w:val="none" w:sz="0" w:space="0" w:color="auto"/>
        <w:left w:val="none" w:sz="0" w:space="0" w:color="auto"/>
        <w:bottom w:val="none" w:sz="0" w:space="0" w:color="auto"/>
        <w:right w:val="none" w:sz="0" w:space="0" w:color="auto"/>
      </w:divBdr>
    </w:div>
    <w:div w:id="800345587">
      <w:bodyDiv w:val="1"/>
      <w:marLeft w:val="0"/>
      <w:marRight w:val="0"/>
      <w:marTop w:val="0"/>
      <w:marBottom w:val="0"/>
      <w:divBdr>
        <w:top w:val="none" w:sz="0" w:space="0" w:color="auto"/>
        <w:left w:val="none" w:sz="0" w:space="0" w:color="auto"/>
        <w:bottom w:val="none" w:sz="0" w:space="0" w:color="auto"/>
        <w:right w:val="none" w:sz="0" w:space="0" w:color="auto"/>
      </w:divBdr>
    </w:div>
    <w:div w:id="802579135">
      <w:bodyDiv w:val="1"/>
      <w:marLeft w:val="0"/>
      <w:marRight w:val="0"/>
      <w:marTop w:val="0"/>
      <w:marBottom w:val="0"/>
      <w:divBdr>
        <w:top w:val="none" w:sz="0" w:space="0" w:color="auto"/>
        <w:left w:val="none" w:sz="0" w:space="0" w:color="auto"/>
        <w:bottom w:val="none" w:sz="0" w:space="0" w:color="auto"/>
        <w:right w:val="none" w:sz="0" w:space="0" w:color="auto"/>
      </w:divBdr>
    </w:div>
    <w:div w:id="804661558">
      <w:bodyDiv w:val="1"/>
      <w:marLeft w:val="0"/>
      <w:marRight w:val="0"/>
      <w:marTop w:val="0"/>
      <w:marBottom w:val="0"/>
      <w:divBdr>
        <w:top w:val="none" w:sz="0" w:space="0" w:color="auto"/>
        <w:left w:val="none" w:sz="0" w:space="0" w:color="auto"/>
        <w:bottom w:val="none" w:sz="0" w:space="0" w:color="auto"/>
        <w:right w:val="none" w:sz="0" w:space="0" w:color="auto"/>
      </w:divBdr>
    </w:div>
    <w:div w:id="805126224">
      <w:bodyDiv w:val="1"/>
      <w:marLeft w:val="0"/>
      <w:marRight w:val="0"/>
      <w:marTop w:val="0"/>
      <w:marBottom w:val="0"/>
      <w:divBdr>
        <w:top w:val="none" w:sz="0" w:space="0" w:color="auto"/>
        <w:left w:val="none" w:sz="0" w:space="0" w:color="auto"/>
        <w:bottom w:val="none" w:sz="0" w:space="0" w:color="auto"/>
        <w:right w:val="none" w:sz="0" w:space="0" w:color="auto"/>
      </w:divBdr>
    </w:div>
    <w:div w:id="806432675">
      <w:bodyDiv w:val="1"/>
      <w:marLeft w:val="0"/>
      <w:marRight w:val="0"/>
      <w:marTop w:val="0"/>
      <w:marBottom w:val="0"/>
      <w:divBdr>
        <w:top w:val="none" w:sz="0" w:space="0" w:color="auto"/>
        <w:left w:val="none" w:sz="0" w:space="0" w:color="auto"/>
        <w:bottom w:val="none" w:sz="0" w:space="0" w:color="auto"/>
        <w:right w:val="none" w:sz="0" w:space="0" w:color="auto"/>
      </w:divBdr>
    </w:div>
    <w:div w:id="806819287">
      <w:bodyDiv w:val="1"/>
      <w:marLeft w:val="0"/>
      <w:marRight w:val="0"/>
      <w:marTop w:val="0"/>
      <w:marBottom w:val="0"/>
      <w:divBdr>
        <w:top w:val="none" w:sz="0" w:space="0" w:color="auto"/>
        <w:left w:val="none" w:sz="0" w:space="0" w:color="auto"/>
        <w:bottom w:val="none" w:sz="0" w:space="0" w:color="auto"/>
        <w:right w:val="none" w:sz="0" w:space="0" w:color="auto"/>
      </w:divBdr>
    </w:div>
    <w:div w:id="808135046">
      <w:bodyDiv w:val="1"/>
      <w:marLeft w:val="0"/>
      <w:marRight w:val="0"/>
      <w:marTop w:val="0"/>
      <w:marBottom w:val="0"/>
      <w:divBdr>
        <w:top w:val="none" w:sz="0" w:space="0" w:color="auto"/>
        <w:left w:val="none" w:sz="0" w:space="0" w:color="auto"/>
        <w:bottom w:val="none" w:sz="0" w:space="0" w:color="auto"/>
        <w:right w:val="none" w:sz="0" w:space="0" w:color="auto"/>
      </w:divBdr>
    </w:div>
    <w:div w:id="808547275">
      <w:bodyDiv w:val="1"/>
      <w:marLeft w:val="0"/>
      <w:marRight w:val="0"/>
      <w:marTop w:val="0"/>
      <w:marBottom w:val="0"/>
      <w:divBdr>
        <w:top w:val="none" w:sz="0" w:space="0" w:color="auto"/>
        <w:left w:val="none" w:sz="0" w:space="0" w:color="auto"/>
        <w:bottom w:val="none" w:sz="0" w:space="0" w:color="auto"/>
        <w:right w:val="none" w:sz="0" w:space="0" w:color="auto"/>
      </w:divBdr>
    </w:div>
    <w:div w:id="809982707">
      <w:bodyDiv w:val="1"/>
      <w:marLeft w:val="0"/>
      <w:marRight w:val="0"/>
      <w:marTop w:val="0"/>
      <w:marBottom w:val="0"/>
      <w:divBdr>
        <w:top w:val="none" w:sz="0" w:space="0" w:color="auto"/>
        <w:left w:val="none" w:sz="0" w:space="0" w:color="auto"/>
        <w:bottom w:val="none" w:sz="0" w:space="0" w:color="auto"/>
        <w:right w:val="none" w:sz="0" w:space="0" w:color="auto"/>
      </w:divBdr>
    </w:div>
    <w:div w:id="810097766">
      <w:bodyDiv w:val="1"/>
      <w:marLeft w:val="0"/>
      <w:marRight w:val="0"/>
      <w:marTop w:val="0"/>
      <w:marBottom w:val="0"/>
      <w:divBdr>
        <w:top w:val="none" w:sz="0" w:space="0" w:color="auto"/>
        <w:left w:val="none" w:sz="0" w:space="0" w:color="auto"/>
        <w:bottom w:val="none" w:sz="0" w:space="0" w:color="auto"/>
        <w:right w:val="none" w:sz="0" w:space="0" w:color="auto"/>
      </w:divBdr>
    </w:div>
    <w:div w:id="811362409">
      <w:bodyDiv w:val="1"/>
      <w:marLeft w:val="0"/>
      <w:marRight w:val="0"/>
      <w:marTop w:val="0"/>
      <w:marBottom w:val="0"/>
      <w:divBdr>
        <w:top w:val="none" w:sz="0" w:space="0" w:color="auto"/>
        <w:left w:val="none" w:sz="0" w:space="0" w:color="auto"/>
        <w:bottom w:val="none" w:sz="0" w:space="0" w:color="auto"/>
        <w:right w:val="none" w:sz="0" w:space="0" w:color="auto"/>
      </w:divBdr>
    </w:div>
    <w:div w:id="812328040">
      <w:bodyDiv w:val="1"/>
      <w:marLeft w:val="0"/>
      <w:marRight w:val="0"/>
      <w:marTop w:val="0"/>
      <w:marBottom w:val="0"/>
      <w:divBdr>
        <w:top w:val="none" w:sz="0" w:space="0" w:color="auto"/>
        <w:left w:val="none" w:sz="0" w:space="0" w:color="auto"/>
        <w:bottom w:val="none" w:sz="0" w:space="0" w:color="auto"/>
        <w:right w:val="none" w:sz="0" w:space="0" w:color="auto"/>
      </w:divBdr>
    </w:div>
    <w:div w:id="816069181">
      <w:bodyDiv w:val="1"/>
      <w:marLeft w:val="0"/>
      <w:marRight w:val="0"/>
      <w:marTop w:val="0"/>
      <w:marBottom w:val="0"/>
      <w:divBdr>
        <w:top w:val="none" w:sz="0" w:space="0" w:color="auto"/>
        <w:left w:val="none" w:sz="0" w:space="0" w:color="auto"/>
        <w:bottom w:val="none" w:sz="0" w:space="0" w:color="auto"/>
        <w:right w:val="none" w:sz="0" w:space="0" w:color="auto"/>
      </w:divBdr>
    </w:div>
    <w:div w:id="816150564">
      <w:bodyDiv w:val="1"/>
      <w:marLeft w:val="0"/>
      <w:marRight w:val="0"/>
      <w:marTop w:val="0"/>
      <w:marBottom w:val="0"/>
      <w:divBdr>
        <w:top w:val="none" w:sz="0" w:space="0" w:color="auto"/>
        <w:left w:val="none" w:sz="0" w:space="0" w:color="auto"/>
        <w:bottom w:val="none" w:sz="0" w:space="0" w:color="auto"/>
        <w:right w:val="none" w:sz="0" w:space="0" w:color="auto"/>
      </w:divBdr>
    </w:div>
    <w:div w:id="816535954">
      <w:bodyDiv w:val="1"/>
      <w:marLeft w:val="0"/>
      <w:marRight w:val="0"/>
      <w:marTop w:val="0"/>
      <w:marBottom w:val="0"/>
      <w:divBdr>
        <w:top w:val="none" w:sz="0" w:space="0" w:color="auto"/>
        <w:left w:val="none" w:sz="0" w:space="0" w:color="auto"/>
        <w:bottom w:val="none" w:sz="0" w:space="0" w:color="auto"/>
        <w:right w:val="none" w:sz="0" w:space="0" w:color="auto"/>
      </w:divBdr>
    </w:div>
    <w:div w:id="816844913">
      <w:bodyDiv w:val="1"/>
      <w:marLeft w:val="0"/>
      <w:marRight w:val="0"/>
      <w:marTop w:val="0"/>
      <w:marBottom w:val="0"/>
      <w:divBdr>
        <w:top w:val="none" w:sz="0" w:space="0" w:color="auto"/>
        <w:left w:val="none" w:sz="0" w:space="0" w:color="auto"/>
        <w:bottom w:val="none" w:sz="0" w:space="0" w:color="auto"/>
        <w:right w:val="none" w:sz="0" w:space="0" w:color="auto"/>
      </w:divBdr>
    </w:div>
    <w:div w:id="817383558">
      <w:bodyDiv w:val="1"/>
      <w:marLeft w:val="0"/>
      <w:marRight w:val="0"/>
      <w:marTop w:val="0"/>
      <w:marBottom w:val="0"/>
      <w:divBdr>
        <w:top w:val="none" w:sz="0" w:space="0" w:color="auto"/>
        <w:left w:val="none" w:sz="0" w:space="0" w:color="auto"/>
        <w:bottom w:val="none" w:sz="0" w:space="0" w:color="auto"/>
        <w:right w:val="none" w:sz="0" w:space="0" w:color="auto"/>
      </w:divBdr>
    </w:div>
    <w:div w:id="818695364">
      <w:bodyDiv w:val="1"/>
      <w:marLeft w:val="0"/>
      <w:marRight w:val="0"/>
      <w:marTop w:val="0"/>
      <w:marBottom w:val="0"/>
      <w:divBdr>
        <w:top w:val="none" w:sz="0" w:space="0" w:color="auto"/>
        <w:left w:val="none" w:sz="0" w:space="0" w:color="auto"/>
        <w:bottom w:val="none" w:sz="0" w:space="0" w:color="auto"/>
        <w:right w:val="none" w:sz="0" w:space="0" w:color="auto"/>
      </w:divBdr>
    </w:div>
    <w:div w:id="820657458">
      <w:bodyDiv w:val="1"/>
      <w:marLeft w:val="0"/>
      <w:marRight w:val="0"/>
      <w:marTop w:val="0"/>
      <w:marBottom w:val="0"/>
      <w:divBdr>
        <w:top w:val="none" w:sz="0" w:space="0" w:color="auto"/>
        <w:left w:val="none" w:sz="0" w:space="0" w:color="auto"/>
        <w:bottom w:val="none" w:sz="0" w:space="0" w:color="auto"/>
        <w:right w:val="none" w:sz="0" w:space="0" w:color="auto"/>
      </w:divBdr>
    </w:div>
    <w:div w:id="823005296">
      <w:bodyDiv w:val="1"/>
      <w:marLeft w:val="0"/>
      <w:marRight w:val="0"/>
      <w:marTop w:val="0"/>
      <w:marBottom w:val="0"/>
      <w:divBdr>
        <w:top w:val="none" w:sz="0" w:space="0" w:color="auto"/>
        <w:left w:val="none" w:sz="0" w:space="0" w:color="auto"/>
        <w:bottom w:val="none" w:sz="0" w:space="0" w:color="auto"/>
        <w:right w:val="none" w:sz="0" w:space="0" w:color="auto"/>
      </w:divBdr>
    </w:div>
    <w:div w:id="823160648">
      <w:bodyDiv w:val="1"/>
      <w:marLeft w:val="0"/>
      <w:marRight w:val="0"/>
      <w:marTop w:val="0"/>
      <w:marBottom w:val="0"/>
      <w:divBdr>
        <w:top w:val="none" w:sz="0" w:space="0" w:color="auto"/>
        <w:left w:val="none" w:sz="0" w:space="0" w:color="auto"/>
        <w:bottom w:val="none" w:sz="0" w:space="0" w:color="auto"/>
        <w:right w:val="none" w:sz="0" w:space="0" w:color="auto"/>
      </w:divBdr>
    </w:div>
    <w:div w:id="824783453">
      <w:bodyDiv w:val="1"/>
      <w:marLeft w:val="0"/>
      <w:marRight w:val="0"/>
      <w:marTop w:val="0"/>
      <w:marBottom w:val="0"/>
      <w:divBdr>
        <w:top w:val="none" w:sz="0" w:space="0" w:color="auto"/>
        <w:left w:val="none" w:sz="0" w:space="0" w:color="auto"/>
        <w:bottom w:val="none" w:sz="0" w:space="0" w:color="auto"/>
        <w:right w:val="none" w:sz="0" w:space="0" w:color="auto"/>
      </w:divBdr>
    </w:div>
    <w:div w:id="825167638">
      <w:bodyDiv w:val="1"/>
      <w:marLeft w:val="0"/>
      <w:marRight w:val="0"/>
      <w:marTop w:val="0"/>
      <w:marBottom w:val="0"/>
      <w:divBdr>
        <w:top w:val="none" w:sz="0" w:space="0" w:color="auto"/>
        <w:left w:val="none" w:sz="0" w:space="0" w:color="auto"/>
        <w:bottom w:val="none" w:sz="0" w:space="0" w:color="auto"/>
        <w:right w:val="none" w:sz="0" w:space="0" w:color="auto"/>
      </w:divBdr>
    </w:div>
    <w:div w:id="827667627">
      <w:bodyDiv w:val="1"/>
      <w:marLeft w:val="0"/>
      <w:marRight w:val="0"/>
      <w:marTop w:val="0"/>
      <w:marBottom w:val="0"/>
      <w:divBdr>
        <w:top w:val="none" w:sz="0" w:space="0" w:color="auto"/>
        <w:left w:val="none" w:sz="0" w:space="0" w:color="auto"/>
        <w:bottom w:val="none" w:sz="0" w:space="0" w:color="auto"/>
        <w:right w:val="none" w:sz="0" w:space="0" w:color="auto"/>
      </w:divBdr>
    </w:div>
    <w:div w:id="827793800">
      <w:bodyDiv w:val="1"/>
      <w:marLeft w:val="0"/>
      <w:marRight w:val="0"/>
      <w:marTop w:val="0"/>
      <w:marBottom w:val="0"/>
      <w:divBdr>
        <w:top w:val="none" w:sz="0" w:space="0" w:color="auto"/>
        <w:left w:val="none" w:sz="0" w:space="0" w:color="auto"/>
        <w:bottom w:val="none" w:sz="0" w:space="0" w:color="auto"/>
        <w:right w:val="none" w:sz="0" w:space="0" w:color="auto"/>
      </w:divBdr>
    </w:div>
    <w:div w:id="830828158">
      <w:bodyDiv w:val="1"/>
      <w:marLeft w:val="0"/>
      <w:marRight w:val="0"/>
      <w:marTop w:val="0"/>
      <w:marBottom w:val="0"/>
      <w:divBdr>
        <w:top w:val="none" w:sz="0" w:space="0" w:color="auto"/>
        <w:left w:val="none" w:sz="0" w:space="0" w:color="auto"/>
        <w:bottom w:val="none" w:sz="0" w:space="0" w:color="auto"/>
        <w:right w:val="none" w:sz="0" w:space="0" w:color="auto"/>
      </w:divBdr>
    </w:div>
    <w:div w:id="832065641">
      <w:bodyDiv w:val="1"/>
      <w:marLeft w:val="0"/>
      <w:marRight w:val="0"/>
      <w:marTop w:val="0"/>
      <w:marBottom w:val="0"/>
      <w:divBdr>
        <w:top w:val="none" w:sz="0" w:space="0" w:color="auto"/>
        <w:left w:val="none" w:sz="0" w:space="0" w:color="auto"/>
        <w:bottom w:val="none" w:sz="0" w:space="0" w:color="auto"/>
        <w:right w:val="none" w:sz="0" w:space="0" w:color="auto"/>
      </w:divBdr>
    </w:div>
    <w:div w:id="832722512">
      <w:bodyDiv w:val="1"/>
      <w:marLeft w:val="0"/>
      <w:marRight w:val="0"/>
      <w:marTop w:val="0"/>
      <w:marBottom w:val="0"/>
      <w:divBdr>
        <w:top w:val="none" w:sz="0" w:space="0" w:color="auto"/>
        <w:left w:val="none" w:sz="0" w:space="0" w:color="auto"/>
        <w:bottom w:val="none" w:sz="0" w:space="0" w:color="auto"/>
        <w:right w:val="none" w:sz="0" w:space="0" w:color="auto"/>
      </w:divBdr>
    </w:div>
    <w:div w:id="833493170">
      <w:bodyDiv w:val="1"/>
      <w:marLeft w:val="0"/>
      <w:marRight w:val="0"/>
      <w:marTop w:val="0"/>
      <w:marBottom w:val="0"/>
      <w:divBdr>
        <w:top w:val="none" w:sz="0" w:space="0" w:color="auto"/>
        <w:left w:val="none" w:sz="0" w:space="0" w:color="auto"/>
        <w:bottom w:val="none" w:sz="0" w:space="0" w:color="auto"/>
        <w:right w:val="none" w:sz="0" w:space="0" w:color="auto"/>
      </w:divBdr>
    </w:div>
    <w:div w:id="833838967">
      <w:bodyDiv w:val="1"/>
      <w:marLeft w:val="0"/>
      <w:marRight w:val="0"/>
      <w:marTop w:val="0"/>
      <w:marBottom w:val="0"/>
      <w:divBdr>
        <w:top w:val="none" w:sz="0" w:space="0" w:color="auto"/>
        <w:left w:val="none" w:sz="0" w:space="0" w:color="auto"/>
        <w:bottom w:val="none" w:sz="0" w:space="0" w:color="auto"/>
        <w:right w:val="none" w:sz="0" w:space="0" w:color="auto"/>
      </w:divBdr>
    </w:div>
    <w:div w:id="836195147">
      <w:bodyDiv w:val="1"/>
      <w:marLeft w:val="0"/>
      <w:marRight w:val="0"/>
      <w:marTop w:val="0"/>
      <w:marBottom w:val="0"/>
      <w:divBdr>
        <w:top w:val="none" w:sz="0" w:space="0" w:color="auto"/>
        <w:left w:val="none" w:sz="0" w:space="0" w:color="auto"/>
        <w:bottom w:val="none" w:sz="0" w:space="0" w:color="auto"/>
        <w:right w:val="none" w:sz="0" w:space="0" w:color="auto"/>
      </w:divBdr>
    </w:div>
    <w:div w:id="836653829">
      <w:bodyDiv w:val="1"/>
      <w:marLeft w:val="0"/>
      <w:marRight w:val="0"/>
      <w:marTop w:val="0"/>
      <w:marBottom w:val="0"/>
      <w:divBdr>
        <w:top w:val="none" w:sz="0" w:space="0" w:color="auto"/>
        <w:left w:val="none" w:sz="0" w:space="0" w:color="auto"/>
        <w:bottom w:val="none" w:sz="0" w:space="0" w:color="auto"/>
        <w:right w:val="none" w:sz="0" w:space="0" w:color="auto"/>
      </w:divBdr>
    </w:div>
    <w:div w:id="839542373">
      <w:bodyDiv w:val="1"/>
      <w:marLeft w:val="0"/>
      <w:marRight w:val="0"/>
      <w:marTop w:val="0"/>
      <w:marBottom w:val="0"/>
      <w:divBdr>
        <w:top w:val="none" w:sz="0" w:space="0" w:color="auto"/>
        <w:left w:val="none" w:sz="0" w:space="0" w:color="auto"/>
        <w:bottom w:val="none" w:sz="0" w:space="0" w:color="auto"/>
        <w:right w:val="none" w:sz="0" w:space="0" w:color="auto"/>
      </w:divBdr>
    </w:div>
    <w:div w:id="843016856">
      <w:bodyDiv w:val="1"/>
      <w:marLeft w:val="0"/>
      <w:marRight w:val="0"/>
      <w:marTop w:val="0"/>
      <w:marBottom w:val="0"/>
      <w:divBdr>
        <w:top w:val="none" w:sz="0" w:space="0" w:color="auto"/>
        <w:left w:val="none" w:sz="0" w:space="0" w:color="auto"/>
        <w:bottom w:val="none" w:sz="0" w:space="0" w:color="auto"/>
        <w:right w:val="none" w:sz="0" w:space="0" w:color="auto"/>
      </w:divBdr>
    </w:div>
    <w:div w:id="848105105">
      <w:bodyDiv w:val="1"/>
      <w:marLeft w:val="0"/>
      <w:marRight w:val="0"/>
      <w:marTop w:val="0"/>
      <w:marBottom w:val="0"/>
      <w:divBdr>
        <w:top w:val="none" w:sz="0" w:space="0" w:color="auto"/>
        <w:left w:val="none" w:sz="0" w:space="0" w:color="auto"/>
        <w:bottom w:val="none" w:sz="0" w:space="0" w:color="auto"/>
        <w:right w:val="none" w:sz="0" w:space="0" w:color="auto"/>
      </w:divBdr>
    </w:div>
    <w:div w:id="848372224">
      <w:bodyDiv w:val="1"/>
      <w:marLeft w:val="0"/>
      <w:marRight w:val="0"/>
      <w:marTop w:val="0"/>
      <w:marBottom w:val="0"/>
      <w:divBdr>
        <w:top w:val="none" w:sz="0" w:space="0" w:color="auto"/>
        <w:left w:val="none" w:sz="0" w:space="0" w:color="auto"/>
        <w:bottom w:val="none" w:sz="0" w:space="0" w:color="auto"/>
        <w:right w:val="none" w:sz="0" w:space="0" w:color="auto"/>
      </w:divBdr>
    </w:div>
    <w:div w:id="849565947">
      <w:bodyDiv w:val="1"/>
      <w:marLeft w:val="0"/>
      <w:marRight w:val="0"/>
      <w:marTop w:val="0"/>
      <w:marBottom w:val="0"/>
      <w:divBdr>
        <w:top w:val="none" w:sz="0" w:space="0" w:color="auto"/>
        <w:left w:val="none" w:sz="0" w:space="0" w:color="auto"/>
        <w:bottom w:val="none" w:sz="0" w:space="0" w:color="auto"/>
        <w:right w:val="none" w:sz="0" w:space="0" w:color="auto"/>
      </w:divBdr>
    </w:div>
    <w:div w:id="852380513">
      <w:bodyDiv w:val="1"/>
      <w:marLeft w:val="0"/>
      <w:marRight w:val="0"/>
      <w:marTop w:val="0"/>
      <w:marBottom w:val="0"/>
      <w:divBdr>
        <w:top w:val="none" w:sz="0" w:space="0" w:color="auto"/>
        <w:left w:val="none" w:sz="0" w:space="0" w:color="auto"/>
        <w:bottom w:val="none" w:sz="0" w:space="0" w:color="auto"/>
        <w:right w:val="none" w:sz="0" w:space="0" w:color="auto"/>
      </w:divBdr>
    </w:div>
    <w:div w:id="854467574">
      <w:bodyDiv w:val="1"/>
      <w:marLeft w:val="0"/>
      <w:marRight w:val="0"/>
      <w:marTop w:val="0"/>
      <w:marBottom w:val="0"/>
      <w:divBdr>
        <w:top w:val="none" w:sz="0" w:space="0" w:color="auto"/>
        <w:left w:val="none" w:sz="0" w:space="0" w:color="auto"/>
        <w:bottom w:val="none" w:sz="0" w:space="0" w:color="auto"/>
        <w:right w:val="none" w:sz="0" w:space="0" w:color="auto"/>
      </w:divBdr>
    </w:div>
    <w:div w:id="854614770">
      <w:bodyDiv w:val="1"/>
      <w:marLeft w:val="0"/>
      <w:marRight w:val="0"/>
      <w:marTop w:val="0"/>
      <w:marBottom w:val="0"/>
      <w:divBdr>
        <w:top w:val="none" w:sz="0" w:space="0" w:color="auto"/>
        <w:left w:val="none" w:sz="0" w:space="0" w:color="auto"/>
        <w:bottom w:val="none" w:sz="0" w:space="0" w:color="auto"/>
        <w:right w:val="none" w:sz="0" w:space="0" w:color="auto"/>
      </w:divBdr>
    </w:div>
    <w:div w:id="857545513">
      <w:bodyDiv w:val="1"/>
      <w:marLeft w:val="0"/>
      <w:marRight w:val="0"/>
      <w:marTop w:val="0"/>
      <w:marBottom w:val="0"/>
      <w:divBdr>
        <w:top w:val="none" w:sz="0" w:space="0" w:color="auto"/>
        <w:left w:val="none" w:sz="0" w:space="0" w:color="auto"/>
        <w:bottom w:val="none" w:sz="0" w:space="0" w:color="auto"/>
        <w:right w:val="none" w:sz="0" w:space="0" w:color="auto"/>
      </w:divBdr>
    </w:div>
    <w:div w:id="857624773">
      <w:bodyDiv w:val="1"/>
      <w:marLeft w:val="0"/>
      <w:marRight w:val="0"/>
      <w:marTop w:val="0"/>
      <w:marBottom w:val="0"/>
      <w:divBdr>
        <w:top w:val="none" w:sz="0" w:space="0" w:color="auto"/>
        <w:left w:val="none" w:sz="0" w:space="0" w:color="auto"/>
        <w:bottom w:val="none" w:sz="0" w:space="0" w:color="auto"/>
        <w:right w:val="none" w:sz="0" w:space="0" w:color="auto"/>
      </w:divBdr>
    </w:div>
    <w:div w:id="859047381">
      <w:bodyDiv w:val="1"/>
      <w:marLeft w:val="0"/>
      <w:marRight w:val="0"/>
      <w:marTop w:val="0"/>
      <w:marBottom w:val="0"/>
      <w:divBdr>
        <w:top w:val="none" w:sz="0" w:space="0" w:color="auto"/>
        <w:left w:val="none" w:sz="0" w:space="0" w:color="auto"/>
        <w:bottom w:val="none" w:sz="0" w:space="0" w:color="auto"/>
        <w:right w:val="none" w:sz="0" w:space="0" w:color="auto"/>
      </w:divBdr>
    </w:div>
    <w:div w:id="860627455">
      <w:bodyDiv w:val="1"/>
      <w:marLeft w:val="0"/>
      <w:marRight w:val="0"/>
      <w:marTop w:val="0"/>
      <w:marBottom w:val="0"/>
      <w:divBdr>
        <w:top w:val="none" w:sz="0" w:space="0" w:color="auto"/>
        <w:left w:val="none" w:sz="0" w:space="0" w:color="auto"/>
        <w:bottom w:val="none" w:sz="0" w:space="0" w:color="auto"/>
        <w:right w:val="none" w:sz="0" w:space="0" w:color="auto"/>
      </w:divBdr>
    </w:div>
    <w:div w:id="864442795">
      <w:bodyDiv w:val="1"/>
      <w:marLeft w:val="0"/>
      <w:marRight w:val="0"/>
      <w:marTop w:val="0"/>
      <w:marBottom w:val="0"/>
      <w:divBdr>
        <w:top w:val="none" w:sz="0" w:space="0" w:color="auto"/>
        <w:left w:val="none" w:sz="0" w:space="0" w:color="auto"/>
        <w:bottom w:val="none" w:sz="0" w:space="0" w:color="auto"/>
        <w:right w:val="none" w:sz="0" w:space="0" w:color="auto"/>
      </w:divBdr>
    </w:div>
    <w:div w:id="866066614">
      <w:bodyDiv w:val="1"/>
      <w:marLeft w:val="0"/>
      <w:marRight w:val="0"/>
      <w:marTop w:val="0"/>
      <w:marBottom w:val="0"/>
      <w:divBdr>
        <w:top w:val="none" w:sz="0" w:space="0" w:color="auto"/>
        <w:left w:val="none" w:sz="0" w:space="0" w:color="auto"/>
        <w:bottom w:val="none" w:sz="0" w:space="0" w:color="auto"/>
        <w:right w:val="none" w:sz="0" w:space="0" w:color="auto"/>
      </w:divBdr>
    </w:div>
    <w:div w:id="866139258">
      <w:bodyDiv w:val="1"/>
      <w:marLeft w:val="0"/>
      <w:marRight w:val="0"/>
      <w:marTop w:val="0"/>
      <w:marBottom w:val="0"/>
      <w:divBdr>
        <w:top w:val="none" w:sz="0" w:space="0" w:color="auto"/>
        <w:left w:val="none" w:sz="0" w:space="0" w:color="auto"/>
        <w:bottom w:val="none" w:sz="0" w:space="0" w:color="auto"/>
        <w:right w:val="none" w:sz="0" w:space="0" w:color="auto"/>
      </w:divBdr>
    </w:div>
    <w:div w:id="867988093">
      <w:bodyDiv w:val="1"/>
      <w:marLeft w:val="0"/>
      <w:marRight w:val="0"/>
      <w:marTop w:val="0"/>
      <w:marBottom w:val="0"/>
      <w:divBdr>
        <w:top w:val="none" w:sz="0" w:space="0" w:color="auto"/>
        <w:left w:val="none" w:sz="0" w:space="0" w:color="auto"/>
        <w:bottom w:val="none" w:sz="0" w:space="0" w:color="auto"/>
        <w:right w:val="none" w:sz="0" w:space="0" w:color="auto"/>
      </w:divBdr>
    </w:div>
    <w:div w:id="870874590">
      <w:bodyDiv w:val="1"/>
      <w:marLeft w:val="0"/>
      <w:marRight w:val="0"/>
      <w:marTop w:val="0"/>
      <w:marBottom w:val="0"/>
      <w:divBdr>
        <w:top w:val="none" w:sz="0" w:space="0" w:color="auto"/>
        <w:left w:val="none" w:sz="0" w:space="0" w:color="auto"/>
        <w:bottom w:val="none" w:sz="0" w:space="0" w:color="auto"/>
        <w:right w:val="none" w:sz="0" w:space="0" w:color="auto"/>
      </w:divBdr>
    </w:div>
    <w:div w:id="871262472">
      <w:bodyDiv w:val="1"/>
      <w:marLeft w:val="0"/>
      <w:marRight w:val="0"/>
      <w:marTop w:val="0"/>
      <w:marBottom w:val="0"/>
      <w:divBdr>
        <w:top w:val="none" w:sz="0" w:space="0" w:color="auto"/>
        <w:left w:val="none" w:sz="0" w:space="0" w:color="auto"/>
        <w:bottom w:val="none" w:sz="0" w:space="0" w:color="auto"/>
        <w:right w:val="none" w:sz="0" w:space="0" w:color="auto"/>
      </w:divBdr>
    </w:div>
    <w:div w:id="871654523">
      <w:bodyDiv w:val="1"/>
      <w:marLeft w:val="0"/>
      <w:marRight w:val="0"/>
      <w:marTop w:val="0"/>
      <w:marBottom w:val="0"/>
      <w:divBdr>
        <w:top w:val="none" w:sz="0" w:space="0" w:color="auto"/>
        <w:left w:val="none" w:sz="0" w:space="0" w:color="auto"/>
        <w:bottom w:val="none" w:sz="0" w:space="0" w:color="auto"/>
        <w:right w:val="none" w:sz="0" w:space="0" w:color="auto"/>
      </w:divBdr>
    </w:div>
    <w:div w:id="872114079">
      <w:bodyDiv w:val="1"/>
      <w:marLeft w:val="0"/>
      <w:marRight w:val="0"/>
      <w:marTop w:val="0"/>
      <w:marBottom w:val="0"/>
      <w:divBdr>
        <w:top w:val="none" w:sz="0" w:space="0" w:color="auto"/>
        <w:left w:val="none" w:sz="0" w:space="0" w:color="auto"/>
        <w:bottom w:val="none" w:sz="0" w:space="0" w:color="auto"/>
        <w:right w:val="none" w:sz="0" w:space="0" w:color="auto"/>
      </w:divBdr>
    </w:div>
    <w:div w:id="874461401">
      <w:bodyDiv w:val="1"/>
      <w:marLeft w:val="0"/>
      <w:marRight w:val="0"/>
      <w:marTop w:val="0"/>
      <w:marBottom w:val="0"/>
      <w:divBdr>
        <w:top w:val="none" w:sz="0" w:space="0" w:color="auto"/>
        <w:left w:val="none" w:sz="0" w:space="0" w:color="auto"/>
        <w:bottom w:val="none" w:sz="0" w:space="0" w:color="auto"/>
        <w:right w:val="none" w:sz="0" w:space="0" w:color="auto"/>
      </w:divBdr>
    </w:div>
    <w:div w:id="881482831">
      <w:bodyDiv w:val="1"/>
      <w:marLeft w:val="0"/>
      <w:marRight w:val="0"/>
      <w:marTop w:val="0"/>
      <w:marBottom w:val="0"/>
      <w:divBdr>
        <w:top w:val="none" w:sz="0" w:space="0" w:color="auto"/>
        <w:left w:val="none" w:sz="0" w:space="0" w:color="auto"/>
        <w:bottom w:val="none" w:sz="0" w:space="0" w:color="auto"/>
        <w:right w:val="none" w:sz="0" w:space="0" w:color="auto"/>
      </w:divBdr>
    </w:div>
    <w:div w:id="882138508">
      <w:bodyDiv w:val="1"/>
      <w:marLeft w:val="0"/>
      <w:marRight w:val="0"/>
      <w:marTop w:val="0"/>
      <w:marBottom w:val="0"/>
      <w:divBdr>
        <w:top w:val="none" w:sz="0" w:space="0" w:color="auto"/>
        <w:left w:val="none" w:sz="0" w:space="0" w:color="auto"/>
        <w:bottom w:val="none" w:sz="0" w:space="0" w:color="auto"/>
        <w:right w:val="none" w:sz="0" w:space="0" w:color="auto"/>
      </w:divBdr>
    </w:div>
    <w:div w:id="883179424">
      <w:bodyDiv w:val="1"/>
      <w:marLeft w:val="0"/>
      <w:marRight w:val="0"/>
      <w:marTop w:val="0"/>
      <w:marBottom w:val="0"/>
      <w:divBdr>
        <w:top w:val="none" w:sz="0" w:space="0" w:color="auto"/>
        <w:left w:val="none" w:sz="0" w:space="0" w:color="auto"/>
        <w:bottom w:val="none" w:sz="0" w:space="0" w:color="auto"/>
        <w:right w:val="none" w:sz="0" w:space="0" w:color="auto"/>
      </w:divBdr>
    </w:div>
    <w:div w:id="883255489">
      <w:bodyDiv w:val="1"/>
      <w:marLeft w:val="0"/>
      <w:marRight w:val="0"/>
      <w:marTop w:val="0"/>
      <w:marBottom w:val="0"/>
      <w:divBdr>
        <w:top w:val="none" w:sz="0" w:space="0" w:color="auto"/>
        <w:left w:val="none" w:sz="0" w:space="0" w:color="auto"/>
        <w:bottom w:val="none" w:sz="0" w:space="0" w:color="auto"/>
        <w:right w:val="none" w:sz="0" w:space="0" w:color="auto"/>
      </w:divBdr>
    </w:div>
    <w:div w:id="884219931">
      <w:bodyDiv w:val="1"/>
      <w:marLeft w:val="0"/>
      <w:marRight w:val="0"/>
      <w:marTop w:val="0"/>
      <w:marBottom w:val="0"/>
      <w:divBdr>
        <w:top w:val="none" w:sz="0" w:space="0" w:color="auto"/>
        <w:left w:val="none" w:sz="0" w:space="0" w:color="auto"/>
        <w:bottom w:val="none" w:sz="0" w:space="0" w:color="auto"/>
        <w:right w:val="none" w:sz="0" w:space="0" w:color="auto"/>
      </w:divBdr>
    </w:div>
    <w:div w:id="890119188">
      <w:bodyDiv w:val="1"/>
      <w:marLeft w:val="0"/>
      <w:marRight w:val="0"/>
      <w:marTop w:val="0"/>
      <w:marBottom w:val="0"/>
      <w:divBdr>
        <w:top w:val="none" w:sz="0" w:space="0" w:color="auto"/>
        <w:left w:val="none" w:sz="0" w:space="0" w:color="auto"/>
        <w:bottom w:val="none" w:sz="0" w:space="0" w:color="auto"/>
        <w:right w:val="none" w:sz="0" w:space="0" w:color="auto"/>
      </w:divBdr>
    </w:div>
    <w:div w:id="890381325">
      <w:bodyDiv w:val="1"/>
      <w:marLeft w:val="0"/>
      <w:marRight w:val="0"/>
      <w:marTop w:val="0"/>
      <w:marBottom w:val="0"/>
      <w:divBdr>
        <w:top w:val="none" w:sz="0" w:space="0" w:color="auto"/>
        <w:left w:val="none" w:sz="0" w:space="0" w:color="auto"/>
        <w:bottom w:val="none" w:sz="0" w:space="0" w:color="auto"/>
        <w:right w:val="none" w:sz="0" w:space="0" w:color="auto"/>
      </w:divBdr>
    </w:div>
    <w:div w:id="891430238">
      <w:bodyDiv w:val="1"/>
      <w:marLeft w:val="0"/>
      <w:marRight w:val="0"/>
      <w:marTop w:val="0"/>
      <w:marBottom w:val="0"/>
      <w:divBdr>
        <w:top w:val="none" w:sz="0" w:space="0" w:color="auto"/>
        <w:left w:val="none" w:sz="0" w:space="0" w:color="auto"/>
        <w:bottom w:val="none" w:sz="0" w:space="0" w:color="auto"/>
        <w:right w:val="none" w:sz="0" w:space="0" w:color="auto"/>
      </w:divBdr>
    </w:div>
    <w:div w:id="894464883">
      <w:bodyDiv w:val="1"/>
      <w:marLeft w:val="0"/>
      <w:marRight w:val="0"/>
      <w:marTop w:val="0"/>
      <w:marBottom w:val="0"/>
      <w:divBdr>
        <w:top w:val="none" w:sz="0" w:space="0" w:color="auto"/>
        <w:left w:val="none" w:sz="0" w:space="0" w:color="auto"/>
        <w:bottom w:val="none" w:sz="0" w:space="0" w:color="auto"/>
        <w:right w:val="none" w:sz="0" w:space="0" w:color="auto"/>
      </w:divBdr>
    </w:div>
    <w:div w:id="894894475">
      <w:bodyDiv w:val="1"/>
      <w:marLeft w:val="0"/>
      <w:marRight w:val="0"/>
      <w:marTop w:val="0"/>
      <w:marBottom w:val="0"/>
      <w:divBdr>
        <w:top w:val="none" w:sz="0" w:space="0" w:color="auto"/>
        <w:left w:val="none" w:sz="0" w:space="0" w:color="auto"/>
        <w:bottom w:val="none" w:sz="0" w:space="0" w:color="auto"/>
        <w:right w:val="none" w:sz="0" w:space="0" w:color="auto"/>
      </w:divBdr>
    </w:div>
    <w:div w:id="897208206">
      <w:bodyDiv w:val="1"/>
      <w:marLeft w:val="0"/>
      <w:marRight w:val="0"/>
      <w:marTop w:val="0"/>
      <w:marBottom w:val="0"/>
      <w:divBdr>
        <w:top w:val="none" w:sz="0" w:space="0" w:color="auto"/>
        <w:left w:val="none" w:sz="0" w:space="0" w:color="auto"/>
        <w:bottom w:val="none" w:sz="0" w:space="0" w:color="auto"/>
        <w:right w:val="none" w:sz="0" w:space="0" w:color="auto"/>
      </w:divBdr>
    </w:div>
    <w:div w:id="897788004">
      <w:bodyDiv w:val="1"/>
      <w:marLeft w:val="0"/>
      <w:marRight w:val="0"/>
      <w:marTop w:val="0"/>
      <w:marBottom w:val="0"/>
      <w:divBdr>
        <w:top w:val="none" w:sz="0" w:space="0" w:color="auto"/>
        <w:left w:val="none" w:sz="0" w:space="0" w:color="auto"/>
        <w:bottom w:val="none" w:sz="0" w:space="0" w:color="auto"/>
        <w:right w:val="none" w:sz="0" w:space="0" w:color="auto"/>
      </w:divBdr>
    </w:div>
    <w:div w:id="899363993">
      <w:bodyDiv w:val="1"/>
      <w:marLeft w:val="0"/>
      <w:marRight w:val="0"/>
      <w:marTop w:val="0"/>
      <w:marBottom w:val="0"/>
      <w:divBdr>
        <w:top w:val="none" w:sz="0" w:space="0" w:color="auto"/>
        <w:left w:val="none" w:sz="0" w:space="0" w:color="auto"/>
        <w:bottom w:val="none" w:sz="0" w:space="0" w:color="auto"/>
        <w:right w:val="none" w:sz="0" w:space="0" w:color="auto"/>
      </w:divBdr>
    </w:div>
    <w:div w:id="899905165">
      <w:bodyDiv w:val="1"/>
      <w:marLeft w:val="0"/>
      <w:marRight w:val="0"/>
      <w:marTop w:val="0"/>
      <w:marBottom w:val="0"/>
      <w:divBdr>
        <w:top w:val="none" w:sz="0" w:space="0" w:color="auto"/>
        <w:left w:val="none" w:sz="0" w:space="0" w:color="auto"/>
        <w:bottom w:val="none" w:sz="0" w:space="0" w:color="auto"/>
        <w:right w:val="none" w:sz="0" w:space="0" w:color="auto"/>
      </w:divBdr>
    </w:div>
    <w:div w:id="900138695">
      <w:bodyDiv w:val="1"/>
      <w:marLeft w:val="0"/>
      <w:marRight w:val="0"/>
      <w:marTop w:val="0"/>
      <w:marBottom w:val="0"/>
      <w:divBdr>
        <w:top w:val="none" w:sz="0" w:space="0" w:color="auto"/>
        <w:left w:val="none" w:sz="0" w:space="0" w:color="auto"/>
        <w:bottom w:val="none" w:sz="0" w:space="0" w:color="auto"/>
        <w:right w:val="none" w:sz="0" w:space="0" w:color="auto"/>
      </w:divBdr>
    </w:div>
    <w:div w:id="903176257">
      <w:bodyDiv w:val="1"/>
      <w:marLeft w:val="0"/>
      <w:marRight w:val="0"/>
      <w:marTop w:val="0"/>
      <w:marBottom w:val="0"/>
      <w:divBdr>
        <w:top w:val="none" w:sz="0" w:space="0" w:color="auto"/>
        <w:left w:val="none" w:sz="0" w:space="0" w:color="auto"/>
        <w:bottom w:val="none" w:sz="0" w:space="0" w:color="auto"/>
        <w:right w:val="none" w:sz="0" w:space="0" w:color="auto"/>
      </w:divBdr>
    </w:div>
    <w:div w:id="903418853">
      <w:bodyDiv w:val="1"/>
      <w:marLeft w:val="0"/>
      <w:marRight w:val="0"/>
      <w:marTop w:val="0"/>
      <w:marBottom w:val="0"/>
      <w:divBdr>
        <w:top w:val="none" w:sz="0" w:space="0" w:color="auto"/>
        <w:left w:val="none" w:sz="0" w:space="0" w:color="auto"/>
        <w:bottom w:val="none" w:sz="0" w:space="0" w:color="auto"/>
        <w:right w:val="none" w:sz="0" w:space="0" w:color="auto"/>
      </w:divBdr>
    </w:div>
    <w:div w:id="905066816">
      <w:bodyDiv w:val="1"/>
      <w:marLeft w:val="0"/>
      <w:marRight w:val="0"/>
      <w:marTop w:val="0"/>
      <w:marBottom w:val="0"/>
      <w:divBdr>
        <w:top w:val="none" w:sz="0" w:space="0" w:color="auto"/>
        <w:left w:val="none" w:sz="0" w:space="0" w:color="auto"/>
        <w:bottom w:val="none" w:sz="0" w:space="0" w:color="auto"/>
        <w:right w:val="none" w:sz="0" w:space="0" w:color="auto"/>
      </w:divBdr>
    </w:div>
    <w:div w:id="907039983">
      <w:bodyDiv w:val="1"/>
      <w:marLeft w:val="0"/>
      <w:marRight w:val="0"/>
      <w:marTop w:val="0"/>
      <w:marBottom w:val="0"/>
      <w:divBdr>
        <w:top w:val="none" w:sz="0" w:space="0" w:color="auto"/>
        <w:left w:val="none" w:sz="0" w:space="0" w:color="auto"/>
        <w:bottom w:val="none" w:sz="0" w:space="0" w:color="auto"/>
        <w:right w:val="none" w:sz="0" w:space="0" w:color="auto"/>
      </w:divBdr>
    </w:div>
    <w:div w:id="908154946">
      <w:bodyDiv w:val="1"/>
      <w:marLeft w:val="0"/>
      <w:marRight w:val="0"/>
      <w:marTop w:val="0"/>
      <w:marBottom w:val="0"/>
      <w:divBdr>
        <w:top w:val="none" w:sz="0" w:space="0" w:color="auto"/>
        <w:left w:val="none" w:sz="0" w:space="0" w:color="auto"/>
        <w:bottom w:val="none" w:sz="0" w:space="0" w:color="auto"/>
        <w:right w:val="none" w:sz="0" w:space="0" w:color="auto"/>
      </w:divBdr>
    </w:div>
    <w:div w:id="908617685">
      <w:bodyDiv w:val="1"/>
      <w:marLeft w:val="0"/>
      <w:marRight w:val="0"/>
      <w:marTop w:val="0"/>
      <w:marBottom w:val="0"/>
      <w:divBdr>
        <w:top w:val="none" w:sz="0" w:space="0" w:color="auto"/>
        <w:left w:val="none" w:sz="0" w:space="0" w:color="auto"/>
        <w:bottom w:val="none" w:sz="0" w:space="0" w:color="auto"/>
        <w:right w:val="none" w:sz="0" w:space="0" w:color="auto"/>
      </w:divBdr>
    </w:div>
    <w:div w:id="910043725">
      <w:bodyDiv w:val="1"/>
      <w:marLeft w:val="0"/>
      <w:marRight w:val="0"/>
      <w:marTop w:val="0"/>
      <w:marBottom w:val="0"/>
      <w:divBdr>
        <w:top w:val="none" w:sz="0" w:space="0" w:color="auto"/>
        <w:left w:val="none" w:sz="0" w:space="0" w:color="auto"/>
        <w:bottom w:val="none" w:sz="0" w:space="0" w:color="auto"/>
        <w:right w:val="none" w:sz="0" w:space="0" w:color="auto"/>
      </w:divBdr>
    </w:div>
    <w:div w:id="910047022">
      <w:bodyDiv w:val="1"/>
      <w:marLeft w:val="0"/>
      <w:marRight w:val="0"/>
      <w:marTop w:val="0"/>
      <w:marBottom w:val="0"/>
      <w:divBdr>
        <w:top w:val="none" w:sz="0" w:space="0" w:color="auto"/>
        <w:left w:val="none" w:sz="0" w:space="0" w:color="auto"/>
        <w:bottom w:val="none" w:sz="0" w:space="0" w:color="auto"/>
        <w:right w:val="none" w:sz="0" w:space="0" w:color="auto"/>
      </w:divBdr>
    </w:div>
    <w:div w:id="912203485">
      <w:bodyDiv w:val="1"/>
      <w:marLeft w:val="0"/>
      <w:marRight w:val="0"/>
      <w:marTop w:val="0"/>
      <w:marBottom w:val="0"/>
      <w:divBdr>
        <w:top w:val="none" w:sz="0" w:space="0" w:color="auto"/>
        <w:left w:val="none" w:sz="0" w:space="0" w:color="auto"/>
        <w:bottom w:val="none" w:sz="0" w:space="0" w:color="auto"/>
        <w:right w:val="none" w:sz="0" w:space="0" w:color="auto"/>
      </w:divBdr>
    </w:div>
    <w:div w:id="912816425">
      <w:bodyDiv w:val="1"/>
      <w:marLeft w:val="0"/>
      <w:marRight w:val="0"/>
      <w:marTop w:val="0"/>
      <w:marBottom w:val="0"/>
      <w:divBdr>
        <w:top w:val="none" w:sz="0" w:space="0" w:color="auto"/>
        <w:left w:val="none" w:sz="0" w:space="0" w:color="auto"/>
        <w:bottom w:val="none" w:sz="0" w:space="0" w:color="auto"/>
        <w:right w:val="none" w:sz="0" w:space="0" w:color="auto"/>
      </w:divBdr>
    </w:div>
    <w:div w:id="915045519">
      <w:bodyDiv w:val="1"/>
      <w:marLeft w:val="0"/>
      <w:marRight w:val="0"/>
      <w:marTop w:val="0"/>
      <w:marBottom w:val="0"/>
      <w:divBdr>
        <w:top w:val="none" w:sz="0" w:space="0" w:color="auto"/>
        <w:left w:val="none" w:sz="0" w:space="0" w:color="auto"/>
        <w:bottom w:val="none" w:sz="0" w:space="0" w:color="auto"/>
        <w:right w:val="none" w:sz="0" w:space="0" w:color="auto"/>
      </w:divBdr>
    </w:div>
    <w:div w:id="916356155">
      <w:bodyDiv w:val="1"/>
      <w:marLeft w:val="0"/>
      <w:marRight w:val="0"/>
      <w:marTop w:val="0"/>
      <w:marBottom w:val="0"/>
      <w:divBdr>
        <w:top w:val="none" w:sz="0" w:space="0" w:color="auto"/>
        <w:left w:val="none" w:sz="0" w:space="0" w:color="auto"/>
        <w:bottom w:val="none" w:sz="0" w:space="0" w:color="auto"/>
        <w:right w:val="none" w:sz="0" w:space="0" w:color="auto"/>
      </w:divBdr>
    </w:div>
    <w:div w:id="917323193">
      <w:bodyDiv w:val="1"/>
      <w:marLeft w:val="0"/>
      <w:marRight w:val="0"/>
      <w:marTop w:val="0"/>
      <w:marBottom w:val="0"/>
      <w:divBdr>
        <w:top w:val="none" w:sz="0" w:space="0" w:color="auto"/>
        <w:left w:val="none" w:sz="0" w:space="0" w:color="auto"/>
        <w:bottom w:val="none" w:sz="0" w:space="0" w:color="auto"/>
        <w:right w:val="none" w:sz="0" w:space="0" w:color="auto"/>
      </w:divBdr>
    </w:div>
    <w:div w:id="918371636">
      <w:bodyDiv w:val="1"/>
      <w:marLeft w:val="0"/>
      <w:marRight w:val="0"/>
      <w:marTop w:val="0"/>
      <w:marBottom w:val="0"/>
      <w:divBdr>
        <w:top w:val="none" w:sz="0" w:space="0" w:color="auto"/>
        <w:left w:val="none" w:sz="0" w:space="0" w:color="auto"/>
        <w:bottom w:val="none" w:sz="0" w:space="0" w:color="auto"/>
        <w:right w:val="none" w:sz="0" w:space="0" w:color="auto"/>
      </w:divBdr>
    </w:div>
    <w:div w:id="919564679">
      <w:bodyDiv w:val="1"/>
      <w:marLeft w:val="0"/>
      <w:marRight w:val="0"/>
      <w:marTop w:val="0"/>
      <w:marBottom w:val="0"/>
      <w:divBdr>
        <w:top w:val="none" w:sz="0" w:space="0" w:color="auto"/>
        <w:left w:val="none" w:sz="0" w:space="0" w:color="auto"/>
        <w:bottom w:val="none" w:sz="0" w:space="0" w:color="auto"/>
        <w:right w:val="none" w:sz="0" w:space="0" w:color="auto"/>
      </w:divBdr>
    </w:div>
    <w:div w:id="920479871">
      <w:bodyDiv w:val="1"/>
      <w:marLeft w:val="0"/>
      <w:marRight w:val="0"/>
      <w:marTop w:val="0"/>
      <w:marBottom w:val="0"/>
      <w:divBdr>
        <w:top w:val="none" w:sz="0" w:space="0" w:color="auto"/>
        <w:left w:val="none" w:sz="0" w:space="0" w:color="auto"/>
        <w:bottom w:val="none" w:sz="0" w:space="0" w:color="auto"/>
        <w:right w:val="none" w:sz="0" w:space="0" w:color="auto"/>
      </w:divBdr>
    </w:div>
    <w:div w:id="924847935">
      <w:bodyDiv w:val="1"/>
      <w:marLeft w:val="0"/>
      <w:marRight w:val="0"/>
      <w:marTop w:val="0"/>
      <w:marBottom w:val="0"/>
      <w:divBdr>
        <w:top w:val="none" w:sz="0" w:space="0" w:color="auto"/>
        <w:left w:val="none" w:sz="0" w:space="0" w:color="auto"/>
        <w:bottom w:val="none" w:sz="0" w:space="0" w:color="auto"/>
        <w:right w:val="none" w:sz="0" w:space="0" w:color="auto"/>
      </w:divBdr>
    </w:div>
    <w:div w:id="925110020">
      <w:bodyDiv w:val="1"/>
      <w:marLeft w:val="0"/>
      <w:marRight w:val="0"/>
      <w:marTop w:val="0"/>
      <w:marBottom w:val="0"/>
      <w:divBdr>
        <w:top w:val="none" w:sz="0" w:space="0" w:color="auto"/>
        <w:left w:val="none" w:sz="0" w:space="0" w:color="auto"/>
        <w:bottom w:val="none" w:sz="0" w:space="0" w:color="auto"/>
        <w:right w:val="none" w:sz="0" w:space="0" w:color="auto"/>
      </w:divBdr>
    </w:div>
    <w:div w:id="927691636">
      <w:bodyDiv w:val="1"/>
      <w:marLeft w:val="0"/>
      <w:marRight w:val="0"/>
      <w:marTop w:val="0"/>
      <w:marBottom w:val="0"/>
      <w:divBdr>
        <w:top w:val="none" w:sz="0" w:space="0" w:color="auto"/>
        <w:left w:val="none" w:sz="0" w:space="0" w:color="auto"/>
        <w:bottom w:val="none" w:sz="0" w:space="0" w:color="auto"/>
        <w:right w:val="none" w:sz="0" w:space="0" w:color="auto"/>
      </w:divBdr>
    </w:div>
    <w:div w:id="928537189">
      <w:bodyDiv w:val="1"/>
      <w:marLeft w:val="0"/>
      <w:marRight w:val="0"/>
      <w:marTop w:val="0"/>
      <w:marBottom w:val="0"/>
      <w:divBdr>
        <w:top w:val="none" w:sz="0" w:space="0" w:color="auto"/>
        <w:left w:val="none" w:sz="0" w:space="0" w:color="auto"/>
        <w:bottom w:val="none" w:sz="0" w:space="0" w:color="auto"/>
        <w:right w:val="none" w:sz="0" w:space="0" w:color="auto"/>
      </w:divBdr>
    </w:div>
    <w:div w:id="929242004">
      <w:bodyDiv w:val="1"/>
      <w:marLeft w:val="0"/>
      <w:marRight w:val="0"/>
      <w:marTop w:val="0"/>
      <w:marBottom w:val="0"/>
      <w:divBdr>
        <w:top w:val="none" w:sz="0" w:space="0" w:color="auto"/>
        <w:left w:val="none" w:sz="0" w:space="0" w:color="auto"/>
        <w:bottom w:val="none" w:sz="0" w:space="0" w:color="auto"/>
        <w:right w:val="none" w:sz="0" w:space="0" w:color="auto"/>
      </w:divBdr>
    </w:div>
    <w:div w:id="929628400">
      <w:bodyDiv w:val="1"/>
      <w:marLeft w:val="0"/>
      <w:marRight w:val="0"/>
      <w:marTop w:val="0"/>
      <w:marBottom w:val="0"/>
      <w:divBdr>
        <w:top w:val="none" w:sz="0" w:space="0" w:color="auto"/>
        <w:left w:val="none" w:sz="0" w:space="0" w:color="auto"/>
        <w:bottom w:val="none" w:sz="0" w:space="0" w:color="auto"/>
        <w:right w:val="none" w:sz="0" w:space="0" w:color="auto"/>
      </w:divBdr>
    </w:div>
    <w:div w:id="933047947">
      <w:bodyDiv w:val="1"/>
      <w:marLeft w:val="0"/>
      <w:marRight w:val="0"/>
      <w:marTop w:val="0"/>
      <w:marBottom w:val="0"/>
      <w:divBdr>
        <w:top w:val="none" w:sz="0" w:space="0" w:color="auto"/>
        <w:left w:val="none" w:sz="0" w:space="0" w:color="auto"/>
        <w:bottom w:val="none" w:sz="0" w:space="0" w:color="auto"/>
        <w:right w:val="none" w:sz="0" w:space="0" w:color="auto"/>
      </w:divBdr>
    </w:div>
    <w:div w:id="933050281">
      <w:bodyDiv w:val="1"/>
      <w:marLeft w:val="0"/>
      <w:marRight w:val="0"/>
      <w:marTop w:val="0"/>
      <w:marBottom w:val="0"/>
      <w:divBdr>
        <w:top w:val="none" w:sz="0" w:space="0" w:color="auto"/>
        <w:left w:val="none" w:sz="0" w:space="0" w:color="auto"/>
        <w:bottom w:val="none" w:sz="0" w:space="0" w:color="auto"/>
        <w:right w:val="none" w:sz="0" w:space="0" w:color="auto"/>
      </w:divBdr>
    </w:div>
    <w:div w:id="933056884">
      <w:bodyDiv w:val="1"/>
      <w:marLeft w:val="0"/>
      <w:marRight w:val="0"/>
      <w:marTop w:val="0"/>
      <w:marBottom w:val="0"/>
      <w:divBdr>
        <w:top w:val="none" w:sz="0" w:space="0" w:color="auto"/>
        <w:left w:val="none" w:sz="0" w:space="0" w:color="auto"/>
        <w:bottom w:val="none" w:sz="0" w:space="0" w:color="auto"/>
        <w:right w:val="none" w:sz="0" w:space="0" w:color="auto"/>
      </w:divBdr>
    </w:div>
    <w:div w:id="933826679">
      <w:bodyDiv w:val="1"/>
      <w:marLeft w:val="0"/>
      <w:marRight w:val="0"/>
      <w:marTop w:val="0"/>
      <w:marBottom w:val="0"/>
      <w:divBdr>
        <w:top w:val="none" w:sz="0" w:space="0" w:color="auto"/>
        <w:left w:val="none" w:sz="0" w:space="0" w:color="auto"/>
        <w:bottom w:val="none" w:sz="0" w:space="0" w:color="auto"/>
        <w:right w:val="none" w:sz="0" w:space="0" w:color="auto"/>
      </w:divBdr>
    </w:div>
    <w:div w:id="935746856">
      <w:bodyDiv w:val="1"/>
      <w:marLeft w:val="0"/>
      <w:marRight w:val="0"/>
      <w:marTop w:val="0"/>
      <w:marBottom w:val="0"/>
      <w:divBdr>
        <w:top w:val="none" w:sz="0" w:space="0" w:color="auto"/>
        <w:left w:val="none" w:sz="0" w:space="0" w:color="auto"/>
        <w:bottom w:val="none" w:sz="0" w:space="0" w:color="auto"/>
        <w:right w:val="none" w:sz="0" w:space="0" w:color="auto"/>
      </w:divBdr>
    </w:div>
    <w:div w:id="939021877">
      <w:bodyDiv w:val="1"/>
      <w:marLeft w:val="0"/>
      <w:marRight w:val="0"/>
      <w:marTop w:val="0"/>
      <w:marBottom w:val="0"/>
      <w:divBdr>
        <w:top w:val="none" w:sz="0" w:space="0" w:color="auto"/>
        <w:left w:val="none" w:sz="0" w:space="0" w:color="auto"/>
        <w:bottom w:val="none" w:sz="0" w:space="0" w:color="auto"/>
        <w:right w:val="none" w:sz="0" w:space="0" w:color="auto"/>
      </w:divBdr>
    </w:div>
    <w:div w:id="942810243">
      <w:bodyDiv w:val="1"/>
      <w:marLeft w:val="0"/>
      <w:marRight w:val="0"/>
      <w:marTop w:val="0"/>
      <w:marBottom w:val="0"/>
      <w:divBdr>
        <w:top w:val="none" w:sz="0" w:space="0" w:color="auto"/>
        <w:left w:val="none" w:sz="0" w:space="0" w:color="auto"/>
        <w:bottom w:val="none" w:sz="0" w:space="0" w:color="auto"/>
        <w:right w:val="none" w:sz="0" w:space="0" w:color="auto"/>
      </w:divBdr>
    </w:div>
    <w:div w:id="945501407">
      <w:bodyDiv w:val="1"/>
      <w:marLeft w:val="0"/>
      <w:marRight w:val="0"/>
      <w:marTop w:val="0"/>
      <w:marBottom w:val="0"/>
      <w:divBdr>
        <w:top w:val="none" w:sz="0" w:space="0" w:color="auto"/>
        <w:left w:val="none" w:sz="0" w:space="0" w:color="auto"/>
        <w:bottom w:val="none" w:sz="0" w:space="0" w:color="auto"/>
        <w:right w:val="none" w:sz="0" w:space="0" w:color="auto"/>
      </w:divBdr>
    </w:div>
    <w:div w:id="946042183">
      <w:bodyDiv w:val="1"/>
      <w:marLeft w:val="0"/>
      <w:marRight w:val="0"/>
      <w:marTop w:val="0"/>
      <w:marBottom w:val="0"/>
      <w:divBdr>
        <w:top w:val="none" w:sz="0" w:space="0" w:color="auto"/>
        <w:left w:val="none" w:sz="0" w:space="0" w:color="auto"/>
        <w:bottom w:val="none" w:sz="0" w:space="0" w:color="auto"/>
        <w:right w:val="none" w:sz="0" w:space="0" w:color="auto"/>
      </w:divBdr>
    </w:div>
    <w:div w:id="946811271">
      <w:bodyDiv w:val="1"/>
      <w:marLeft w:val="0"/>
      <w:marRight w:val="0"/>
      <w:marTop w:val="0"/>
      <w:marBottom w:val="0"/>
      <w:divBdr>
        <w:top w:val="none" w:sz="0" w:space="0" w:color="auto"/>
        <w:left w:val="none" w:sz="0" w:space="0" w:color="auto"/>
        <w:bottom w:val="none" w:sz="0" w:space="0" w:color="auto"/>
        <w:right w:val="none" w:sz="0" w:space="0" w:color="auto"/>
      </w:divBdr>
    </w:div>
    <w:div w:id="947469894">
      <w:bodyDiv w:val="1"/>
      <w:marLeft w:val="0"/>
      <w:marRight w:val="0"/>
      <w:marTop w:val="0"/>
      <w:marBottom w:val="0"/>
      <w:divBdr>
        <w:top w:val="none" w:sz="0" w:space="0" w:color="auto"/>
        <w:left w:val="none" w:sz="0" w:space="0" w:color="auto"/>
        <w:bottom w:val="none" w:sz="0" w:space="0" w:color="auto"/>
        <w:right w:val="none" w:sz="0" w:space="0" w:color="auto"/>
      </w:divBdr>
    </w:div>
    <w:div w:id="948125622">
      <w:bodyDiv w:val="1"/>
      <w:marLeft w:val="0"/>
      <w:marRight w:val="0"/>
      <w:marTop w:val="0"/>
      <w:marBottom w:val="0"/>
      <w:divBdr>
        <w:top w:val="none" w:sz="0" w:space="0" w:color="auto"/>
        <w:left w:val="none" w:sz="0" w:space="0" w:color="auto"/>
        <w:bottom w:val="none" w:sz="0" w:space="0" w:color="auto"/>
        <w:right w:val="none" w:sz="0" w:space="0" w:color="auto"/>
      </w:divBdr>
    </w:div>
    <w:div w:id="948319278">
      <w:bodyDiv w:val="1"/>
      <w:marLeft w:val="0"/>
      <w:marRight w:val="0"/>
      <w:marTop w:val="0"/>
      <w:marBottom w:val="0"/>
      <w:divBdr>
        <w:top w:val="none" w:sz="0" w:space="0" w:color="auto"/>
        <w:left w:val="none" w:sz="0" w:space="0" w:color="auto"/>
        <w:bottom w:val="none" w:sz="0" w:space="0" w:color="auto"/>
        <w:right w:val="none" w:sz="0" w:space="0" w:color="auto"/>
      </w:divBdr>
    </w:div>
    <w:div w:id="949817073">
      <w:bodyDiv w:val="1"/>
      <w:marLeft w:val="0"/>
      <w:marRight w:val="0"/>
      <w:marTop w:val="0"/>
      <w:marBottom w:val="0"/>
      <w:divBdr>
        <w:top w:val="none" w:sz="0" w:space="0" w:color="auto"/>
        <w:left w:val="none" w:sz="0" w:space="0" w:color="auto"/>
        <w:bottom w:val="none" w:sz="0" w:space="0" w:color="auto"/>
        <w:right w:val="none" w:sz="0" w:space="0" w:color="auto"/>
      </w:divBdr>
    </w:div>
    <w:div w:id="949817892">
      <w:bodyDiv w:val="1"/>
      <w:marLeft w:val="0"/>
      <w:marRight w:val="0"/>
      <w:marTop w:val="0"/>
      <w:marBottom w:val="0"/>
      <w:divBdr>
        <w:top w:val="none" w:sz="0" w:space="0" w:color="auto"/>
        <w:left w:val="none" w:sz="0" w:space="0" w:color="auto"/>
        <w:bottom w:val="none" w:sz="0" w:space="0" w:color="auto"/>
        <w:right w:val="none" w:sz="0" w:space="0" w:color="auto"/>
      </w:divBdr>
    </w:div>
    <w:div w:id="950629907">
      <w:bodyDiv w:val="1"/>
      <w:marLeft w:val="0"/>
      <w:marRight w:val="0"/>
      <w:marTop w:val="0"/>
      <w:marBottom w:val="0"/>
      <w:divBdr>
        <w:top w:val="none" w:sz="0" w:space="0" w:color="auto"/>
        <w:left w:val="none" w:sz="0" w:space="0" w:color="auto"/>
        <w:bottom w:val="none" w:sz="0" w:space="0" w:color="auto"/>
        <w:right w:val="none" w:sz="0" w:space="0" w:color="auto"/>
      </w:divBdr>
    </w:div>
    <w:div w:id="950935641">
      <w:bodyDiv w:val="1"/>
      <w:marLeft w:val="0"/>
      <w:marRight w:val="0"/>
      <w:marTop w:val="0"/>
      <w:marBottom w:val="0"/>
      <w:divBdr>
        <w:top w:val="none" w:sz="0" w:space="0" w:color="auto"/>
        <w:left w:val="none" w:sz="0" w:space="0" w:color="auto"/>
        <w:bottom w:val="none" w:sz="0" w:space="0" w:color="auto"/>
        <w:right w:val="none" w:sz="0" w:space="0" w:color="auto"/>
      </w:divBdr>
    </w:div>
    <w:div w:id="953100973">
      <w:bodyDiv w:val="1"/>
      <w:marLeft w:val="0"/>
      <w:marRight w:val="0"/>
      <w:marTop w:val="0"/>
      <w:marBottom w:val="0"/>
      <w:divBdr>
        <w:top w:val="none" w:sz="0" w:space="0" w:color="auto"/>
        <w:left w:val="none" w:sz="0" w:space="0" w:color="auto"/>
        <w:bottom w:val="none" w:sz="0" w:space="0" w:color="auto"/>
        <w:right w:val="none" w:sz="0" w:space="0" w:color="auto"/>
      </w:divBdr>
    </w:div>
    <w:div w:id="954948325">
      <w:bodyDiv w:val="1"/>
      <w:marLeft w:val="0"/>
      <w:marRight w:val="0"/>
      <w:marTop w:val="0"/>
      <w:marBottom w:val="0"/>
      <w:divBdr>
        <w:top w:val="none" w:sz="0" w:space="0" w:color="auto"/>
        <w:left w:val="none" w:sz="0" w:space="0" w:color="auto"/>
        <w:bottom w:val="none" w:sz="0" w:space="0" w:color="auto"/>
        <w:right w:val="none" w:sz="0" w:space="0" w:color="auto"/>
      </w:divBdr>
    </w:div>
    <w:div w:id="955017449">
      <w:bodyDiv w:val="1"/>
      <w:marLeft w:val="0"/>
      <w:marRight w:val="0"/>
      <w:marTop w:val="0"/>
      <w:marBottom w:val="0"/>
      <w:divBdr>
        <w:top w:val="none" w:sz="0" w:space="0" w:color="auto"/>
        <w:left w:val="none" w:sz="0" w:space="0" w:color="auto"/>
        <w:bottom w:val="none" w:sz="0" w:space="0" w:color="auto"/>
        <w:right w:val="none" w:sz="0" w:space="0" w:color="auto"/>
      </w:divBdr>
    </w:div>
    <w:div w:id="955141385">
      <w:bodyDiv w:val="1"/>
      <w:marLeft w:val="0"/>
      <w:marRight w:val="0"/>
      <w:marTop w:val="0"/>
      <w:marBottom w:val="0"/>
      <w:divBdr>
        <w:top w:val="none" w:sz="0" w:space="0" w:color="auto"/>
        <w:left w:val="none" w:sz="0" w:space="0" w:color="auto"/>
        <w:bottom w:val="none" w:sz="0" w:space="0" w:color="auto"/>
        <w:right w:val="none" w:sz="0" w:space="0" w:color="auto"/>
      </w:divBdr>
    </w:div>
    <w:div w:id="962464555">
      <w:bodyDiv w:val="1"/>
      <w:marLeft w:val="0"/>
      <w:marRight w:val="0"/>
      <w:marTop w:val="0"/>
      <w:marBottom w:val="0"/>
      <w:divBdr>
        <w:top w:val="none" w:sz="0" w:space="0" w:color="auto"/>
        <w:left w:val="none" w:sz="0" w:space="0" w:color="auto"/>
        <w:bottom w:val="none" w:sz="0" w:space="0" w:color="auto"/>
        <w:right w:val="none" w:sz="0" w:space="0" w:color="auto"/>
      </w:divBdr>
    </w:div>
    <w:div w:id="962468802">
      <w:bodyDiv w:val="1"/>
      <w:marLeft w:val="0"/>
      <w:marRight w:val="0"/>
      <w:marTop w:val="0"/>
      <w:marBottom w:val="0"/>
      <w:divBdr>
        <w:top w:val="none" w:sz="0" w:space="0" w:color="auto"/>
        <w:left w:val="none" w:sz="0" w:space="0" w:color="auto"/>
        <w:bottom w:val="none" w:sz="0" w:space="0" w:color="auto"/>
        <w:right w:val="none" w:sz="0" w:space="0" w:color="auto"/>
      </w:divBdr>
    </w:div>
    <w:div w:id="962686687">
      <w:bodyDiv w:val="1"/>
      <w:marLeft w:val="0"/>
      <w:marRight w:val="0"/>
      <w:marTop w:val="0"/>
      <w:marBottom w:val="0"/>
      <w:divBdr>
        <w:top w:val="none" w:sz="0" w:space="0" w:color="auto"/>
        <w:left w:val="none" w:sz="0" w:space="0" w:color="auto"/>
        <w:bottom w:val="none" w:sz="0" w:space="0" w:color="auto"/>
        <w:right w:val="none" w:sz="0" w:space="0" w:color="auto"/>
      </w:divBdr>
    </w:div>
    <w:div w:id="963853370">
      <w:bodyDiv w:val="1"/>
      <w:marLeft w:val="0"/>
      <w:marRight w:val="0"/>
      <w:marTop w:val="0"/>
      <w:marBottom w:val="0"/>
      <w:divBdr>
        <w:top w:val="none" w:sz="0" w:space="0" w:color="auto"/>
        <w:left w:val="none" w:sz="0" w:space="0" w:color="auto"/>
        <w:bottom w:val="none" w:sz="0" w:space="0" w:color="auto"/>
        <w:right w:val="none" w:sz="0" w:space="0" w:color="auto"/>
      </w:divBdr>
    </w:div>
    <w:div w:id="965702610">
      <w:bodyDiv w:val="1"/>
      <w:marLeft w:val="0"/>
      <w:marRight w:val="0"/>
      <w:marTop w:val="0"/>
      <w:marBottom w:val="0"/>
      <w:divBdr>
        <w:top w:val="none" w:sz="0" w:space="0" w:color="auto"/>
        <w:left w:val="none" w:sz="0" w:space="0" w:color="auto"/>
        <w:bottom w:val="none" w:sz="0" w:space="0" w:color="auto"/>
        <w:right w:val="none" w:sz="0" w:space="0" w:color="auto"/>
      </w:divBdr>
    </w:div>
    <w:div w:id="966928486">
      <w:bodyDiv w:val="1"/>
      <w:marLeft w:val="0"/>
      <w:marRight w:val="0"/>
      <w:marTop w:val="0"/>
      <w:marBottom w:val="0"/>
      <w:divBdr>
        <w:top w:val="none" w:sz="0" w:space="0" w:color="auto"/>
        <w:left w:val="none" w:sz="0" w:space="0" w:color="auto"/>
        <w:bottom w:val="none" w:sz="0" w:space="0" w:color="auto"/>
        <w:right w:val="none" w:sz="0" w:space="0" w:color="auto"/>
      </w:divBdr>
    </w:div>
    <w:div w:id="967781190">
      <w:bodyDiv w:val="1"/>
      <w:marLeft w:val="0"/>
      <w:marRight w:val="0"/>
      <w:marTop w:val="0"/>
      <w:marBottom w:val="0"/>
      <w:divBdr>
        <w:top w:val="none" w:sz="0" w:space="0" w:color="auto"/>
        <w:left w:val="none" w:sz="0" w:space="0" w:color="auto"/>
        <w:bottom w:val="none" w:sz="0" w:space="0" w:color="auto"/>
        <w:right w:val="none" w:sz="0" w:space="0" w:color="auto"/>
      </w:divBdr>
    </w:div>
    <w:div w:id="967860348">
      <w:bodyDiv w:val="1"/>
      <w:marLeft w:val="0"/>
      <w:marRight w:val="0"/>
      <w:marTop w:val="0"/>
      <w:marBottom w:val="0"/>
      <w:divBdr>
        <w:top w:val="none" w:sz="0" w:space="0" w:color="auto"/>
        <w:left w:val="none" w:sz="0" w:space="0" w:color="auto"/>
        <w:bottom w:val="none" w:sz="0" w:space="0" w:color="auto"/>
        <w:right w:val="none" w:sz="0" w:space="0" w:color="auto"/>
      </w:divBdr>
    </w:div>
    <w:div w:id="968050912">
      <w:bodyDiv w:val="1"/>
      <w:marLeft w:val="0"/>
      <w:marRight w:val="0"/>
      <w:marTop w:val="0"/>
      <w:marBottom w:val="0"/>
      <w:divBdr>
        <w:top w:val="none" w:sz="0" w:space="0" w:color="auto"/>
        <w:left w:val="none" w:sz="0" w:space="0" w:color="auto"/>
        <w:bottom w:val="none" w:sz="0" w:space="0" w:color="auto"/>
        <w:right w:val="none" w:sz="0" w:space="0" w:color="auto"/>
      </w:divBdr>
    </w:div>
    <w:div w:id="968123403">
      <w:bodyDiv w:val="1"/>
      <w:marLeft w:val="0"/>
      <w:marRight w:val="0"/>
      <w:marTop w:val="0"/>
      <w:marBottom w:val="0"/>
      <w:divBdr>
        <w:top w:val="none" w:sz="0" w:space="0" w:color="auto"/>
        <w:left w:val="none" w:sz="0" w:space="0" w:color="auto"/>
        <w:bottom w:val="none" w:sz="0" w:space="0" w:color="auto"/>
        <w:right w:val="none" w:sz="0" w:space="0" w:color="auto"/>
      </w:divBdr>
    </w:div>
    <w:div w:id="968974244">
      <w:bodyDiv w:val="1"/>
      <w:marLeft w:val="0"/>
      <w:marRight w:val="0"/>
      <w:marTop w:val="0"/>
      <w:marBottom w:val="0"/>
      <w:divBdr>
        <w:top w:val="none" w:sz="0" w:space="0" w:color="auto"/>
        <w:left w:val="none" w:sz="0" w:space="0" w:color="auto"/>
        <w:bottom w:val="none" w:sz="0" w:space="0" w:color="auto"/>
        <w:right w:val="none" w:sz="0" w:space="0" w:color="auto"/>
      </w:divBdr>
    </w:div>
    <w:div w:id="971789833">
      <w:bodyDiv w:val="1"/>
      <w:marLeft w:val="0"/>
      <w:marRight w:val="0"/>
      <w:marTop w:val="0"/>
      <w:marBottom w:val="0"/>
      <w:divBdr>
        <w:top w:val="none" w:sz="0" w:space="0" w:color="auto"/>
        <w:left w:val="none" w:sz="0" w:space="0" w:color="auto"/>
        <w:bottom w:val="none" w:sz="0" w:space="0" w:color="auto"/>
        <w:right w:val="none" w:sz="0" w:space="0" w:color="auto"/>
      </w:divBdr>
    </w:div>
    <w:div w:id="972321384">
      <w:bodyDiv w:val="1"/>
      <w:marLeft w:val="0"/>
      <w:marRight w:val="0"/>
      <w:marTop w:val="0"/>
      <w:marBottom w:val="0"/>
      <w:divBdr>
        <w:top w:val="none" w:sz="0" w:space="0" w:color="auto"/>
        <w:left w:val="none" w:sz="0" w:space="0" w:color="auto"/>
        <w:bottom w:val="none" w:sz="0" w:space="0" w:color="auto"/>
        <w:right w:val="none" w:sz="0" w:space="0" w:color="auto"/>
      </w:divBdr>
    </w:div>
    <w:div w:id="974487518">
      <w:bodyDiv w:val="1"/>
      <w:marLeft w:val="0"/>
      <w:marRight w:val="0"/>
      <w:marTop w:val="0"/>
      <w:marBottom w:val="0"/>
      <w:divBdr>
        <w:top w:val="none" w:sz="0" w:space="0" w:color="auto"/>
        <w:left w:val="none" w:sz="0" w:space="0" w:color="auto"/>
        <w:bottom w:val="none" w:sz="0" w:space="0" w:color="auto"/>
        <w:right w:val="none" w:sz="0" w:space="0" w:color="auto"/>
      </w:divBdr>
    </w:div>
    <w:div w:id="975570033">
      <w:bodyDiv w:val="1"/>
      <w:marLeft w:val="0"/>
      <w:marRight w:val="0"/>
      <w:marTop w:val="0"/>
      <w:marBottom w:val="0"/>
      <w:divBdr>
        <w:top w:val="none" w:sz="0" w:space="0" w:color="auto"/>
        <w:left w:val="none" w:sz="0" w:space="0" w:color="auto"/>
        <w:bottom w:val="none" w:sz="0" w:space="0" w:color="auto"/>
        <w:right w:val="none" w:sz="0" w:space="0" w:color="auto"/>
      </w:divBdr>
    </w:div>
    <w:div w:id="977489997">
      <w:bodyDiv w:val="1"/>
      <w:marLeft w:val="0"/>
      <w:marRight w:val="0"/>
      <w:marTop w:val="0"/>
      <w:marBottom w:val="0"/>
      <w:divBdr>
        <w:top w:val="none" w:sz="0" w:space="0" w:color="auto"/>
        <w:left w:val="none" w:sz="0" w:space="0" w:color="auto"/>
        <w:bottom w:val="none" w:sz="0" w:space="0" w:color="auto"/>
        <w:right w:val="none" w:sz="0" w:space="0" w:color="auto"/>
      </w:divBdr>
    </w:div>
    <w:div w:id="977731657">
      <w:bodyDiv w:val="1"/>
      <w:marLeft w:val="0"/>
      <w:marRight w:val="0"/>
      <w:marTop w:val="0"/>
      <w:marBottom w:val="0"/>
      <w:divBdr>
        <w:top w:val="none" w:sz="0" w:space="0" w:color="auto"/>
        <w:left w:val="none" w:sz="0" w:space="0" w:color="auto"/>
        <w:bottom w:val="none" w:sz="0" w:space="0" w:color="auto"/>
        <w:right w:val="none" w:sz="0" w:space="0" w:color="auto"/>
      </w:divBdr>
    </w:div>
    <w:div w:id="980504653">
      <w:bodyDiv w:val="1"/>
      <w:marLeft w:val="0"/>
      <w:marRight w:val="0"/>
      <w:marTop w:val="0"/>
      <w:marBottom w:val="0"/>
      <w:divBdr>
        <w:top w:val="none" w:sz="0" w:space="0" w:color="auto"/>
        <w:left w:val="none" w:sz="0" w:space="0" w:color="auto"/>
        <w:bottom w:val="none" w:sz="0" w:space="0" w:color="auto"/>
        <w:right w:val="none" w:sz="0" w:space="0" w:color="auto"/>
      </w:divBdr>
    </w:div>
    <w:div w:id="980888680">
      <w:bodyDiv w:val="1"/>
      <w:marLeft w:val="0"/>
      <w:marRight w:val="0"/>
      <w:marTop w:val="0"/>
      <w:marBottom w:val="0"/>
      <w:divBdr>
        <w:top w:val="none" w:sz="0" w:space="0" w:color="auto"/>
        <w:left w:val="none" w:sz="0" w:space="0" w:color="auto"/>
        <w:bottom w:val="none" w:sz="0" w:space="0" w:color="auto"/>
        <w:right w:val="none" w:sz="0" w:space="0" w:color="auto"/>
      </w:divBdr>
    </w:div>
    <w:div w:id="983389210">
      <w:bodyDiv w:val="1"/>
      <w:marLeft w:val="0"/>
      <w:marRight w:val="0"/>
      <w:marTop w:val="0"/>
      <w:marBottom w:val="0"/>
      <w:divBdr>
        <w:top w:val="none" w:sz="0" w:space="0" w:color="auto"/>
        <w:left w:val="none" w:sz="0" w:space="0" w:color="auto"/>
        <w:bottom w:val="none" w:sz="0" w:space="0" w:color="auto"/>
        <w:right w:val="none" w:sz="0" w:space="0" w:color="auto"/>
      </w:divBdr>
    </w:div>
    <w:div w:id="984890009">
      <w:bodyDiv w:val="1"/>
      <w:marLeft w:val="0"/>
      <w:marRight w:val="0"/>
      <w:marTop w:val="0"/>
      <w:marBottom w:val="0"/>
      <w:divBdr>
        <w:top w:val="none" w:sz="0" w:space="0" w:color="auto"/>
        <w:left w:val="none" w:sz="0" w:space="0" w:color="auto"/>
        <w:bottom w:val="none" w:sz="0" w:space="0" w:color="auto"/>
        <w:right w:val="none" w:sz="0" w:space="0" w:color="auto"/>
      </w:divBdr>
    </w:div>
    <w:div w:id="987250094">
      <w:bodyDiv w:val="1"/>
      <w:marLeft w:val="0"/>
      <w:marRight w:val="0"/>
      <w:marTop w:val="0"/>
      <w:marBottom w:val="0"/>
      <w:divBdr>
        <w:top w:val="none" w:sz="0" w:space="0" w:color="auto"/>
        <w:left w:val="none" w:sz="0" w:space="0" w:color="auto"/>
        <w:bottom w:val="none" w:sz="0" w:space="0" w:color="auto"/>
        <w:right w:val="none" w:sz="0" w:space="0" w:color="auto"/>
      </w:divBdr>
    </w:div>
    <w:div w:id="987828269">
      <w:bodyDiv w:val="1"/>
      <w:marLeft w:val="0"/>
      <w:marRight w:val="0"/>
      <w:marTop w:val="0"/>
      <w:marBottom w:val="0"/>
      <w:divBdr>
        <w:top w:val="none" w:sz="0" w:space="0" w:color="auto"/>
        <w:left w:val="none" w:sz="0" w:space="0" w:color="auto"/>
        <w:bottom w:val="none" w:sz="0" w:space="0" w:color="auto"/>
        <w:right w:val="none" w:sz="0" w:space="0" w:color="auto"/>
      </w:divBdr>
    </w:div>
    <w:div w:id="987829100">
      <w:bodyDiv w:val="1"/>
      <w:marLeft w:val="0"/>
      <w:marRight w:val="0"/>
      <w:marTop w:val="0"/>
      <w:marBottom w:val="0"/>
      <w:divBdr>
        <w:top w:val="none" w:sz="0" w:space="0" w:color="auto"/>
        <w:left w:val="none" w:sz="0" w:space="0" w:color="auto"/>
        <w:bottom w:val="none" w:sz="0" w:space="0" w:color="auto"/>
        <w:right w:val="none" w:sz="0" w:space="0" w:color="auto"/>
      </w:divBdr>
    </w:div>
    <w:div w:id="988367093">
      <w:bodyDiv w:val="1"/>
      <w:marLeft w:val="0"/>
      <w:marRight w:val="0"/>
      <w:marTop w:val="0"/>
      <w:marBottom w:val="0"/>
      <w:divBdr>
        <w:top w:val="none" w:sz="0" w:space="0" w:color="auto"/>
        <w:left w:val="none" w:sz="0" w:space="0" w:color="auto"/>
        <w:bottom w:val="none" w:sz="0" w:space="0" w:color="auto"/>
        <w:right w:val="none" w:sz="0" w:space="0" w:color="auto"/>
      </w:divBdr>
    </w:div>
    <w:div w:id="988630508">
      <w:bodyDiv w:val="1"/>
      <w:marLeft w:val="0"/>
      <w:marRight w:val="0"/>
      <w:marTop w:val="0"/>
      <w:marBottom w:val="0"/>
      <w:divBdr>
        <w:top w:val="none" w:sz="0" w:space="0" w:color="auto"/>
        <w:left w:val="none" w:sz="0" w:space="0" w:color="auto"/>
        <w:bottom w:val="none" w:sz="0" w:space="0" w:color="auto"/>
        <w:right w:val="none" w:sz="0" w:space="0" w:color="auto"/>
      </w:divBdr>
    </w:div>
    <w:div w:id="990134561">
      <w:bodyDiv w:val="1"/>
      <w:marLeft w:val="0"/>
      <w:marRight w:val="0"/>
      <w:marTop w:val="0"/>
      <w:marBottom w:val="0"/>
      <w:divBdr>
        <w:top w:val="none" w:sz="0" w:space="0" w:color="auto"/>
        <w:left w:val="none" w:sz="0" w:space="0" w:color="auto"/>
        <w:bottom w:val="none" w:sz="0" w:space="0" w:color="auto"/>
        <w:right w:val="none" w:sz="0" w:space="0" w:color="auto"/>
      </w:divBdr>
    </w:div>
    <w:div w:id="990600389">
      <w:bodyDiv w:val="1"/>
      <w:marLeft w:val="0"/>
      <w:marRight w:val="0"/>
      <w:marTop w:val="0"/>
      <w:marBottom w:val="0"/>
      <w:divBdr>
        <w:top w:val="none" w:sz="0" w:space="0" w:color="auto"/>
        <w:left w:val="none" w:sz="0" w:space="0" w:color="auto"/>
        <w:bottom w:val="none" w:sz="0" w:space="0" w:color="auto"/>
        <w:right w:val="none" w:sz="0" w:space="0" w:color="auto"/>
      </w:divBdr>
    </w:div>
    <w:div w:id="992762213">
      <w:bodyDiv w:val="1"/>
      <w:marLeft w:val="0"/>
      <w:marRight w:val="0"/>
      <w:marTop w:val="0"/>
      <w:marBottom w:val="0"/>
      <w:divBdr>
        <w:top w:val="none" w:sz="0" w:space="0" w:color="auto"/>
        <w:left w:val="none" w:sz="0" w:space="0" w:color="auto"/>
        <w:bottom w:val="none" w:sz="0" w:space="0" w:color="auto"/>
        <w:right w:val="none" w:sz="0" w:space="0" w:color="auto"/>
      </w:divBdr>
    </w:div>
    <w:div w:id="993334106">
      <w:bodyDiv w:val="1"/>
      <w:marLeft w:val="0"/>
      <w:marRight w:val="0"/>
      <w:marTop w:val="0"/>
      <w:marBottom w:val="0"/>
      <w:divBdr>
        <w:top w:val="none" w:sz="0" w:space="0" w:color="auto"/>
        <w:left w:val="none" w:sz="0" w:space="0" w:color="auto"/>
        <w:bottom w:val="none" w:sz="0" w:space="0" w:color="auto"/>
        <w:right w:val="none" w:sz="0" w:space="0" w:color="auto"/>
      </w:divBdr>
    </w:div>
    <w:div w:id="994258360">
      <w:bodyDiv w:val="1"/>
      <w:marLeft w:val="0"/>
      <w:marRight w:val="0"/>
      <w:marTop w:val="0"/>
      <w:marBottom w:val="0"/>
      <w:divBdr>
        <w:top w:val="none" w:sz="0" w:space="0" w:color="auto"/>
        <w:left w:val="none" w:sz="0" w:space="0" w:color="auto"/>
        <w:bottom w:val="none" w:sz="0" w:space="0" w:color="auto"/>
        <w:right w:val="none" w:sz="0" w:space="0" w:color="auto"/>
      </w:divBdr>
    </w:div>
    <w:div w:id="994337153">
      <w:bodyDiv w:val="1"/>
      <w:marLeft w:val="0"/>
      <w:marRight w:val="0"/>
      <w:marTop w:val="0"/>
      <w:marBottom w:val="0"/>
      <w:divBdr>
        <w:top w:val="none" w:sz="0" w:space="0" w:color="auto"/>
        <w:left w:val="none" w:sz="0" w:space="0" w:color="auto"/>
        <w:bottom w:val="none" w:sz="0" w:space="0" w:color="auto"/>
        <w:right w:val="none" w:sz="0" w:space="0" w:color="auto"/>
      </w:divBdr>
    </w:div>
    <w:div w:id="994720481">
      <w:bodyDiv w:val="1"/>
      <w:marLeft w:val="0"/>
      <w:marRight w:val="0"/>
      <w:marTop w:val="0"/>
      <w:marBottom w:val="0"/>
      <w:divBdr>
        <w:top w:val="none" w:sz="0" w:space="0" w:color="auto"/>
        <w:left w:val="none" w:sz="0" w:space="0" w:color="auto"/>
        <w:bottom w:val="none" w:sz="0" w:space="0" w:color="auto"/>
        <w:right w:val="none" w:sz="0" w:space="0" w:color="auto"/>
      </w:divBdr>
    </w:div>
    <w:div w:id="996961327">
      <w:bodyDiv w:val="1"/>
      <w:marLeft w:val="0"/>
      <w:marRight w:val="0"/>
      <w:marTop w:val="0"/>
      <w:marBottom w:val="0"/>
      <w:divBdr>
        <w:top w:val="none" w:sz="0" w:space="0" w:color="auto"/>
        <w:left w:val="none" w:sz="0" w:space="0" w:color="auto"/>
        <w:bottom w:val="none" w:sz="0" w:space="0" w:color="auto"/>
        <w:right w:val="none" w:sz="0" w:space="0" w:color="auto"/>
      </w:divBdr>
    </w:div>
    <w:div w:id="1000541823">
      <w:bodyDiv w:val="1"/>
      <w:marLeft w:val="0"/>
      <w:marRight w:val="0"/>
      <w:marTop w:val="0"/>
      <w:marBottom w:val="0"/>
      <w:divBdr>
        <w:top w:val="none" w:sz="0" w:space="0" w:color="auto"/>
        <w:left w:val="none" w:sz="0" w:space="0" w:color="auto"/>
        <w:bottom w:val="none" w:sz="0" w:space="0" w:color="auto"/>
        <w:right w:val="none" w:sz="0" w:space="0" w:color="auto"/>
      </w:divBdr>
    </w:div>
    <w:div w:id="1006176409">
      <w:bodyDiv w:val="1"/>
      <w:marLeft w:val="0"/>
      <w:marRight w:val="0"/>
      <w:marTop w:val="0"/>
      <w:marBottom w:val="0"/>
      <w:divBdr>
        <w:top w:val="none" w:sz="0" w:space="0" w:color="auto"/>
        <w:left w:val="none" w:sz="0" w:space="0" w:color="auto"/>
        <w:bottom w:val="none" w:sz="0" w:space="0" w:color="auto"/>
        <w:right w:val="none" w:sz="0" w:space="0" w:color="auto"/>
      </w:divBdr>
    </w:div>
    <w:div w:id="1007369860">
      <w:bodyDiv w:val="1"/>
      <w:marLeft w:val="0"/>
      <w:marRight w:val="0"/>
      <w:marTop w:val="0"/>
      <w:marBottom w:val="0"/>
      <w:divBdr>
        <w:top w:val="none" w:sz="0" w:space="0" w:color="auto"/>
        <w:left w:val="none" w:sz="0" w:space="0" w:color="auto"/>
        <w:bottom w:val="none" w:sz="0" w:space="0" w:color="auto"/>
        <w:right w:val="none" w:sz="0" w:space="0" w:color="auto"/>
      </w:divBdr>
    </w:div>
    <w:div w:id="1008405749">
      <w:bodyDiv w:val="1"/>
      <w:marLeft w:val="0"/>
      <w:marRight w:val="0"/>
      <w:marTop w:val="0"/>
      <w:marBottom w:val="0"/>
      <w:divBdr>
        <w:top w:val="none" w:sz="0" w:space="0" w:color="auto"/>
        <w:left w:val="none" w:sz="0" w:space="0" w:color="auto"/>
        <w:bottom w:val="none" w:sz="0" w:space="0" w:color="auto"/>
        <w:right w:val="none" w:sz="0" w:space="0" w:color="auto"/>
      </w:divBdr>
    </w:div>
    <w:div w:id="1009600803">
      <w:bodyDiv w:val="1"/>
      <w:marLeft w:val="0"/>
      <w:marRight w:val="0"/>
      <w:marTop w:val="0"/>
      <w:marBottom w:val="0"/>
      <w:divBdr>
        <w:top w:val="none" w:sz="0" w:space="0" w:color="auto"/>
        <w:left w:val="none" w:sz="0" w:space="0" w:color="auto"/>
        <w:bottom w:val="none" w:sz="0" w:space="0" w:color="auto"/>
        <w:right w:val="none" w:sz="0" w:space="0" w:color="auto"/>
      </w:divBdr>
    </w:div>
    <w:div w:id="1014452014">
      <w:bodyDiv w:val="1"/>
      <w:marLeft w:val="0"/>
      <w:marRight w:val="0"/>
      <w:marTop w:val="0"/>
      <w:marBottom w:val="0"/>
      <w:divBdr>
        <w:top w:val="none" w:sz="0" w:space="0" w:color="auto"/>
        <w:left w:val="none" w:sz="0" w:space="0" w:color="auto"/>
        <w:bottom w:val="none" w:sz="0" w:space="0" w:color="auto"/>
        <w:right w:val="none" w:sz="0" w:space="0" w:color="auto"/>
      </w:divBdr>
    </w:div>
    <w:div w:id="1017853121">
      <w:bodyDiv w:val="1"/>
      <w:marLeft w:val="0"/>
      <w:marRight w:val="0"/>
      <w:marTop w:val="0"/>
      <w:marBottom w:val="0"/>
      <w:divBdr>
        <w:top w:val="none" w:sz="0" w:space="0" w:color="auto"/>
        <w:left w:val="none" w:sz="0" w:space="0" w:color="auto"/>
        <w:bottom w:val="none" w:sz="0" w:space="0" w:color="auto"/>
        <w:right w:val="none" w:sz="0" w:space="0" w:color="auto"/>
      </w:divBdr>
    </w:div>
    <w:div w:id="1018391486">
      <w:bodyDiv w:val="1"/>
      <w:marLeft w:val="0"/>
      <w:marRight w:val="0"/>
      <w:marTop w:val="0"/>
      <w:marBottom w:val="0"/>
      <w:divBdr>
        <w:top w:val="none" w:sz="0" w:space="0" w:color="auto"/>
        <w:left w:val="none" w:sz="0" w:space="0" w:color="auto"/>
        <w:bottom w:val="none" w:sz="0" w:space="0" w:color="auto"/>
        <w:right w:val="none" w:sz="0" w:space="0" w:color="auto"/>
      </w:divBdr>
    </w:div>
    <w:div w:id="1018580283">
      <w:bodyDiv w:val="1"/>
      <w:marLeft w:val="0"/>
      <w:marRight w:val="0"/>
      <w:marTop w:val="0"/>
      <w:marBottom w:val="0"/>
      <w:divBdr>
        <w:top w:val="none" w:sz="0" w:space="0" w:color="auto"/>
        <w:left w:val="none" w:sz="0" w:space="0" w:color="auto"/>
        <w:bottom w:val="none" w:sz="0" w:space="0" w:color="auto"/>
        <w:right w:val="none" w:sz="0" w:space="0" w:color="auto"/>
      </w:divBdr>
    </w:div>
    <w:div w:id="1023048662">
      <w:bodyDiv w:val="1"/>
      <w:marLeft w:val="0"/>
      <w:marRight w:val="0"/>
      <w:marTop w:val="0"/>
      <w:marBottom w:val="0"/>
      <w:divBdr>
        <w:top w:val="none" w:sz="0" w:space="0" w:color="auto"/>
        <w:left w:val="none" w:sz="0" w:space="0" w:color="auto"/>
        <w:bottom w:val="none" w:sz="0" w:space="0" w:color="auto"/>
        <w:right w:val="none" w:sz="0" w:space="0" w:color="auto"/>
      </w:divBdr>
    </w:div>
    <w:div w:id="1023820713">
      <w:bodyDiv w:val="1"/>
      <w:marLeft w:val="0"/>
      <w:marRight w:val="0"/>
      <w:marTop w:val="0"/>
      <w:marBottom w:val="0"/>
      <w:divBdr>
        <w:top w:val="none" w:sz="0" w:space="0" w:color="auto"/>
        <w:left w:val="none" w:sz="0" w:space="0" w:color="auto"/>
        <w:bottom w:val="none" w:sz="0" w:space="0" w:color="auto"/>
        <w:right w:val="none" w:sz="0" w:space="0" w:color="auto"/>
      </w:divBdr>
    </w:div>
    <w:div w:id="1025055717">
      <w:bodyDiv w:val="1"/>
      <w:marLeft w:val="0"/>
      <w:marRight w:val="0"/>
      <w:marTop w:val="0"/>
      <w:marBottom w:val="0"/>
      <w:divBdr>
        <w:top w:val="none" w:sz="0" w:space="0" w:color="auto"/>
        <w:left w:val="none" w:sz="0" w:space="0" w:color="auto"/>
        <w:bottom w:val="none" w:sz="0" w:space="0" w:color="auto"/>
        <w:right w:val="none" w:sz="0" w:space="0" w:color="auto"/>
      </w:divBdr>
    </w:div>
    <w:div w:id="1025248993">
      <w:bodyDiv w:val="1"/>
      <w:marLeft w:val="0"/>
      <w:marRight w:val="0"/>
      <w:marTop w:val="0"/>
      <w:marBottom w:val="0"/>
      <w:divBdr>
        <w:top w:val="none" w:sz="0" w:space="0" w:color="auto"/>
        <w:left w:val="none" w:sz="0" w:space="0" w:color="auto"/>
        <w:bottom w:val="none" w:sz="0" w:space="0" w:color="auto"/>
        <w:right w:val="none" w:sz="0" w:space="0" w:color="auto"/>
      </w:divBdr>
    </w:div>
    <w:div w:id="1026756754">
      <w:bodyDiv w:val="1"/>
      <w:marLeft w:val="0"/>
      <w:marRight w:val="0"/>
      <w:marTop w:val="0"/>
      <w:marBottom w:val="0"/>
      <w:divBdr>
        <w:top w:val="none" w:sz="0" w:space="0" w:color="auto"/>
        <w:left w:val="none" w:sz="0" w:space="0" w:color="auto"/>
        <w:bottom w:val="none" w:sz="0" w:space="0" w:color="auto"/>
        <w:right w:val="none" w:sz="0" w:space="0" w:color="auto"/>
      </w:divBdr>
    </w:div>
    <w:div w:id="1029917771">
      <w:bodyDiv w:val="1"/>
      <w:marLeft w:val="0"/>
      <w:marRight w:val="0"/>
      <w:marTop w:val="0"/>
      <w:marBottom w:val="0"/>
      <w:divBdr>
        <w:top w:val="none" w:sz="0" w:space="0" w:color="auto"/>
        <w:left w:val="none" w:sz="0" w:space="0" w:color="auto"/>
        <w:bottom w:val="none" w:sz="0" w:space="0" w:color="auto"/>
        <w:right w:val="none" w:sz="0" w:space="0" w:color="auto"/>
      </w:divBdr>
    </w:div>
    <w:div w:id="1031104737">
      <w:bodyDiv w:val="1"/>
      <w:marLeft w:val="0"/>
      <w:marRight w:val="0"/>
      <w:marTop w:val="0"/>
      <w:marBottom w:val="0"/>
      <w:divBdr>
        <w:top w:val="none" w:sz="0" w:space="0" w:color="auto"/>
        <w:left w:val="none" w:sz="0" w:space="0" w:color="auto"/>
        <w:bottom w:val="none" w:sz="0" w:space="0" w:color="auto"/>
        <w:right w:val="none" w:sz="0" w:space="0" w:color="auto"/>
      </w:divBdr>
    </w:div>
    <w:div w:id="1033387222">
      <w:bodyDiv w:val="1"/>
      <w:marLeft w:val="0"/>
      <w:marRight w:val="0"/>
      <w:marTop w:val="0"/>
      <w:marBottom w:val="0"/>
      <w:divBdr>
        <w:top w:val="none" w:sz="0" w:space="0" w:color="auto"/>
        <w:left w:val="none" w:sz="0" w:space="0" w:color="auto"/>
        <w:bottom w:val="none" w:sz="0" w:space="0" w:color="auto"/>
        <w:right w:val="none" w:sz="0" w:space="0" w:color="auto"/>
      </w:divBdr>
    </w:div>
    <w:div w:id="1034768276">
      <w:bodyDiv w:val="1"/>
      <w:marLeft w:val="0"/>
      <w:marRight w:val="0"/>
      <w:marTop w:val="0"/>
      <w:marBottom w:val="0"/>
      <w:divBdr>
        <w:top w:val="none" w:sz="0" w:space="0" w:color="auto"/>
        <w:left w:val="none" w:sz="0" w:space="0" w:color="auto"/>
        <w:bottom w:val="none" w:sz="0" w:space="0" w:color="auto"/>
        <w:right w:val="none" w:sz="0" w:space="0" w:color="auto"/>
      </w:divBdr>
    </w:div>
    <w:div w:id="1037049656">
      <w:bodyDiv w:val="1"/>
      <w:marLeft w:val="0"/>
      <w:marRight w:val="0"/>
      <w:marTop w:val="0"/>
      <w:marBottom w:val="0"/>
      <w:divBdr>
        <w:top w:val="none" w:sz="0" w:space="0" w:color="auto"/>
        <w:left w:val="none" w:sz="0" w:space="0" w:color="auto"/>
        <w:bottom w:val="none" w:sz="0" w:space="0" w:color="auto"/>
        <w:right w:val="none" w:sz="0" w:space="0" w:color="auto"/>
      </w:divBdr>
    </w:div>
    <w:div w:id="1037050246">
      <w:bodyDiv w:val="1"/>
      <w:marLeft w:val="0"/>
      <w:marRight w:val="0"/>
      <w:marTop w:val="0"/>
      <w:marBottom w:val="0"/>
      <w:divBdr>
        <w:top w:val="none" w:sz="0" w:space="0" w:color="auto"/>
        <w:left w:val="none" w:sz="0" w:space="0" w:color="auto"/>
        <w:bottom w:val="none" w:sz="0" w:space="0" w:color="auto"/>
        <w:right w:val="none" w:sz="0" w:space="0" w:color="auto"/>
      </w:divBdr>
    </w:div>
    <w:div w:id="1039086956">
      <w:bodyDiv w:val="1"/>
      <w:marLeft w:val="0"/>
      <w:marRight w:val="0"/>
      <w:marTop w:val="0"/>
      <w:marBottom w:val="0"/>
      <w:divBdr>
        <w:top w:val="none" w:sz="0" w:space="0" w:color="auto"/>
        <w:left w:val="none" w:sz="0" w:space="0" w:color="auto"/>
        <w:bottom w:val="none" w:sz="0" w:space="0" w:color="auto"/>
        <w:right w:val="none" w:sz="0" w:space="0" w:color="auto"/>
      </w:divBdr>
    </w:div>
    <w:div w:id="1040321063">
      <w:bodyDiv w:val="1"/>
      <w:marLeft w:val="0"/>
      <w:marRight w:val="0"/>
      <w:marTop w:val="0"/>
      <w:marBottom w:val="0"/>
      <w:divBdr>
        <w:top w:val="none" w:sz="0" w:space="0" w:color="auto"/>
        <w:left w:val="none" w:sz="0" w:space="0" w:color="auto"/>
        <w:bottom w:val="none" w:sz="0" w:space="0" w:color="auto"/>
        <w:right w:val="none" w:sz="0" w:space="0" w:color="auto"/>
      </w:divBdr>
    </w:div>
    <w:div w:id="1042053890">
      <w:bodyDiv w:val="1"/>
      <w:marLeft w:val="0"/>
      <w:marRight w:val="0"/>
      <w:marTop w:val="0"/>
      <w:marBottom w:val="0"/>
      <w:divBdr>
        <w:top w:val="none" w:sz="0" w:space="0" w:color="auto"/>
        <w:left w:val="none" w:sz="0" w:space="0" w:color="auto"/>
        <w:bottom w:val="none" w:sz="0" w:space="0" w:color="auto"/>
        <w:right w:val="none" w:sz="0" w:space="0" w:color="auto"/>
      </w:divBdr>
    </w:div>
    <w:div w:id="1042286243">
      <w:bodyDiv w:val="1"/>
      <w:marLeft w:val="0"/>
      <w:marRight w:val="0"/>
      <w:marTop w:val="0"/>
      <w:marBottom w:val="0"/>
      <w:divBdr>
        <w:top w:val="none" w:sz="0" w:space="0" w:color="auto"/>
        <w:left w:val="none" w:sz="0" w:space="0" w:color="auto"/>
        <w:bottom w:val="none" w:sz="0" w:space="0" w:color="auto"/>
        <w:right w:val="none" w:sz="0" w:space="0" w:color="auto"/>
      </w:divBdr>
    </w:div>
    <w:div w:id="1042486697">
      <w:bodyDiv w:val="1"/>
      <w:marLeft w:val="0"/>
      <w:marRight w:val="0"/>
      <w:marTop w:val="0"/>
      <w:marBottom w:val="0"/>
      <w:divBdr>
        <w:top w:val="none" w:sz="0" w:space="0" w:color="auto"/>
        <w:left w:val="none" w:sz="0" w:space="0" w:color="auto"/>
        <w:bottom w:val="none" w:sz="0" w:space="0" w:color="auto"/>
        <w:right w:val="none" w:sz="0" w:space="0" w:color="auto"/>
      </w:divBdr>
    </w:div>
    <w:div w:id="1046028485">
      <w:bodyDiv w:val="1"/>
      <w:marLeft w:val="0"/>
      <w:marRight w:val="0"/>
      <w:marTop w:val="0"/>
      <w:marBottom w:val="0"/>
      <w:divBdr>
        <w:top w:val="none" w:sz="0" w:space="0" w:color="auto"/>
        <w:left w:val="none" w:sz="0" w:space="0" w:color="auto"/>
        <w:bottom w:val="none" w:sz="0" w:space="0" w:color="auto"/>
        <w:right w:val="none" w:sz="0" w:space="0" w:color="auto"/>
      </w:divBdr>
    </w:div>
    <w:div w:id="1046369949">
      <w:bodyDiv w:val="1"/>
      <w:marLeft w:val="0"/>
      <w:marRight w:val="0"/>
      <w:marTop w:val="0"/>
      <w:marBottom w:val="0"/>
      <w:divBdr>
        <w:top w:val="none" w:sz="0" w:space="0" w:color="auto"/>
        <w:left w:val="none" w:sz="0" w:space="0" w:color="auto"/>
        <w:bottom w:val="none" w:sz="0" w:space="0" w:color="auto"/>
        <w:right w:val="none" w:sz="0" w:space="0" w:color="auto"/>
      </w:divBdr>
    </w:div>
    <w:div w:id="1047418007">
      <w:bodyDiv w:val="1"/>
      <w:marLeft w:val="0"/>
      <w:marRight w:val="0"/>
      <w:marTop w:val="0"/>
      <w:marBottom w:val="0"/>
      <w:divBdr>
        <w:top w:val="none" w:sz="0" w:space="0" w:color="auto"/>
        <w:left w:val="none" w:sz="0" w:space="0" w:color="auto"/>
        <w:bottom w:val="none" w:sz="0" w:space="0" w:color="auto"/>
        <w:right w:val="none" w:sz="0" w:space="0" w:color="auto"/>
      </w:divBdr>
    </w:div>
    <w:div w:id="1050879302">
      <w:bodyDiv w:val="1"/>
      <w:marLeft w:val="0"/>
      <w:marRight w:val="0"/>
      <w:marTop w:val="0"/>
      <w:marBottom w:val="0"/>
      <w:divBdr>
        <w:top w:val="none" w:sz="0" w:space="0" w:color="auto"/>
        <w:left w:val="none" w:sz="0" w:space="0" w:color="auto"/>
        <w:bottom w:val="none" w:sz="0" w:space="0" w:color="auto"/>
        <w:right w:val="none" w:sz="0" w:space="0" w:color="auto"/>
      </w:divBdr>
    </w:div>
    <w:div w:id="1051072334">
      <w:bodyDiv w:val="1"/>
      <w:marLeft w:val="0"/>
      <w:marRight w:val="0"/>
      <w:marTop w:val="0"/>
      <w:marBottom w:val="0"/>
      <w:divBdr>
        <w:top w:val="none" w:sz="0" w:space="0" w:color="auto"/>
        <w:left w:val="none" w:sz="0" w:space="0" w:color="auto"/>
        <w:bottom w:val="none" w:sz="0" w:space="0" w:color="auto"/>
        <w:right w:val="none" w:sz="0" w:space="0" w:color="auto"/>
      </w:divBdr>
    </w:div>
    <w:div w:id="1051929046">
      <w:bodyDiv w:val="1"/>
      <w:marLeft w:val="0"/>
      <w:marRight w:val="0"/>
      <w:marTop w:val="0"/>
      <w:marBottom w:val="0"/>
      <w:divBdr>
        <w:top w:val="none" w:sz="0" w:space="0" w:color="auto"/>
        <w:left w:val="none" w:sz="0" w:space="0" w:color="auto"/>
        <w:bottom w:val="none" w:sz="0" w:space="0" w:color="auto"/>
        <w:right w:val="none" w:sz="0" w:space="0" w:color="auto"/>
      </w:divBdr>
    </w:div>
    <w:div w:id="1053233539">
      <w:bodyDiv w:val="1"/>
      <w:marLeft w:val="0"/>
      <w:marRight w:val="0"/>
      <w:marTop w:val="0"/>
      <w:marBottom w:val="0"/>
      <w:divBdr>
        <w:top w:val="none" w:sz="0" w:space="0" w:color="auto"/>
        <w:left w:val="none" w:sz="0" w:space="0" w:color="auto"/>
        <w:bottom w:val="none" w:sz="0" w:space="0" w:color="auto"/>
        <w:right w:val="none" w:sz="0" w:space="0" w:color="auto"/>
      </w:divBdr>
    </w:div>
    <w:div w:id="1054695604">
      <w:bodyDiv w:val="1"/>
      <w:marLeft w:val="0"/>
      <w:marRight w:val="0"/>
      <w:marTop w:val="0"/>
      <w:marBottom w:val="0"/>
      <w:divBdr>
        <w:top w:val="none" w:sz="0" w:space="0" w:color="auto"/>
        <w:left w:val="none" w:sz="0" w:space="0" w:color="auto"/>
        <w:bottom w:val="none" w:sz="0" w:space="0" w:color="auto"/>
        <w:right w:val="none" w:sz="0" w:space="0" w:color="auto"/>
      </w:divBdr>
    </w:div>
    <w:div w:id="1058354851">
      <w:bodyDiv w:val="1"/>
      <w:marLeft w:val="0"/>
      <w:marRight w:val="0"/>
      <w:marTop w:val="0"/>
      <w:marBottom w:val="0"/>
      <w:divBdr>
        <w:top w:val="none" w:sz="0" w:space="0" w:color="auto"/>
        <w:left w:val="none" w:sz="0" w:space="0" w:color="auto"/>
        <w:bottom w:val="none" w:sz="0" w:space="0" w:color="auto"/>
        <w:right w:val="none" w:sz="0" w:space="0" w:color="auto"/>
      </w:divBdr>
    </w:div>
    <w:div w:id="1058360310">
      <w:bodyDiv w:val="1"/>
      <w:marLeft w:val="0"/>
      <w:marRight w:val="0"/>
      <w:marTop w:val="0"/>
      <w:marBottom w:val="0"/>
      <w:divBdr>
        <w:top w:val="none" w:sz="0" w:space="0" w:color="auto"/>
        <w:left w:val="none" w:sz="0" w:space="0" w:color="auto"/>
        <w:bottom w:val="none" w:sz="0" w:space="0" w:color="auto"/>
        <w:right w:val="none" w:sz="0" w:space="0" w:color="auto"/>
      </w:divBdr>
    </w:div>
    <w:div w:id="1059666959">
      <w:bodyDiv w:val="1"/>
      <w:marLeft w:val="0"/>
      <w:marRight w:val="0"/>
      <w:marTop w:val="0"/>
      <w:marBottom w:val="0"/>
      <w:divBdr>
        <w:top w:val="none" w:sz="0" w:space="0" w:color="auto"/>
        <w:left w:val="none" w:sz="0" w:space="0" w:color="auto"/>
        <w:bottom w:val="none" w:sz="0" w:space="0" w:color="auto"/>
        <w:right w:val="none" w:sz="0" w:space="0" w:color="auto"/>
      </w:divBdr>
    </w:div>
    <w:div w:id="1060641532">
      <w:bodyDiv w:val="1"/>
      <w:marLeft w:val="0"/>
      <w:marRight w:val="0"/>
      <w:marTop w:val="0"/>
      <w:marBottom w:val="0"/>
      <w:divBdr>
        <w:top w:val="none" w:sz="0" w:space="0" w:color="auto"/>
        <w:left w:val="none" w:sz="0" w:space="0" w:color="auto"/>
        <w:bottom w:val="none" w:sz="0" w:space="0" w:color="auto"/>
        <w:right w:val="none" w:sz="0" w:space="0" w:color="auto"/>
      </w:divBdr>
    </w:div>
    <w:div w:id="1061053261">
      <w:bodyDiv w:val="1"/>
      <w:marLeft w:val="0"/>
      <w:marRight w:val="0"/>
      <w:marTop w:val="0"/>
      <w:marBottom w:val="0"/>
      <w:divBdr>
        <w:top w:val="none" w:sz="0" w:space="0" w:color="auto"/>
        <w:left w:val="none" w:sz="0" w:space="0" w:color="auto"/>
        <w:bottom w:val="none" w:sz="0" w:space="0" w:color="auto"/>
        <w:right w:val="none" w:sz="0" w:space="0" w:color="auto"/>
      </w:divBdr>
    </w:div>
    <w:div w:id="1061246933">
      <w:bodyDiv w:val="1"/>
      <w:marLeft w:val="0"/>
      <w:marRight w:val="0"/>
      <w:marTop w:val="0"/>
      <w:marBottom w:val="0"/>
      <w:divBdr>
        <w:top w:val="none" w:sz="0" w:space="0" w:color="auto"/>
        <w:left w:val="none" w:sz="0" w:space="0" w:color="auto"/>
        <w:bottom w:val="none" w:sz="0" w:space="0" w:color="auto"/>
        <w:right w:val="none" w:sz="0" w:space="0" w:color="auto"/>
      </w:divBdr>
    </w:div>
    <w:div w:id="1062094974">
      <w:bodyDiv w:val="1"/>
      <w:marLeft w:val="0"/>
      <w:marRight w:val="0"/>
      <w:marTop w:val="0"/>
      <w:marBottom w:val="0"/>
      <w:divBdr>
        <w:top w:val="none" w:sz="0" w:space="0" w:color="auto"/>
        <w:left w:val="none" w:sz="0" w:space="0" w:color="auto"/>
        <w:bottom w:val="none" w:sz="0" w:space="0" w:color="auto"/>
        <w:right w:val="none" w:sz="0" w:space="0" w:color="auto"/>
      </w:divBdr>
    </w:div>
    <w:div w:id="1064330025">
      <w:bodyDiv w:val="1"/>
      <w:marLeft w:val="0"/>
      <w:marRight w:val="0"/>
      <w:marTop w:val="0"/>
      <w:marBottom w:val="0"/>
      <w:divBdr>
        <w:top w:val="none" w:sz="0" w:space="0" w:color="auto"/>
        <w:left w:val="none" w:sz="0" w:space="0" w:color="auto"/>
        <w:bottom w:val="none" w:sz="0" w:space="0" w:color="auto"/>
        <w:right w:val="none" w:sz="0" w:space="0" w:color="auto"/>
      </w:divBdr>
    </w:div>
    <w:div w:id="1064375862">
      <w:bodyDiv w:val="1"/>
      <w:marLeft w:val="0"/>
      <w:marRight w:val="0"/>
      <w:marTop w:val="0"/>
      <w:marBottom w:val="0"/>
      <w:divBdr>
        <w:top w:val="none" w:sz="0" w:space="0" w:color="auto"/>
        <w:left w:val="none" w:sz="0" w:space="0" w:color="auto"/>
        <w:bottom w:val="none" w:sz="0" w:space="0" w:color="auto"/>
        <w:right w:val="none" w:sz="0" w:space="0" w:color="auto"/>
      </w:divBdr>
    </w:div>
    <w:div w:id="1064522983">
      <w:bodyDiv w:val="1"/>
      <w:marLeft w:val="0"/>
      <w:marRight w:val="0"/>
      <w:marTop w:val="0"/>
      <w:marBottom w:val="0"/>
      <w:divBdr>
        <w:top w:val="none" w:sz="0" w:space="0" w:color="auto"/>
        <w:left w:val="none" w:sz="0" w:space="0" w:color="auto"/>
        <w:bottom w:val="none" w:sz="0" w:space="0" w:color="auto"/>
        <w:right w:val="none" w:sz="0" w:space="0" w:color="auto"/>
      </w:divBdr>
    </w:div>
    <w:div w:id="1068040485">
      <w:bodyDiv w:val="1"/>
      <w:marLeft w:val="0"/>
      <w:marRight w:val="0"/>
      <w:marTop w:val="0"/>
      <w:marBottom w:val="0"/>
      <w:divBdr>
        <w:top w:val="none" w:sz="0" w:space="0" w:color="auto"/>
        <w:left w:val="none" w:sz="0" w:space="0" w:color="auto"/>
        <w:bottom w:val="none" w:sz="0" w:space="0" w:color="auto"/>
        <w:right w:val="none" w:sz="0" w:space="0" w:color="auto"/>
      </w:divBdr>
    </w:div>
    <w:div w:id="1073703097">
      <w:bodyDiv w:val="1"/>
      <w:marLeft w:val="0"/>
      <w:marRight w:val="0"/>
      <w:marTop w:val="0"/>
      <w:marBottom w:val="0"/>
      <w:divBdr>
        <w:top w:val="none" w:sz="0" w:space="0" w:color="auto"/>
        <w:left w:val="none" w:sz="0" w:space="0" w:color="auto"/>
        <w:bottom w:val="none" w:sz="0" w:space="0" w:color="auto"/>
        <w:right w:val="none" w:sz="0" w:space="0" w:color="auto"/>
      </w:divBdr>
    </w:div>
    <w:div w:id="1074856364">
      <w:bodyDiv w:val="1"/>
      <w:marLeft w:val="0"/>
      <w:marRight w:val="0"/>
      <w:marTop w:val="0"/>
      <w:marBottom w:val="0"/>
      <w:divBdr>
        <w:top w:val="none" w:sz="0" w:space="0" w:color="auto"/>
        <w:left w:val="none" w:sz="0" w:space="0" w:color="auto"/>
        <w:bottom w:val="none" w:sz="0" w:space="0" w:color="auto"/>
        <w:right w:val="none" w:sz="0" w:space="0" w:color="auto"/>
      </w:divBdr>
    </w:div>
    <w:div w:id="1077555626">
      <w:bodyDiv w:val="1"/>
      <w:marLeft w:val="0"/>
      <w:marRight w:val="0"/>
      <w:marTop w:val="0"/>
      <w:marBottom w:val="0"/>
      <w:divBdr>
        <w:top w:val="none" w:sz="0" w:space="0" w:color="auto"/>
        <w:left w:val="none" w:sz="0" w:space="0" w:color="auto"/>
        <w:bottom w:val="none" w:sz="0" w:space="0" w:color="auto"/>
        <w:right w:val="none" w:sz="0" w:space="0" w:color="auto"/>
      </w:divBdr>
    </w:div>
    <w:div w:id="1078945074">
      <w:bodyDiv w:val="1"/>
      <w:marLeft w:val="0"/>
      <w:marRight w:val="0"/>
      <w:marTop w:val="0"/>
      <w:marBottom w:val="0"/>
      <w:divBdr>
        <w:top w:val="none" w:sz="0" w:space="0" w:color="auto"/>
        <w:left w:val="none" w:sz="0" w:space="0" w:color="auto"/>
        <w:bottom w:val="none" w:sz="0" w:space="0" w:color="auto"/>
        <w:right w:val="none" w:sz="0" w:space="0" w:color="auto"/>
      </w:divBdr>
    </w:div>
    <w:div w:id="1079130645">
      <w:bodyDiv w:val="1"/>
      <w:marLeft w:val="0"/>
      <w:marRight w:val="0"/>
      <w:marTop w:val="0"/>
      <w:marBottom w:val="0"/>
      <w:divBdr>
        <w:top w:val="none" w:sz="0" w:space="0" w:color="auto"/>
        <w:left w:val="none" w:sz="0" w:space="0" w:color="auto"/>
        <w:bottom w:val="none" w:sz="0" w:space="0" w:color="auto"/>
        <w:right w:val="none" w:sz="0" w:space="0" w:color="auto"/>
      </w:divBdr>
    </w:div>
    <w:div w:id="1079138546">
      <w:bodyDiv w:val="1"/>
      <w:marLeft w:val="0"/>
      <w:marRight w:val="0"/>
      <w:marTop w:val="0"/>
      <w:marBottom w:val="0"/>
      <w:divBdr>
        <w:top w:val="none" w:sz="0" w:space="0" w:color="auto"/>
        <w:left w:val="none" w:sz="0" w:space="0" w:color="auto"/>
        <w:bottom w:val="none" w:sz="0" w:space="0" w:color="auto"/>
        <w:right w:val="none" w:sz="0" w:space="0" w:color="auto"/>
      </w:divBdr>
    </w:div>
    <w:div w:id="1081178939">
      <w:bodyDiv w:val="1"/>
      <w:marLeft w:val="0"/>
      <w:marRight w:val="0"/>
      <w:marTop w:val="0"/>
      <w:marBottom w:val="0"/>
      <w:divBdr>
        <w:top w:val="none" w:sz="0" w:space="0" w:color="auto"/>
        <w:left w:val="none" w:sz="0" w:space="0" w:color="auto"/>
        <w:bottom w:val="none" w:sz="0" w:space="0" w:color="auto"/>
        <w:right w:val="none" w:sz="0" w:space="0" w:color="auto"/>
      </w:divBdr>
    </w:div>
    <w:div w:id="1082021702">
      <w:bodyDiv w:val="1"/>
      <w:marLeft w:val="0"/>
      <w:marRight w:val="0"/>
      <w:marTop w:val="0"/>
      <w:marBottom w:val="0"/>
      <w:divBdr>
        <w:top w:val="none" w:sz="0" w:space="0" w:color="auto"/>
        <w:left w:val="none" w:sz="0" w:space="0" w:color="auto"/>
        <w:bottom w:val="none" w:sz="0" w:space="0" w:color="auto"/>
        <w:right w:val="none" w:sz="0" w:space="0" w:color="auto"/>
      </w:divBdr>
    </w:div>
    <w:div w:id="1084449714">
      <w:bodyDiv w:val="1"/>
      <w:marLeft w:val="0"/>
      <w:marRight w:val="0"/>
      <w:marTop w:val="0"/>
      <w:marBottom w:val="0"/>
      <w:divBdr>
        <w:top w:val="none" w:sz="0" w:space="0" w:color="auto"/>
        <w:left w:val="none" w:sz="0" w:space="0" w:color="auto"/>
        <w:bottom w:val="none" w:sz="0" w:space="0" w:color="auto"/>
        <w:right w:val="none" w:sz="0" w:space="0" w:color="auto"/>
      </w:divBdr>
    </w:div>
    <w:div w:id="1091003365">
      <w:bodyDiv w:val="1"/>
      <w:marLeft w:val="0"/>
      <w:marRight w:val="0"/>
      <w:marTop w:val="0"/>
      <w:marBottom w:val="0"/>
      <w:divBdr>
        <w:top w:val="none" w:sz="0" w:space="0" w:color="auto"/>
        <w:left w:val="none" w:sz="0" w:space="0" w:color="auto"/>
        <w:bottom w:val="none" w:sz="0" w:space="0" w:color="auto"/>
        <w:right w:val="none" w:sz="0" w:space="0" w:color="auto"/>
      </w:divBdr>
    </w:div>
    <w:div w:id="1091967853">
      <w:bodyDiv w:val="1"/>
      <w:marLeft w:val="0"/>
      <w:marRight w:val="0"/>
      <w:marTop w:val="0"/>
      <w:marBottom w:val="0"/>
      <w:divBdr>
        <w:top w:val="none" w:sz="0" w:space="0" w:color="auto"/>
        <w:left w:val="none" w:sz="0" w:space="0" w:color="auto"/>
        <w:bottom w:val="none" w:sz="0" w:space="0" w:color="auto"/>
        <w:right w:val="none" w:sz="0" w:space="0" w:color="auto"/>
      </w:divBdr>
    </w:div>
    <w:div w:id="1092437473">
      <w:bodyDiv w:val="1"/>
      <w:marLeft w:val="0"/>
      <w:marRight w:val="0"/>
      <w:marTop w:val="0"/>
      <w:marBottom w:val="0"/>
      <w:divBdr>
        <w:top w:val="none" w:sz="0" w:space="0" w:color="auto"/>
        <w:left w:val="none" w:sz="0" w:space="0" w:color="auto"/>
        <w:bottom w:val="none" w:sz="0" w:space="0" w:color="auto"/>
        <w:right w:val="none" w:sz="0" w:space="0" w:color="auto"/>
      </w:divBdr>
    </w:div>
    <w:div w:id="1092507617">
      <w:bodyDiv w:val="1"/>
      <w:marLeft w:val="0"/>
      <w:marRight w:val="0"/>
      <w:marTop w:val="0"/>
      <w:marBottom w:val="0"/>
      <w:divBdr>
        <w:top w:val="none" w:sz="0" w:space="0" w:color="auto"/>
        <w:left w:val="none" w:sz="0" w:space="0" w:color="auto"/>
        <w:bottom w:val="none" w:sz="0" w:space="0" w:color="auto"/>
        <w:right w:val="none" w:sz="0" w:space="0" w:color="auto"/>
      </w:divBdr>
    </w:div>
    <w:div w:id="1093163305">
      <w:bodyDiv w:val="1"/>
      <w:marLeft w:val="0"/>
      <w:marRight w:val="0"/>
      <w:marTop w:val="0"/>
      <w:marBottom w:val="0"/>
      <w:divBdr>
        <w:top w:val="none" w:sz="0" w:space="0" w:color="auto"/>
        <w:left w:val="none" w:sz="0" w:space="0" w:color="auto"/>
        <w:bottom w:val="none" w:sz="0" w:space="0" w:color="auto"/>
        <w:right w:val="none" w:sz="0" w:space="0" w:color="auto"/>
      </w:divBdr>
    </w:div>
    <w:div w:id="1093822971">
      <w:bodyDiv w:val="1"/>
      <w:marLeft w:val="0"/>
      <w:marRight w:val="0"/>
      <w:marTop w:val="0"/>
      <w:marBottom w:val="0"/>
      <w:divBdr>
        <w:top w:val="none" w:sz="0" w:space="0" w:color="auto"/>
        <w:left w:val="none" w:sz="0" w:space="0" w:color="auto"/>
        <w:bottom w:val="none" w:sz="0" w:space="0" w:color="auto"/>
        <w:right w:val="none" w:sz="0" w:space="0" w:color="auto"/>
      </w:divBdr>
    </w:div>
    <w:div w:id="1094856959">
      <w:bodyDiv w:val="1"/>
      <w:marLeft w:val="0"/>
      <w:marRight w:val="0"/>
      <w:marTop w:val="0"/>
      <w:marBottom w:val="0"/>
      <w:divBdr>
        <w:top w:val="none" w:sz="0" w:space="0" w:color="auto"/>
        <w:left w:val="none" w:sz="0" w:space="0" w:color="auto"/>
        <w:bottom w:val="none" w:sz="0" w:space="0" w:color="auto"/>
        <w:right w:val="none" w:sz="0" w:space="0" w:color="auto"/>
      </w:divBdr>
    </w:div>
    <w:div w:id="1096175574">
      <w:bodyDiv w:val="1"/>
      <w:marLeft w:val="0"/>
      <w:marRight w:val="0"/>
      <w:marTop w:val="0"/>
      <w:marBottom w:val="0"/>
      <w:divBdr>
        <w:top w:val="none" w:sz="0" w:space="0" w:color="auto"/>
        <w:left w:val="none" w:sz="0" w:space="0" w:color="auto"/>
        <w:bottom w:val="none" w:sz="0" w:space="0" w:color="auto"/>
        <w:right w:val="none" w:sz="0" w:space="0" w:color="auto"/>
      </w:divBdr>
    </w:div>
    <w:div w:id="1101603474">
      <w:bodyDiv w:val="1"/>
      <w:marLeft w:val="0"/>
      <w:marRight w:val="0"/>
      <w:marTop w:val="0"/>
      <w:marBottom w:val="0"/>
      <w:divBdr>
        <w:top w:val="none" w:sz="0" w:space="0" w:color="auto"/>
        <w:left w:val="none" w:sz="0" w:space="0" w:color="auto"/>
        <w:bottom w:val="none" w:sz="0" w:space="0" w:color="auto"/>
        <w:right w:val="none" w:sz="0" w:space="0" w:color="auto"/>
      </w:divBdr>
    </w:div>
    <w:div w:id="1106581668">
      <w:bodyDiv w:val="1"/>
      <w:marLeft w:val="0"/>
      <w:marRight w:val="0"/>
      <w:marTop w:val="0"/>
      <w:marBottom w:val="0"/>
      <w:divBdr>
        <w:top w:val="none" w:sz="0" w:space="0" w:color="auto"/>
        <w:left w:val="none" w:sz="0" w:space="0" w:color="auto"/>
        <w:bottom w:val="none" w:sz="0" w:space="0" w:color="auto"/>
        <w:right w:val="none" w:sz="0" w:space="0" w:color="auto"/>
      </w:divBdr>
    </w:div>
    <w:div w:id="1107391307">
      <w:bodyDiv w:val="1"/>
      <w:marLeft w:val="0"/>
      <w:marRight w:val="0"/>
      <w:marTop w:val="0"/>
      <w:marBottom w:val="0"/>
      <w:divBdr>
        <w:top w:val="none" w:sz="0" w:space="0" w:color="auto"/>
        <w:left w:val="none" w:sz="0" w:space="0" w:color="auto"/>
        <w:bottom w:val="none" w:sz="0" w:space="0" w:color="auto"/>
        <w:right w:val="none" w:sz="0" w:space="0" w:color="auto"/>
      </w:divBdr>
    </w:div>
    <w:div w:id="1110199771">
      <w:bodyDiv w:val="1"/>
      <w:marLeft w:val="0"/>
      <w:marRight w:val="0"/>
      <w:marTop w:val="0"/>
      <w:marBottom w:val="0"/>
      <w:divBdr>
        <w:top w:val="none" w:sz="0" w:space="0" w:color="auto"/>
        <w:left w:val="none" w:sz="0" w:space="0" w:color="auto"/>
        <w:bottom w:val="none" w:sz="0" w:space="0" w:color="auto"/>
        <w:right w:val="none" w:sz="0" w:space="0" w:color="auto"/>
      </w:divBdr>
    </w:div>
    <w:div w:id="1110928330">
      <w:bodyDiv w:val="1"/>
      <w:marLeft w:val="0"/>
      <w:marRight w:val="0"/>
      <w:marTop w:val="0"/>
      <w:marBottom w:val="0"/>
      <w:divBdr>
        <w:top w:val="none" w:sz="0" w:space="0" w:color="auto"/>
        <w:left w:val="none" w:sz="0" w:space="0" w:color="auto"/>
        <w:bottom w:val="none" w:sz="0" w:space="0" w:color="auto"/>
        <w:right w:val="none" w:sz="0" w:space="0" w:color="auto"/>
      </w:divBdr>
    </w:div>
    <w:div w:id="1111436337">
      <w:bodyDiv w:val="1"/>
      <w:marLeft w:val="0"/>
      <w:marRight w:val="0"/>
      <w:marTop w:val="0"/>
      <w:marBottom w:val="0"/>
      <w:divBdr>
        <w:top w:val="none" w:sz="0" w:space="0" w:color="auto"/>
        <w:left w:val="none" w:sz="0" w:space="0" w:color="auto"/>
        <w:bottom w:val="none" w:sz="0" w:space="0" w:color="auto"/>
        <w:right w:val="none" w:sz="0" w:space="0" w:color="auto"/>
      </w:divBdr>
    </w:div>
    <w:div w:id="1111509542">
      <w:bodyDiv w:val="1"/>
      <w:marLeft w:val="0"/>
      <w:marRight w:val="0"/>
      <w:marTop w:val="0"/>
      <w:marBottom w:val="0"/>
      <w:divBdr>
        <w:top w:val="none" w:sz="0" w:space="0" w:color="auto"/>
        <w:left w:val="none" w:sz="0" w:space="0" w:color="auto"/>
        <w:bottom w:val="none" w:sz="0" w:space="0" w:color="auto"/>
        <w:right w:val="none" w:sz="0" w:space="0" w:color="auto"/>
      </w:divBdr>
    </w:div>
    <w:div w:id="1114055232">
      <w:bodyDiv w:val="1"/>
      <w:marLeft w:val="0"/>
      <w:marRight w:val="0"/>
      <w:marTop w:val="0"/>
      <w:marBottom w:val="0"/>
      <w:divBdr>
        <w:top w:val="none" w:sz="0" w:space="0" w:color="auto"/>
        <w:left w:val="none" w:sz="0" w:space="0" w:color="auto"/>
        <w:bottom w:val="none" w:sz="0" w:space="0" w:color="auto"/>
        <w:right w:val="none" w:sz="0" w:space="0" w:color="auto"/>
      </w:divBdr>
    </w:div>
    <w:div w:id="1114325479">
      <w:bodyDiv w:val="1"/>
      <w:marLeft w:val="0"/>
      <w:marRight w:val="0"/>
      <w:marTop w:val="0"/>
      <w:marBottom w:val="0"/>
      <w:divBdr>
        <w:top w:val="none" w:sz="0" w:space="0" w:color="auto"/>
        <w:left w:val="none" w:sz="0" w:space="0" w:color="auto"/>
        <w:bottom w:val="none" w:sz="0" w:space="0" w:color="auto"/>
        <w:right w:val="none" w:sz="0" w:space="0" w:color="auto"/>
      </w:divBdr>
    </w:div>
    <w:div w:id="1114977552">
      <w:bodyDiv w:val="1"/>
      <w:marLeft w:val="0"/>
      <w:marRight w:val="0"/>
      <w:marTop w:val="0"/>
      <w:marBottom w:val="0"/>
      <w:divBdr>
        <w:top w:val="none" w:sz="0" w:space="0" w:color="auto"/>
        <w:left w:val="none" w:sz="0" w:space="0" w:color="auto"/>
        <w:bottom w:val="none" w:sz="0" w:space="0" w:color="auto"/>
        <w:right w:val="none" w:sz="0" w:space="0" w:color="auto"/>
      </w:divBdr>
    </w:div>
    <w:div w:id="1115708690">
      <w:bodyDiv w:val="1"/>
      <w:marLeft w:val="0"/>
      <w:marRight w:val="0"/>
      <w:marTop w:val="0"/>
      <w:marBottom w:val="0"/>
      <w:divBdr>
        <w:top w:val="none" w:sz="0" w:space="0" w:color="auto"/>
        <w:left w:val="none" w:sz="0" w:space="0" w:color="auto"/>
        <w:bottom w:val="none" w:sz="0" w:space="0" w:color="auto"/>
        <w:right w:val="none" w:sz="0" w:space="0" w:color="auto"/>
      </w:divBdr>
    </w:div>
    <w:div w:id="1119569652">
      <w:bodyDiv w:val="1"/>
      <w:marLeft w:val="0"/>
      <w:marRight w:val="0"/>
      <w:marTop w:val="0"/>
      <w:marBottom w:val="0"/>
      <w:divBdr>
        <w:top w:val="none" w:sz="0" w:space="0" w:color="auto"/>
        <w:left w:val="none" w:sz="0" w:space="0" w:color="auto"/>
        <w:bottom w:val="none" w:sz="0" w:space="0" w:color="auto"/>
        <w:right w:val="none" w:sz="0" w:space="0" w:color="auto"/>
      </w:divBdr>
    </w:div>
    <w:div w:id="1119646474">
      <w:bodyDiv w:val="1"/>
      <w:marLeft w:val="0"/>
      <w:marRight w:val="0"/>
      <w:marTop w:val="0"/>
      <w:marBottom w:val="0"/>
      <w:divBdr>
        <w:top w:val="none" w:sz="0" w:space="0" w:color="auto"/>
        <w:left w:val="none" w:sz="0" w:space="0" w:color="auto"/>
        <w:bottom w:val="none" w:sz="0" w:space="0" w:color="auto"/>
        <w:right w:val="none" w:sz="0" w:space="0" w:color="auto"/>
      </w:divBdr>
    </w:div>
    <w:div w:id="1119835369">
      <w:bodyDiv w:val="1"/>
      <w:marLeft w:val="0"/>
      <w:marRight w:val="0"/>
      <w:marTop w:val="0"/>
      <w:marBottom w:val="0"/>
      <w:divBdr>
        <w:top w:val="none" w:sz="0" w:space="0" w:color="auto"/>
        <w:left w:val="none" w:sz="0" w:space="0" w:color="auto"/>
        <w:bottom w:val="none" w:sz="0" w:space="0" w:color="auto"/>
        <w:right w:val="none" w:sz="0" w:space="0" w:color="auto"/>
      </w:divBdr>
    </w:div>
    <w:div w:id="1124613392">
      <w:bodyDiv w:val="1"/>
      <w:marLeft w:val="0"/>
      <w:marRight w:val="0"/>
      <w:marTop w:val="0"/>
      <w:marBottom w:val="0"/>
      <w:divBdr>
        <w:top w:val="none" w:sz="0" w:space="0" w:color="auto"/>
        <w:left w:val="none" w:sz="0" w:space="0" w:color="auto"/>
        <w:bottom w:val="none" w:sz="0" w:space="0" w:color="auto"/>
        <w:right w:val="none" w:sz="0" w:space="0" w:color="auto"/>
      </w:divBdr>
    </w:div>
    <w:div w:id="1124620797">
      <w:bodyDiv w:val="1"/>
      <w:marLeft w:val="0"/>
      <w:marRight w:val="0"/>
      <w:marTop w:val="0"/>
      <w:marBottom w:val="0"/>
      <w:divBdr>
        <w:top w:val="none" w:sz="0" w:space="0" w:color="auto"/>
        <w:left w:val="none" w:sz="0" w:space="0" w:color="auto"/>
        <w:bottom w:val="none" w:sz="0" w:space="0" w:color="auto"/>
        <w:right w:val="none" w:sz="0" w:space="0" w:color="auto"/>
      </w:divBdr>
    </w:div>
    <w:div w:id="1125077556">
      <w:bodyDiv w:val="1"/>
      <w:marLeft w:val="0"/>
      <w:marRight w:val="0"/>
      <w:marTop w:val="0"/>
      <w:marBottom w:val="0"/>
      <w:divBdr>
        <w:top w:val="none" w:sz="0" w:space="0" w:color="auto"/>
        <w:left w:val="none" w:sz="0" w:space="0" w:color="auto"/>
        <w:bottom w:val="none" w:sz="0" w:space="0" w:color="auto"/>
        <w:right w:val="none" w:sz="0" w:space="0" w:color="auto"/>
      </w:divBdr>
    </w:div>
    <w:div w:id="1125464071">
      <w:bodyDiv w:val="1"/>
      <w:marLeft w:val="0"/>
      <w:marRight w:val="0"/>
      <w:marTop w:val="0"/>
      <w:marBottom w:val="0"/>
      <w:divBdr>
        <w:top w:val="none" w:sz="0" w:space="0" w:color="auto"/>
        <w:left w:val="none" w:sz="0" w:space="0" w:color="auto"/>
        <w:bottom w:val="none" w:sz="0" w:space="0" w:color="auto"/>
        <w:right w:val="none" w:sz="0" w:space="0" w:color="auto"/>
      </w:divBdr>
    </w:div>
    <w:div w:id="1125655260">
      <w:bodyDiv w:val="1"/>
      <w:marLeft w:val="0"/>
      <w:marRight w:val="0"/>
      <w:marTop w:val="0"/>
      <w:marBottom w:val="0"/>
      <w:divBdr>
        <w:top w:val="none" w:sz="0" w:space="0" w:color="auto"/>
        <w:left w:val="none" w:sz="0" w:space="0" w:color="auto"/>
        <w:bottom w:val="none" w:sz="0" w:space="0" w:color="auto"/>
        <w:right w:val="none" w:sz="0" w:space="0" w:color="auto"/>
      </w:divBdr>
      <w:divsChild>
        <w:div w:id="1760717206">
          <w:marLeft w:val="706"/>
          <w:marRight w:val="0"/>
          <w:marTop w:val="0"/>
          <w:marBottom w:val="0"/>
          <w:divBdr>
            <w:top w:val="none" w:sz="0" w:space="0" w:color="auto"/>
            <w:left w:val="none" w:sz="0" w:space="0" w:color="auto"/>
            <w:bottom w:val="none" w:sz="0" w:space="0" w:color="auto"/>
            <w:right w:val="none" w:sz="0" w:space="0" w:color="auto"/>
          </w:divBdr>
        </w:div>
      </w:divsChild>
    </w:div>
    <w:div w:id="1125662377">
      <w:bodyDiv w:val="1"/>
      <w:marLeft w:val="0"/>
      <w:marRight w:val="0"/>
      <w:marTop w:val="0"/>
      <w:marBottom w:val="0"/>
      <w:divBdr>
        <w:top w:val="none" w:sz="0" w:space="0" w:color="auto"/>
        <w:left w:val="none" w:sz="0" w:space="0" w:color="auto"/>
        <w:bottom w:val="none" w:sz="0" w:space="0" w:color="auto"/>
        <w:right w:val="none" w:sz="0" w:space="0" w:color="auto"/>
      </w:divBdr>
    </w:div>
    <w:div w:id="1125734179">
      <w:bodyDiv w:val="1"/>
      <w:marLeft w:val="0"/>
      <w:marRight w:val="0"/>
      <w:marTop w:val="0"/>
      <w:marBottom w:val="0"/>
      <w:divBdr>
        <w:top w:val="none" w:sz="0" w:space="0" w:color="auto"/>
        <w:left w:val="none" w:sz="0" w:space="0" w:color="auto"/>
        <w:bottom w:val="none" w:sz="0" w:space="0" w:color="auto"/>
        <w:right w:val="none" w:sz="0" w:space="0" w:color="auto"/>
      </w:divBdr>
    </w:div>
    <w:div w:id="1126509936">
      <w:bodyDiv w:val="1"/>
      <w:marLeft w:val="0"/>
      <w:marRight w:val="0"/>
      <w:marTop w:val="0"/>
      <w:marBottom w:val="0"/>
      <w:divBdr>
        <w:top w:val="none" w:sz="0" w:space="0" w:color="auto"/>
        <w:left w:val="none" w:sz="0" w:space="0" w:color="auto"/>
        <w:bottom w:val="none" w:sz="0" w:space="0" w:color="auto"/>
        <w:right w:val="none" w:sz="0" w:space="0" w:color="auto"/>
      </w:divBdr>
    </w:div>
    <w:div w:id="1127816106">
      <w:bodyDiv w:val="1"/>
      <w:marLeft w:val="0"/>
      <w:marRight w:val="0"/>
      <w:marTop w:val="0"/>
      <w:marBottom w:val="0"/>
      <w:divBdr>
        <w:top w:val="none" w:sz="0" w:space="0" w:color="auto"/>
        <w:left w:val="none" w:sz="0" w:space="0" w:color="auto"/>
        <w:bottom w:val="none" w:sz="0" w:space="0" w:color="auto"/>
        <w:right w:val="none" w:sz="0" w:space="0" w:color="auto"/>
      </w:divBdr>
    </w:div>
    <w:div w:id="1128743775">
      <w:bodyDiv w:val="1"/>
      <w:marLeft w:val="0"/>
      <w:marRight w:val="0"/>
      <w:marTop w:val="0"/>
      <w:marBottom w:val="0"/>
      <w:divBdr>
        <w:top w:val="none" w:sz="0" w:space="0" w:color="auto"/>
        <w:left w:val="none" w:sz="0" w:space="0" w:color="auto"/>
        <w:bottom w:val="none" w:sz="0" w:space="0" w:color="auto"/>
        <w:right w:val="none" w:sz="0" w:space="0" w:color="auto"/>
      </w:divBdr>
    </w:div>
    <w:div w:id="1130246403">
      <w:bodyDiv w:val="1"/>
      <w:marLeft w:val="0"/>
      <w:marRight w:val="0"/>
      <w:marTop w:val="0"/>
      <w:marBottom w:val="0"/>
      <w:divBdr>
        <w:top w:val="none" w:sz="0" w:space="0" w:color="auto"/>
        <w:left w:val="none" w:sz="0" w:space="0" w:color="auto"/>
        <w:bottom w:val="none" w:sz="0" w:space="0" w:color="auto"/>
        <w:right w:val="none" w:sz="0" w:space="0" w:color="auto"/>
      </w:divBdr>
    </w:div>
    <w:div w:id="1131242823">
      <w:bodyDiv w:val="1"/>
      <w:marLeft w:val="0"/>
      <w:marRight w:val="0"/>
      <w:marTop w:val="0"/>
      <w:marBottom w:val="0"/>
      <w:divBdr>
        <w:top w:val="none" w:sz="0" w:space="0" w:color="auto"/>
        <w:left w:val="none" w:sz="0" w:space="0" w:color="auto"/>
        <w:bottom w:val="none" w:sz="0" w:space="0" w:color="auto"/>
        <w:right w:val="none" w:sz="0" w:space="0" w:color="auto"/>
      </w:divBdr>
    </w:div>
    <w:div w:id="1133062169">
      <w:bodyDiv w:val="1"/>
      <w:marLeft w:val="0"/>
      <w:marRight w:val="0"/>
      <w:marTop w:val="0"/>
      <w:marBottom w:val="0"/>
      <w:divBdr>
        <w:top w:val="none" w:sz="0" w:space="0" w:color="auto"/>
        <w:left w:val="none" w:sz="0" w:space="0" w:color="auto"/>
        <w:bottom w:val="none" w:sz="0" w:space="0" w:color="auto"/>
        <w:right w:val="none" w:sz="0" w:space="0" w:color="auto"/>
      </w:divBdr>
    </w:div>
    <w:div w:id="1134057854">
      <w:bodyDiv w:val="1"/>
      <w:marLeft w:val="0"/>
      <w:marRight w:val="0"/>
      <w:marTop w:val="0"/>
      <w:marBottom w:val="0"/>
      <w:divBdr>
        <w:top w:val="none" w:sz="0" w:space="0" w:color="auto"/>
        <w:left w:val="none" w:sz="0" w:space="0" w:color="auto"/>
        <w:bottom w:val="none" w:sz="0" w:space="0" w:color="auto"/>
        <w:right w:val="none" w:sz="0" w:space="0" w:color="auto"/>
      </w:divBdr>
    </w:div>
    <w:div w:id="1134711875">
      <w:bodyDiv w:val="1"/>
      <w:marLeft w:val="0"/>
      <w:marRight w:val="0"/>
      <w:marTop w:val="0"/>
      <w:marBottom w:val="0"/>
      <w:divBdr>
        <w:top w:val="none" w:sz="0" w:space="0" w:color="auto"/>
        <w:left w:val="none" w:sz="0" w:space="0" w:color="auto"/>
        <w:bottom w:val="none" w:sz="0" w:space="0" w:color="auto"/>
        <w:right w:val="none" w:sz="0" w:space="0" w:color="auto"/>
      </w:divBdr>
    </w:div>
    <w:div w:id="1136798948">
      <w:bodyDiv w:val="1"/>
      <w:marLeft w:val="0"/>
      <w:marRight w:val="0"/>
      <w:marTop w:val="0"/>
      <w:marBottom w:val="0"/>
      <w:divBdr>
        <w:top w:val="none" w:sz="0" w:space="0" w:color="auto"/>
        <w:left w:val="none" w:sz="0" w:space="0" w:color="auto"/>
        <w:bottom w:val="none" w:sz="0" w:space="0" w:color="auto"/>
        <w:right w:val="none" w:sz="0" w:space="0" w:color="auto"/>
      </w:divBdr>
    </w:div>
    <w:div w:id="1139031810">
      <w:bodyDiv w:val="1"/>
      <w:marLeft w:val="0"/>
      <w:marRight w:val="0"/>
      <w:marTop w:val="0"/>
      <w:marBottom w:val="0"/>
      <w:divBdr>
        <w:top w:val="none" w:sz="0" w:space="0" w:color="auto"/>
        <w:left w:val="none" w:sz="0" w:space="0" w:color="auto"/>
        <w:bottom w:val="none" w:sz="0" w:space="0" w:color="auto"/>
        <w:right w:val="none" w:sz="0" w:space="0" w:color="auto"/>
      </w:divBdr>
    </w:div>
    <w:div w:id="1139570605">
      <w:bodyDiv w:val="1"/>
      <w:marLeft w:val="0"/>
      <w:marRight w:val="0"/>
      <w:marTop w:val="0"/>
      <w:marBottom w:val="0"/>
      <w:divBdr>
        <w:top w:val="none" w:sz="0" w:space="0" w:color="auto"/>
        <w:left w:val="none" w:sz="0" w:space="0" w:color="auto"/>
        <w:bottom w:val="none" w:sz="0" w:space="0" w:color="auto"/>
        <w:right w:val="none" w:sz="0" w:space="0" w:color="auto"/>
      </w:divBdr>
    </w:div>
    <w:div w:id="1139808576">
      <w:bodyDiv w:val="1"/>
      <w:marLeft w:val="0"/>
      <w:marRight w:val="0"/>
      <w:marTop w:val="0"/>
      <w:marBottom w:val="0"/>
      <w:divBdr>
        <w:top w:val="none" w:sz="0" w:space="0" w:color="auto"/>
        <w:left w:val="none" w:sz="0" w:space="0" w:color="auto"/>
        <w:bottom w:val="none" w:sz="0" w:space="0" w:color="auto"/>
        <w:right w:val="none" w:sz="0" w:space="0" w:color="auto"/>
      </w:divBdr>
    </w:div>
    <w:div w:id="1142306069">
      <w:bodyDiv w:val="1"/>
      <w:marLeft w:val="0"/>
      <w:marRight w:val="0"/>
      <w:marTop w:val="0"/>
      <w:marBottom w:val="0"/>
      <w:divBdr>
        <w:top w:val="none" w:sz="0" w:space="0" w:color="auto"/>
        <w:left w:val="none" w:sz="0" w:space="0" w:color="auto"/>
        <w:bottom w:val="none" w:sz="0" w:space="0" w:color="auto"/>
        <w:right w:val="none" w:sz="0" w:space="0" w:color="auto"/>
      </w:divBdr>
    </w:div>
    <w:div w:id="1145581628">
      <w:bodyDiv w:val="1"/>
      <w:marLeft w:val="0"/>
      <w:marRight w:val="0"/>
      <w:marTop w:val="0"/>
      <w:marBottom w:val="0"/>
      <w:divBdr>
        <w:top w:val="none" w:sz="0" w:space="0" w:color="auto"/>
        <w:left w:val="none" w:sz="0" w:space="0" w:color="auto"/>
        <w:bottom w:val="none" w:sz="0" w:space="0" w:color="auto"/>
        <w:right w:val="none" w:sz="0" w:space="0" w:color="auto"/>
      </w:divBdr>
    </w:div>
    <w:div w:id="1146892569">
      <w:bodyDiv w:val="1"/>
      <w:marLeft w:val="0"/>
      <w:marRight w:val="0"/>
      <w:marTop w:val="0"/>
      <w:marBottom w:val="0"/>
      <w:divBdr>
        <w:top w:val="none" w:sz="0" w:space="0" w:color="auto"/>
        <w:left w:val="none" w:sz="0" w:space="0" w:color="auto"/>
        <w:bottom w:val="none" w:sz="0" w:space="0" w:color="auto"/>
        <w:right w:val="none" w:sz="0" w:space="0" w:color="auto"/>
      </w:divBdr>
    </w:div>
    <w:div w:id="1148546166">
      <w:bodyDiv w:val="1"/>
      <w:marLeft w:val="0"/>
      <w:marRight w:val="0"/>
      <w:marTop w:val="0"/>
      <w:marBottom w:val="0"/>
      <w:divBdr>
        <w:top w:val="none" w:sz="0" w:space="0" w:color="auto"/>
        <w:left w:val="none" w:sz="0" w:space="0" w:color="auto"/>
        <w:bottom w:val="none" w:sz="0" w:space="0" w:color="auto"/>
        <w:right w:val="none" w:sz="0" w:space="0" w:color="auto"/>
      </w:divBdr>
    </w:div>
    <w:div w:id="1148592793">
      <w:bodyDiv w:val="1"/>
      <w:marLeft w:val="0"/>
      <w:marRight w:val="0"/>
      <w:marTop w:val="0"/>
      <w:marBottom w:val="0"/>
      <w:divBdr>
        <w:top w:val="none" w:sz="0" w:space="0" w:color="auto"/>
        <w:left w:val="none" w:sz="0" w:space="0" w:color="auto"/>
        <w:bottom w:val="none" w:sz="0" w:space="0" w:color="auto"/>
        <w:right w:val="none" w:sz="0" w:space="0" w:color="auto"/>
      </w:divBdr>
    </w:div>
    <w:div w:id="1149441548">
      <w:bodyDiv w:val="1"/>
      <w:marLeft w:val="0"/>
      <w:marRight w:val="0"/>
      <w:marTop w:val="0"/>
      <w:marBottom w:val="0"/>
      <w:divBdr>
        <w:top w:val="none" w:sz="0" w:space="0" w:color="auto"/>
        <w:left w:val="none" w:sz="0" w:space="0" w:color="auto"/>
        <w:bottom w:val="none" w:sz="0" w:space="0" w:color="auto"/>
        <w:right w:val="none" w:sz="0" w:space="0" w:color="auto"/>
      </w:divBdr>
    </w:div>
    <w:div w:id="1150559253">
      <w:bodyDiv w:val="1"/>
      <w:marLeft w:val="0"/>
      <w:marRight w:val="0"/>
      <w:marTop w:val="0"/>
      <w:marBottom w:val="0"/>
      <w:divBdr>
        <w:top w:val="none" w:sz="0" w:space="0" w:color="auto"/>
        <w:left w:val="none" w:sz="0" w:space="0" w:color="auto"/>
        <w:bottom w:val="none" w:sz="0" w:space="0" w:color="auto"/>
        <w:right w:val="none" w:sz="0" w:space="0" w:color="auto"/>
      </w:divBdr>
    </w:div>
    <w:div w:id="1151560055">
      <w:bodyDiv w:val="1"/>
      <w:marLeft w:val="0"/>
      <w:marRight w:val="0"/>
      <w:marTop w:val="0"/>
      <w:marBottom w:val="0"/>
      <w:divBdr>
        <w:top w:val="none" w:sz="0" w:space="0" w:color="auto"/>
        <w:left w:val="none" w:sz="0" w:space="0" w:color="auto"/>
        <w:bottom w:val="none" w:sz="0" w:space="0" w:color="auto"/>
        <w:right w:val="none" w:sz="0" w:space="0" w:color="auto"/>
      </w:divBdr>
    </w:div>
    <w:div w:id="1152722476">
      <w:bodyDiv w:val="1"/>
      <w:marLeft w:val="0"/>
      <w:marRight w:val="0"/>
      <w:marTop w:val="0"/>
      <w:marBottom w:val="0"/>
      <w:divBdr>
        <w:top w:val="none" w:sz="0" w:space="0" w:color="auto"/>
        <w:left w:val="none" w:sz="0" w:space="0" w:color="auto"/>
        <w:bottom w:val="none" w:sz="0" w:space="0" w:color="auto"/>
        <w:right w:val="none" w:sz="0" w:space="0" w:color="auto"/>
      </w:divBdr>
    </w:div>
    <w:div w:id="1153251124">
      <w:bodyDiv w:val="1"/>
      <w:marLeft w:val="0"/>
      <w:marRight w:val="0"/>
      <w:marTop w:val="0"/>
      <w:marBottom w:val="0"/>
      <w:divBdr>
        <w:top w:val="none" w:sz="0" w:space="0" w:color="auto"/>
        <w:left w:val="none" w:sz="0" w:space="0" w:color="auto"/>
        <w:bottom w:val="none" w:sz="0" w:space="0" w:color="auto"/>
        <w:right w:val="none" w:sz="0" w:space="0" w:color="auto"/>
      </w:divBdr>
    </w:div>
    <w:div w:id="1155419400">
      <w:bodyDiv w:val="1"/>
      <w:marLeft w:val="0"/>
      <w:marRight w:val="0"/>
      <w:marTop w:val="0"/>
      <w:marBottom w:val="0"/>
      <w:divBdr>
        <w:top w:val="none" w:sz="0" w:space="0" w:color="auto"/>
        <w:left w:val="none" w:sz="0" w:space="0" w:color="auto"/>
        <w:bottom w:val="none" w:sz="0" w:space="0" w:color="auto"/>
        <w:right w:val="none" w:sz="0" w:space="0" w:color="auto"/>
      </w:divBdr>
    </w:div>
    <w:div w:id="1158226906">
      <w:bodyDiv w:val="1"/>
      <w:marLeft w:val="0"/>
      <w:marRight w:val="0"/>
      <w:marTop w:val="0"/>
      <w:marBottom w:val="0"/>
      <w:divBdr>
        <w:top w:val="none" w:sz="0" w:space="0" w:color="auto"/>
        <w:left w:val="none" w:sz="0" w:space="0" w:color="auto"/>
        <w:bottom w:val="none" w:sz="0" w:space="0" w:color="auto"/>
        <w:right w:val="none" w:sz="0" w:space="0" w:color="auto"/>
      </w:divBdr>
    </w:div>
    <w:div w:id="1158352026">
      <w:bodyDiv w:val="1"/>
      <w:marLeft w:val="0"/>
      <w:marRight w:val="0"/>
      <w:marTop w:val="0"/>
      <w:marBottom w:val="0"/>
      <w:divBdr>
        <w:top w:val="none" w:sz="0" w:space="0" w:color="auto"/>
        <w:left w:val="none" w:sz="0" w:space="0" w:color="auto"/>
        <w:bottom w:val="none" w:sz="0" w:space="0" w:color="auto"/>
        <w:right w:val="none" w:sz="0" w:space="0" w:color="auto"/>
      </w:divBdr>
    </w:div>
    <w:div w:id="1159342788">
      <w:bodyDiv w:val="1"/>
      <w:marLeft w:val="0"/>
      <w:marRight w:val="0"/>
      <w:marTop w:val="0"/>
      <w:marBottom w:val="0"/>
      <w:divBdr>
        <w:top w:val="none" w:sz="0" w:space="0" w:color="auto"/>
        <w:left w:val="none" w:sz="0" w:space="0" w:color="auto"/>
        <w:bottom w:val="none" w:sz="0" w:space="0" w:color="auto"/>
        <w:right w:val="none" w:sz="0" w:space="0" w:color="auto"/>
      </w:divBdr>
    </w:div>
    <w:div w:id="1159733907">
      <w:bodyDiv w:val="1"/>
      <w:marLeft w:val="0"/>
      <w:marRight w:val="0"/>
      <w:marTop w:val="0"/>
      <w:marBottom w:val="0"/>
      <w:divBdr>
        <w:top w:val="none" w:sz="0" w:space="0" w:color="auto"/>
        <w:left w:val="none" w:sz="0" w:space="0" w:color="auto"/>
        <w:bottom w:val="none" w:sz="0" w:space="0" w:color="auto"/>
        <w:right w:val="none" w:sz="0" w:space="0" w:color="auto"/>
      </w:divBdr>
    </w:div>
    <w:div w:id="1162113633">
      <w:bodyDiv w:val="1"/>
      <w:marLeft w:val="0"/>
      <w:marRight w:val="0"/>
      <w:marTop w:val="0"/>
      <w:marBottom w:val="0"/>
      <w:divBdr>
        <w:top w:val="none" w:sz="0" w:space="0" w:color="auto"/>
        <w:left w:val="none" w:sz="0" w:space="0" w:color="auto"/>
        <w:bottom w:val="none" w:sz="0" w:space="0" w:color="auto"/>
        <w:right w:val="none" w:sz="0" w:space="0" w:color="auto"/>
      </w:divBdr>
    </w:div>
    <w:div w:id="1163082077">
      <w:bodyDiv w:val="1"/>
      <w:marLeft w:val="0"/>
      <w:marRight w:val="0"/>
      <w:marTop w:val="0"/>
      <w:marBottom w:val="0"/>
      <w:divBdr>
        <w:top w:val="none" w:sz="0" w:space="0" w:color="auto"/>
        <w:left w:val="none" w:sz="0" w:space="0" w:color="auto"/>
        <w:bottom w:val="none" w:sz="0" w:space="0" w:color="auto"/>
        <w:right w:val="none" w:sz="0" w:space="0" w:color="auto"/>
      </w:divBdr>
    </w:div>
    <w:div w:id="1167014182">
      <w:bodyDiv w:val="1"/>
      <w:marLeft w:val="0"/>
      <w:marRight w:val="0"/>
      <w:marTop w:val="0"/>
      <w:marBottom w:val="0"/>
      <w:divBdr>
        <w:top w:val="none" w:sz="0" w:space="0" w:color="auto"/>
        <w:left w:val="none" w:sz="0" w:space="0" w:color="auto"/>
        <w:bottom w:val="none" w:sz="0" w:space="0" w:color="auto"/>
        <w:right w:val="none" w:sz="0" w:space="0" w:color="auto"/>
      </w:divBdr>
    </w:div>
    <w:div w:id="1167332148">
      <w:bodyDiv w:val="1"/>
      <w:marLeft w:val="0"/>
      <w:marRight w:val="0"/>
      <w:marTop w:val="0"/>
      <w:marBottom w:val="0"/>
      <w:divBdr>
        <w:top w:val="none" w:sz="0" w:space="0" w:color="auto"/>
        <w:left w:val="none" w:sz="0" w:space="0" w:color="auto"/>
        <w:bottom w:val="none" w:sz="0" w:space="0" w:color="auto"/>
        <w:right w:val="none" w:sz="0" w:space="0" w:color="auto"/>
      </w:divBdr>
    </w:div>
    <w:div w:id="1167591840">
      <w:bodyDiv w:val="1"/>
      <w:marLeft w:val="0"/>
      <w:marRight w:val="0"/>
      <w:marTop w:val="0"/>
      <w:marBottom w:val="0"/>
      <w:divBdr>
        <w:top w:val="none" w:sz="0" w:space="0" w:color="auto"/>
        <w:left w:val="none" w:sz="0" w:space="0" w:color="auto"/>
        <w:bottom w:val="none" w:sz="0" w:space="0" w:color="auto"/>
        <w:right w:val="none" w:sz="0" w:space="0" w:color="auto"/>
      </w:divBdr>
    </w:div>
    <w:div w:id="1172834353">
      <w:bodyDiv w:val="1"/>
      <w:marLeft w:val="0"/>
      <w:marRight w:val="0"/>
      <w:marTop w:val="0"/>
      <w:marBottom w:val="0"/>
      <w:divBdr>
        <w:top w:val="none" w:sz="0" w:space="0" w:color="auto"/>
        <w:left w:val="none" w:sz="0" w:space="0" w:color="auto"/>
        <w:bottom w:val="none" w:sz="0" w:space="0" w:color="auto"/>
        <w:right w:val="none" w:sz="0" w:space="0" w:color="auto"/>
      </w:divBdr>
    </w:div>
    <w:div w:id="1178303726">
      <w:bodyDiv w:val="1"/>
      <w:marLeft w:val="0"/>
      <w:marRight w:val="0"/>
      <w:marTop w:val="0"/>
      <w:marBottom w:val="0"/>
      <w:divBdr>
        <w:top w:val="none" w:sz="0" w:space="0" w:color="auto"/>
        <w:left w:val="none" w:sz="0" w:space="0" w:color="auto"/>
        <w:bottom w:val="none" w:sz="0" w:space="0" w:color="auto"/>
        <w:right w:val="none" w:sz="0" w:space="0" w:color="auto"/>
      </w:divBdr>
    </w:div>
    <w:div w:id="1181896449">
      <w:bodyDiv w:val="1"/>
      <w:marLeft w:val="0"/>
      <w:marRight w:val="0"/>
      <w:marTop w:val="0"/>
      <w:marBottom w:val="0"/>
      <w:divBdr>
        <w:top w:val="none" w:sz="0" w:space="0" w:color="auto"/>
        <w:left w:val="none" w:sz="0" w:space="0" w:color="auto"/>
        <w:bottom w:val="none" w:sz="0" w:space="0" w:color="auto"/>
        <w:right w:val="none" w:sz="0" w:space="0" w:color="auto"/>
      </w:divBdr>
    </w:div>
    <w:div w:id="1183277662">
      <w:bodyDiv w:val="1"/>
      <w:marLeft w:val="0"/>
      <w:marRight w:val="0"/>
      <w:marTop w:val="0"/>
      <w:marBottom w:val="0"/>
      <w:divBdr>
        <w:top w:val="none" w:sz="0" w:space="0" w:color="auto"/>
        <w:left w:val="none" w:sz="0" w:space="0" w:color="auto"/>
        <w:bottom w:val="none" w:sz="0" w:space="0" w:color="auto"/>
        <w:right w:val="none" w:sz="0" w:space="0" w:color="auto"/>
      </w:divBdr>
    </w:div>
    <w:div w:id="1183975889">
      <w:bodyDiv w:val="1"/>
      <w:marLeft w:val="0"/>
      <w:marRight w:val="0"/>
      <w:marTop w:val="0"/>
      <w:marBottom w:val="0"/>
      <w:divBdr>
        <w:top w:val="none" w:sz="0" w:space="0" w:color="auto"/>
        <w:left w:val="none" w:sz="0" w:space="0" w:color="auto"/>
        <w:bottom w:val="none" w:sz="0" w:space="0" w:color="auto"/>
        <w:right w:val="none" w:sz="0" w:space="0" w:color="auto"/>
      </w:divBdr>
    </w:div>
    <w:div w:id="1187792147">
      <w:bodyDiv w:val="1"/>
      <w:marLeft w:val="0"/>
      <w:marRight w:val="0"/>
      <w:marTop w:val="0"/>
      <w:marBottom w:val="0"/>
      <w:divBdr>
        <w:top w:val="none" w:sz="0" w:space="0" w:color="auto"/>
        <w:left w:val="none" w:sz="0" w:space="0" w:color="auto"/>
        <w:bottom w:val="none" w:sz="0" w:space="0" w:color="auto"/>
        <w:right w:val="none" w:sz="0" w:space="0" w:color="auto"/>
      </w:divBdr>
    </w:div>
    <w:div w:id="1188526745">
      <w:bodyDiv w:val="1"/>
      <w:marLeft w:val="0"/>
      <w:marRight w:val="0"/>
      <w:marTop w:val="0"/>
      <w:marBottom w:val="0"/>
      <w:divBdr>
        <w:top w:val="none" w:sz="0" w:space="0" w:color="auto"/>
        <w:left w:val="none" w:sz="0" w:space="0" w:color="auto"/>
        <w:bottom w:val="none" w:sz="0" w:space="0" w:color="auto"/>
        <w:right w:val="none" w:sz="0" w:space="0" w:color="auto"/>
      </w:divBdr>
    </w:div>
    <w:div w:id="1191529771">
      <w:bodyDiv w:val="1"/>
      <w:marLeft w:val="0"/>
      <w:marRight w:val="0"/>
      <w:marTop w:val="0"/>
      <w:marBottom w:val="0"/>
      <w:divBdr>
        <w:top w:val="none" w:sz="0" w:space="0" w:color="auto"/>
        <w:left w:val="none" w:sz="0" w:space="0" w:color="auto"/>
        <w:bottom w:val="none" w:sz="0" w:space="0" w:color="auto"/>
        <w:right w:val="none" w:sz="0" w:space="0" w:color="auto"/>
      </w:divBdr>
    </w:div>
    <w:div w:id="1192107758">
      <w:bodyDiv w:val="1"/>
      <w:marLeft w:val="0"/>
      <w:marRight w:val="0"/>
      <w:marTop w:val="0"/>
      <w:marBottom w:val="0"/>
      <w:divBdr>
        <w:top w:val="none" w:sz="0" w:space="0" w:color="auto"/>
        <w:left w:val="none" w:sz="0" w:space="0" w:color="auto"/>
        <w:bottom w:val="none" w:sz="0" w:space="0" w:color="auto"/>
        <w:right w:val="none" w:sz="0" w:space="0" w:color="auto"/>
      </w:divBdr>
    </w:div>
    <w:div w:id="1192691409">
      <w:bodyDiv w:val="1"/>
      <w:marLeft w:val="0"/>
      <w:marRight w:val="0"/>
      <w:marTop w:val="0"/>
      <w:marBottom w:val="0"/>
      <w:divBdr>
        <w:top w:val="none" w:sz="0" w:space="0" w:color="auto"/>
        <w:left w:val="none" w:sz="0" w:space="0" w:color="auto"/>
        <w:bottom w:val="none" w:sz="0" w:space="0" w:color="auto"/>
        <w:right w:val="none" w:sz="0" w:space="0" w:color="auto"/>
      </w:divBdr>
    </w:div>
    <w:div w:id="1192916365">
      <w:bodyDiv w:val="1"/>
      <w:marLeft w:val="0"/>
      <w:marRight w:val="0"/>
      <w:marTop w:val="0"/>
      <w:marBottom w:val="0"/>
      <w:divBdr>
        <w:top w:val="none" w:sz="0" w:space="0" w:color="auto"/>
        <w:left w:val="none" w:sz="0" w:space="0" w:color="auto"/>
        <w:bottom w:val="none" w:sz="0" w:space="0" w:color="auto"/>
        <w:right w:val="none" w:sz="0" w:space="0" w:color="auto"/>
      </w:divBdr>
    </w:div>
    <w:div w:id="1193155015">
      <w:bodyDiv w:val="1"/>
      <w:marLeft w:val="0"/>
      <w:marRight w:val="0"/>
      <w:marTop w:val="0"/>
      <w:marBottom w:val="0"/>
      <w:divBdr>
        <w:top w:val="none" w:sz="0" w:space="0" w:color="auto"/>
        <w:left w:val="none" w:sz="0" w:space="0" w:color="auto"/>
        <w:bottom w:val="none" w:sz="0" w:space="0" w:color="auto"/>
        <w:right w:val="none" w:sz="0" w:space="0" w:color="auto"/>
      </w:divBdr>
    </w:div>
    <w:div w:id="1194147123">
      <w:bodyDiv w:val="1"/>
      <w:marLeft w:val="0"/>
      <w:marRight w:val="0"/>
      <w:marTop w:val="0"/>
      <w:marBottom w:val="0"/>
      <w:divBdr>
        <w:top w:val="none" w:sz="0" w:space="0" w:color="auto"/>
        <w:left w:val="none" w:sz="0" w:space="0" w:color="auto"/>
        <w:bottom w:val="none" w:sz="0" w:space="0" w:color="auto"/>
        <w:right w:val="none" w:sz="0" w:space="0" w:color="auto"/>
      </w:divBdr>
    </w:div>
    <w:div w:id="1194462656">
      <w:bodyDiv w:val="1"/>
      <w:marLeft w:val="0"/>
      <w:marRight w:val="0"/>
      <w:marTop w:val="0"/>
      <w:marBottom w:val="0"/>
      <w:divBdr>
        <w:top w:val="none" w:sz="0" w:space="0" w:color="auto"/>
        <w:left w:val="none" w:sz="0" w:space="0" w:color="auto"/>
        <w:bottom w:val="none" w:sz="0" w:space="0" w:color="auto"/>
        <w:right w:val="none" w:sz="0" w:space="0" w:color="auto"/>
      </w:divBdr>
    </w:div>
    <w:div w:id="1195773420">
      <w:bodyDiv w:val="1"/>
      <w:marLeft w:val="0"/>
      <w:marRight w:val="0"/>
      <w:marTop w:val="0"/>
      <w:marBottom w:val="0"/>
      <w:divBdr>
        <w:top w:val="none" w:sz="0" w:space="0" w:color="auto"/>
        <w:left w:val="none" w:sz="0" w:space="0" w:color="auto"/>
        <w:bottom w:val="none" w:sz="0" w:space="0" w:color="auto"/>
        <w:right w:val="none" w:sz="0" w:space="0" w:color="auto"/>
      </w:divBdr>
    </w:div>
    <w:div w:id="1204825980">
      <w:bodyDiv w:val="1"/>
      <w:marLeft w:val="0"/>
      <w:marRight w:val="0"/>
      <w:marTop w:val="0"/>
      <w:marBottom w:val="0"/>
      <w:divBdr>
        <w:top w:val="none" w:sz="0" w:space="0" w:color="auto"/>
        <w:left w:val="none" w:sz="0" w:space="0" w:color="auto"/>
        <w:bottom w:val="none" w:sz="0" w:space="0" w:color="auto"/>
        <w:right w:val="none" w:sz="0" w:space="0" w:color="auto"/>
      </w:divBdr>
    </w:div>
    <w:div w:id="1207529494">
      <w:bodyDiv w:val="1"/>
      <w:marLeft w:val="0"/>
      <w:marRight w:val="0"/>
      <w:marTop w:val="0"/>
      <w:marBottom w:val="0"/>
      <w:divBdr>
        <w:top w:val="none" w:sz="0" w:space="0" w:color="auto"/>
        <w:left w:val="none" w:sz="0" w:space="0" w:color="auto"/>
        <w:bottom w:val="none" w:sz="0" w:space="0" w:color="auto"/>
        <w:right w:val="none" w:sz="0" w:space="0" w:color="auto"/>
      </w:divBdr>
    </w:div>
    <w:div w:id="1209495088">
      <w:bodyDiv w:val="1"/>
      <w:marLeft w:val="0"/>
      <w:marRight w:val="0"/>
      <w:marTop w:val="0"/>
      <w:marBottom w:val="0"/>
      <w:divBdr>
        <w:top w:val="none" w:sz="0" w:space="0" w:color="auto"/>
        <w:left w:val="none" w:sz="0" w:space="0" w:color="auto"/>
        <w:bottom w:val="none" w:sz="0" w:space="0" w:color="auto"/>
        <w:right w:val="none" w:sz="0" w:space="0" w:color="auto"/>
      </w:divBdr>
    </w:div>
    <w:div w:id="1210611954">
      <w:bodyDiv w:val="1"/>
      <w:marLeft w:val="0"/>
      <w:marRight w:val="0"/>
      <w:marTop w:val="0"/>
      <w:marBottom w:val="0"/>
      <w:divBdr>
        <w:top w:val="none" w:sz="0" w:space="0" w:color="auto"/>
        <w:left w:val="none" w:sz="0" w:space="0" w:color="auto"/>
        <w:bottom w:val="none" w:sz="0" w:space="0" w:color="auto"/>
        <w:right w:val="none" w:sz="0" w:space="0" w:color="auto"/>
      </w:divBdr>
    </w:div>
    <w:div w:id="1210995538">
      <w:bodyDiv w:val="1"/>
      <w:marLeft w:val="0"/>
      <w:marRight w:val="0"/>
      <w:marTop w:val="0"/>
      <w:marBottom w:val="0"/>
      <w:divBdr>
        <w:top w:val="none" w:sz="0" w:space="0" w:color="auto"/>
        <w:left w:val="none" w:sz="0" w:space="0" w:color="auto"/>
        <w:bottom w:val="none" w:sz="0" w:space="0" w:color="auto"/>
        <w:right w:val="none" w:sz="0" w:space="0" w:color="auto"/>
      </w:divBdr>
    </w:div>
    <w:div w:id="1215118552">
      <w:bodyDiv w:val="1"/>
      <w:marLeft w:val="0"/>
      <w:marRight w:val="0"/>
      <w:marTop w:val="0"/>
      <w:marBottom w:val="0"/>
      <w:divBdr>
        <w:top w:val="none" w:sz="0" w:space="0" w:color="auto"/>
        <w:left w:val="none" w:sz="0" w:space="0" w:color="auto"/>
        <w:bottom w:val="none" w:sz="0" w:space="0" w:color="auto"/>
        <w:right w:val="none" w:sz="0" w:space="0" w:color="auto"/>
      </w:divBdr>
    </w:div>
    <w:div w:id="1216429752">
      <w:bodyDiv w:val="1"/>
      <w:marLeft w:val="0"/>
      <w:marRight w:val="0"/>
      <w:marTop w:val="0"/>
      <w:marBottom w:val="0"/>
      <w:divBdr>
        <w:top w:val="none" w:sz="0" w:space="0" w:color="auto"/>
        <w:left w:val="none" w:sz="0" w:space="0" w:color="auto"/>
        <w:bottom w:val="none" w:sz="0" w:space="0" w:color="auto"/>
        <w:right w:val="none" w:sz="0" w:space="0" w:color="auto"/>
      </w:divBdr>
    </w:div>
    <w:div w:id="1217203227">
      <w:bodyDiv w:val="1"/>
      <w:marLeft w:val="0"/>
      <w:marRight w:val="0"/>
      <w:marTop w:val="0"/>
      <w:marBottom w:val="0"/>
      <w:divBdr>
        <w:top w:val="none" w:sz="0" w:space="0" w:color="auto"/>
        <w:left w:val="none" w:sz="0" w:space="0" w:color="auto"/>
        <w:bottom w:val="none" w:sz="0" w:space="0" w:color="auto"/>
        <w:right w:val="none" w:sz="0" w:space="0" w:color="auto"/>
      </w:divBdr>
    </w:div>
    <w:div w:id="1217814911">
      <w:bodyDiv w:val="1"/>
      <w:marLeft w:val="0"/>
      <w:marRight w:val="0"/>
      <w:marTop w:val="0"/>
      <w:marBottom w:val="0"/>
      <w:divBdr>
        <w:top w:val="none" w:sz="0" w:space="0" w:color="auto"/>
        <w:left w:val="none" w:sz="0" w:space="0" w:color="auto"/>
        <w:bottom w:val="none" w:sz="0" w:space="0" w:color="auto"/>
        <w:right w:val="none" w:sz="0" w:space="0" w:color="auto"/>
      </w:divBdr>
    </w:div>
    <w:div w:id="1218203225">
      <w:bodyDiv w:val="1"/>
      <w:marLeft w:val="0"/>
      <w:marRight w:val="0"/>
      <w:marTop w:val="0"/>
      <w:marBottom w:val="0"/>
      <w:divBdr>
        <w:top w:val="none" w:sz="0" w:space="0" w:color="auto"/>
        <w:left w:val="none" w:sz="0" w:space="0" w:color="auto"/>
        <w:bottom w:val="none" w:sz="0" w:space="0" w:color="auto"/>
        <w:right w:val="none" w:sz="0" w:space="0" w:color="auto"/>
      </w:divBdr>
    </w:div>
    <w:div w:id="1218588248">
      <w:bodyDiv w:val="1"/>
      <w:marLeft w:val="0"/>
      <w:marRight w:val="0"/>
      <w:marTop w:val="0"/>
      <w:marBottom w:val="0"/>
      <w:divBdr>
        <w:top w:val="none" w:sz="0" w:space="0" w:color="auto"/>
        <w:left w:val="none" w:sz="0" w:space="0" w:color="auto"/>
        <w:bottom w:val="none" w:sz="0" w:space="0" w:color="auto"/>
        <w:right w:val="none" w:sz="0" w:space="0" w:color="auto"/>
      </w:divBdr>
    </w:div>
    <w:div w:id="1221088330">
      <w:bodyDiv w:val="1"/>
      <w:marLeft w:val="0"/>
      <w:marRight w:val="0"/>
      <w:marTop w:val="0"/>
      <w:marBottom w:val="0"/>
      <w:divBdr>
        <w:top w:val="none" w:sz="0" w:space="0" w:color="auto"/>
        <w:left w:val="none" w:sz="0" w:space="0" w:color="auto"/>
        <w:bottom w:val="none" w:sz="0" w:space="0" w:color="auto"/>
        <w:right w:val="none" w:sz="0" w:space="0" w:color="auto"/>
      </w:divBdr>
    </w:div>
    <w:div w:id="1224948761">
      <w:bodyDiv w:val="1"/>
      <w:marLeft w:val="0"/>
      <w:marRight w:val="0"/>
      <w:marTop w:val="0"/>
      <w:marBottom w:val="0"/>
      <w:divBdr>
        <w:top w:val="none" w:sz="0" w:space="0" w:color="auto"/>
        <w:left w:val="none" w:sz="0" w:space="0" w:color="auto"/>
        <w:bottom w:val="none" w:sz="0" w:space="0" w:color="auto"/>
        <w:right w:val="none" w:sz="0" w:space="0" w:color="auto"/>
      </w:divBdr>
      <w:divsChild>
        <w:div w:id="40446133">
          <w:marLeft w:val="547"/>
          <w:marRight w:val="0"/>
          <w:marTop w:val="192"/>
          <w:marBottom w:val="0"/>
          <w:divBdr>
            <w:top w:val="none" w:sz="0" w:space="0" w:color="auto"/>
            <w:left w:val="none" w:sz="0" w:space="0" w:color="auto"/>
            <w:bottom w:val="none" w:sz="0" w:space="0" w:color="auto"/>
            <w:right w:val="none" w:sz="0" w:space="0" w:color="auto"/>
          </w:divBdr>
        </w:div>
      </w:divsChild>
    </w:div>
    <w:div w:id="1225600990">
      <w:bodyDiv w:val="1"/>
      <w:marLeft w:val="0"/>
      <w:marRight w:val="0"/>
      <w:marTop w:val="0"/>
      <w:marBottom w:val="0"/>
      <w:divBdr>
        <w:top w:val="none" w:sz="0" w:space="0" w:color="auto"/>
        <w:left w:val="none" w:sz="0" w:space="0" w:color="auto"/>
        <w:bottom w:val="none" w:sz="0" w:space="0" w:color="auto"/>
        <w:right w:val="none" w:sz="0" w:space="0" w:color="auto"/>
      </w:divBdr>
    </w:div>
    <w:div w:id="1226918726">
      <w:bodyDiv w:val="1"/>
      <w:marLeft w:val="0"/>
      <w:marRight w:val="0"/>
      <w:marTop w:val="0"/>
      <w:marBottom w:val="0"/>
      <w:divBdr>
        <w:top w:val="none" w:sz="0" w:space="0" w:color="auto"/>
        <w:left w:val="none" w:sz="0" w:space="0" w:color="auto"/>
        <w:bottom w:val="none" w:sz="0" w:space="0" w:color="auto"/>
        <w:right w:val="none" w:sz="0" w:space="0" w:color="auto"/>
      </w:divBdr>
    </w:div>
    <w:div w:id="1228878194">
      <w:bodyDiv w:val="1"/>
      <w:marLeft w:val="0"/>
      <w:marRight w:val="0"/>
      <w:marTop w:val="0"/>
      <w:marBottom w:val="0"/>
      <w:divBdr>
        <w:top w:val="none" w:sz="0" w:space="0" w:color="auto"/>
        <w:left w:val="none" w:sz="0" w:space="0" w:color="auto"/>
        <w:bottom w:val="none" w:sz="0" w:space="0" w:color="auto"/>
        <w:right w:val="none" w:sz="0" w:space="0" w:color="auto"/>
      </w:divBdr>
    </w:div>
    <w:div w:id="1229609119">
      <w:bodyDiv w:val="1"/>
      <w:marLeft w:val="0"/>
      <w:marRight w:val="0"/>
      <w:marTop w:val="0"/>
      <w:marBottom w:val="0"/>
      <w:divBdr>
        <w:top w:val="none" w:sz="0" w:space="0" w:color="auto"/>
        <w:left w:val="none" w:sz="0" w:space="0" w:color="auto"/>
        <w:bottom w:val="none" w:sz="0" w:space="0" w:color="auto"/>
        <w:right w:val="none" w:sz="0" w:space="0" w:color="auto"/>
      </w:divBdr>
    </w:div>
    <w:div w:id="1230312117">
      <w:bodyDiv w:val="1"/>
      <w:marLeft w:val="0"/>
      <w:marRight w:val="0"/>
      <w:marTop w:val="0"/>
      <w:marBottom w:val="0"/>
      <w:divBdr>
        <w:top w:val="none" w:sz="0" w:space="0" w:color="auto"/>
        <w:left w:val="none" w:sz="0" w:space="0" w:color="auto"/>
        <w:bottom w:val="none" w:sz="0" w:space="0" w:color="auto"/>
        <w:right w:val="none" w:sz="0" w:space="0" w:color="auto"/>
      </w:divBdr>
    </w:div>
    <w:div w:id="1234316163">
      <w:bodyDiv w:val="1"/>
      <w:marLeft w:val="0"/>
      <w:marRight w:val="0"/>
      <w:marTop w:val="0"/>
      <w:marBottom w:val="0"/>
      <w:divBdr>
        <w:top w:val="none" w:sz="0" w:space="0" w:color="auto"/>
        <w:left w:val="none" w:sz="0" w:space="0" w:color="auto"/>
        <w:bottom w:val="none" w:sz="0" w:space="0" w:color="auto"/>
        <w:right w:val="none" w:sz="0" w:space="0" w:color="auto"/>
      </w:divBdr>
    </w:div>
    <w:div w:id="1234896357">
      <w:bodyDiv w:val="1"/>
      <w:marLeft w:val="0"/>
      <w:marRight w:val="0"/>
      <w:marTop w:val="0"/>
      <w:marBottom w:val="0"/>
      <w:divBdr>
        <w:top w:val="none" w:sz="0" w:space="0" w:color="auto"/>
        <w:left w:val="none" w:sz="0" w:space="0" w:color="auto"/>
        <w:bottom w:val="none" w:sz="0" w:space="0" w:color="auto"/>
        <w:right w:val="none" w:sz="0" w:space="0" w:color="auto"/>
      </w:divBdr>
    </w:div>
    <w:div w:id="1235167033">
      <w:bodyDiv w:val="1"/>
      <w:marLeft w:val="0"/>
      <w:marRight w:val="0"/>
      <w:marTop w:val="0"/>
      <w:marBottom w:val="0"/>
      <w:divBdr>
        <w:top w:val="none" w:sz="0" w:space="0" w:color="auto"/>
        <w:left w:val="none" w:sz="0" w:space="0" w:color="auto"/>
        <w:bottom w:val="none" w:sz="0" w:space="0" w:color="auto"/>
        <w:right w:val="none" w:sz="0" w:space="0" w:color="auto"/>
      </w:divBdr>
    </w:div>
    <w:div w:id="1237478884">
      <w:bodyDiv w:val="1"/>
      <w:marLeft w:val="0"/>
      <w:marRight w:val="0"/>
      <w:marTop w:val="0"/>
      <w:marBottom w:val="0"/>
      <w:divBdr>
        <w:top w:val="none" w:sz="0" w:space="0" w:color="auto"/>
        <w:left w:val="none" w:sz="0" w:space="0" w:color="auto"/>
        <w:bottom w:val="none" w:sz="0" w:space="0" w:color="auto"/>
        <w:right w:val="none" w:sz="0" w:space="0" w:color="auto"/>
      </w:divBdr>
    </w:div>
    <w:div w:id="1239174088">
      <w:bodyDiv w:val="1"/>
      <w:marLeft w:val="0"/>
      <w:marRight w:val="0"/>
      <w:marTop w:val="0"/>
      <w:marBottom w:val="0"/>
      <w:divBdr>
        <w:top w:val="none" w:sz="0" w:space="0" w:color="auto"/>
        <w:left w:val="none" w:sz="0" w:space="0" w:color="auto"/>
        <w:bottom w:val="none" w:sz="0" w:space="0" w:color="auto"/>
        <w:right w:val="none" w:sz="0" w:space="0" w:color="auto"/>
      </w:divBdr>
    </w:div>
    <w:div w:id="1240096282">
      <w:bodyDiv w:val="1"/>
      <w:marLeft w:val="0"/>
      <w:marRight w:val="0"/>
      <w:marTop w:val="0"/>
      <w:marBottom w:val="0"/>
      <w:divBdr>
        <w:top w:val="none" w:sz="0" w:space="0" w:color="auto"/>
        <w:left w:val="none" w:sz="0" w:space="0" w:color="auto"/>
        <w:bottom w:val="none" w:sz="0" w:space="0" w:color="auto"/>
        <w:right w:val="none" w:sz="0" w:space="0" w:color="auto"/>
      </w:divBdr>
    </w:div>
    <w:div w:id="1243484829">
      <w:bodyDiv w:val="1"/>
      <w:marLeft w:val="0"/>
      <w:marRight w:val="0"/>
      <w:marTop w:val="0"/>
      <w:marBottom w:val="0"/>
      <w:divBdr>
        <w:top w:val="none" w:sz="0" w:space="0" w:color="auto"/>
        <w:left w:val="none" w:sz="0" w:space="0" w:color="auto"/>
        <w:bottom w:val="none" w:sz="0" w:space="0" w:color="auto"/>
        <w:right w:val="none" w:sz="0" w:space="0" w:color="auto"/>
      </w:divBdr>
    </w:div>
    <w:div w:id="1243753908">
      <w:bodyDiv w:val="1"/>
      <w:marLeft w:val="0"/>
      <w:marRight w:val="0"/>
      <w:marTop w:val="0"/>
      <w:marBottom w:val="0"/>
      <w:divBdr>
        <w:top w:val="none" w:sz="0" w:space="0" w:color="auto"/>
        <w:left w:val="none" w:sz="0" w:space="0" w:color="auto"/>
        <w:bottom w:val="none" w:sz="0" w:space="0" w:color="auto"/>
        <w:right w:val="none" w:sz="0" w:space="0" w:color="auto"/>
      </w:divBdr>
    </w:div>
    <w:div w:id="1245338903">
      <w:bodyDiv w:val="1"/>
      <w:marLeft w:val="0"/>
      <w:marRight w:val="0"/>
      <w:marTop w:val="0"/>
      <w:marBottom w:val="0"/>
      <w:divBdr>
        <w:top w:val="none" w:sz="0" w:space="0" w:color="auto"/>
        <w:left w:val="none" w:sz="0" w:space="0" w:color="auto"/>
        <w:bottom w:val="none" w:sz="0" w:space="0" w:color="auto"/>
        <w:right w:val="none" w:sz="0" w:space="0" w:color="auto"/>
      </w:divBdr>
    </w:div>
    <w:div w:id="1247572552">
      <w:bodyDiv w:val="1"/>
      <w:marLeft w:val="0"/>
      <w:marRight w:val="0"/>
      <w:marTop w:val="0"/>
      <w:marBottom w:val="0"/>
      <w:divBdr>
        <w:top w:val="none" w:sz="0" w:space="0" w:color="auto"/>
        <w:left w:val="none" w:sz="0" w:space="0" w:color="auto"/>
        <w:bottom w:val="none" w:sz="0" w:space="0" w:color="auto"/>
        <w:right w:val="none" w:sz="0" w:space="0" w:color="auto"/>
      </w:divBdr>
    </w:div>
    <w:div w:id="1248147503">
      <w:bodyDiv w:val="1"/>
      <w:marLeft w:val="0"/>
      <w:marRight w:val="0"/>
      <w:marTop w:val="0"/>
      <w:marBottom w:val="0"/>
      <w:divBdr>
        <w:top w:val="none" w:sz="0" w:space="0" w:color="auto"/>
        <w:left w:val="none" w:sz="0" w:space="0" w:color="auto"/>
        <w:bottom w:val="none" w:sz="0" w:space="0" w:color="auto"/>
        <w:right w:val="none" w:sz="0" w:space="0" w:color="auto"/>
      </w:divBdr>
    </w:div>
    <w:div w:id="1249728541">
      <w:bodyDiv w:val="1"/>
      <w:marLeft w:val="0"/>
      <w:marRight w:val="0"/>
      <w:marTop w:val="0"/>
      <w:marBottom w:val="0"/>
      <w:divBdr>
        <w:top w:val="none" w:sz="0" w:space="0" w:color="auto"/>
        <w:left w:val="none" w:sz="0" w:space="0" w:color="auto"/>
        <w:bottom w:val="none" w:sz="0" w:space="0" w:color="auto"/>
        <w:right w:val="none" w:sz="0" w:space="0" w:color="auto"/>
      </w:divBdr>
    </w:div>
    <w:div w:id="1250164850">
      <w:bodyDiv w:val="1"/>
      <w:marLeft w:val="0"/>
      <w:marRight w:val="0"/>
      <w:marTop w:val="0"/>
      <w:marBottom w:val="0"/>
      <w:divBdr>
        <w:top w:val="none" w:sz="0" w:space="0" w:color="auto"/>
        <w:left w:val="none" w:sz="0" w:space="0" w:color="auto"/>
        <w:bottom w:val="none" w:sz="0" w:space="0" w:color="auto"/>
        <w:right w:val="none" w:sz="0" w:space="0" w:color="auto"/>
      </w:divBdr>
    </w:div>
    <w:div w:id="1251038285">
      <w:bodyDiv w:val="1"/>
      <w:marLeft w:val="0"/>
      <w:marRight w:val="0"/>
      <w:marTop w:val="0"/>
      <w:marBottom w:val="0"/>
      <w:divBdr>
        <w:top w:val="none" w:sz="0" w:space="0" w:color="auto"/>
        <w:left w:val="none" w:sz="0" w:space="0" w:color="auto"/>
        <w:bottom w:val="none" w:sz="0" w:space="0" w:color="auto"/>
        <w:right w:val="none" w:sz="0" w:space="0" w:color="auto"/>
      </w:divBdr>
    </w:div>
    <w:div w:id="1251814872">
      <w:bodyDiv w:val="1"/>
      <w:marLeft w:val="0"/>
      <w:marRight w:val="0"/>
      <w:marTop w:val="0"/>
      <w:marBottom w:val="0"/>
      <w:divBdr>
        <w:top w:val="none" w:sz="0" w:space="0" w:color="auto"/>
        <w:left w:val="none" w:sz="0" w:space="0" w:color="auto"/>
        <w:bottom w:val="none" w:sz="0" w:space="0" w:color="auto"/>
        <w:right w:val="none" w:sz="0" w:space="0" w:color="auto"/>
      </w:divBdr>
    </w:div>
    <w:div w:id="1256523327">
      <w:bodyDiv w:val="1"/>
      <w:marLeft w:val="0"/>
      <w:marRight w:val="0"/>
      <w:marTop w:val="0"/>
      <w:marBottom w:val="0"/>
      <w:divBdr>
        <w:top w:val="none" w:sz="0" w:space="0" w:color="auto"/>
        <w:left w:val="none" w:sz="0" w:space="0" w:color="auto"/>
        <w:bottom w:val="none" w:sz="0" w:space="0" w:color="auto"/>
        <w:right w:val="none" w:sz="0" w:space="0" w:color="auto"/>
      </w:divBdr>
    </w:div>
    <w:div w:id="1259484314">
      <w:bodyDiv w:val="1"/>
      <w:marLeft w:val="0"/>
      <w:marRight w:val="0"/>
      <w:marTop w:val="0"/>
      <w:marBottom w:val="0"/>
      <w:divBdr>
        <w:top w:val="none" w:sz="0" w:space="0" w:color="auto"/>
        <w:left w:val="none" w:sz="0" w:space="0" w:color="auto"/>
        <w:bottom w:val="none" w:sz="0" w:space="0" w:color="auto"/>
        <w:right w:val="none" w:sz="0" w:space="0" w:color="auto"/>
      </w:divBdr>
    </w:div>
    <w:div w:id="1260212343">
      <w:bodyDiv w:val="1"/>
      <w:marLeft w:val="0"/>
      <w:marRight w:val="0"/>
      <w:marTop w:val="0"/>
      <w:marBottom w:val="0"/>
      <w:divBdr>
        <w:top w:val="none" w:sz="0" w:space="0" w:color="auto"/>
        <w:left w:val="none" w:sz="0" w:space="0" w:color="auto"/>
        <w:bottom w:val="none" w:sz="0" w:space="0" w:color="auto"/>
        <w:right w:val="none" w:sz="0" w:space="0" w:color="auto"/>
      </w:divBdr>
    </w:div>
    <w:div w:id="1260604963">
      <w:bodyDiv w:val="1"/>
      <w:marLeft w:val="0"/>
      <w:marRight w:val="0"/>
      <w:marTop w:val="0"/>
      <w:marBottom w:val="0"/>
      <w:divBdr>
        <w:top w:val="none" w:sz="0" w:space="0" w:color="auto"/>
        <w:left w:val="none" w:sz="0" w:space="0" w:color="auto"/>
        <w:bottom w:val="none" w:sz="0" w:space="0" w:color="auto"/>
        <w:right w:val="none" w:sz="0" w:space="0" w:color="auto"/>
      </w:divBdr>
    </w:div>
    <w:div w:id="1260717825">
      <w:bodyDiv w:val="1"/>
      <w:marLeft w:val="0"/>
      <w:marRight w:val="0"/>
      <w:marTop w:val="0"/>
      <w:marBottom w:val="0"/>
      <w:divBdr>
        <w:top w:val="none" w:sz="0" w:space="0" w:color="auto"/>
        <w:left w:val="none" w:sz="0" w:space="0" w:color="auto"/>
        <w:bottom w:val="none" w:sz="0" w:space="0" w:color="auto"/>
        <w:right w:val="none" w:sz="0" w:space="0" w:color="auto"/>
      </w:divBdr>
    </w:div>
    <w:div w:id="1261261051">
      <w:bodyDiv w:val="1"/>
      <w:marLeft w:val="0"/>
      <w:marRight w:val="0"/>
      <w:marTop w:val="0"/>
      <w:marBottom w:val="0"/>
      <w:divBdr>
        <w:top w:val="none" w:sz="0" w:space="0" w:color="auto"/>
        <w:left w:val="none" w:sz="0" w:space="0" w:color="auto"/>
        <w:bottom w:val="none" w:sz="0" w:space="0" w:color="auto"/>
        <w:right w:val="none" w:sz="0" w:space="0" w:color="auto"/>
      </w:divBdr>
    </w:div>
    <w:div w:id="1265959568">
      <w:bodyDiv w:val="1"/>
      <w:marLeft w:val="0"/>
      <w:marRight w:val="0"/>
      <w:marTop w:val="0"/>
      <w:marBottom w:val="0"/>
      <w:divBdr>
        <w:top w:val="none" w:sz="0" w:space="0" w:color="auto"/>
        <w:left w:val="none" w:sz="0" w:space="0" w:color="auto"/>
        <w:bottom w:val="none" w:sz="0" w:space="0" w:color="auto"/>
        <w:right w:val="none" w:sz="0" w:space="0" w:color="auto"/>
      </w:divBdr>
    </w:div>
    <w:div w:id="1267232378">
      <w:bodyDiv w:val="1"/>
      <w:marLeft w:val="0"/>
      <w:marRight w:val="0"/>
      <w:marTop w:val="0"/>
      <w:marBottom w:val="0"/>
      <w:divBdr>
        <w:top w:val="none" w:sz="0" w:space="0" w:color="auto"/>
        <w:left w:val="none" w:sz="0" w:space="0" w:color="auto"/>
        <w:bottom w:val="none" w:sz="0" w:space="0" w:color="auto"/>
        <w:right w:val="none" w:sz="0" w:space="0" w:color="auto"/>
      </w:divBdr>
    </w:div>
    <w:div w:id="1269124321">
      <w:bodyDiv w:val="1"/>
      <w:marLeft w:val="0"/>
      <w:marRight w:val="0"/>
      <w:marTop w:val="0"/>
      <w:marBottom w:val="0"/>
      <w:divBdr>
        <w:top w:val="none" w:sz="0" w:space="0" w:color="auto"/>
        <w:left w:val="none" w:sz="0" w:space="0" w:color="auto"/>
        <w:bottom w:val="none" w:sz="0" w:space="0" w:color="auto"/>
        <w:right w:val="none" w:sz="0" w:space="0" w:color="auto"/>
      </w:divBdr>
    </w:div>
    <w:div w:id="1270820340">
      <w:bodyDiv w:val="1"/>
      <w:marLeft w:val="0"/>
      <w:marRight w:val="0"/>
      <w:marTop w:val="0"/>
      <w:marBottom w:val="0"/>
      <w:divBdr>
        <w:top w:val="none" w:sz="0" w:space="0" w:color="auto"/>
        <w:left w:val="none" w:sz="0" w:space="0" w:color="auto"/>
        <w:bottom w:val="none" w:sz="0" w:space="0" w:color="auto"/>
        <w:right w:val="none" w:sz="0" w:space="0" w:color="auto"/>
      </w:divBdr>
    </w:div>
    <w:div w:id="1271006323">
      <w:bodyDiv w:val="1"/>
      <w:marLeft w:val="0"/>
      <w:marRight w:val="0"/>
      <w:marTop w:val="0"/>
      <w:marBottom w:val="0"/>
      <w:divBdr>
        <w:top w:val="none" w:sz="0" w:space="0" w:color="auto"/>
        <w:left w:val="none" w:sz="0" w:space="0" w:color="auto"/>
        <w:bottom w:val="none" w:sz="0" w:space="0" w:color="auto"/>
        <w:right w:val="none" w:sz="0" w:space="0" w:color="auto"/>
      </w:divBdr>
    </w:div>
    <w:div w:id="1271669369">
      <w:bodyDiv w:val="1"/>
      <w:marLeft w:val="0"/>
      <w:marRight w:val="0"/>
      <w:marTop w:val="0"/>
      <w:marBottom w:val="0"/>
      <w:divBdr>
        <w:top w:val="none" w:sz="0" w:space="0" w:color="auto"/>
        <w:left w:val="none" w:sz="0" w:space="0" w:color="auto"/>
        <w:bottom w:val="none" w:sz="0" w:space="0" w:color="auto"/>
        <w:right w:val="none" w:sz="0" w:space="0" w:color="auto"/>
      </w:divBdr>
    </w:div>
    <w:div w:id="1274052414">
      <w:bodyDiv w:val="1"/>
      <w:marLeft w:val="0"/>
      <w:marRight w:val="0"/>
      <w:marTop w:val="0"/>
      <w:marBottom w:val="0"/>
      <w:divBdr>
        <w:top w:val="none" w:sz="0" w:space="0" w:color="auto"/>
        <w:left w:val="none" w:sz="0" w:space="0" w:color="auto"/>
        <w:bottom w:val="none" w:sz="0" w:space="0" w:color="auto"/>
        <w:right w:val="none" w:sz="0" w:space="0" w:color="auto"/>
      </w:divBdr>
    </w:div>
    <w:div w:id="1274508926">
      <w:bodyDiv w:val="1"/>
      <w:marLeft w:val="0"/>
      <w:marRight w:val="0"/>
      <w:marTop w:val="0"/>
      <w:marBottom w:val="0"/>
      <w:divBdr>
        <w:top w:val="none" w:sz="0" w:space="0" w:color="auto"/>
        <w:left w:val="none" w:sz="0" w:space="0" w:color="auto"/>
        <w:bottom w:val="none" w:sz="0" w:space="0" w:color="auto"/>
        <w:right w:val="none" w:sz="0" w:space="0" w:color="auto"/>
      </w:divBdr>
    </w:div>
    <w:div w:id="1274943244">
      <w:bodyDiv w:val="1"/>
      <w:marLeft w:val="0"/>
      <w:marRight w:val="0"/>
      <w:marTop w:val="0"/>
      <w:marBottom w:val="0"/>
      <w:divBdr>
        <w:top w:val="none" w:sz="0" w:space="0" w:color="auto"/>
        <w:left w:val="none" w:sz="0" w:space="0" w:color="auto"/>
        <w:bottom w:val="none" w:sz="0" w:space="0" w:color="auto"/>
        <w:right w:val="none" w:sz="0" w:space="0" w:color="auto"/>
      </w:divBdr>
    </w:div>
    <w:div w:id="1276523107">
      <w:bodyDiv w:val="1"/>
      <w:marLeft w:val="0"/>
      <w:marRight w:val="0"/>
      <w:marTop w:val="0"/>
      <w:marBottom w:val="0"/>
      <w:divBdr>
        <w:top w:val="none" w:sz="0" w:space="0" w:color="auto"/>
        <w:left w:val="none" w:sz="0" w:space="0" w:color="auto"/>
        <w:bottom w:val="none" w:sz="0" w:space="0" w:color="auto"/>
        <w:right w:val="none" w:sz="0" w:space="0" w:color="auto"/>
      </w:divBdr>
    </w:div>
    <w:div w:id="1277369564">
      <w:bodyDiv w:val="1"/>
      <w:marLeft w:val="0"/>
      <w:marRight w:val="0"/>
      <w:marTop w:val="0"/>
      <w:marBottom w:val="0"/>
      <w:divBdr>
        <w:top w:val="none" w:sz="0" w:space="0" w:color="auto"/>
        <w:left w:val="none" w:sz="0" w:space="0" w:color="auto"/>
        <w:bottom w:val="none" w:sz="0" w:space="0" w:color="auto"/>
        <w:right w:val="none" w:sz="0" w:space="0" w:color="auto"/>
      </w:divBdr>
    </w:div>
    <w:div w:id="1279027535">
      <w:bodyDiv w:val="1"/>
      <w:marLeft w:val="0"/>
      <w:marRight w:val="0"/>
      <w:marTop w:val="0"/>
      <w:marBottom w:val="0"/>
      <w:divBdr>
        <w:top w:val="none" w:sz="0" w:space="0" w:color="auto"/>
        <w:left w:val="none" w:sz="0" w:space="0" w:color="auto"/>
        <w:bottom w:val="none" w:sz="0" w:space="0" w:color="auto"/>
        <w:right w:val="none" w:sz="0" w:space="0" w:color="auto"/>
      </w:divBdr>
    </w:div>
    <w:div w:id="1280448563">
      <w:bodyDiv w:val="1"/>
      <w:marLeft w:val="0"/>
      <w:marRight w:val="0"/>
      <w:marTop w:val="0"/>
      <w:marBottom w:val="0"/>
      <w:divBdr>
        <w:top w:val="none" w:sz="0" w:space="0" w:color="auto"/>
        <w:left w:val="none" w:sz="0" w:space="0" w:color="auto"/>
        <w:bottom w:val="none" w:sz="0" w:space="0" w:color="auto"/>
        <w:right w:val="none" w:sz="0" w:space="0" w:color="auto"/>
      </w:divBdr>
    </w:div>
    <w:div w:id="1280837781">
      <w:bodyDiv w:val="1"/>
      <w:marLeft w:val="0"/>
      <w:marRight w:val="0"/>
      <w:marTop w:val="0"/>
      <w:marBottom w:val="0"/>
      <w:divBdr>
        <w:top w:val="none" w:sz="0" w:space="0" w:color="auto"/>
        <w:left w:val="none" w:sz="0" w:space="0" w:color="auto"/>
        <w:bottom w:val="none" w:sz="0" w:space="0" w:color="auto"/>
        <w:right w:val="none" w:sz="0" w:space="0" w:color="auto"/>
      </w:divBdr>
    </w:div>
    <w:div w:id="1282419917">
      <w:bodyDiv w:val="1"/>
      <w:marLeft w:val="0"/>
      <w:marRight w:val="0"/>
      <w:marTop w:val="0"/>
      <w:marBottom w:val="0"/>
      <w:divBdr>
        <w:top w:val="none" w:sz="0" w:space="0" w:color="auto"/>
        <w:left w:val="none" w:sz="0" w:space="0" w:color="auto"/>
        <w:bottom w:val="none" w:sz="0" w:space="0" w:color="auto"/>
        <w:right w:val="none" w:sz="0" w:space="0" w:color="auto"/>
      </w:divBdr>
    </w:div>
    <w:div w:id="1283730783">
      <w:bodyDiv w:val="1"/>
      <w:marLeft w:val="0"/>
      <w:marRight w:val="0"/>
      <w:marTop w:val="0"/>
      <w:marBottom w:val="0"/>
      <w:divBdr>
        <w:top w:val="none" w:sz="0" w:space="0" w:color="auto"/>
        <w:left w:val="none" w:sz="0" w:space="0" w:color="auto"/>
        <w:bottom w:val="none" w:sz="0" w:space="0" w:color="auto"/>
        <w:right w:val="none" w:sz="0" w:space="0" w:color="auto"/>
      </w:divBdr>
    </w:div>
    <w:div w:id="1285190845">
      <w:bodyDiv w:val="1"/>
      <w:marLeft w:val="0"/>
      <w:marRight w:val="0"/>
      <w:marTop w:val="0"/>
      <w:marBottom w:val="0"/>
      <w:divBdr>
        <w:top w:val="none" w:sz="0" w:space="0" w:color="auto"/>
        <w:left w:val="none" w:sz="0" w:space="0" w:color="auto"/>
        <w:bottom w:val="none" w:sz="0" w:space="0" w:color="auto"/>
        <w:right w:val="none" w:sz="0" w:space="0" w:color="auto"/>
      </w:divBdr>
    </w:div>
    <w:div w:id="1286471936">
      <w:bodyDiv w:val="1"/>
      <w:marLeft w:val="0"/>
      <w:marRight w:val="0"/>
      <w:marTop w:val="0"/>
      <w:marBottom w:val="0"/>
      <w:divBdr>
        <w:top w:val="none" w:sz="0" w:space="0" w:color="auto"/>
        <w:left w:val="none" w:sz="0" w:space="0" w:color="auto"/>
        <w:bottom w:val="none" w:sz="0" w:space="0" w:color="auto"/>
        <w:right w:val="none" w:sz="0" w:space="0" w:color="auto"/>
      </w:divBdr>
    </w:div>
    <w:div w:id="1286615525">
      <w:bodyDiv w:val="1"/>
      <w:marLeft w:val="0"/>
      <w:marRight w:val="0"/>
      <w:marTop w:val="0"/>
      <w:marBottom w:val="0"/>
      <w:divBdr>
        <w:top w:val="none" w:sz="0" w:space="0" w:color="auto"/>
        <w:left w:val="none" w:sz="0" w:space="0" w:color="auto"/>
        <w:bottom w:val="none" w:sz="0" w:space="0" w:color="auto"/>
        <w:right w:val="none" w:sz="0" w:space="0" w:color="auto"/>
      </w:divBdr>
    </w:div>
    <w:div w:id="1286810939">
      <w:bodyDiv w:val="1"/>
      <w:marLeft w:val="0"/>
      <w:marRight w:val="0"/>
      <w:marTop w:val="0"/>
      <w:marBottom w:val="0"/>
      <w:divBdr>
        <w:top w:val="none" w:sz="0" w:space="0" w:color="auto"/>
        <w:left w:val="none" w:sz="0" w:space="0" w:color="auto"/>
        <w:bottom w:val="none" w:sz="0" w:space="0" w:color="auto"/>
        <w:right w:val="none" w:sz="0" w:space="0" w:color="auto"/>
      </w:divBdr>
    </w:div>
    <w:div w:id="1288316502">
      <w:bodyDiv w:val="1"/>
      <w:marLeft w:val="0"/>
      <w:marRight w:val="0"/>
      <w:marTop w:val="0"/>
      <w:marBottom w:val="0"/>
      <w:divBdr>
        <w:top w:val="none" w:sz="0" w:space="0" w:color="auto"/>
        <w:left w:val="none" w:sz="0" w:space="0" w:color="auto"/>
        <w:bottom w:val="none" w:sz="0" w:space="0" w:color="auto"/>
        <w:right w:val="none" w:sz="0" w:space="0" w:color="auto"/>
      </w:divBdr>
    </w:div>
    <w:div w:id="1293171286">
      <w:bodyDiv w:val="1"/>
      <w:marLeft w:val="0"/>
      <w:marRight w:val="0"/>
      <w:marTop w:val="0"/>
      <w:marBottom w:val="0"/>
      <w:divBdr>
        <w:top w:val="none" w:sz="0" w:space="0" w:color="auto"/>
        <w:left w:val="none" w:sz="0" w:space="0" w:color="auto"/>
        <w:bottom w:val="none" w:sz="0" w:space="0" w:color="auto"/>
        <w:right w:val="none" w:sz="0" w:space="0" w:color="auto"/>
      </w:divBdr>
    </w:div>
    <w:div w:id="1296060068">
      <w:bodyDiv w:val="1"/>
      <w:marLeft w:val="0"/>
      <w:marRight w:val="0"/>
      <w:marTop w:val="0"/>
      <w:marBottom w:val="0"/>
      <w:divBdr>
        <w:top w:val="none" w:sz="0" w:space="0" w:color="auto"/>
        <w:left w:val="none" w:sz="0" w:space="0" w:color="auto"/>
        <w:bottom w:val="none" w:sz="0" w:space="0" w:color="auto"/>
        <w:right w:val="none" w:sz="0" w:space="0" w:color="auto"/>
      </w:divBdr>
    </w:div>
    <w:div w:id="1296957476">
      <w:bodyDiv w:val="1"/>
      <w:marLeft w:val="0"/>
      <w:marRight w:val="0"/>
      <w:marTop w:val="0"/>
      <w:marBottom w:val="0"/>
      <w:divBdr>
        <w:top w:val="none" w:sz="0" w:space="0" w:color="auto"/>
        <w:left w:val="none" w:sz="0" w:space="0" w:color="auto"/>
        <w:bottom w:val="none" w:sz="0" w:space="0" w:color="auto"/>
        <w:right w:val="none" w:sz="0" w:space="0" w:color="auto"/>
      </w:divBdr>
    </w:div>
    <w:div w:id="1299071895">
      <w:bodyDiv w:val="1"/>
      <w:marLeft w:val="0"/>
      <w:marRight w:val="0"/>
      <w:marTop w:val="0"/>
      <w:marBottom w:val="0"/>
      <w:divBdr>
        <w:top w:val="none" w:sz="0" w:space="0" w:color="auto"/>
        <w:left w:val="none" w:sz="0" w:space="0" w:color="auto"/>
        <w:bottom w:val="none" w:sz="0" w:space="0" w:color="auto"/>
        <w:right w:val="none" w:sz="0" w:space="0" w:color="auto"/>
      </w:divBdr>
    </w:div>
    <w:div w:id="1299721549">
      <w:bodyDiv w:val="1"/>
      <w:marLeft w:val="0"/>
      <w:marRight w:val="0"/>
      <w:marTop w:val="0"/>
      <w:marBottom w:val="0"/>
      <w:divBdr>
        <w:top w:val="none" w:sz="0" w:space="0" w:color="auto"/>
        <w:left w:val="none" w:sz="0" w:space="0" w:color="auto"/>
        <w:bottom w:val="none" w:sz="0" w:space="0" w:color="auto"/>
        <w:right w:val="none" w:sz="0" w:space="0" w:color="auto"/>
      </w:divBdr>
    </w:div>
    <w:div w:id="1301183257">
      <w:bodyDiv w:val="1"/>
      <w:marLeft w:val="0"/>
      <w:marRight w:val="0"/>
      <w:marTop w:val="0"/>
      <w:marBottom w:val="0"/>
      <w:divBdr>
        <w:top w:val="none" w:sz="0" w:space="0" w:color="auto"/>
        <w:left w:val="none" w:sz="0" w:space="0" w:color="auto"/>
        <w:bottom w:val="none" w:sz="0" w:space="0" w:color="auto"/>
        <w:right w:val="none" w:sz="0" w:space="0" w:color="auto"/>
      </w:divBdr>
    </w:div>
    <w:div w:id="1303078310">
      <w:bodyDiv w:val="1"/>
      <w:marLeft w:val="0"/>
      <w:marRight w:val="0"/>
      <w:marTop w:val="0"/>
      <w:marBottom w:val="0"/>
      <w:divBdr>
        <w:top w:val="none" w:sz="0" w:space="0" w:color="auto"/>
        <w:left w:val="none" w:sz="0" w:space="0" w:color="auto"/>
        <w:bottom w:val="none" w:sz="0" w:space="0" w:color="auto"/>
        <w:right w:val="none" w:sz="0" w:space="0" w:color="auto"/>
      </w:divBdr>
    </w:div>
    <w:div w:id="1303731351">
      <w:bodyDiv w:val="1"/>
      <w:marLeft w:val="0"/>
      <w:marRight w:val="0"/>
      <w:marTop w:val="0"/>
      <w:marBottom w:val="0"/>
      <w:divBdr>
        <w:top w:val="none" w:sz="0" w:space="0" w:color="auto"/>
        <w:left w:val="none" w:sz="0" w:space="0" w:color="auto"/>
        <w:bottom w:val="none" w:sz="0" w:space="0" w:color="auto"/>
        <w:right w:val="none" w:sz="0" w:space="0" w:color="auto"/>
      </w:divBdr>
    </w:div>
    <w:div w:id="1304504331">
      <w:bodyDiv w:val="1"/>
      <w:marLeft w:val="0"/>
      <w:marRight w:val="0"/>
      <w:marTop w:val="0"/>
      <w:marBottom w:val="0"/>
      <w:divBdr>
        <w:top w:val="none" w:sz="0" w:space="0" w:color="auto"/>
        <w:left w:val="none" w:sz="0" w:space="0" w:color="auto"/>
        <w:bottom w:val="none" w:sz="0" w:space="0" w:color="auto"/>
        <w:right w:val="none" w:sz="0" w:space="0" w:color="auto"/>
      </w:divBdr>
    </w:div>
    <w:div w:id="1305039983">
      <w:bodyDiv w:val="1"/>
      <w:marLeft w:val="0"/>
      <w:marRight w:val="0"/>
      <w:marTop w:val="0"/>
      <w:marBottom w:val="0"/>
      <w:divBdr>
        <w:top w:val="none" w:sz="0" w:space="0" w:color="auto"/>
        <w:left w:val="none" w:sz="0" w:space="0" w:color="auto"/>
        <w:bottom w:val="none" w:sz="0" w:space="0" w:color="auto"/>
        <w:right w:val="none" w:sz="0" w:space="0" w:color="auto"/>
      </w:divBdr>
    </w:div>
    <w:div w:id="1305350441">
      <w:bodyDiv w:val="1"/>
      <w:marLeft w:val="0"/>
      <w:marRight w:val="0"/>
      <w:marTop w:val="0"/>
      <w:marBottom w:val="0"/>
      <w:divBdr>
        <w:top w:val="none" w:sz="0" w:space="0" w:color="auto"/>
        <w:left w:val="none" w:sz="0" w:space="0" w:color="auto"/>
        <w:bottom w:val="none" w:sz="0" w:space="0" w:color="auto"/>
        <w:right w:val="none" w:sz="0" w:space="0" w:color="auto"/>
      </w:divBdr>
    </w:div>
    <w:div w:id="1312716124">
      <w:bodyDiv w:val="1"/>
      <w:marLeft w:val="0"/>
      <w:marRight w:val="0"/>
      <w:marTop w:val="0"/>
      <w:marBottom w:val="0"/>
      <w:divBdr>
        <w:top w:val="none" w:sz="0" w:space="0" w:color="auto"/>
        <w:left w:val="none" w:sz="0" w:space="0" w:color="auto"/>
        <w:bottom w:val="none" w:sz="0" w:space="0" w:color="auto"/>
        <w:right w:val="none" w:sz="0" w:space="0" w:color="auto"/>
      </w:divBdr>
    </w:div>
    <w:div w:id="1315061266">
      <w:bodyDiv w:val="1"/>
      <w:marLeft w:val="0"/>
      <w:marRight w:val="0"/>
      <w:marTop w:val="0"/>
      <w:marBottom w:val="0"/>
      <w:divBdr>
        <w:top w:val="none" w:sz="0" w:space="0" w:color="auto"/>
        <w:left w:val="none" w:sz="0" w:space="0" w:color="auto"/>
        <w:bottom w:val="none" w:sz="0" w:space="0" w:color="auto"/>
        <w:right w:val="none" w:sz="0" w:space="0" w:color="auto"/>
      </w:divBdr>
    </w:div>
    <w:div w:id="1315455878">
      <w:bodyDiv w:val="1"/>
      <w:marLeft w:val="0"/>
      <w:marRight w:val="0"/>
      <w:marTop w:val="0"/>
      <w:marBottom w:val="0"/>
      <w:divBdr>
        <w:top w:val="none" w:sz="0" w:space="0" w:color="auto"/>
        <w:left w:val="none" w:sz="0" w:space="0" w:color="auto"/>
        <w:bottom w:val="none" w:sz="0" w:space="0" w:color="auto"/>
        <w:right w:val="none" w:sz="0" w:space="0" w:color="auto"/>
      </w:divBdr>
    </w:div>
    <w:div w:id="1316760126">
      <w:bodyDiv w:val="1"/>
      <w:marLeft w:val="0"/>
      <w:marRight w:val="0"/>
      <w:marTop w:val="0"/>
      <w:marBottom w:val="0"/>
      <w:divBdr>
        <w:top w:val="none" w:sz="0" w:space="0" w:color="auto"/>
        <w:left w:val="none" w:sz="0" w:space="0" w:color="auto"/>
        <w:bottom w:val="none" w:sz="0" w:space="0" w:color="auto"/>
        <w:right w:val="none" w:sz="0" w:space="0" w:color="auto"/>
      </w:divBdr>
    </w:div>
    <w:div w:id="1316836588">
      <w:bodyDiv w:val="1"/>
      <w:marLeft w:val="0"/>
      <w:marRight w:val="0"/>
      <w:marTop w:val="0"/>
      <w:marBottom w:val="0"/>
      <w:divBdr>
        <w:top w:val="none" w:sz="0" w:space="0" w:color="auto"/>
        <w:left w:val="none" w:sz="0" w:space="0" w:color="auto"/>
        <w:bottom w:val="none" w:sz="0" w:space="0" w:color="auto"/>
        <w:right w:val="none" w:sz="0" w:space="0" w:color="auto"/>
      </w:divBdr>
    </w:div>
    <w:div w:id="1317296744">
      <w:bodyDiv w:val="1"/>
      <w:marLeft w:val="0"/>
      <w:marRight w:val="0"/>
      <w:marTop w:val="0"/>
      <w:marBottom w:val="0"/>
      <w:divBdr>
        <w:top w:val="none" w:sz="0" w:space="0" w:color="auto"/>
        <w:left w:val="none" w:sz="0" w:space="0" w:color="auto"/>
        <w:bottom w:val="none" w:sz="0" w:space="0" w:color="auto"/>
        <w:right w:val="none" w:sz="0" w:space="0" w:color="auto"/>
      </w:divBdr>
    </w:div>
    <w:div w:id="1318680318">
      <w:bodyDiv w:val="1"/>
      <w:marLeft w:val="0"/>
      <w:marRight w:val="0"/>
      <w:marTop w:val="0"/>
      <w:marBottom w:val="0"/>
      <w:divBdr>
        <w:top w:val="none" w:sz="0" w:space="0" w:color="auto"/>
        <w:left w:val="none" w:sz="0" w:space="0" w:color="auto"/>
        <w:bottom w:val="none" w:sz="0" w:space="0" w:color="auto"/>
        <w:right w:val="none" w:sz="0" w:space="0" w:color="auto"/>
      </w:divBdr>
    </w:div>
    <w:div w:id="1321933010">
      <w:bodyDiv w:val="1"/>
      <w:marLeft w:val="0"/>
      <w:marRight w:val="0"/>
      <w:marTop w:val="0"/>
      <w:marBottom w:val="0"/>
      <w:divBdr>
        <w:top w:val="none" w:sz="0" w:space="0" w:color="auto"/>
        <w:left w:val="none" w:sz="0" w:space="0" w:color="auto"/>
        <w:bottom w:val="none" w:sz="0" w:space="0" w:color="auto"/>
        <w:right w:val="none" w:sz="0" w:space="0" w:color="auto"/>
      </w:divBdr>
    </w:div>
    <w:div w:id="1324969116">
      <w:bodyDiv w:val="1"/>
      <w:marLeft w:val="0"/>
      <w:marRight w:val="0"/>
      <w:marTop w:val="0"/>
      <w:marBottom w:val="0"/>
      <w:divBdr>
        <w:top w:val="none" w:sz="0" w:space="0" w:color="auto"/>
        <w:left w:val="none" w:sz="0" w:space="0" w:color="auto"/>
        <w:bottom w:val="none" w:sz="0" w:space="0" w:color="auto"/>
        <w:right w:val="none" w:sz="0" w:space="0" w:color="auto"/>
      </w:divBdr>
    </w:div>
    <w:div w:id="1326783808">
      <w:bodyDiv w:val="1"/>
      <w:marLeft w:val="0"/>
      <w:marRight w:val="0"/>
      <w:marTop w:val="0"/>
      <w:marBottom w:val="0"/>
      <w:divBdr>
        <w:top w:val="none" w:sz="0" w:space="0" w:color="auto"/>
        <w:left w:val="none" w:sz="0" w:space="0" w:color="auto"/>
        <w:bottom w:val="none" w:sz="0" w:space="0" w:color="auto"/>
        <w:right w:val="none" w:sz="0" w:space="0" w:color="auto"/>
      </w:divBdr>
    </w:div>
    <w:div w:id="1330331384">
      <w:bodyDiv w:val="1"/>
      <w:marLeft w:val="0"/>
      <w:marRight w:val="0"/>
      <w:marTop w:val="0"/>
      <w:marBottom w:val="0"/>
      <w:divBdr>
        <w:top w:val="none" w:sz="0" w:space="0" w:color="auto"/>
        <w:left w:val="none" w:sz="0" w:space="0" w:color="auto"/>
        <w:bottom w:val="none" w:sz="0" w:space="0" w:color="auto"/>
        <w:right w:val="none" w:sz="0" w:space="0" w:color="auto"/>
      </w:divBdr>
    </w:div>
    <w:div w:id="1331711289">
      <w:bodyDiv w:val="1"/>
      <w:marLeft w:val="0"/>
      <w:marRight w:val="0"/>
      <w:marTop w:val="0"/>
      <w:marBottom w:val="0"/>
      <w:divBdr>
        <w:top w:val="none" w:sz="0" w:space="0" w:color="auto"/>
        <w:left w:val="none" w:sz="0" w:space="0" w:color="auto"/>
        <w:bottom w:val="none" w:sz="0" w:space="0" w:color="auto"/>
        <w:right w:val="none" w:sz="0" w:space="0" w:color="auto"/>
      </w:divBdr>
    </w:div>
    <w:div w:id="1332834137">
      <w:bodyDiv w:val="1"/>
      <w:marLeft w:val="0"/>
      <w:marRight w:val="0"/>
      <w:marTop w:val="0"/>
      <w:marBottom w:val="0"/>
      <w:divBdr>
        <w:top w:val="none" w:sz="0" w:space="0" w:color="auto"/>
        <w:left w:val="none" w:sz="0" w:space="0" w:color="auto"/>
        <w:bottom w:val="none" w:sz="0" w:space="0" w:color="auto"/>
        <w:right w:val="none" w:sz="0" w:space="0" w:color="auto"/>
      </w:divBdr>
    </w:div>
    <w:div w:id="1335379371">
      <w:bodyDiv w:val="1"/>
      <w:marLeft w:val="0"/>
      <w:marRight w:val="0"/>
      <w:marTop w:val="0"/>
      <w:marBottom w:val="0"/>
      <w:divBdr>
        <w:top w:val="none" w:sz="0" w:space="0" w:color="auto"/>
        <w:left w:val="none" w:sz="0" w:space="0" w:color="auto"/>
        <w:bottom w:val="none" w:sz="0" w:space="0" w:color="auto"/>
        <w:right w:val="none" w:sz="0" w:space="0" w:color="auto"/>
      </w:divBdr>
    </w:div>
    <w:div w:id="1335694045">
      <w:bodyDiv w:val="1"/>
      <w:marLeft w:val="0"/>
      <w:marRight w:val="0"/>
      <w:marTop w:val="0"/>
      <w:marBottom w:val="0"/>
      <w:divBdr>
        <w:top w:val="none" w:sz="0" w:space="0" w:color="auto"/>
        <w:left w:val="none" w:sz="0" w:space="0" w:color="auto"/>
        <w:bottom w:val="none" w:sz="0" w:space="0" w:color="auto"/>
        <w:right w:val="none" w:sz="0" w:space="0" w:color="auto"/>
      </w:divBdr>
    </w:div>
    <w:div w:id="1339691954">
      <w:bodyDiv w:val="1"/>
      <w:marLeft w:val="0"/>
      <w:marRight w:val="0"/>
      <w:marTop w:val="0"/>
      <w:marBottom w:val="0"/>
      <w:divBdr>
        <w:top w:val="none" w:sz="0" w:space="0" w:color="auto"/>
        <w:left w:val="none" w:sz="0" w:space="0" w:color="auto"/>
        <w:bottom w:val="none" w:sz="0" w:space="0" w:color="auto"/>
        <w:right w:val="none" w:sz="0" w:space="0" w:color="auto"/>
      </w:divBdr>
    </w:div>
    <w:div w:id="1339772629">
      <w:bodyDiv w:val="1"/>
      <w:marLeft w:val="0"/>
      <w:marRight w:val="0"/>
      <w:marTop w:val="0"/>
      <w:marBottom w:val="0"/>
      <w:divBdr>
        <w:top w:val="none" w:sz="0" w:space="0" w:color="auto"/>
        <w:left w:val="none" w:sz="0" w:space="0" w:color="auto"/>
        <w:bottom w:val="none" w:sz="0" w:space="0" w:color="auto"/>
        <w:right w:val="none" w:sz="0" w:space="0" w:color="auto"/>
      </w:divBdr>
    </w:div>
    <w:div w:id="1340082422">
      <w:bodyDiv w:val="1"/>
      <w:marLeft w:val="0"/>
      <w:marRight w:val="0"/>
      <w:marTop w:val="0"/>
      <w:marBottom w:val="0"/>
      <w:divBdr>
        <w:top w:val="none" w:sz="0" w:space="0" w:color="auto"/>
        <w:left w:val="none" w:sz="0" w:space="0" w:color="auto"/>
        <w:bottom w:val="none" w:sz="0" w:space="0" w:color="auto"/>
        <w:right w:val="none" w:sz="0" w:space="0" w:color="auto"/>
      </w:divBdr>
    </w:div>
    <w:div w:id="1340935225">
      <w:bodyDiv w:val="1"/>
      <w:marLeft w:val="0"/>
      <w:marRight w:val="0"/>
      <w:marTop w:val="0"/>
      <w:marBottom w:val="0"/>
      <w:divBdr>
        <w:top w:val="none" w:sz="0" w:space="0" w:color="auto"/>
        <w:left w:val="none" w:sz="0" w:space="0" w:color="auto"/>
        <w:bottom w:val="none" w:sz="0" w:space="0" w:color="auto"/>
        <w:right w:val="none" w:sz="0" w:space="0" w:color="auto"/>
      </w:divBdr>
    </w:div>
    <w:div w:id="1342391589">
      <w:bodyDiv w:val="1"/>
      <w:marLeft w:val="0"/>
      <w:marRight w:val="0"/>
      <w:marTop w:val="0"/>
      <w:marBottom w:val="0"/>
      <w:divBdr>
        <w:top w:val="none" w:sz="0" w:space="0" w:color="auto"/>
        <w:left w:val="none" w:sz="0" w:space="0" w:color="auto"/>
        <w:bottom w:val="none" w:sz="0" w:space="0" w:color="auto"/>
        <w:right w:val="none" w:sz="0" w:space="0" w:color="auto"/>
      </w:divBdr>
    </w:div>
    <w:div w:id="1343508638">
      <w:bodyDiv w:val="1"/>
      <w:marLeft w:val="0"/>
      <w:marRight w:val="0"/>
      <w:marTop w:val="0"/>
      <w:marBottom w:val="0"/>
      <w:divBdr>
        <w:top w:val="none" w:sz="0" w:space="0" w:color="auto"/>
        <w:left w:val="none" w:sz="0" w:space="0" w:color="auto"/>
        <w:bottom w:val="none" w:sz="0" w:space="0" w:color="auto"/>
        <w:right w:val="none" w:sz="0" w:space="0" w:color="auto"/>
      </w:divBdr>
    </w:div>
    <w:div w:id="1345014955">
      <w:bodyDiv w:val="1"/>
      <w:marLeft w:val="0"/>
      <w:marRight w:val="0"/>
      <w:marTop w:val="0"/>
      <w:marBottom w:val="0"/>
      <w:divBdr>
        <w:top w:val="none" w:sz="0" w:space="0" w:color="auto"/>
        <w:left w:val="none" w:sz="0" w:space="0" w:color="auto"/>
        <w:bottom w:val="none" w:sz="0" w:space="0" w:color="auto"/>
        <w:right w:val="none" w:sz="0" w:space="0" w:color="auto"/>
      </w:divBdr>
    </w:div>
    <w:div w:id="1346251692">
      <w:bodyDiv w:val="1"/>
      <w:marLeft w:val="0"/>
      <w:marRight w:val="0"/>
      <w:marTop w:val="0"/>
      <w:marBottom w:val="0"/>
      <w:divBdr>
        <w:top w:val="none" w:sz="0" w:space="0" w:color="auto"/>
        <w:left w:val="none" w:sz="0" w:space="0" w:color="auto"/>
        <w:bottom w:val="none" w:sz="0" w:space="0" w:color="auto"/>
        <w:right w:val="none" w:sz="0" w:space="0" w:color="auto"/>
      </w:divBdr>
    </w:div>
    <w:div w:id="1346592725">
      <w:bodyDiv w:val="1"/>
      <w:marLeft w:val="0"/>
      <w:marRight w:val="0"/>
      <w:marTop w:val="0"/>
      <w:marBottom w:val="0"/>
      <w:divBdr>
        <w:top w:val="none" w:sz="0" w:space="0" w:color="auto"/>
        <w:left w:val="none" w:sz="0" w:space="0" w:color="auto"/>
        <w:bottom w:val="none" w:sz="0" w:space="0" w:color="auto"/>
        <w:right w:val="none" w:sz="0" w:space="0" w:color="auto"/>
      </w:divBdr>
    </w:div>
    <w:div w:id="1350907980">
      <w:bodyDiv w:val="1"/>
      <w:marLeft w:val="0"/>
      <w:marRight w:val="0"/>
      <w:marTop w:val="0"/>
      <w:marBottom w:val="0"/>
      <w:divBdr>
        <w:top w:val="none" w:sz="0" w:space="0" w:color="auto"/>
        <w:left w:val="none" w:sz="0" w:space="0" w:color="auto"/>
        <w:bottom w:val="none" w:sz="0" w:space="0" w:color="auto"/>
        <w:right w:val="none" w:sz="0" w:space="0" w:color="auto"/>
      </w:divBdr>
    </w:div>
    <w:div w:id="1351906637">
      <w:bodyDiv w:val="1"/>
      <w:marLeft w:val="0"/>
      <w:marRight w:val="0"/>
      <w:marTop w:val="0"/>
      <w:marBottom w:val="0"/>
      <w:divBdr>
        <w:top w:val="none" w:sz="0" w:space="0" w:color="auto"/>
        <w:left w:val="none" w:sz="0" w:space="0" w:color="auto"/>
        <w:bottom w:val="none" w:sz="0" w:space="0" w:color="auto"/>
        <w:right w:val="none" w:sz="0" w:space="0" w:color="auto"/>
      </w:divBdr>
    </w:div>
    <w:div w:id="1353335810">
      <w:bodyDiv w:val="1"/>
      <w:marLeft w:val="0"/>
      <w:marRight w:val="0"/>
      <w:marTop w:val="0"/>
      <w:marBottom w:val="0"/>
      <w:divBdr>
        <w:top w:val="none" w:sz="0" w:space="0" w:color="auto"/>
        <w:left w:val="none" w:sz="0" w:space="0" w:color="auto"/>
        <w:bottom w:val="none" w:sz="0" w:space="0" w:color="auto"/>
        <w:right w:val="none" w:sz="0" w:space="0" w:color="auto"/>
      </w:divBdr>
    </w:div>
    <w:div w:id="1353915449">
      <w:bodyDiv w:val="1"/>
      <w:marLeft w:val="0"/>
      <w:marRight w:val="0"/>
      <w:marTop w:val="0"/>
      <w:marBottom w:val="0"/>
      <w:divBdr>
        <w:top w:val="none" w:sz="0" w:space="0" w:color="auto"/>
        <w:left w:val="none" w:sz="0" w:space="0" w:color="auto"/>
        <w:bottom w:val="none" w:sz="0" w:space="0" w:color="auto"/>
        <w:right w:val="none" w:sz="0" w:space="0" w:color="auto"/>
      </w:divBdr>
    </w:div>
    <w:div w:id="1355840833">
      <w:bodyDiv w:val="1"/>
      <w:marLeft w:val="0"/>
      <w:marRight w:val="0"/>
      <w:marTop w:val="0"/>
      <w:marBottom w:val="0"/>
      <w:divBdr>
        <w:top w:val="none" w:sz="0" w:space="0" w:color="auto"/>
        <w:left w:val="none" w:sz="0" w:space="0" w:color="auto"/>
        <w:bottom w:val="none" w:sz="0" w:space="0" w:color="auto"/>
        <w:right w:val="none" w:sz="0" w:space="0" w:color="auto"/>
      </w:divBdr>
    </w:div>
    <w:div w:id="1357274213">
      <w:bodyDiv w:val="1"/>
      <w:marLeft w:val="0"/>
      <w:marRight w:val="0"/>
      <w:marTop w:val="0"/>
      <w:marBottom w:val="0"/>
      <w:divBdr>
        <w:top w:val="none" w:sz="0" w:space="0" w:color="auto"/>
        <w:left w:val="none" w:sz="0" w:space="0" w:color="auto"/>
        <w:bottom w:val="none" w:sz="0" w:space="0" w:color="auto"/>
        <w:right w:val="none" w:sz="0" w:space="0" w:color="auto"/>
      </w:divBdr>
    </w:div>
    <w:div w:id="1358389919">
      <w:bodyDiv w:val="1"/>
      <w:marLeft w:val="0"/>
      <w:marRight w:val="0"/>
      <w:marTop w:val="0"/>
      <w:marBottom w:val="0"/>
      <w:divBdr>
        <w:top w:val="none" w:sz="0" w:space="0" w:color="auto"/>
        <w:left w:val="none" w:sz="0" w:space="0" w:color="auto"/>
        <w:bottom w:val="none" w:sz="0" w:space="0" w:color="auto"/>
        <w:right w:val="none" w:sz="0" w:space="0" w:color="auto"/>
      </w:divBdr>
    </w:div>
    <w:div w:id="1358656411">
      <w:bodyDiv w:val="1"/>
      <w:marLeft w:val="0"/>
      <w:marRight w:val="0"/>
      <w:marTop w:val="0"/>
      <w:marBottom w:val="0"/>
      <w:divBdr>
        <w:top w:val="none" w:sz="0" w:space="0" w:color="auto"/>
        <w:left w:val="none" w:sz="0" w:space="0" w:color="auto"/>
        <w:bottom w:val="none" w:sz="0" w:space="0" w:color="auto"/>
        <w:right w:val="none" w:sz="0" w:space="0" w:color="auto"/>
      </w:divBdr>
    </w:div>
    <w:div w:id="1358703665">
      <w:bodyDiv w:val="1"/>
      <w:marLeft w:val="0"/>
      <w:marRight w:val="0"/>
      <w:marTop w:val="0"/>
      <w:marBottom w:val="0"/>
      <w:divBdr>
        <w:top w:val="none" w:sz="0" w:space="0" w:color="auto"/>
        <w:left w:val="none" w:sz="0" w:space="0" w:color="auto"/>
        <w:bottom w:val="none" w:sz="0" w:space="0" w:color="auto"/>
        <w:right w:val="none" w:sz="0" w:space="0" w:color="auto"/>
      </w:divBdr>
    </w:div>
    <w:div w:id="1360617524">
      <w:bodyDiv w:val="1"/>
      <w:marLeft w:val="0"/>
      <w:marRight w:val="0"/>
      <w:marTop w:val="0"/>
      <w:marBottom w:val="0"/>
      <w:divBdr>
        <w:top w:val="none" w:sz="0" w:space="0" w:color="auto"/>
        <w:left w:val="none" w:sz="0" w:space="0" w:color="auto"/>
        <w:bottom w:val="none" w:sz="0" w:space="0" w:color="auto"/>
        <w:right w:val="none" w:sz="0" w:space="0" w:color="auto"/>
      </w:divBdr>
    </w:div>
    <w:div w:id="1361781364">
      <w:bodyDiv w:val="1"/>
      <w:marLeft w:val="0"/>
      <w:marRight w:val="0"/>
      <w:marTop w:val="0"/>
      <w:marBottom w:val="0"/>
      <w:divBdr>
        <w:top w:val="none" w:sz="0" w:space="0" w:color="auto"/>
        <w:left w:val="none" w:sz="0" w:space="0" w:color="auto"/>
        <w:bottom w:val="none" w:sz="0" w:space="0" w:color="auto"/>
        <w:right w:val="none" w:sz="0" w:space="0" w:color="auto"/>
      </w:divBdr>
    </w:div>
    <w:div w:id="1362439332">
      <w:bodyDiv w:val="1"/>
      <w:marLeft w:val="0"/>
      <w:marRight w:val="0"/>
      <w:marTop w:val="0"/>
      <w:marBottom w:val="0"/>
      <w:divBdr>
        <w:top w:val="none" w:sz="0" w:space="0" w:color="auto"/>
        <w:left w:val="none" w:sz="0" w:space="0" w:color="auto"/>
        <w:bottom w:val="none" w:sz="0" w:space="0" w:color="auto"/>
        <w:right w:val="none" w:sz="0" w:space="0" w:color="auto"/>
      </w:divBdr>
    </w:div>
    <w:div w:id="1364401322">
      <w:bodyDiv w:val="1"/>
      <w:marLeft w:val="0"/>
      <w:marRight w:val="0"/>
      <w:marTop w:val="0"/>
      <w:marBottom w:val="0"/>
      <w:divBdr>
        <w:top w:val="none" w:sz="0" w:space="0" w:color="auto"/>
        <w:left w:val="none" w:sz="0" w:space="0" w:color="auto"/>
        <w:bottom w:val="none" w:sz="0" w:space="0" w:color="auto"/>
        <w:right w:val="none" w:sz="0" w:space="0" w:color="auto"/>
      </w:divBdr>
    </w:div>
    <w:div w:id="1365711822">
      <w:bodyDiv w:val="1"/>
      <w:marLeft w:val="0"/>
      <w:marRight w:val="0"/>
      <w:marTop w:val="0"/>
      <w:marBottom w:val="0"/>
      <w:divBdr>
        <w:top w:val="none" w:sz="0" w:space="0" w:color="auto"/>
        <w:left w:val="none" w:sz="0" w:space="0" w:color="auto"/>
        <w:bottom w:val="none" w:sz="0" w:space="0" w:color="auto"/>
        <w:right w:val="none" w:sz="0" w:space="0" w:color="auto"/>
      </w:divBdr>
    </w:div>
    <w:div w:id="1367409725">
      <w:bodyDiv w:val="1"/>
      <w:marLeft w:val="0"/>
      <w:marRight w:val="0"/>
      <w:marTop w:val="0"/>
      <w:marBottom w:val="0"/>
      <w:divBdr>
        <w:top w:val="none" w:sz="0" w:space="0" w:color="auto"/>
        <w:left w:val="none" w:sz="0" w:space="0" w:color="auto"/>
        <w:bottom w:val="none" w:sz="0" w:space="0" w:color="auto"/>
        <w:right w:val="none" w:sz="0" w:space="0" w:color="auto"/>
      </w:divBdr>
    </w:div>
    <w:div w:id="1367677845">
      <w:bodyDiv w:val="1"/>
      <w:marLeft w:val="0"/>
      <w:marRight w:val="0"/>
      <w:marTop w:val="0"/>
      <w:marBottom w:val="0"/>
      <w:divBdr>
        <w:top w:val="none" w:sz="0" w:space="0" w:color="auto"/>
        <w:left w:val="none" w:sz="0" w:space="0" w:color="auto"/>
        <w:bottom w:val="none" w:sz="0" w:space="0" w:color="auto"/>
        <w:right w:val="none" w:sz="0" w:space="0" w:color="auto"/>
      </w:divBdr>
    </w:div>
    <w:div w:id="1368525698">
      <w:bodyDiv w:val="1"/>
      <w:marLeft w:val="0"/>
      <w:marRight w:val="0"/>
      <w:marTop w:val="0"/>
      <w:marBottom w:val="0"/>
      <w:divBdr>
        <w:top w:val="none" w:sz="0" w:space="0" w:color="auto"/>
        <w:left w:val="none" w:sz="0" w:space="0" w:color="auto"/>
        <w:bottom w:val="none" w:sz="0" w:space="0" w:color="auto"/>
        <w:right w:val="none" w:sz="0" w:space="0" w:color="auto"/>
      </w:divBdr>
    </w:div>
    <w:div w:id="1370641243">
      <w:bodyDiv w:val="1"/>
      <w:marLeft w:val="0"/>
      <w:marRight w:val="0"/>
      <w:marTop w:val="0"/>
      <w:marBottom w:val="0"/>
      <w:divBdr>
        <w:top w:val="none" w:sz="0" w:space="0" w:color="auto"/>
        <w:left w:val="none" w:sz="0" w:space="0" w:color="auto"/>
        <w:bottom w:val="none" w:sz="0" w:space="0" w:color="auto"/>
        <w:right w:val="none" w:sz="0" w:space="0" w:color="auto"/>
      </w:divBdr>
    </w:div>
    <w:div w:id="1371999583">
      <w:bodyDiv w:val="1"/>
      <w:marLeft w:val="0"/>
      <w:marRight w:val="0"/>
      <w:marTop w:val="0"/>
      <w:marBottom w:val="0"/>
      <w:divBdr>
        <w:top w:val="none" w:sz="0" w:space="0" w:color="auto"/>
        <w:left w:val="none" w:sz="0" w:space="0" w:color="auto"/>
        <w:bottom w:val="none" w:sz="0" w:space="0" w:color="auto"/>
        <w:right w:val="none" w:sz="0" w:space="0" w:color="auto"/>
      </w:divBdr>
    </w:div>
    <w:div w:id="1372413073">
      <w:bodyDiv w:val="1"/>
      <w:marLeft w:val="0"/>
      <w:marRight w:val="0"/>
      <w:marTop w:val="0"/>
      <w:marBottom w:val="0"/>
      <w:divBdr>
        <w:top w:val="none" w:sz="0" w:space="0" w:color="auto"/>
        <w:left w:val="none" w:sz="0" w:space="0" w:color="auto"/>
        <w:bottom w:val="none" w:sz="0" w:space="0" w:color="auto"/>
        <w:right w:val="none" w:sz="0" w:space="0" w:color="auto"/>
      </w:divBdr>
    </w:div>
    <w:div w:id="1375235388">
      <w:bodyDiv w:val="1"/>
      <w:marLeft w:val="0"/>
      <w:marRight w:val="0"/>
      <w:marTop w:val="0"/>
      <w:marBottom w:val="0"/>
      <w:divBdr>
        <w:top w:val="none" w:sz="0" w:space="0" w:color="auto"/>
        <w:left w:val="none" w:sz="0" w:space="0" w:color="auto"/>
        <w:bottom w:val="none" w:sz="0" w:space="0" w:color="auto"/>
        <w:right w:val="none" w:sz="0" w:space="0" w:color="auto"/>
      </w:divBdr>
    </w:div>
    <w:div w:id="1375498250">
      <w:bodyDiv w:val="1"/>
      <w:marLeft w:val="0"/>
      <w:marRight w:val="0"/>
      <w:marTop w:val="0"/>
      <w:marBottom w:val="0"/>
      <w:divBdr>
        <w:top w:val="none" w:sz="0" w:space="0" w:color="auto"/>
        <w:left w:val="none" w:sz="0" w:space="0" w:color="auto"/>
        <w:bottom w:val="none" w:sz="0" w:space="0" w:color="auto"/>
        <w:right w:val="none" w:sz="0" w:space="0" w:color="auto"/>
      </w:divBdr>
    </w:div>
    <w:div w:id="1376613845">
      <w:bodyDiv w:val="1"/>
      <w:marLeft w:val="0"/>
      <w:marRight w:val="0"/>
      <w:marTop w:val="0"/>
      <w:marBottom w:val="0"/>
      <w:divBdr>
        <w:top w:val="none" w:sz="0" w:space="0" w:color="auto"/>
        <w:left w:val="none" w:sz="0" w:space="0" w:color="auto"/>
        <w:bottom w:val="none" w:sz="0" w:space="0" w:color="auto"/>
        <w:right w:val="none" w:sz="0" w:space="0" w:color="auto"/>
      </w:divBdr>
    </w:div>
    <w:div w:id="1381514713">
      <w:bodyDiv w:val="1"/>
      <w:marLeft w:val="0"/>
      <w:marRight w:val="0"/>
      <w:marTop w:val="0"/>
      <w:marBottom w:val="0"/>
      <w:divBdr>
        <w:top w:val="none" w:sz="0" w:space="0" w:color="auto"/>
        <w:left w:val="none" w:sz="0" w:space="0" w:color="auto"/>
        <w:bottom w:val="none" w:sz="0" w:space="0" w:color="auto"/>
        <w:right w:val="none" w:sz="0" w:space="0" w:color="auto"/>
      </w:divBdr>
    </w:div>
    <w:div w:id="1383822726">
      <w:bodyDiv w:val="1"/>
      <w:marLeft w:val="0"/>
      <w:marRight w:val="0"/>
      <w:marTop w:val="0"/>
      <w:marBottom w:val="0"/>
      <w:divBdr>
        <w:top w:val="none" w:sz="0" w:space="0" w:color="auto"/>
        <w:left w:val="none" w:sz="0" w:space="0" w:color="auto"/>
        <w:bottom w:val="none" w:sz="0" w:space="0" w:color="auto"/>
        <w:right w:val="none" w:sz="0" w:space="0" w:color="auto"/>
      </w:divBdr>
    </w:div>
    <w:div w:id="1385176954">
      <w:bodyDiv w:val="1"/>
      <w:marLeft w:val="0"/>
      <w:marRight w:val="0"/>
      <w:marTop w:val="0"/>
      <w:marBottom w:val="0"/>
      <w:divBdr>
        <w:top w:val="none" w:sz="0" w:space="0" w:color="auto"/>
        <w:left w:val="none" w:sz="0" w:space="0" w:color="auto"/>
        <w:bottom w:val="none" w:sz="0" w:space="0" w:color="auto"/>
        <w:right w:val="none" w:sz="0" w:space="0" w:color="auto"/>
      </w:divBdr>
    </w:div>
    <w:div w:id="1386298907">
      <w:bodyDiv w:val="1"/>
      <w:marLeft w:val="0"/>
      <w:marRight w:val="0"/>
      <w:marTop w:val="0"/>
      <w:marBottom w:val="0"/>
      <w:divBdr>
        <w:top w:val="none" w:sz="0" w:space="0" w:color="auto"/>
        <w:left w:val="none" w:sz="0" w:space="0" w:color="auto"/>
        <w:bottom w:val="none" w:sz="0" w:space="0" w:color="auto"/>
        <w:right w:val="none" w:sz="0" w:space="0" w:color="auto"/>
      </w:divBdr>
    </w:div>
    <w:div w:id="1387143276">
      <w:bodyDiv w:val="1"/>
      <w:marLeft w:val="0"/>
      <w:marRight w:val="0"/>
      <w:marTop w:val="0"/>
      <w:marBottom w:val="0"/>
      <w:divBdr>
        <w:top w:val="none" w:sz="0" w:space="0" w:color="auto"/>
        <w:left w:val="none" w:sz="0" w:space="0" w:color="auto"/>
        <w:bottom w:val="none" w:sz="0" w:space="0" w:color="auto"/>
        <w:right w:val="none" w:sz="0" w:space="0" w:color="auto"/>
      </w:divBdr>
    </w:div>
    <w:div w:id="1387725679">
      <w:bodyDiv w:val="1"/>
      <w:marLeft w:val="0"/>
      <w:marRight w:val="0"/>
      <w:marTop w:val="0"/>
      <w:marBottom w:val="0"/>
      <w:divBdr>
        <w:top w:val="none" w:sz="0" w:space="0" w:color="auto"/>
        <w:left w:val="none" w:sz="0" w:space="0" w:color="auto"/>
        <w:bottom w:val="none" w:sz="0" w:space="0" w:color="auto"/>
        <w:right w:val="none" w:sz="0" w:space="0" w:color="auto"/>
      </w:divBdr>
    </w:div>
    <w:div w:id="1391418830">
      <w:bodyDiv w:val="1"/>
      <w:marLeft w:val="0"/>
      <w:marRight w:val="0"/>
      <w:marTop w:val="0"/>
      <w:marBottom w:val="0"/>
      <w:divBdr>
        <w:top w:val="none" w:sz="0" w:space="0" w:color="auto"/>
        <w:left w:val="none" w:sz="0" w:space="0" w:color="auto"/>
        <w:bottom w:val="none" w:sz="0" w:space="0" w:color="auto"/>
        <w:right w:val="none" w:sz="0" w:space="0" w:color="auto"/>
      </w:divBdr>
    </w:div>
    <w:div w:id="1391613322">
      <w:bodyDiv w:val="1"/>
      <w:marLeft w:val="0"/>
      <w:marRight w:val="0"/>
      <w:marTop w:val="0"/>
      <w:marBottom w:val="0"/>
      <w:divBdr>
        <w:top w:val="none" w:sz="0" w:space="0" w:color="auto"/>
        <w:left w:val="none" w:sz="0" w:space="0" w:color="auto"/>
        <w:bottom w:val="none" w:sz="0" w:space="0" w:color="auto"/>
        <w:right w:val="none" w:sz="0" w:space="0" w:color="auto"/>
      </w:divBdr>
    </w:div>
    <w:div w:id="1394304785">
      <w:bodyDiv w:val="1"/>
      <w:marLeft w:val="0"/>
      <w:marRight w:val="0"/>
      <w:marTop w:val="0"/>
      <w:marBottom w:val="0"/>
      <w:divBdr>
        <w:top w:val="none" w:sz="0" w:space="0" w:color="auto"/>
        <w:left w:val="none" w:sz="0" w:space="0" w:color="auto"/>
        <w:bottom w:val="none" w:sz="0" w:space="0" w:color="auto"/>
        <w:right w:val="none" w:sz="0" w:space="0" w:color="auto"/>
      </w:divBdr>
    </w:div>
    <w:div w:id="1394351061">
      <w:bodyDiv w:val="1"/>
      <w:marLeft w:val="0"/>
      <w:marRight w:val="0"/>
      <w:marTop w:val="0"/>
      <w:marBottom w:val="0"/>
      <w:divBdr>
        <w:top w:val="none" w:sz="0" w:space="0" w:color="auto"/>
        <w:left w:val="none" w:sz="0" w:space="0" w:color="auto"/>
        <w:bottom w:val="none" w:sz="0" w:space="0" w:color="auto"/>
        <w:right w:val="none" w:sz="0" w:space="0" w:color="auto"/>
      </w:divBdr>
    </w:div>
    <w:div w:id="1394691996">
      <w:bodyDiv w:val="1"/>
      <w:marLeft w:val="0"/>
      <w:marRight w:val="0"/>
      <w:marTop w:val="0"/>
      <w:marBottom w:val="0"/>
      <w:divBdr>
        <w:top w:val="none" w:sz="0" w:space="0" w:color="auto"/>
        <w:left w:val="none" w:sz="0" w:space="0" w:color="auto"/>
        <w:bottom w:val="none" w:sz="0" w:space="0" w:color="auto"/>
        <w:right w:val="none" w:sz="0" w:space="0" w:color="auto"/>
      </w:divBdr>
    </w:div>
    <w:div w:id="1394962716">
      <w:bodyDiv w:val="1"/>
      <w:marLeft w:val="0"/>
      <w:marRight w:val="0"/>
      <w:marTop w:val="0"/>
      <w:marBottom w:val="0"/>
      <w:divBdr>
        <w:top w:val="none" w:sz="0" w:space="0" w:color="auto"/>
        <w:left w:val="none" w:sz="0" w:space="0" w:color="auto"/>
        <w:bottom w:val="none" w:sz="0" w:space="0" w:color="auto"/>
        <w:right w:val="none" w:sz="0" w:space="0" w:color="auto"/>
      </w:divBdr>
    </w:div>
    <w:div w:id="1395735179">
      <w:bodyDiv w:val="1"/>
      <w:marLeft w:val="0"/>
      <w:marRight w:val="0"/>
      <w:marTop w:val="0"/>
      <w:marBottom w:val="0"/>
      <w:divBdr>
        <w:top w:val="none" w:sz="0" w:space="0" w:color="auto"/>
        <w:left w:val="none" w:sz="0" w:space="0" w:color="auto"/>
        <w:bottom w:val="none" w:sz="0" w:space="0" w:color="auto"/>
        <w:right w:val="none" w:sz="0" w:space="0" w:color="auto"/>
      </w:divBdr>
    </w:div>
    <w:div w:id="1397824338">
      <w:bodyDiv w:val="1"/>
      <w:marLeft w:val="0"/>
      <w:marRight w:val="0"/>
      <w:marTop w:val="0"/>
      <w:marBottom w:val="0"/>
      <w:divBdr>
        <w:top w:val="none" w:sz="0" w:space="0" w:color="auto"/>
        <w:left w:val="none" w:sz="0" w:space="0" w:color="auto"/>
        <w:bottom w:val="none" w:sz="0" w:space="0" w:color="auto"/>
        <w:right w:val="none" w:sz="0" w:space="0" w:color="auto"/>
      </w:divBdr>
    </w:div>
    <w:div w:id="1399207587">
      <w:bodyDiv w:val="1"/>
      <w:marLeft w:val="0"/>
      <w:marRight w:val="0"/>
      <w:marTop w:val="0"/>
      <w:marBottom w:val="0"/>
      <w:divBdr>
        <w:top w:val="none" w:sz="0" w:space="0" w:color="auto"/>
        <w:left w:val="none" w:sz="0" w:space="0" w:color="auto"/>
        <w:bottom w:val="none" w:sz="0" w:space="0" w:color="auto"/>
        <w:right w:val="none" w:sz="0" w:space="0" w:color="auto"/>
      </w:divBdr>
    </w:div>
    <w:div w:id="1399934850">
      <w:bodyDiv w:val="1"/>
      <w:marLeft w:val="0"/>
      <w:marRight w:val="0"/>
      <w:marTop w:val="0"/>
      <w:marBottom w:val="0"/>
      <w:divBdr>
        <w:top w:val="none" w:sz="0" w:space="0" w:color="auto"/>
        <w:left w:val="none" w:sz="0" w:space="0" w:color="auto"/>
        <w:bottom w:val="none" w:sz="0" w:space="0" w:color="auto"/>
        <w:right w:val="none" w:sz="0" w:space="0" w:color="auto"/>
      </w:divBdr>
    </w:div>
    <w:div w:id="1400009195">
      <w:bodyDiv w:val="1"/>
      <w:marLeft w:val="0"/>
      <w:marRight w:val="0"/>
      <w:marTop w:val="0"/>
      <w:marBottom w:val="0"/>
      <w:divBdr>
        <w:top w:val="none" w:sz="0" w:space="0" w:color="auto"/>
        <w:left w:val="none" w:sz="0" w:space="0" w:color="auto"/>
        <w:bottom w:val="none" w:sz="0" w:space="0" w:color="auto"/>
        <w:right w:val="none" w:sz="0" w:space="0" w:color="auto"/>
      </w:divBdr>
    </w:div>
    <w:div w:id="1400403250">
      <w:bodyDiv w:val="1"/>
      <w:marLeft w:val="0"/>
      <w:marRight w:val="0"/>
      <w:marTop w:val="0"/>
      <w:marBottom w:val="0"/>
      <w:divBdr>
        <w:top w:val="none" w:sz="0" w:space="0" w:color="auto"/>
        <w:left w:val="none" w:sz="0" w:space="0" w:color="auto"/>
        <w:bottom w:val="none" w:sz="0" w:space="0" w:color="auto"/>
        <w:right w:val="none" w:sz="0" w:space="0" w:color="auto"/>
      </w:divBdr>
    </w:div>
    <w:div w:id="1401706208">
      <w:bodyDiv w:val="1"/>
      <w:marLeft w:val="0"/>
      <w:marRight w:val="0"/>
      <w:marTop w:val="0"/>
      <w:marBottom w:val="0"/>
      <w:divBdr>
        <w:top w:val="none" w:sz="0" w:space="0" w:color="auto"/>
        <w:left w:val="none" w:sz="0" w:space="0" w:color="auto"/>
        <w:bottom w:val="none" w:sz="0" w:space="0" w:color="auto"/>
        <w:right w:val="none" w:sz="0" w:space="0" w:color="auto"/>
      </w:divBdr>
    </w:div>
    <w:div w:id="1404716558">
      <w:bodyDiv w:val="1"/>
      <w:marLeft w:val="0"/>
      <w:marRight w:val="0"/>
      <w:marTop w:val="0"/>
      <w:marBottom w:val="0"/>
      <w:divBdr>
        <w:top w:val="none" w:sz="0" w:space="0" w:color="auto"/>
        <w:left w:val="none" w:sz="0" w:space="0" w:color="auto"/>
        <w:bottom w:val="none" w:sz="0" w:space="0" w:color="auto"/>
        <w:right w:val="none" w:sz="0" w:space="0" w:color="auto"/>
      </w:divBdr>
    </w:div>
    <w:div w:id="1404765783">
      <w:bodyDiv w:val="1"/>
      <w:marLeft w:val="0"/>
      <w:marRight w:val="0"/>
      <w:marTop w:val="0"/>
      <w:marBottom w:val="0"/>
      <w:divBdr>
        <w:top w:val="none" w:sz="0" w:space="0" w:color="auto"/>
        <w:left w:val="none" w:sz="0" w:space="0" w:color="auto"/>
        <w:bottom w:val="none" w:sz="0" w:space="0" w:color="auto"/>
        <w:right w:val="none" w:sz="0" w:space="0" w:color="auto"/>
      </w:divBdr>
    </w:div>
    <w:div w:id="1406682261">
      <w:bodyDiv w:val="1"/>
      <w:marLeft w:val="0"/>
      <w:marRight w:val="0"/>
      <w:marTop w:val="0"/>
      <w:marBottom w:val="0"/>
      <w:divBdr>
        <w:top w:val="none" w:sz="0" w:space="0" w:color="auto"/>
        <w:left w:val="none" w:sz="0" w:space="0" w:color="auto"/>
        <w:bottom w:val="none" w:sz="0" w:space="0" w:color="auto"/>
        <w:right w:val="none" w:sz="0" w:space="0" w:color="auto"/>
      </w:divBdr>
    </w:div>
    <w:div w:id="1408266010">
      <w:bodyDiv w:val="1"/>
      <w:marLeft w:val="0"/>
      <w:marRight w:val="0"/>
      <w:marTop w:val="0"/>
      <w:marBottom w:val="0"/>
      <w:divBdr>
        <w:top w:val="none" w:sz="0" w:space="0" w:color="auto"/>
        <w:left w:val="none" w:sz="0" w:space="0" w:color="auto"/>
        <w:bottom w:val="none" w:sz="0" w:space="0" w:color="auto"/>
        <w:right w:val="none" w:sz="0" w:space="0" w:color="auto"/>
      </w:divBdr>
    </w:div>
    <w:div w:id="1413239971">
      <w:bodyDiv w:val="1"/>
      <w:marLeft w:val="0"/>
      <w:marRight w:val="0"/>
      <w:marTop w:val="0"/>
      <w:marBottom w:val="0"/>
      <w:divBdr>
        <w:top w:val="none" w:sz="0" w:space="0" w:color="auto"/>
        <w:left w:val="none" w:sz="0" w:space="0" w:color="auto"/>
        <w:bottom w:val="none" w:sz="0" w:space="0" w:color="auto"/>
        <w:right w:val="none" w:sz="0" w:space="0" w:color="auto"/>
      </w:divBdr>
    </w:div>
    <w:div w:id="1413546823">
      <w:bodyDiv w:val="1"/>
      <w:marLeft w:val="0"/>
      <w:marRight w:val="0"/>
      <w:marTop w:val="0"/>
      <w:marBottom w:val="0"/>
      <w:divBdr>
        <w:top w:val="none" w:sz="0" w:space="0" w:color="auto"/>
        <w:left w:val="none" w:sz="0" w:space="0" w:color="auto"/>
        <w:bottom w:val="none" w:sz="0" w:space="0" w:color="auto"/>
        <w:right w:val="none" w:sz="0" w:space="0" w:color="auto"/>
      </w:divBdr>
    </w:div>
    <w:div w:id="1415394642">
      <w:bodyDiv w:val="1"/>
      <w:marLeft w:val="0"/>
      <w:marRight w:val="0"/>
      <w:marTop w:val="0"/>
      <w:marBottom w:val="0"/>
      <w:divBdr>
        <w:top w:val="none" w:sz="0" w:space="0" w:color="auto"/>
        <w:left w:val="none" w:sz="0" w:space="0" w:color="auto"/>
        <w:bottom w:val="none" w:sz="0" w:space="0" w:color="auto"/>
        <w:right w:val="none" w:sz="0" w:space="0" w:color="auto"/>
      </w:divBdr>
    </w:div>
    <w:div w:id="1416709995">
      <w:bodyDiv w:val="1"/>
      <w:marLeft w:val="0"/>
      <w:marRight w:val="0"/>
      <w:marTop w:val="0"/>
      <w:marBottom w:val="0"/>
      <w:divBdr>
        <w:top w:val="none" w:sz="0" w:space="0" w:color="auto"/>
        <w:left w:val="none" w:sz="0" w:space="0" w:color="auto"/>
        <w:bottom w:val="none" w:sz="0" w:space="0" w:color="auto"/>
        <w:right w:val="none" w:sz="0" w:space="0" w:color="auto"/>
      </w:divBdr>
    </w:div>
    <w:div w:id="1417558374">
      <w:bodyDiv w:val="1"/>
      <w:marLeft w:val="0"/>
      <w:marRight w:val="0"/>
      <w:marTop w:val="0"/>
      <w:marBottom w:val="0"/>
      <w:divBdr>
        <w:top w:val="none" w:sz="0" w:space="0" w:color="auto"/>
        <w:left w:val="none" w:sz="0" w:space="0" w:color="auto"/>
        <w:bottom w:val="none" w:sz="0" w:space="0" w:color="auto"/>
        <w:right w:val="none" w:sz="0" w:space="0" w:color="auto"/>
      </w:divBdr>
    </w:div>
    <w:div w:id="1418015378">
      <w:bodyDiv w:val="1"/>
      <w:marLeft w:val="0"/>
      <w:marRight w:val="0"/>
      <w:marTop w:val="0"/>
      <w:marBottom w:val="0"/>
      <w:divBdr>
        <w:top w:val="none" w:sz="0" w:space="0" w:color="auto"/>
        <w:left w:val="none" w:sz="0" w:space="0" w:color="auto"/>
        <w:bottom w:val="none" w:sz="0" w:space="0" w:color="auto"/>
        <w:right w:val="none" w:sz="0" w:space="0" w:color="auto"/>
      </w:divBdr>
    </w:div>
    <w:div w:id="1418281197">
      <w:bodyDiv w:val="1"/>
      <w:marLeft w:val="0"/>
      <w:marRight w:val="0"/>
      <w:marTop w:val="0"/>
      <w:marBottom w:val="0"/>
      <w:divBdr>
        <w:top w:val="none" w:sz="0" w:space="0" w:color="auto"/>
        <w:left w:val="none" w:sz="0" w:space="0" w:color="auto"/>
        <w:bottom w:val="none" w:sz="0" w:space="0" w:color="auto"/>
        <w:right w:val="none" w:sz="0" w:space="0" w:color="auto"/>
      </w:divBdr>
    </w:div>
    <w:div w:id="1418598864">
      <w:bodyDiv w:val="1"/>
      <w:marLeft w:val="0"/>
      <w:marRight w:val="0"/>
      <w:marTop w:val="0"/>
      <w:marBottom w:val="0"/>
      <w:divBdr>
        <w:top w:val="none" w:sz="0" w:space="0" w:color="auto"/>
        <w:left w:val="none" w:sz="0" w:space="0" w:color="auto"/>
        <w:bottom w:val="none" w:sz="0" w:space="0" w:color="auto"/>
        <w:right w:val="none" w:sz="0" w:space="0" w:color="auto"/>
      </w:divBdr>
    </w:div>
    <w:div w:id="1419640839">
      <w:bodyDiv w:val="1"/>
      <w:marLeft w:val="0"/>
      <w:marRight w:val="0"/>
      <w:marTop w:val="0"/>
      <w:marBottom w:val="0"/>
      <w:divBdr>
        <w:top w:val="none" w:sz="0" w:space="0" w:color="auto"/>
        <w:left w:val="none" w:sz="0" w:space="0" w:color="auto"/>
        <w:bottom w:val="none" w:sz="0" w:space="0" w:color="auto"/>
        <w:right w:val="none" w:sz="0" w:space="0" w:color="auto"/>
      </w:divBdr>
    </w:div>
    <w:div w:id="1419713239">
      <w:bodyDiv w:val="1"/>
      <w:marLeft w:val="0"/>
      <w:marRight w:val="0"/>
      <w:marTop w:val="0"/>
      <w:marBottom w:val="0"/>
      <w:divBdr>
        <w:top w:val="none" w:sz="0" w:space="0" w:color="auto"/>
        <w:left w:val="none" w:sz="0" w:space="0" w:color="auto"/>
        <w:bottom w:val="none" w:sz="0" w:space="0" w:color="auto"/>
        <w:right w:val="none" w:sz="0" w:space="0" w:color="auto"/>
      </w:divBdr>
    </w:div>
    <w:div w:id="1419867356">
      <w:bodyDiv w:val="1"/>
      <w:marLeft w:val="0"/>
      <w:marRight w:val="0"/>
      <w:marTop w:val="0"/>
      <w:marBottom w:val="0"/>
      <w:divBdr>
        <w:top w:val="none" w:sz="0" w:space="0" w:color="auto"/>
        <w:left w:val="none" w:sz="0" w:space="0" w:color="auto"/>
        <w:bottom w:val="none" w:sz="0" w:space="0" w:color="auto"/>
        <w:right w:val="none" w:sz="0" w:space="0" w:color="auto"/>
      </w:divBdr>
    </w:div>
    <w:div w:id="1420104895">
      <w:bodyDiv w:val="1"/>
      <w:marLeft w:val="0"/>
      <w:marRight w:val="0"/>
      <w:marTop w:val="0"/>
      <w:marBottom w:val="0"/>
      <w:divBdr>
        <w:top w:val="none" w:sz="0" w:space="0" w:color="auto"/>
        <w:left w:val="none" w:sz="0" w:space="0" w:color="auto"/>
        <w:bottom w:val="none" w:sz="0" w:space="0" w:color="auto"/>
        <w:right w:val="none" w:sz="0" w:space="0" w:color="auto"/>
      </w:divBdr>
    </w:div>
    <w:div w:id="1420172582">
      <w:bodyDiv w:val="1"/>
      <w:marLeft w:val="0"/>
      <w:marRight w:val="0"/>
      <w:marTop w:val="0"/>
      <w:marBottom w:val="0"/>
      <w:divBdr>
        <w:top w:val="none" w:sz="0" w:space="0" w:color="auto"/>
        <w:left w:val="none" w:sz="0" w:space="0" w:color="auto"/>
        <w:bottom w:val="none" w:sz="0" w:space="0" w:color="auto"/>
        <w:right w:val="none" w:sz="0" w:space="0" w:color="auto"/>
      </w:divBdr>
    </w:div>
    <w:div w:id="1420327164">
      <w:bodyDiv w:val="1"/>
      <w:marLeft w:val="0"/>
      <w:marRight w:val="0"/>
      <w:marTop w:val="0"/>
      <w:marBottom w:val="0"/>
      <w:divBdr>
        <w:top w:val="none" w:sz="0" w:space="0" w:color="auto"/>
        <w:left w:val="none" w:sz="0" w:space="0" w:color="auto"/>
        <w:bottom w:val="none" w:sz="0" w:space="0" w:color="auto"/>
        <w:right w:val="none" w:sz="0" w:space="0" w:color="auto"/>
      </w:divBdr>
    </w:div>
    <w:div w:id="1423188875">
      <w:bodyDiv w:val="1"/>
      <w:marLeft w:val="0"/>
      <w:marRight w:val="0"/>
      <w:marTop w:val="0"/>
      <w:marBottom w:val="0"/>
      <w:divBdr>
        <w:top w:val="none" w:sz="0" w:space="0" w:color="auto"/>
        <w:left w:val="none" w:sz="0" w:space="0" w:color="auto"/>
        <w:bottom w:val="none" w:sz="0" w:space="0" w:color="auto"/>
        <w:right w:val="none" w:sz="0" w:space="0" w:color="auto"/>
      </w:divBdr>
    </w:div>
    <w:div w:id="1424105700">
      <w:bodyDiv w:val="1"/>
      <w:marLeft w:val="0"/>
      <w:marRight w:val="0"/>
      <w:marTop w:val="0"/>
      <w:marBottom w:val="0"/>
      <w:divBdr>
        <w:top w:val="none" w:sz="0" w:space="0" w:color="auto"/>
        <w:left w:val="none" w:sz="0" w:space="0" w:color="auto"/>
        <w:bottom w:val="none" w:sz="0" w:space="0" w:color="auto"/>
        <w:right w:val="none" w:sz="0" w:space="0" w:color="auto"/>
      </w:divBdr>
    </w:div>
    <w:div w:id="1424644207">
      <w:bodyDiv w:val="1"/>
      <w:marLeft w:val="0"/>
      <w:marRight w:val="0"/>
      <w:marTop w:val="0"/>
      <w:marBottom w:val="0"/>
      <w:divBdr>
        <w:top w:val="none" w:sz="0" w:space="0" w:color="auto"/>
        <w:left w:val="none" w:sz="0" w:space="0" w:color="auto"/>
        <w:bottom w:val="none" w:sz="0" w:space="0" w:color="auto"/>
        <w:right w:val="none" w:sz="0" w:space="0" w:color="auto"/>
      </w:divBdr>
    </w:div>
    <w:div w:id="1433278320">
      <w:bodyDiv w:val="1"/>
      <w:marLeft w:val="0"/>
      <w:marRight w:val="0"/>
      <w:marTop w:val="0"/>
      <w:marBottom w:val="0"/>
      <w:divBdr>
        <w:top w:val="none" w:sz="0" w:space="0" w:color="auto"/>
        <w:left w:val="none" w:sz="0" w:space="0" w:color="auto"/>
        <w:bottom w:val="none" w:sz="0" w:space="0" w:color="auto"/>
        <w:right w:val="none" w:sz="0" w:space="0" w:color="auto"/>
      </w:divBdr>
    </w:div>
    <w:div w:id="1434932696">
      <w:bodyDiv w:val="1"/>
      <w:marLeft w:val="0"/>
      <w:marRight w:val="0"/>
      <w:marTop w:val="0"/>
      <w:marBottom w:val="0"/>
      <w:divBdr>
        <w:top w:val="none" w:sz="0" w:space="0" w:color="auto"/>
        <w:left w:val="none" w:sz="0" w:space="0" w:color="auto"/>
        <w:bottom w:val="none" w:sz="0" w:space="0" w:color="auto"/>
        <w:right w:val="none" w:sz="0" w:space="0" w:color="auto"/>
      </w:divBdr>
    </w:div>
    <w:div w:id="1436170910">
      <w:bodyDiv w:val="1"/>
      <w:marLeft w:val="0"/>
      <w:marRight w:val="0"/>
      <w:marTop w:val="0"/>
      <w:marBottom w:val="0"/>
      <w:divBdr>
        <w:top w:val="none" w:sz="0" w:space="0" w:color="auto"/>
        <w:left w:val="none" w:sz="0" w:space="0" w:color="auto"/>
        <w:bottom w:val="none" w:sz="0" w:space="0" w:color="auto"/>
        <w:right w:val="none" w:sz="0" w:space="0" w:color="auto"/>
      </w:divBdr>
    </w:div>
    <w:div w:id="1436483926">
      <w:bodyDiv w:val="1"/>
      <w:marLeft w:val="0"/>
      <w:marRight w:val="0"/>
      <w:marTop w:val="0"/>
      <w:marBottom w:val="0"/>
      <w:divBdr>
        <w:top w:val="none" w:sz="0" w:space="0" w:color="auto"/>
        <w:left w:val="none" w:sz="0" w:space="0" w:color="auto"/>
        <w:bottom w:val="none" w:sz="0" w:space="0" w:color="auto"/>
        <w:right w:val="none" w:sz="0" w:space="0" w:color="auto"/>
      </w:divBdr>
    </w:div>
    <w:div w:id="1437216557">
      <w:bodyDiv w:val="1"/>
      <w:marLeft w:val="0"/>
      <w:marRight w:val="0"/>
      <w:marTop w:val="0"/>
      <w:marBottom w:val="0"/>
      <w:divBdr>
        <w:top w:val="none" w:sz="0" w:space="0" w:color="auto"/>
        <w:left w:val="none" w:sz="0" w:space="0" w:color="auto"/>
        <w:bottom w:val="none" w:sz="0" w:space="0" w:color="auto"/>
        <w:right w:val="none" w:sz="0" w:space="0" w:color="auto"/>
      </w:divBdr>
    </w:div>
    <w:div w:id="1437292200">
      <w:bodyDiv w:val="1"/>
      <w:marLeft w:val="0"/>
      <w:marRight w:val="0"/>
      <w:marTop w:val="0"/>
      <w:marBottom w:val="0"/>
      <w:divBdr>
        <w:top w:val="none" w:sz="0" w:space="0" w:color="auto"/>
        <w:left w:val="none" w:sz="0" w:space="0" w:color="auto"/>
        <w:bottom w:val="none" w:sz="0" w:space="0" w:color="auto"/>
        <w:right w:val="none" w:sz="0" w:space="0" w:color="auto"/>
      </w:divBdr>
    </w:div>
    <w:div w:id="1440880226">
      <w:bodyDiv w:val="1"/>
      <w:marLeft w:val="0"/>
      <w:marRight w:val="0"/>
      <w:marTop w:val="0"/>
      <w:marBottom w:val="0"/>
      <w:divBdr>
        <w:top w:val="none" w:sz="0" w:space="0" w:color="auto"/>
        <w:left w:val="none" w:sz="0" w:space="0" w:color="auto"/>
        <w:bottom w:val="none" w:sz="0" w:space="0" w:color="auto"/>
        <w:right w:val="none" w:sz="0" w:space="0" w:color="auto"/>
      </w:divBdr>
    </w:div>
    <w:div w:id="1441877278">
      <w:bodyDiv w:val="1"/>
      <w:marLeft w:val="0"/>
      <w:marRight w:val="0"/>
      <w:marTop w:val="0"/>
      <w:marBottom w:val="0"/>
      <w:divBdr>
        <w:top w:val="none" w:sz="0" w:space="0" w:color="auto"/>
        <w:left w:val="none" w:sz="0" w:space="0" w:color="auto"/>
        <w:bottom w:val="none" w:sz="0" w:space="0" w:color="auto"/>
        <w:right w:val="none" w:sz="0" w:space="0" w:color="auto"/>
      </w:divBdr>
    </w:div>
    <w:div w:id="1442453316">
      <w:bodyDiv w:val="1"/>
      <w:marLeft w:val="0"/>
      <w:marRight w:val="0"/>
      <w:marTop w:val="0"/>
      <w:marBottom w:val="0"/>
      <w:divBdr>
        <w:top w:val="none" w:sz="0" w:space="0" w:color="auto"/>
        <w:left w:val="none" w:sz="0" w:space="0" w:color="auto"/>
        <w:bottom w:val="none" w:sz="0" w:space="0" w:color="auto"/>
        <w:right w:val="none" w:sz="0" w:space="0" w:color="auto"/>
      </w:divBdr>
    </w:div>
    <w:div w:id="1442531514">
      <w:bodyDiv w:val="1"/>
      <w:marLeft w:val="0"/>
      <w:marRight w:val="0"/>
      <w:marTop w:val="0"/>
      <w:marBottom w:val="0"/>
      <w:divBdr>
        <w:top w:val="none" w:sz="0" w:space="0" w:color="auto"/>
        <w:left w:val="none" w:sz="0" w:space="0" w:color="auto"/>
        <w:bottom w:val="none" w:sz="0" w:space="0" w:color="auto"/>
        <w:right w:val="none" w:sz="0" w:space="0" w:color="auto"/>
      </w:divBdr>
    </w:div>
    <w:div w:id="1444038304">
      <w:bodyDiv w:val="1"/>
      <w:marLeft w:val="0"/>
      <w:marRight w:val="0"/>
      <w:marTop w:val="0"/>
      <w:marBottom w:val="0"/>
      <w:divBdr>
        <w:top w:val="none" w:sz="0" w:space="0" w:color="auto"/>
        <w:left w:val="none" w:sz="0" w:space="0" w:color="auto"/>
        <w:bottom w:val="none" w:sz="0" w:space="0" w:color="auto"/>
        <w:right w:val="none" w:sz="0" w:space="0" w:color="auto"/>
      </w:divBdr>
    </w:div>
    <w:div w:id="1444687568">
      <w:bodyDiv w:val="1"/>
      <w:marLeft w:val="0"/>
      <w:marRight w:val="0"/>
      <w:marTop w:val="0"/>
      <w:marBottom w:val="0"/>
      <w:divBdr>
        <w:top w:val="none" w:sz="0" w:space="0" w:color="auto"/>
        <w:left w:val="none" w:sz="0" w:space="0" w:color="auto"/>
        <w:bottom w:val="none" w:sz="0" w:space="0" w:color="auto"/>
        <w:right w:val="none" w:sz="0" w:space="0" w:color="auto"/>
      </w:divBdr>
    </w:div>
    <w:div w:id="1446149092">
      <w:bodyDiv w:val="1"/>
      <w:marLeft w:val="0"/>
      <w:marRight w:val="0"/>
      <w:marTop w:val="0"/>
      <w:marBottom w:val="0"/>
      <w:divBdr>
        <w:top w:val="none" w:sz="0" w:space="0" w:color="auto"/>
        <w:left w:val="none" w:sz="0" w:space="0" w:color="auto"/>
        <w:bottom w:val="none" w:sz="0" w:space="0" w:color="auto"/>
        <w:right w:val="none" w:sz="0" w:space="0" w:color="auto"/>
      </w:divBdr>
    </w:div>
    <w:div w:id="1448620496">
      <w:bodyDiv w:val="1"/>
      <w:marLeft w:val="0"/>
      <w:marRight w:val="0"/>
      <w:marTop w:val="0"/>
      <w:marBottom w:val="0"/>
      <w:divBdr>
        <w:top w:val="none" w:sz="0" w:space="0" w:color="auto"/>
        <w:left w:val="none" w:sz="0" w:space="0" w:color="auto"/>
        <w:bottom w:val="none" w:sz="0" w:space="0" w:color="auto"/>
        <w:right w:val="none" w:sz="0" w:space="0" w:color="auto"/>
      </w:divBdr>
    </w:div>
    <w:div w:id="1448694862">
      <w:bodyDiv w:val="1"/>
      <w:marLeft w:val="0"/>
      <w:marRight w:val="0"/>
      <w:marTop w:val="0"/>
      <w:marBottom w:val="0"/>
      <w:divBdr>
        <w:top w:val="none" w:sz="0" w:space="0" w:color="auto"/>
        <w:left w:val="none" w:sz="0" w:space="0" w:color="auto"/>
        <w:bottom w:val="none" w:sz="0" w:space="0" w:color="auto"/>
        <w:right w:val="none" w:sz="0" w:space="0" w:color="auto"/>
      </w:divBdr>
    </w:div>
    <w:div w:id="1453402429">
      <w:bodyDiv w:val="1"/>
      <w:marLeft w:val="0"/>
      <w:marRight w:val="0"/>
      <w:marTop w:val="0"/>
      <w:marBottom w:val="0"/>
      <w:divBdr>
        <w:top w:val="none" w:sz="0" w:space="0" w:color="auto"/>
        <w:left w:val="none" w:sz="0" w:space="0" w:color="auto"/>
        <w:bottom w:val="none" w:sz="0" w:space="0" w:color="auto"/>
        <w:right w:val="none" w:sz="0" w:space="0" w:color="auto"/>
      </w:divBdr>
    </w:div>
    <w:div w:id="1454861508">
      <w:bodyDiv w:val="1"/>
      <w:marLeft w:val="0"/>
      <w:marRight w:val="0"/>
      <w:marTop w:val="0"/>
      <w:marBottom w:val="0"/>
      <w:divBdr>
        <w:top w:val="none" w:sz="0" w:space="0" w:color="auto"/>
        <w:left w:val="none" w:sz="0" w:space="0" w:color="auto"/>
        <w:bottom w:val="none" w:sz="0" w:space="0" w:color="auto"/>
        <w:right w:val="none" w:sz="0" w:space="0" w:color="auto"/>
      </w:divBdr>
    </w:div>
    <w:div w:id="1456294517">
      <w:bodyDiv w:val="1"/>
      <w:marLeft w:val="0"/>
      <w:marRight w:val="0"/>
      <w:marTop w:val="0"/>
      <w:marBottom w:val="0"/>
      <w:divBdr>
        <w:top w:val="none" w:sz="0" w:space="0" w:color="auto"/>
        <w:left w:val="none" w:sz="0" w:space="0" w:color="auto"/>
        <w:bottom w:val="none" w:sz="0" w:space="0" w:color="auto"/>
        <w:right w:val="none" w:sz="0" w:space="0" w:color="auto"/>
      </w:divBdr>
    </w:div>
    <w:div w:id="1456437457">
      <w:bodyDiv w:val="1"/>
      <w:marLeft w:val="0"/>
      <w:marRight w:val="0"/>
      <w:marTop w:val="0"/>
      <w:marBottom w:val="0"/>
      <w:divBdr>
        <w:top w:val="none" w:sz="0" w:space="0" w:color="auto"/>
        <w:left w:val="none" w:sz="0" w:space="0" w:color="auto"/>
        <w:bottom w:val="none" w:sz="0" w:space="0" w:color="auto"/>
        <w:right w:val="none" w:sz="0" w:space="0" w:color="auto"/>
      </w:divBdr>
    </w:div>
    <w:div w:id="1456558955">
      <w:bodyDiv w:val="1"/>
      <w:marLeft w:val="0"/>
      <w:marRight w:val="0"/>
      <w:marTop w:val="0"/>
      <w:marBottom w:val="0"/>
      <w:divBdr>
        <w:top w:val="none" w:sz="0" w:space="0" w:color="auto"/>
        <w:left w:val="none" w:sz="0" w:space="0" w:color="auto"/>
        <w:bottom w:val="none" w:sz="0" w:space="0" w:color="auto"/>
        <w:right w:val="none" w:sz="0" w:space="0" w:color="auto"/>
      </w:divBdr>
    </w:div>
    <w:div w:id="1457600363">
      <w:bodyDiv w:val="1"/>
      <w:marLeft w:val="0"/>
      <w:marRight w:val="0"/>
      <w:marTop w:val="0"/>
      <w:marBottom w:val="0"/>
      <w:divBdr>
        <w:top w:val="none" w:sz="0" w:space="0" w:color="auto"/>
        <w:left w:val="none" w:sz="0" w:space="0" w:color="auto"/>
        <w:bottom w:val="none" w:sz="0" w:space="0" w:color="auto"/>
        <w:right w:val="none" w:sz="0" w:space="0" w:color="auto"/>
      </w:divBdr>
    </w:div>
    <w:div w:id="1462000119">
      <w:bodyDiv w:val="1"/>
      <w:marLeft w:val="0"/>
      <w:marRight w:val="0"/>
      <w:marTop w:val="0"/>
      <w:marBottom w:val="0"/>
      <w:divBdr>
        <w:top w:val="none" w:sz="0" w:space="0" w:color="auto"/>
        <w:left w:val="none" w:sz="0" w:space="0" w:color="auto"/>
        <w:bottom w:val="none" w:sz="0" w:space="0" w:color="auto"/>
        <w:right w:val="none" w:sz="0" w:space="0" w:color="auto"/>
      </w:divBdr>
    </w:div>
    <w:div w:id="1464620230">
      <w:bodyDiv w:val="1"/>
      <w:marLeft w:val="0"/>
      <w:marRight w:val="0"/>
      <w:marTop w:val="0"/>
      <w:marBottom w:val="0"/>
      <w:divBdr>
        <w:top w:val="none" w:sz="0" w:space="0" w:color="auto"/>
        <w:left w:val="none" w:sz="0" w:space="0" w:color="auto"/>
        <w:bottom w:val="none" w:sz="0" w:space="0" w:color="auto"/>
        <w:right w:val="none" w:sz="0" w:space="0" w:color="auto"/>
      </w:divBdr>
    </w:div>
    <w:div w:id="1465807466">
      <w:bodyDiv w:val="1"/>
      <w:marLeft w:val="0"/>
      <w:marRight w:val="0"/>
      <w:marTop w:val="0"/>
      <w:marBottom w:val="0"/>
      <w:divBdr>
        <w:top w:val="none" w:sz="0" w:space="0" w:color="auto"/>
        <w:left w:val="none" w:sz="0" w:space="0" w:color="auto"/>
        <w:bottom w:val="none" w:sz="0" w:space="0" w:color="auto"/>
        <w:right w:val="none" w:sz="0" w:space="0" w:color="auto"/>
      </w:divBdr>
    </w:div>
    <w:div w:id="1470857133">
      <w:bodyDiv w:val="1"/>
      <w:marLeft w:val="0"/>
      <w:marRight w:val="0"/>
      <w:marTop w:val="0"/>
      <w:marBottom w:val="0"/>
      <w:divBdr>
        <w:top w:val="none" w:sz="0" w:space="0" w:color="auto"/>
        <w:left w:val="none" w:sz="0" w:space="0" w:color="auto"/>
        <w:bottom w:val="none" w:sz="0" w:space="0" w:color="auto"/>
        <w:right w:val="none" w:sz="0" w:space="0" w:color="auto"/>
      </w:divBdr>
    </w:div>
    <w:div w:id="1470903350">
      <w:bodyDiv w:val="1"/>
      <w:marLeft w:val="0"/>
      <w:marRight w:val="0"/>
      <w:marTop w:val="0"/>
      <w:marBottom w:val="0"/>
      <w:divBdr>
        <w:top w:val="none" w:sz="0" w:space="0" w:color="auto"/>
        <w:left w:val="none" w:sz="0" w:space="0" w:color="auto"/>
        <w:bottom w:val="none" w:sz="0" w:space="0" w:color="auto"/>
        <w:right w:val="none" w:sz="0" w:space="0" w:color="auto"/>
      </w:divBdr>
    </w:div>
    <w:div w:id="1471824955">
      <w:bodyDiv w:val="1"/>
      <w:marLeft w:val="0"/>
      <w:marRight w:val="0"/>
      <w:marTop w:val="0"/>
      <w:marBottom w:val="0"/>
      <w:divBdr>
        <w:top w:val="none" w:sz="0" w:space="0" w:color="auto"/>
        <w:left w:val="none" w:sz="0" w:space="0" w:color="auto"/>
        <w:bottom w:val="none" w:sz="0" w:space="0" w:color="auto"/>
        <w:right w:val="none" w:sz="0" w:space="0" w:color="auto"/>
      </w:divBdr>
    </w:div>
    <w:div w:id="1471898385">
      <w:bodyDiv w:val="1"/>
      <w:marLeft w:val="0"/>
      <w:marRight w:val="0"/>
      <w:marTop w:val="0"/>
      <w:marBottom w:val="0"/>
      <w:divBdr>
        <w:top w:val="none" w:sz="0" w:space="0" w:color="auto"/>
        <w:left w:val="none" w:sz="0" w:space="0" w:color="auto"/>
        <w:bottom w:val="none" w:sz="0" w:space="0" w:color="auto"/>
        <w:right w:val="none" w:sz="0" w:space="0" w:color="auto"/>
      </w:divBdr>
    </w:div>
    <w:div w:id="1472476615">
      <w:bodyDiv w:val="1"/>
      <w:marLeft w:val="0"/>
      <w:marRight w:val="0"/>
      <w:marTop w:val="0"/>
      <w:marBottom w:val="0"/>
      <w:divBdr>
        <w:top w:val="none" w:sz="0" w:space="0" w:color="auto"/>
        <w:left w:val="none" w:sz="0" w:space="0" w:color="auto"/>
        <w:bottom w:val="none" w:sz="0" w:space="0" w:color="auto"/>
        <w:right w:val="none" w:sz="0" w:space="0" w:color="auto"/>
      </w:divBdr>
    </w:div>
    <w:div w:id="1475298805">
      <w:bodyDiv w:val="1"/>
      <w:marLeft w:val="0"/>
      <w:marRight w:val="0"/>
      <w:marTop w:val="0"/>
      <w:marBottom w:val="0"/>
      <w:divBdr>
        <w:top w:val="none" w:sz="0" w:space="0" w:color="auto"/>
        <w:left w:val="none" w:sz="0" w:space="0" w:color="auto"/>
        <w:bottom w:val="none" w:sz="0" w:space="0" w:color="auto"/>
        <w:right w:val="none" w:sz="0" w:space="0" w:color="auto"/>
      </w:divBdr>
    </w:div>
    <w:div w:id="1479346254">
      <w:bodyDiv w:val="1"/>
      <w:marLeft w:val="0"/>
      <w:marRight w:val="0"/>
      <w:marTop w:val="0"/>
      <w:marBottom w:val="0"/>
      <w:divBdr>
        <w:top w:val="none" w:sz="0" w:space="0" w:color="auto"/>
        <w:left w:val="none" w:sz="0" w:space="0" w:color="auto"/>
        <w:bottom w:val="none" w:sz="0" w:space="0" w:color="auto"/>
        <w:right w:val="none" w:sz="0" w:space="0" w:color="auto"/>
      </w:divBdr>
    </w:div>
    <w:div w:id="1481385711">
      <w:bodyDiv w:val="1"/>
      <w:marLeft w:val="0"/>
      <w:marRight w:val="0"/>
      <w:marTop w:val="0"/>
      <w:marBottom w:val="0"/>
      <w:divBdr>
        <w:top w:val="none" w:sz="0" w:space="0" w:color="auto"/>
        <w:left w:val="none" w:sz="0" w:space="0" w:color="auto"/>
        <w:bottom w:val="none" w:sz="0" w:space="0" w:color="auto"/>
        <w:right w:val="none" w:sz="0" w:space="0" w:color="auto"/>
      </w:divBdr>
    </w:div>
    <w:div w:id="1481729639">
      <w:bodyDiv w:val="1"/>
      <w:marLeft w:val="0"/>
      <w:marRight w:val="0"/>
      <w:marTop w:val="0"/>
      <w:marBottom w:val="0"/>
      <w:divBdr>
        <w:top w:val="none" w:sz="0" w:space="0" w:color="auto"/>
        <w:left w:val="none" w:sz="0" w:space="0" w:color="auto"/>
        <w:bottom w:val="none" w:sz="0" w:space="0" w:color="auto"/>
        <w:right w:val="none" w:sz="0" w:space="0" w:color="auto"/>
      </w:divBdr>
    </w:div>
    <w:div w:id="1482504664">
      <w:bodyDiv w:val="1"/>
      <w:marLeft w:val="0"/>
      <w:marRight w:val="0"/>
      <w:marTop w:val="0"/>
      <w:marBottom w:val="0"/>
      <w:divBdr>
        <w:top w:val="none" w:sz="0" w:space="0" w:color="auto"/>
        <w:left w:val="none" w:sz="0" w:space="0" w:color="auto"/>
        <w:bottom w:val="none" w:sz="0" w:space="0" w:color="auto"/>
        <w:right w:val="none" w:sz="0" w:space="0" w:color="auto"/>
      </w:divBdr>
    </w:div>
    <w:div w:id="1483280016">
      <w:bodyDiv w:val="1"/>
      <w:marLeft w:val="0"/>
      <w:marRight w:val="0"/>
      <w:marTop w:val="0"/>
      <w:marBottom w:val="0"/>
      <w:divBdr>
        <w:top w:val="none" w:sz="0" w:space="0" w:color="auto"/>
        <w:left w:val="none" w:sz="0" w:space="0" w:color="auto"/>
        <w:bottom w:val="none" w:sz="0" w:space="0" w:color="auto"/>
        <w:right w:val="none" w:sz="0" w:space="0" w:color="auto"/>
      </w:divBdr>
    </w:div>
    <w:div w:id="1483541603">
      <w:bodyDiv w:val="1"/>
      <w:marLeft w:val="0"/>
      <w:marRight w:val="0"/>
      <w:marTop w:val="0"/>
      <w:marBottom w:val="0"/>
      <w:divBdr>
        <w:top w:val="none" w:sz="0" w:space="0" w:color="auto"/>
        <w:left w:val="none" w:sz="0" w:space="0" w:color="auto"/>
        <w:bottom w:val="none" w:sz="0" w:space="0" w:color="auto"/>
        <w:right w:val="none" w:sz="0" w:space="0" w:color="auto"/>
      </w:divBdr>
    </w:div>
    <w:div w:id="1483737797">
      <w:bodyDiv w:val="1"/>
      <w:marLeft w:val="0"/>
      <w:marRight w:val="0"/>
      <w:marTop w:val="0"/>
      <w:marBottom w:val="0"/>
      <w:divBdr>
        <w:top w:val="none" w:sz="0" w:space="0" w:color="auto"/>
        <w:left w:val="none" w:sz="0" w:space="0" w:color="auto"/>
        <w:bottom w:val="none" w:sz="0" w:space="0" w:color="auto"/>
        <w:right w:val="none" w:sz="0" w:space="0" w:color="auto"/>
      </w:divBdr>
    </w:div>
    <w:div w:id="1483886524">
      <w:bodyDiv w:val="1"/>
      <w:marLeft w:val="0"/>
      <w:marRight w:val="0"/>
      <w:marTop w:val="0"/>
      <w:marBottom w:val="0"/>
      <w:divBdr>
        <w:top w:val="none" w:sz="0" w:space="0" w:color="auto"/>
        <w:left w:val="none" w:sz="0" w:space="0" w:color="auto"/>
        <w:bottom w:val="none" w:sz="0" w:space="0" w:color="auto"/>
        <w:right w:val="none" w:sz="0" w:space="0" w:color="auto"/>
      </w:divBdr>
    </w:div>
    <w:div w:id="1485049193">
      <w:bodyDiv w:val="1"/>
      <w:marLeft w:val="0"/>
      <w:marRight w:val="0"/>
      <w:marTop w:val="0"/>
      <w:marBottom w:val="0"/>
      <w:divBdr>
        <w:top w:val="none" w:sz="0" w:space="0" w:color="auto"/>
        <w:left w:val="none" w:sz="0" w:space="0" w:color="auto"/>
        <w:bottom w:val="none" w:sz="0" w:space="0" w:color="auto"/>
        <w:right w:val="none" w:sz="0" w:space="0" w:color="auto"/>
      </w:divBdr>
    </w:div>
    <w:div w:id="1485203411">
      <w:bodyDiv w:val="1"/>
      <w:marLeft w:val="0"/>
      <w:marRight w:val="0"/>
      <w:marTop w:val="0"/>
      <w:marBottom w:val="0"/>
      <w:divBdr>
        <w:top w:val="none" w:sz="0" w:space="0" w:color="auto"/>
        <w:left w:val="none" w:sz="0" w:space="0" w:color="auto"/>
        <w:bottom w:val="none" w:sz="0" w:space="0" w:color="auto"/>
        <w:right w:val="none" w:sz="0" w:space="0" w:color="auto"/>
      </w:divBdr>
    </w:div>
    <w:div w:id="1487354118">
      <w:bodyDiv w:val="1"/>
      <w:marLeft w:val="0"/>
      <w:marRight w:val="0"/>
      <w:marTop w:val="0"/>
      <w:marBottom w:val="0"/>
      <w:divBdr>
        <w:top w:val="none" w:sz="0" w:space="0" w:color="auto"/>
        <w:left w:val="none" w:sz="0" w:space="0" w:color="auto"/>
        <w:bottom w:val="none" w:sz="0" w:space="0" w:color="auto"/>
        <w:right w:val="none" w:sz="0" w:space="0" w:color="auto"/>
      </w:divBdr>
    </w:div>
    <w:div w:id="1488328258">
      <w:bodyDiv w:val="1"/>
      <w:marLeft w:val="0"/>
      <w:marRight w:val="0"/>
      <w:marTop w:val="0"/>
      <w:marBottom w:val="0"/>
      <w:divBdr>
        <w:top w:val="none" w:sz="0" w:space="0" w:color="auto"/>
        <w:left w:val="none" w:sz="0" w:space="0" w:color="auto"/>
        <w:bottom w:val="none" w:sz="0" w:space="0" w:color="auto"/>
        <w:right w:val="none" w:sz="0" w:space="0" w:color="auto"/>
      </w:divBdr>
    </w:div>
    <w:div w:id="1488397519">
      <w:bodyDiv w:val="1"/>
      <w:marLeft w:val="0"/>
      <w:marRight w:val="0"/>
      <w:marTop w:val="0"/>
      <w:marBottom w:val="0"/>
      <w:divBdr>
        <w:top w:val="none" w:sz="0" w:space="0" w:color="auto"/>
        <w:left w:val="none" w:sz="0" w:space="0" w:color="auto"/>
        <w:bottom w:val="none" w:sz="0" w:space="0" w:color="auto"/>
        <w:right w:val="none" w:sz="0" w:space="0" w:color="auto"/>
      </w:divBdr>
    </w:div>
    <w:div w:id="1488666270">
      <w:bodyDiv w:val="1"/>
      <w:marLeft w:val="0"/>
      <w:marRight w:val="0"/>
      <w:marTop w:val="0"/>
      <w:marBottom w:val="0"/>
      <w:divBdr>
        <w:top w:val="none" w:sz="0" w:space="0" w:color="auto"/>
        <w:left w:val="none" w:sz="0" w:space="0" w:color="auto"/>
        <w:bottom w:val="none" w:sz="0" w:space="0" w:color="auto"/>
        <w:right w:val="none" w:sz="0" w:space="0" w:color="auto"/>
      </w:divBdr>
    </w:div>
    <w:div w:id="1490243718">
      <w:bodyDiv w:val="1"/>
      <w:marLeft w:val="0"/>
      <w:marRight w:val="0"/>
      <w:marTop w:val="0"/>
      <w:marBottom w:val="0"/>
      <w:divBdr>
        <w:top w:val="none" w:sz="0" w:space="0" w:color="auto"/>
        <w:left w:val="none" w:sz="0" w:space="0" w:color="auto"/>
        <w:bottom w:val="none" w:sz="0" w:space="0" w:color="auto"/>
        <w:right w:val="none" w:sz="0" w:space="0" w:color="auto"/>
      </w:divBdr>
    </w:div>
    <w:div w:id="1493794079">
      <w:bodyDiv w:val="1"/>
      <w:marLeft w:val="0"/>
      <w:marRight w:val="0"/>
      <w:marTop w:val="0"/>
      <w:marBottom w:val="0"/>
      <w:divBdr>
        <w:top w:val="none" w:sz="0" w:space="0" w:color="auto"/>
        <w:left w:val="none" w:sz="0" w:space="0" w:color="auto"/>
        <w:bottom w:val="none" w:sz="0" w:space="0" w:color="auto"/>
        <w:right w:val="none" w:sz="0" w:space="0" w:color="auto"/>
      </w:divBdr>
    </w:div>
    <w:div w:id="1495758835">
      <w:bodyDiv w:val="1"/>
      <w:marLeft w:val="0"/>
      <w:marRight w:val="0"/>
      <w:marTop w:val="0"/>
      <w:marBottom w:val="0"/>
      <w:divBdr>
        <w:top w:val="none" w:sz="0" w:space="0" w:color="auto"/>
        <w:left w:val="none" w:sz="0" w:space="0" w:color="auto"/>
        <w:bottom w:val="none" w:sz="0" w:space="0" w:color="auto"/>
        <w:right w:val="none" w:sz="0" w:space="0" w:color="auto"/>
      </w:divBdr>
    </w:div>
    <w:div w:id="1496922196">
      <w:bodyDiv w:val="1"/>
      <w:marLeft w:val="0"/>
      <w:marRight w:val="0"/>
      <w:marTop w:val="0"/>
      <w:marBottom w:val="0"/>
      <w:divBdr>
        <w:top w:val="none" w:sz="0" w:space="0" w:color="auto"/>
        <w:left w:val="none" w:sz="0" w:space="0" w:color="auto"/>
        <w:bottom w:val="none" w:sz="0" w:space="0" w:color="auto"/>
        <w:right w:val="none" w:sz="0" w:space="0" w:color="auto"/>
      </w:divBdr>
    </w:div>
    <w:div w:id="1499154330">
      <w:bodyDiv w:val="1"/>
      <w:marLeft w:val="0"/>
      <w:marRight w:val="0"/>
      <w:marTop w:val="0"/>
      <w:marBottom w:val="0"/>
      <w:divBdr>
        <w:top w:val="none" w:sz="0" w:space="0" w:color="auto"/>
        <w:left w:val="none" w:sz="0" w:space="0" w:color="auto"/>
        <w:bottom w:val="none" w:sz="0" w:space="0" w:color="auto"/>
        <w:right w:val="none" w:sz="0" w:space="0" w:color="auto"/>
      </w:divBdr>
    </w:div>
    <w:div w:id="1499543489">
      <w:bodyDiv w:val="1"/>
      <w:marLeft w:val="0"/>
      <w:marRight w:val="0"/>
      <w:marTop w:val="0"/>
      <w:marBottom w:val="0"/>
      <w:divBdr>
        <w:top w:val="none" w:sz="0" w:space="0" w:color="auto"/>
        <w:left w:val="none" w:sz="0" w:space="0" w:color="auto"/>
        <w:bottom w:val="none" w:sz="0" w:space="0" w:color="auto"/>
        <w:right w:val="none" w:sz="0" w:space="0" w:color="auto"/>
      </w:divBdr>
    </w:div>
    <w:div w:id="1502424327">
      <w:bodyDiv w:val="1"/>
      <w:marLeft w:val="0"/>
      <w:marRight w:val="0"/>
      <w:marTop w:val="0"/>
      <w:marBottom w:val="0"/>
      <w:divBdr>
        <w:top w:val="none" w:sz="0" w:space="0" w:color="auto"/>
        <w:left w:val="none" w:sz="0" w:space="0" w:color="auto"/>
        <w:bottom w:val="none" w:sz="0" w:space="0" w:color="auto"/>
        <w:right w:val="none" w:sz="0" w:space="0" w:color="auto"/>
      </w:divBdr>
    </w:div>
    <w:div w:id="1502508728">
      <w:bodyDiv w:val="1"/>
      <w:marLeft w:val="0"/>
      <w:marRight w:val="0"/>
      <w:marTop w:val="0"/>
      <w:marBottom w:val="0"/>
      <w:divBdr>
        <w:top w:val="none" w:sz="0" w:space="0" w:color="auto"/>
        <w:left w:val="none" w:sz="0" w:space="0" w:color="auto"/>
        <w:bottom w:val="none" w:sz="0" w:space="0" w:color="auto"/>
        <w:right w:val="none" w:sz="0" w:space="0" w:color="auto"/>
      </w:divBdr>
    </w:div>
    <w:div w:id="1504782750">
      <w:bodyDiv w:val="1"/>
      <w:marLeft w:val="0"/>
      <w:marRight w:val="0"/>
      <w:marTop w:val="0"/>
      <w:marBottom w:val="0"/>
      <w:divBdr>
        <w:top w:val="none" w:sz="0" w:space="0" w:color="auto"/>
        <w:left w:val="none" w:sz="0" w:space="0" w:color="auto"/>
        <w:bottom w:val="none" w:sz="0" w:space="0" w:color="auto"/>
        <w:right w:val="none" w:sz="0" w:space="0" w:color="auto"/>
      </w:divBdr>
    </w:div>
    <w:div w:id="1506939137">
      <w:bodyDiv w:val="1"/>
      <w:marLeft w:val="0"/>
      <w:marRight w:val="0"/>
      <w:marTop w:val="0"/>
      <w:marBottom w:val="0"/>
      <w:divBdr>
        <w:top w:val="none" w:sz="0" w:space="0" w:color="auto"/>
        <w:left w:val="none" w:sz="0" w:space="0" w:color="auto"/>
        <w:bottom w:val="none" w:sz="0" w:space="0" w:color="auto"/>
        <w:right w:val="none" w:sz="0" w:space="0" w:color="auto"/>
      </w:divBdr>
      <w:divsChild>
        <w:div w:id="298385760">
          <w:marLeft w:val="706"/>
          <w:marRight w:val="0"/>
          <w:marTop w:val="0"/>
          <w:marBottom w:val="0"/>
          <w:divBdr>
            <w:top w:val="none" w:sz="0" w:space="0" w:color="auto"/>
            <w:left w:val="none" w:sz="0" w:space="0" w:color="auto"/>
            <w:bottom w:val="none" w:sz="0" w:space="0" w:color="auto"/>
            <w:right w:val="none" w:sz="0" w:space="0" w:color="auto"/>
          </w:divBdr>
        </w:div>
      </w:divsChild>
    </w:div>
    <w:div w:id="1509826485">
      <w:bodyDiv w:val="1"/>
      <w:marLeft w:val="0"/>
      <w:marRight w:val="0"/>
      <w:marTop w:val="0"/>
      <w:marBottom w:val="0"/>
      <w:divBdr>
        <w:top w:val="none" w:sz="0" w:space="0" w:color="auto"/>
        <w:left w:val="none" w:sz="0" w:space="0" w:color="auto"/>
        <w:bottom w:val="none" w:sz="0" w:space="0" w:color="auto"/>
        <w:right w:val="none" w:sz="0" w:space="0" w:color="auto"/>
      </w:divBdr>
    </w:div>
    <w:div w:id="1510605446">
      <w:bodyDiv w:val="1"/>
      <w:marLeft w:val="0"/>
      <w:marRight w:val="0"/>
      <w:marTop w:val="0"/>
      <w:marBottom w:val="0"/>
      <w:divBdr>
        <w:top w:val="none" w:sz="0" w:space="0" w:color="auto"/>
        <w:left w:val="none" w:sz="0" w:space="0" w:color="auto"/>
        <w:bottom w:val="none" w:sz="0" w:space="0" w:color="auto"/>
        <w:right w:val="none" w:sz="0" w:space="0" w:color="auto"/>
      </w:divBdr>
    </w:div>
    <w:div w:id="1515611049">
      <w:bodyDiv w:val="1"/>
      <w:marLeft w:val="0"/>
      <w:marRight w:val="0"/>
      <w:marTop w:val="0"/>
      <w:marBottom w:val="0"/>
      <w:divBdr>
        <w:top w:val="none" w:sz="0" w:space="0" w:color="auto"/>
        <w:left w:val="none" w:sz="0" w:space="0" w:color="auto"/>
        <w:bottom w:val="none" w:sz="0" w:space="0" w:color="auto"/>
        <w:right w:val="none" w:sz="0" w:space="0" w:color="auto"/>
      </w:divBdr>
    </w:div>
    <w:div w:id="1519386876">
      <w:bodyDiv w:val="1"/>
      <w:marLeft w:val="0"/>
      <w:marRight w:val="0"/>
      <w:marTop w:val="0"/>
      <w:marBottom w:val="0"/>
      <w:divBdr>
        <w:top w:val="none" w:sz="0" w:space="0" w:color="auto"/>
        <w:left w:val="none" w:sz="0" w:space="0" w:color="auto"/>
        <w:bottom w:val="none" w:sz="0" w:space="0" w:color="auto"/>
        <w:right w:val="none" w:sz="0" w:space="0" w:color="auto"/>
      </w:divBdr>
    </w:div>
    <w:div w:id="1520047727">
      <w:bodyDiv w:val="1"/>
      <w:marLeft w:val="0"/>
      <w:marRight w:val="0"/>
      <w:marTop w:val="0"/>
      <w:marBottom w:val="0"/>
      <w:divBdr>
        <w:top w:val="none" w:sz="0" w:space="0" w:color="auto"/>
        <w:left w:val="none" w:sz="0" w:space="0" w:color="auto"/>
        <w:bottom w:val="none" w:sz="0" w:space="0" w:color="auto"/>
        <w:right w:val="none" w:sz="0" w:space="0" w:color="auto"/>
      </w:divBdr>
    </w:div>
    <w:div w:id="1520241511">
      <w:bodyDiv w:val="1"/>
      <w:marLeft w:val="0"/>
      <w:marRight w:val="0"/>
      <w:marTop w:val="0"/>
      <w:marBottom w:val="0"/>
      <w:divBdr>
        <w:top w:val="none" w:sz="0" w:space="0" w:color="auto"/>
        <w:left w:val="none" w:sz="0" w:space="0" w:color="auto"/>
        <w:bottom w:val="none" w:sz="0" w:space="0" w:color="auto"/>
        <w:right w:val="none" w:sz="0" w:space="0" w:color="auto"/>
      </w:divBdr>
    </w:div>
    <w:div w:id="1522040498">
      <w:bodyDiv w:val="1"/>
      <w:marLeft w:val="0"/>
      <w:marRight w:val="0"/>
      <w:marTop w:val="0"/>
      <w:marBottom w:val="0"/>
      <w:divBdr>
        <w:top w:val="none" w:sz="0" w:space="0" w:color="auto"/>
        <w:left w:val="none" w:sz="0" w:space="0" w:color="auto"/>
        <w:bottom w:val="none" w:sz="0" w:space="0" w:color="auto"/>
        <w:right w:val="none" w:sz="0" w:space="0" w:color="auto"/>
      </w:divBdr>
    </w:div>
    <w:div w:id="1522166053">
      <w:bodyDiv w:val="1"/>
      <w:marLeft w:val="0"/>
      <w:marRight w:val="0"/>
      <w:marTop w:val="0"/>
      <w:marBottom w:val="0"/>
      <w:divBdr>
        <w:top w:val="none" w:sz="0" w:space="0" w:color="auto"/>
        <w:left w:val="none" w:sz="0" w:space="0" w:color="auto"/>
        <w:bottom w:val="none" w:sz="0" w:space="0" w:color="auto"/>
        <w:right w:val="none" w:sz="0" w:space="0" w:color="auto"/>
      </w:divBdr>
    </w:div>
    <w:div w:id="1523937806">
      <w:bodyDiv w:val="1"/>
      <w:marLeft w:val="0"/>
      <w:marRight w:val="0"/>
      <w:marTop w:val="0"/>
      <w:marBottom w:val="0"/>
      <w:divBdr>
        <w:top w:val="none" w:sz="0" w:space="0" w:color="auto"/>
        <w:left w:val="none" w:sz="0" w:space="0" w:color="auto"/>
        <w:bottom w:val="none" w:sz="0" w:space="0" w:color="auto"/>
        <w:right w:val="none" w:sz="0" w:space="0" w:color="auto"/>
      </w:divBdr>
    </w:div>
    <w:div w:id="1525165320">
      <w:bodyDiv w:val="1"/>
      <w:marLeft w:val="0"/>
      <w:marRight w:val="0"/>
      <w:marTop w:val="0"/>
      <w:marBottom w:val="0"/>
      <w:divBdr>
        <w:top w:val="none" w:sz="0" w:space="0" w:color="auto"/>
        <w:left w:val="none" w:sz="0" w:space="0" w:color="auto"/>
        <w:bottom w:val="none" w:sz="0" w:space="0" w:color="auto"/>
        <w:right w:val="none" w:sz="0" w:space="0" w:color="auto"/>
      </w:divBdr>
    </w:div>
    <w:div w:id="1525943072">
      <w:bodyDiv w:val="1"/>
      <w:marLeft w:val="0"/>
      <w:marRight w:val="0"/>
      <w:marTop w:val="0"/>
      <w:marBottom w:val="0"/>
      <w:divBdr>
        <w:top w:val="none" w:sz="0" w:space="0" w:color="auto"/>
        <w:left w:val="none" w:sz="0" w:space="0" w:color="auto"/>
        <w:bottom w:val="none" w:sz="0" w:space="0" w:color="auto"/>
        <w:right w:val="none" w:sz="0" w:space="0" w:color="auto"/>
      </w:divBdr>
    </w:div>
    <w:div w:id="1526403225">
      <w:bodyDiv w:val="1"/>
      <w:marLeft w:val="0"/>
      <w:marRight w:val="0"/>
      <w:marTop w:val="0"/>
      <w:marBottom w:val="0"/>
      <w:divBdr>
        <w:top w:val="none" w:sz="0" w:space="0" w:color="auto"/>
        <w:left w:val="none" w:sz="0" w:space="0" w:color="auto"/>
        <w:bottom w:val="none" w:sz="0" w:space="0" w:color="auto"/>
        <w:right w:val="none" w:sz="0" w:space="0" w:color="auto"/>
      </w:divBdr>
    </w:div>
    <w:div w:id="1531532799">
      <w:bodyDiv w:val="1"/>
      <w:marLeft w:val="0"/>
      <w:marRight w:val="0"/>
      <w:marTop w:val="0"/>
      <w:marBottom w:val="0"/>
      <w:divBdr>
        <w:top w:val="none" w:sz="0" w:space="0" w:color="auto"/>
        <w:left w:val="none" w:sz="0" w:space="0" w:color="auto"/>
        <w:bottom w:val="none" w:sz="0" w:space="0" w:color="auto"/>
        <w:right w:val="none" w:sz="0" w:space="0" w:color="auto"/>
      </w:divBdr>
    </w:div>
    <w:div w:id="1532573297">
      <w:bodyDiv w:val="1"/>
      <w:marLeft w:val="0"/>
      <w:marRight w:val="0"/>
      <w:marTop w:val="0"/>
      <w:marBottom w:val="0"/>
      <w:divBdr>
        <w:top w:val="none" w:sz="0" w:space="0" w:color="auto"/>
        <w:left w:val="none" w:sz="0" w:space="0" w:color="auto"/>
        <w:bottom w:val="none" w:sz="0" w:space="0" w:color="auto"/>
        <w:right w:val="none" w:sz="0" w:space="0" w:color="auto"/>
      </w:divBdr>
    </w:div>
    <w:div w:id="1534224017">
      <w:bodyDiv w:val="1"/>
      <w:marLeft w:val="0"/>
      <w:marRight w:val="0"/>
      <w:marTop w:val="0"/>
      <w:marBottom w:val="0"/>
      <w:divBdr>
        <w:top w:val="none" w:sz="0" w:space="0" w:color="auto"/>
        <w:left w:val="none" w:sz="0" w:space="0" w:color="auto"/>
        <w:bottom w:val="none" w:sz="0" w:space="0" w:color="auto"/>
        <w:right w:val="none" w:sz="0" w:space="0" w:color="auto"/>
      </w:divBdr>
    </w:div>
    <w:div w:id="1534266109">
      <w:bodyDiv w:val="1"/>
      <w:marLeft w:val="0"/>
      <w:marRight w:val="0"/>
      <w:marTop w:val="0"/>
      <w:marBottom w:val="0"/>
      <w:divBdr>
        <w:top w:val="none" w:sz="0" w:space="0" w:color="auto"/>
        <w:left w:val="none" w:sz="0" w:space="0" w:color="auto"/>
        <w:bottom w:val="none" w:sz="0" w:space="0" w:color="auto"/>
        <w:right w:val="none" w:sz="0" w:space="0" w:color="auto"/>
      </w:divBdr>
    </w:div>
    <w:div w:id="1535456853">
      <w:bodyDiv w:val="1"/>
      <w:marLeft w:val="0"/>
      <w:marRight w:val="0"/>
      <w:marTop w:val="0"/>
      <w:marBottom w:val="0"/>
      <w:divBdr>
        <w:top w:val="none" w:sz="0" w:space="0" w:color="auto"/>
        <w:left w:val="none" w:sz="0" w:space="0" w:color="auto"/>
        <w:bottom w:val="none" w:sz="0" w:space="0" w:color="auto"/>
        <w:right w:val="none" w:sz="0" w:space="0" w:color="auto"/>
      </w:divBdr>
    </w:div>
    <w:div w:id="1536501629">
      <w:bodyDiv w:val="1"/>
      <w:marLeft w:val="0"/>
      <w:marRight w:val="0"/>
      <w:marTop w:val="0"/>
      <w:marBottom w:val="0"/>
      <w:divBdr>
        <w:top w:val="none" w:sz="0" w:space="0" w:color="auto"/>
        <w:left w:val="none" w:sz="0" w:space="0" w:color="auto"/>
        <w:bottom w:val="none" w:sz="0" w:space="0" w:color="auto"/>
        <w:right w:val="none" w:sz="0" w:space="0" w:color="auto"/>
      </w:divBdr>
    </w:div>
    <w:div w:id="1536846594">
      <w:bodyDiv w:val="1"/>
      <w:marLeft w:val="0"/>
      <w:marRight w:val="0"/>
      <w:marTop w:val="0"/>
      <w:marBottom w:val="0"/>
      <w:divBdr>
        <w:top w:val="none" w:sz="0" w:space="0" w:color="auto"/>
        <w:left w:val="none" w:sz="0" w:space="0" w:color="auto"/>
        <w:bottom w:val="none" w:sz="0" w:space="0" w:color="auto"/>
        <w:right w:val="none" w:sz="0" w:space="0" w:color="auto"/>
      </w:divBdr>
    </w:div>
    <w:div w:id="1537617537">
      <w:bodyDiv w:val="1"/>
      <w:marLeft w:val="0"/>
      <w:marRight w:val="0"/>
      <w:marTop w:val="0"/>
      <w:marBottom w:val="0"/>
      <w:divBdr>
        <w:top w:val="none" w:sz="0" w:space="0" w:color="auto"/>
        <w:left w:val="none" w:sz="0" w:space="0" w:color="auto"/>
        <w:bottom w:val="none" w:sz="0" w:space="0" w:color="auto"/>
        <w:right w:val="none" w:sz="0" w:space="0" w:color="auto"/>
      </w:divBdr>
    </w:div>
    <w:div w:id="1537964335">
      <w:bodyDiv w:val="1"/>
      <w:marLeft w:val="0"/>
      <w:marRight w:val="0"/>
      <w:marTop w:val="0"/>
      <w:marBottom w:val="0"/>
      <w:divBdr>
        <w:top w:val="none" w:sz="0" w:space="0" w:color="auto"/>
        <w:left w:val="none" w:sz="0" w:space="0" w:color="auto"/>
        <w:bottom w:val="none" w:sz="0" w:space="0" w:color="auto"/>
        <w:right w:val="none" w:sz="0" w:space="0" w:color="auto"/>
      </w:divBdr>
    </w:div>
    <w:div w:id="1538539970">
      <w:bodyDiv w:val="1"/>
      <w:marLeft w:val="0"/>
      <w:marRight w:val="0"/>
      <w:marTop w:val="0"/>
      <w:marBottom w:val="0"/>
      <w:divBdr>
        <w:top w:val="none" w:sz="0" w:space="0" w:color="auto"/>
        <w:left w:val="none" w:sz="0" w:space="0" w:color="auto"/>
        <w:bottom w:val="none" w:sz="0" w:space="0" w:color="auto"/>
        <w:right w:val="none" w:sz="0" w:space="0" w:color="auto"/>
      </w:divBdr>
    </w:div>
    <w:div w:id="1538935194">
      <w:bodyDiv w:val="1"/>
      <w:marLeft w:val="0"/>
      <w:marRight w:val="0"/>
      <w:marTop w:val="0"/>
      <w:marBottom w:val="0"/>
      <w:divBdr>
        <w:top w:val="none" w:sz="0" w:space="0" w:color="auto"/>
        <w:left w:val="none" w:sz="0" w:space="0" w:color="auto"/>
        <w:bottom w:val="none" w:sz="0" w:space="0" w:color="auto"/>
        <w:right w:val="none" w:sz="0" w:space="0" w:color="auto"/>
      </w:divBdr>
    </w:div>
    <w:div w:id="1539589548">
      <w:bodyDiv w:val="1"/>
      <w:marLeft w:val="0"/>
      <w:marRight w:val="0"/>
      <w:marTop w:val="0"/>
      <w:marBottom w:val="0"/>
      <w:divBdr>
        <w:top w:val="none" w:sz="0" w:space="0" w:color="auto"/>
        <w:left w:val="none" w:sz="0" w:space="0" w:color="auto"/>
        <w:bottom w:val="none" w:sz="0" w:space="0" w:color="auto"/>
        <w:right w:val="none" w:sz="0" w:space="0" w:color="auto"/>
      </w:divBdr>
    </w:div>
    <w:div w:id="1540319426">
      <w:bodyDiv w:val="1"/>
      <w:marLeft w:val="0"/>
      <w:marRight w:val="0"/>
      <w:marTop w:val="0"/>
      <w:marBottom w:val="0"/>
      <w:divBdr>
        <w:top w:val="none" w:sz="0" w:space="0" w:color="auto"/>
        <w:left w:val="none" w:sz="0" w:space="0" w:color="auto"/>
        <w:bottom w:val="none" w:sz="0" w:space="0" w:color="auto"/>
        <w:right w:val="none" w:sz="0" w:space="0" w:color="auto"/>
      </w:divBdr>
    </w:div>
    <w:div w:id="1541816960">
      <w:bodyDiv w:val="1"/>
      <w:marLeft w:val="0"/>
      <w:marRight w:val="0"/>
      <w:marTop w:val="0"/>
      <w:marBottom w:val="0"/>
      <w:divBdr>
        <w:top w:val="none" w:sz="0" w:space="0" w:color="auto"/>
        <w:left w:val="none" w:sz="0" w:space="0" w:color="auto"/>
        <w:bottom w:val="none" w:sz="0" w:space="0" w:color="auto"/>
        <w:right w:val="none" w:sz="0" w:space="0" w:color="auto"/>
      </w:divBdr>
    </w:div>
    <w:div w:id="1548448879">
      <w:bodyDiv w:val="1"/>
      <w:marLeft w:val="0"/>
      <w:marRight w:val="0"/>
      <w:marTop w:val="0"/>
      <w:marBottom w:val="0"/>
      <w:divBdr>
        <w:top w:val="none" w:sz="0" w:space="0" w:color="auto"/>
        <w:left w:val="none" w:sz="0" w:space="0" w:color="auto"/>
        <w:bottom w:val="none" w:sz="0" w:space="0" w:color="auto"/>
        <w:right w:val="none" w:sz="0" w:space="0" w:color="auto"/>
      </w:divBdr>
    </w:div>
    <w:div w:id="1549800255">
      <w:bodyDiv w:val="1"/>
      <w:marLeft w:val="0"/>
      <w:marRight w:val="0"/>
      <w:marTop w:val="0"/>
      <w:marBottom w:val="0"/>
      <w:divBdr>
        <w:top w:val="none" w:sz="0" w:space="0" w:color="auto"/>
        <w:left w:val="none" w:sz="0" w:space="0" w:color="auto"/>
        <w:bottom w:val="none" w:sz="0" w:space="0" w:color="auto"/>
        <w:right w:val="none" w:sz="0" w:space="0" w:color="auto"/>
      </w:divBdr>
    </w:div>
    <w:div w:id="1550266145">
      <w:bodyDiv w:val="1"/>
      <w:marLeft w:val="0"/>
      <w:marRight w:val="0"/>
      <w:marTop w:val="0"/>
      <w:marBottom w:val="0"/>
      <w:divBdr>
        <w:top w:val="none" w:sz="0" w:space="0" w:color="auto"/>
        <w:left w:val="none" w:sz="0" w:space="0" w:color="auto"/>
        <w:bottom w:val="none" w:sz="0" w:space="0" w:color="auto"/>
        <w:right w:val="none" w:sz="0" w:space="0" w:color="auto"/>
      </w:divBdr>
    </w:div>
    <w:div w:id="1550460241">
      <w:bodyDiv w:val="1"/>
      <w:marLeft w:val="0"/>
      <w:marRight w:val="0"/>
      <w:marTop w:val="0"/>
      <w:marBottom w:val="0"/>
      <w:divBdr>
        <w:top w:val="none" w:sz="0" w:space="0" w:color="auto"/>
        <w:left w:val="none" w:sz="0" w:space="0" w:color="auto"/>
        <w:bottom w:val="none" w:sz="0" w:space="0" w:color="auto"/>
        <w:right w:val="none" w:sz="0" w:space="0" w:color="auto"/>
      </w:divBdr>
    </w:div>
    <w:div w:id="1554195521">
      <w:bodyDiv w:val="1"/>
      <w:marLeft w:val="0"/>
      <w:marRight w:val="0"/>
      <w:marTop w:val="0"/>
      <w:marBottom w:val="0"/>
      <w:divBdr>
        <w:top w:val="none" w:sz="0" w:space="0" w:color="auto"/>
        <w:left w:val="none" w:sz="0" w:space="0" w:color="auto"/>
        <w:bottom w:val="none" w:sz="0" w:space="0" w:color="auto"/>
        <w:right w:val="none" w:sz="0" w:space="0" w:color="auto"/>
      </w:divBdr>
    </w:div>
    <w:div w:id="1555582502">
      <w:bodyDiv w:val="1"/>
      <w:marLeft w:val="0"/>
      <w:marRight w:val="0"/>
      <w:marTop w:val="0"/>
      <w:marBottom w:val="0"/>
      <w:divBdr>
        <w:top w:val="none" w:sz="0" w:space="0" w:color="auto"/>
        <w:left w:val="none" w:sz="0" w:space="0" w:color="auto"/>
        <w:bottom w:val="none" w:sz="0" w:space="0" w:color="auto"/>
        <w:right w:val="none" w:sz="0" w:space="0" w:color="auto"/>
      </w:divBdr>
    </w:div>
    <w:div w:id="1558323538">
      <w:bodyDiv w:val="1"/>
      <w:marLeft w:val="0"/>
      <w:marRight w:val="0"/>
      <w:marTop w:val="0"/>
      <w:marBottom w:val="0"/>
      <w:divBdr>
        <w:top w:val="none" w:sz="0" w:space="0" w:color="auto"/>
        <w:left w:val="none" w:sz="0" w:space="0" w:color="auto"/>
        <w:bottom w:val="none" w:sz="0" w:space="0" w:color="auto"/>
        <w:right w:val="none" w:sz="0" w:space="0" w:color="auto"/>
      </w:divBdr>
    </w:div>
    <w:div w:id="1559584852">
      <w:bodyDiv w:val="1"/>
      <w:marLeft w:val="0"/>
      <w:marRight w:val="0"/>
      <w:marTop w:val="0"/>
      <w:marBottom w:val="0"/>
      <w:divBdr>
        <w:top w:val="none" w:sz="0" w:space="0" w:color="auto"/>
        <w:left w:val="none" w:sz="0" w:space="0" w:color="auto"/>
        <w:bottom w:val="none" w:sz="0" w:space="0" w:color="auto"/>
        <w:right w:val="none" w:sz="0" w:space="0" w:color="auto"/>
      </w:divBdr>
    </w:div>
    <w:div w:id="1560675713">
      <w:bodyDiv w:val="1"/>
      <w:marLeft w:val="0"/>
      <w:marRight w:val="0"/>
      <w:marTop w:val="0"/>
      <w:marBottom w:val="0"/>
      <w:divBdr>
        <w:top w:val="none" w:sz="0" w:space="0" w:color="auto"/>
        <w:left w:val="none" w:sz="0" w:space="0" w:color="auto"/>
        <w:bottom w:val="none" w:sz="0" w:space="0" w:color="auto"/>
        <w:right w:val="none" w:sz="0" w:space="0" w:color="auto"/>
      </w:divBdr>
    </w:div>
    <w:div w:id="1564025709">
      <w:bodyDiv w:val="1"/>
      <w:marLeft w:val="0"/>
      <w:marRight w:val="0"/>
      <w:marTop w:val="0"/>
      <w:marBottom w:val="0"/>
      <w:divBdr>
        <w:top w:val="none" w:sz="0" w:space="0" w:color="auto"/>
        <w:left w:val="none" w:sz="0" w:space="0" w:color="auto"/>
        <w:bottom w:val="none" w:sz="0" w:space="0" w:color="auto"/>
        <w:right w:val="none" w:sz="0" w:space="0" w:color="auto"/>
      </w:divBdr>
    </w:div>
    <w:div w:id="1564946258">
      <w:bodyDiv w:val="1"/>
      <w:marLeft w:val="0"/>
      <w:marRight w:val="0"/>
      <w:marTop w:val="0"/>
      <w:marBottom w:val="0"/>
      <w:divBdr>
        <w:top w:val="none" w:sz="0" w:space="0" w:color="auto"/>
        <w:left w:val="none" w:sz="0" w:space="0" w:color="auto"/>
        <w:bottom w:val="none" w:sz="0" w:space="0" w:color="auto"/>
        <w:right w:val="none" w:sz="0" w:space="0" w:color="auto"/>
      </w:divBdr>
    </w:div>
    <w:div w:id="1566186605">
      <w:bodyDiv w:val="1"/>
      <w:marLeft w:val="0"/>
      <w:marRight w:val="0"/>
      <w:marTop w:val="0"/>
      <w:marBottom w:val="0"/>
      <w:divBdr>
        <w:top w:val="none" w:sz="0" w:space="0" w:color="auto"/>
        <w:left w:val="none" w:sz="0" w:space="0" w:color="auto"/>
        <w:bottom w:val="none" w:sz="0" w:space="0" w:color="auto"/>
        <w:right w:val="none" w:sz="0" w:space="0" w:color="auto"/>
      </w:divBdr>
    </w:div>
    <w:div w:id="1569076215">
      <w:bodyDiv w:val="1"/>
      <w:marLeft w:val="0"/>
      <w:marRight w:val="0"/>
      <w:marTop w:val="0"/>
      <w:marBottom w:val="0"/>
      <w:divBdr>
        <w:top w:val="none" w:sz="0" w:space="0" w:color="auto"/>
        <w:left w:val="none" w:sz="0" w:space="0" w:color="auto"/>
        <w:bottom w:val="none" w:sz="0" w:space="0" w:color="auto"/>
        <w:right w:val="none" w:sz="0" w:space="0" w:color="auto"/>
      </w:divBdr>
    </w:div>
    <w:div w:id="1569728165">
      <w:bodyDiv w:val="1"/>
      <w:marLeft w:val="0"/>
      <w:marRight w:val="0"/>
      <w:marTop w:val="0"/>
      <w:marBottom w:val="0"/>
      <w:divBdr>
        <w:top w:val="none" w:sz="0" w:space="0" w:color="auto"/>
        <w:left w:val="none" w:sz="0" w:space="0" w:color="auto"/>
        <w:bottom w:val="none" w:sz="0" w:space="0" w:color="auto"/>
        <w:right w:val="none" w:sz="0" w:space="0" w:color="auto"/>
      </w:divBdr>
    </w:div>
    <w:div w:id="1569802363">
      <w:bodyDiv w:val="1"/>
      <w:marLeft w:val="0"/>
      <w:marRight w:val="0"/>
      <w:marTop w:val="0"/>
      <w:marBottom w:val="0"/>
      <w:divBdr>
        <w:top w:val="none" w:sz="0" w:space="0" w:color="auto"/>
        <w:left w:val="none" w:sz="0" w:space="0" w:color="auto"/>
        <w:bottom w:val="none" w:sz="0" w:space="0" w:color="auto"/>
        <w:right w:val="none" w:sz="0" w:space="0" w:color="auto"/>
      </w:divBdr>
    </w:div>
    <w:div w:id="1570116434">
      <w:bodyDiv w:val="1"/>
      <w:marLeft w:val="0"/>
      <w:marRight w:val="0"/>
      <w:marTop w:val="0"/>
      <w:marBottom w:val="0"/>
      <w:divBdr>
        <w:top w:val="none" w:sz="0" w:space="0" w:color="auto"/>
        <w:left w:val="none" w:sz="0" w:space="0" w:color="auto"/>
        <w:bottom w:val="none" w:sz="0" w:space="0" w:color="auto"/>
        <w:right w:val="none" w:sz="0" w:space="0" w:color="auto"/>
      </w:divBdr>
    </w:div>
    <w:div w:id="1573272116">
      <w:bodyDiv w:val="1"/>
      <w:marLeft w:val="0"/>
      <w:marRight w:val="0"/>
      <w:marTop w:val="0"/>
      <w:marBottom w:val="0"/>
      <w:divBdr>
        <w:top w:val="none" w:sz="0" w:space="0" w:color="auto"/>
        <w:left w:val="none" w:sz="0" w:space="0" w:color="auto"/>
        <w:bottom w:val="none" w:sz="0" w:space="0" w:color="auto"/>
        <w:right w:val="none" w:sz="0" w:space="0" w:color="auto"/>
      </w:divBdr>
    </w:div>
    <w:div w:id="1578830718">
      <w:bodyDiv w:val="1"/>
      <w:marLeft w:val="0"/>
      <w:marRight w:val="0"/>
      <w:marTop w:val="0"/>
      <w:marBottom w:val="0"/>
      <w:divBdr>
        <w:top w:val="none" w:sz="0" w:space="0" w:color="auto"/>
        <w:left w:val="none" w:sz="0" w:space="0" w:color="auto"/>
        <w:bottom w:val="none" w:sz="0" w:space="0" w:color="auto"/>
        <w:right w:val="none" w:sz="0" w:space="0" w:color="auto"/>
      </w:divBdr>
    </w:div>
    <w:div w:id="1579316870">
      <w:bodyDiv w:val="1"/>
      <w:marLeft w:val="0"/>
      <w:marRight w:val="0"/>
      <w:marTop w:val="0"/>
      <w:marBottom w:val="0"/>
      <w:divBdr>
        <w:top w:val="none" w:sz="0" w:space="0" w:color="auto"/>
        <w:left w:val="none" w:sz="0" w:space="0" w:color="auto"/>
        <w:bottom w:val="none" w:sz="0" w:space="0" w:color="auto"/>
        <w:right w:val="none" w:sz="0" w:space="0" w:color="auto"/>
      </w:divBdr>
    </w:div>
    <w:div w:id="1584535669">
      <w:bodyDiv w:val="1"/>
      <w:marLeft w:val="0"/>
      <w:marRight w:val="0"/>
      <w:marTop w:val="0"/>
      <w:marBottom w:val="0"/>
      <w:divBdr>
        <w:top w:val="none" w:sz="0" w:space="0" w:color="auto"/>
        <w:left w:val="none" w:sz="0" w:space="0" w:color="auto"/>
        <w:bottom w:val="none" w:sz="0" w:space="0" w:color="auto"/>
        <w:right w:val="none" w:sz="0" w:space="0" w:color="auto"/>
      </w:divBdr>
    </w:div>
    <w:div w:id="1584604720">
      <w:bodyDiv w:val="1"/>
      <w:marLeft w:val="0"/>
      <w:marRight w:val="0"/>
      <w:marTop w:val="0"/>
      <w:marBottom w:val="0"/>
      <w:divBdr>
        <w:top w:val="none" w:sz="0" w:space="0" w:color="auto"/>
        <w:left w:val="none" w:sz="0" w:space="0" w:color="auto"/>
        <w:bottom w:val="none" w:sz="0" w:space="0" w:color="auto"/>
        <w:right w:val="none" w:sz="0" w:space="0" w:color="auto"/>
      </w:divBdr>
    </w:div>
    <w:div w:id="1585916880">
      <w:bodyDiv w:val="1"/>
      <w:marLeft w:val="0"/>
      <w:marRight w:val="0"/>
      <w:marTop w:val="0"/>
      <w:marBottom w:val="0"/>
      <w:divBdr>
        <w:top w:val="none" w:sz="0" w:space="0" w:color="auto"/>
        <w:left w:val="none" w:sz="0" w:space="0" w:color="auto"/>
        <w:bottom w:val="none" w:sz="0" w:space="0" w:color="auto"/>
        <w:right w:val="none" w:sz="0" w:space="0" w:color="auto"/>
      </w:divBdr>
    </w:div>
    <w:div w:id="1587030085">
      <w:bodyDiv w:val="1"/>
      <w:marLeft w:val="0"/>
      <w:marRight w:val="0"/>
      <w:marTop w:val="0"/>
      <w:marBottom w:val="0"/>
      <w:divBdr>
        <w:top w:val="none" w:sz="0" w:space="0" w:color="auto"/>
        <w:left w:val="none" w:sz="0" w:space="0" w:color="auto"/>
        <w:bottom w:val="none" w:sz="0" w:space="0" w:color="auto"/>
        <w:right w:val="none" w:sz="0" w:space="0" w:color="auto"/>
      </w:divBdr>
    </w:div>
    <w:div w:id="1591087023">
      <w:bodyDiv w:val="1"/>
      <w:marLeft w:val="0"/>
      <w:marRight w:val="0"/>
      <w:marTop w:val="0"/>
      <w:marBottom w:val="0"/>
      <w:divBdr>
        <w:top w:val="none" w:sz="0" w:space="0" w:color="auto"/>
        <w:left w:val="none" w:sz="0" w:space="0" w:color="auto"/>
        <w:bottom w:val="none" w:sz="0" w:space="0" w:color="auto"/>
        <w:right w:val="none" w:sz="0" w:space="0" w:color="auto"/>
      </w:divBdr>
    </w:div>
    <w:div w:id="1591892806">
      <w:bodyDiv w:val="1"/>
      <w:marLeft w:val="0"/>
      <w:marRight w:val="0"/>
      <w:marTop w:val="0"/>
      <w:marBottom w:val="0"/>
      <w:divBdr>
        <w:top w:val="none" w:sz="0" w:space="0" w:color="auto"/>
        <w:left w:val="none" w:sz="0" w:space="0" w:color="auto"/>
        <w:bottom w:val="none" w:sz="0" w:space="0" w:color="auto"/>
        <w:right w:val="none" w:sz="0" w:space="0" w:color="auto"/>
      </w:divBdr>
    </w:div>
    <w:div w:id="1592003531">
      <w:bodyDiv w:val="1"/>
      <w:marLeft w:val="0"/>
      <w:marRight w:val="0"/>
      <w:marTop w:val="0"/>
      <w:marBottom w:val="0"/>
      <w:divBdr>
        <w:top w:val="none" w:sz="0" w:space="0" w:color="auto"/>
        <w:left w:val="none" w:sz="0" w:space="0" w:color="auto"/>
        <w:bottom w:val="none" w:sz="0" w:space="0" w:color="auto"/>
        <w:right w:val="none" w:sz="0" w:space="0" w:color="auto"/>
      </w:divBdr>
    </w:div>
    <w:div w:id="1594052845">
      <w:bodyDiv w:val="1"/>
      <w:marLeft w:val="0"/>
      <w:marRight w:val="0"/>
      <w:marTop w:val="0"/>
      <w:marBottom w:val="0"/>
      <w:divBdr>
        <w:top w:val="none" w:sz="0" w:space="0" w:color="auto"/>
        <w:left w:val="none" w:sz="0" w:space="0" w:color="auto"/>
        <w:bottom w:val="none" w:sz="0" w:space="0" w:color="auto"/>
        <w:right w:val="none" w:sz="0" w:space="0" w:color="auto"/>
      </w:divBdr>
    </w:div>
    <w:div w:id="1596942677">
      <w:bodyDiv w:val="1"/>
      <w:marLeft w:val="0"/>
      <w:marRight w:val="0"/>
      <w:marTop w:val="0"/>
      <w:marBottom w:val="0"/>
      <w:divBdr>
        <w:top w:val="none" w:sz="0" w:space="0" w:color="auto"/>
        <w:left w:val="none" w:sz="0" w:space="0" w:color="auto"/>
        <w:bottom w:val="none" w:sz="0" w:space="0" w:color="auto"/>
        <w:right w:val="none" w:sz="0" w:space="0" w:color="auto"/>
      </w:divBdr>
    </w:div>
    <w:div w:id="1597712302">
      <w:bodyDiv w:val="1"/>
      <w:marLeft w:val="0"/>
      <w:marRight w:val="0"/>
      <w:marTop w:val="0"/>
      <w:marBottom w:val="0"/>
      <w:divBdr>
        <w:top w:val="none" w:sz="0" w:space="0" w:color="auto"/>
        <w:left w:val="none" w:sz="0" w:space="0" w:color="auto"/>
        <w:bottom w:val="none" w:sz="0" w:space="0" w:color="auto"/>
        <w:right w:val="none" w:sz="0" w:space="0" w:color="auto"/>
      </w:divBdr>
    </w:div>
    <w:div w:id="1598828978">
      <w:bodyDiv w:val="1"/>
      <w:marLeft w:val="0"/>
      <w:marRight w:val="0"/>
      <w:marTop w:val="0"/>
      <w:marBottom w:val="0"/>
      <w:divBdr>
        <w:top w:val="none" w:sz="0" w:space="0" w:color="auto"/>
        <w:left w:val="none" w:sz="0" w:space="0" w:color="auto"/>
        <w:bottom w:val="none" w:sz="0" w:space="0" w:color="auto"/>
        <w:right w:val="none" w:sz="0" w:space="0" w:color="auto"/>
      </w:divBdr>
    </w:div>
    <w:div w:id="1600747937">
      <w:bodyDiv w:val="1"/>
      <w:marLeft w:val="0"/>
      <w:marRight w:val="0"/>
      <w:marTop w:val="0"/>
      <w:marBottom w:val="0"/>
      <w:divBdr>
        <w:top w:val="none" w:sz="0" w:space="0" w:color="auto"/>
        <w:left w:val="none" w:sz="0" w:space="0" w:color="auto"/>
        <w:bottom w:val="none" w:sz="0" w:space="0" w:color="auto"/>
        <w:right w:val="none" w:sz="0" w:space="0" w:color="auto"/>
      </w:divBdr>
    </w:div>
    <w:div w:id="1600798732">
      <w:bodyDiv w:val="1"/>
      <w:marLeft w:val="0"/>
      <w:marRight w:val="0"/>
      <w:marTop w:val="0"/>
      <w:marBottom w:val="0"/>
      <w:divBdr>
        <w:top w:val="none" w:sz="0" w:space="0" w:color="auto"/>
        <w:left w:val="none" w:sz="0" w:space="0" w:color="auto"/>
        <w:bottom w:val="none" w:sz="0" w:space="0" w:color="auto"/>
        <w:right w:val="none" w:sz="0" w:space="0" w:color="auto"/>
      </w:divBdr>
    </w:div>
    <w:div w:id="1600990109">
      <w:bodyDiv w:val="1"/>
      <w:marLeft w:val="0"/>
      <w:marRight w:val="0"/>
      <w:marTop w:val="0"/>
      <w:marBottom w:val="0"/>
      <w:divBdr>
        <w:top w:val="none" w:sz="0" w:space="0" w:color="auto"/>
        <w:left w:val="none" w:sz="0" w:space="0" w:color="auto"/>
        <w:bottom w:val="none" w:sz="0" w:space="0" w:color="auto"/>
        <w:right w:val="none" w:sz="0" w:space="0" w:color="auto"/>
      </w:divBdr>
    </w:div>
    <w:div w:id="1602910088">
      <w:bodyDiv w:val="1"/>
      <w:marLeft w:val="0"/>
      <w:marRight w:val="0"/>
      <w:marTop w:val="0"/>
      <w:marBottom w:val="0"/>
      <w:divBdr>
        <w:top w:val="none" w:sz="0" w:space="0" w:color="auto"/>
        <w:left w:val="none" w:sz="0" w:space="0" w:color="auto"/>
        <w:bottom w:val="none" w:sz="0" w:space="0" w:color="auto"/>
        <w:right w:val="none" w:sz="0" w:space="0" w:color="auto"/>
      </w:divBdr>
    </w:div>
    <w:div w:id="1603106229">
      <w:bodyDiv w:val="1"/>
      <w:marLeft w:val="0"/>
      <w:marRight w:val="0"/>
      <w:marTop w:val="0"/>
      <w:marBottom w:val="0"/>
      <w:divBdr>
        <w:top w:val="none" w:sz="0" w:space="0" w:color="auto"/>
        <w:left w:val="none" w:sz="0" w:space="0" w:color="auto"/>
        <w:bottom w:val="none" w:sz="0" w:space="0" w:color="auto"/>
        <w:right w:val="none" w:sz="0" w:space="0" w:color="auto"/>
      </w:divBdr>
    </w:div>
    <w:div w:id="1604069774">
      <w:bodyDiv w:val="1"/>
      <w:marLeft w:val="0"/>
      <w:marRight w:val="0"/>
      <w:marTop w:val="0"/>
      <w:marBottom w:val="0"/>
      <w:divBdr>
        <w:top w:val="none" w:sz="0" w:space="0" w:color="auto"/>
        <w:left w:val="none" w:sz="0" w:space="0" w:color="auto"/>
        <w:bottom w:val="none" w:sz="0" w:space="0" w:color="auto"/>
        <w:right w:val="none" w:sz="0" w:space="0" w:color="auto"/>
      </w:divBdr>
    </w:div>
    <w:div w:id="1606500701">
      <w:bodyDiv w:val="1"/>
      <w:marLeft w:val="0"/>
      <w:marRight w:val="0"/>
      <w:marTop w:val="0"/>
      <w:marBottom w:val="0"/>
      <w:divBdr>
        <w:top w:val="none" w:sz="0" w:space="0" w:color="auto"/>
        <w:left w:val="none" w:sz="0" w:space="0" w:color="auto"/>
        <w:bottom w:val="none" w:sz="0" w:space="0" w:color="auto"/>
        <w:right w:val="none" w:sz="0" w:space="0" w:color="auto"/>
      </w:divBdr>
    </w:div>
    <w:div w:id="1607033445">
      <w:bodyDiv w:val="1"/>
      <w:marLeft w:val="0"/>
      <w:marRight w:val="0"/>
      <w:marTop w:val="0"/>
      <w:marBottom w:val="0"/>
      <w:divBdr>
        <w:top w:val="none" w:sz="0" w:space="0" w:color="auto"/>
        <w:left w:val="none" w:sz="0" w:space="0" w:color="auto"/>
        <w:bottom w:val="none" w:sz="0" w:space="0" w:color="auto"/>
        <w:right w:val="none" w:sz="0" w:space="0" w:color="auto"/>
      </w:divBdr>
    </w:div>
    <w:div w:id="1608200009">
      <w:bodyDiv w:val="1"/>
      <w:marLeft w:val="0"/>
      <w:marRight w:val="0"/>
      <w:marTop w:val="0"/>
      <w:marBottom w:val="0"/>
      <w:divBdr>
        <w:top w:val="none" w:sz="0" w:space="0" w:color="auto"/>
        <w:left w:val="none" w:sz="0" w:space="0" w:color="auto"/>
        <w:bottom w:val="none" w:sz="0" w:space="0" w:color="auto"/>
        <w:right w:val="none" w:sz="0" w:space="0" w:color="auto"/>
      </w:divBdr>
    </w:div>
    <w:div w:id="1609584516">
      <w:bodyDiv w:val="1"/>
      <w:marLeft w:val="0"/>
      <w:marRight w:val="0"/>
      <w:marTop w:val="0"/>
      <w:marBottom w:val="0"/>
      <w:divBdr>
        <w:top w:val="none" w:sz="0" w:space="0" w:color="auto"/>
        <w:left w:val="none" w:sz="0" w:space="0" w:color="auto"/>
        <w:bottom w:val="none" w:sz="0" w:space="0" w:color="auto"/>
        <w:right w:val="none" w:sz="0" w:space="0" w:color="auto"/>
      </w:divBdr>
    </w:div>
    <w:div w:id="1610622920">
      <w:bodyDiv w:val="1"/>
      <w:marLeft w:val="0"/>
      <w:marRight w:val="0"/>
      <w:marTop w:val="0"/>
      <w:marBottom w:val="0"/>
      <w:divBdr>
        <w:top w:val="none" w:sz="0" w:space="0" w:color="auto"/>
        <w:left w:val="none" w:sz="0" w:space="0" w:color="auto"/>
        <w:bottom w:val="none" w:sz="0" w:space="0" w:color="auto"/>
        <w:right w:val="none" w:sz="0" w:space="0" w:color="auto"/>
      </w:divBdr>
    </w:div>
    <w:div w:id="1612515962">
      <w:bodyDiv w:val="1"/>
      <w:marLeft w:val="0"/>
      <w:marRight w:val="0"/>
      <w:marTop w:val="0"/>
      <w:marBottom w:val="0"/>
      <w:divBdr>
        <w:top w:val="none" w:sz="0" w:space="0" w:color="auto"/>
        <w:left w:val="none" w:sz="0" w:space="0" w:color="auto"/>
        <w:bottom w:val="none" w:sz="0" w:space="0" w:color="auto"/>
        <w:right w:val="none" w:sz="0" w:space="0" w:color="auto"/>
      </w:divBdr>
    </w:div>
    <w:div w:id="1613899055">
      <w:bodyDiv w:val="1"/>
      <w:marLeft w:val="0"/>
      <w:marRight w:val="0"/>
      <w:marTop w:val="0"/>
      <w:marBottom w:val="0"/>
      <w:divBdr>
        <w:top w:val="none" w:sz="0" w:space="0" w:color="auto"/>
        <w:left w:val="none" w:sz="0" w:space="0" w:color="auto"/>
        <w:bottom w:val="none" w:sz="0" w:space="0" w:color="auto"/>
        <w:right w:val="none" w:sz="0" w:space="0" w:color="auto"/>
      </w:divBdr>
    </w:div>
    <w:div w:id="1615596020">
      <w:bodyDiv w:val="1"/>
      <w:marLeft w:val="0"/>
      <w:marRight w:val="0"/>
      <w:marTop w:val="0"/>
      <w:marBottom w:val="0"/>
      <w:divBdr>
        <w:top w:val="none" w:sz="0" w:space="0" w:color="auto"/>
        <w:left w:val="none" w:sz="0" w:space="0" w:color="auto"/>
        <w:bottom w:val="none" w:sz="0" w:space="0" w:color="auto"/>
        <w:right w:val="none" w:sz="0" w:space="0" w:color="auto"/>
      </w:divBdr>
    </w:div>
    <w:div w:id="1617248169">
      <w:bodyDiv w:val="1"/>
      <w:marLeft w:val="0"/>
      <w:marRight w:val="0"/>
      <w:marTop w:val="0"/>
      <w:marBottom w:val="0"/>
      <w:divBdr>
        <w:top w:val="none" w:sz="0" w:space="0" w:color="auto"/>
        <w:left w:val="none" w:sz="0" w:space="0" w:color="auto"/>
        <w:bottom w:val="none" w:sz="0" w:space="0" w:color="auto"/>
        <w:right w:val="none" w:sz="0" w:space="0" w:color="auto"/>
      </w:divBdr>
    </w:div>
    <w:div w:id="1617366352">
      <w:bodyDiv w:val="1"/>
      <w:marLeft w:val="0"/>
      <w:marRight w:val="0"/>
      <w:marTop w:val="0"/>
      <w:marBottom w:val="0"/>
      <w:divBdr>
        <w:top w:val="none" w:sz="0" w:space="0" w:color="auto"/>
        <w:left w:val="none" w:sz="0" w:space="0" w:color="auto"/>
        <w:bottom w:val="none" w:sz="0" w:space="0" w:color="auto"/>
        <w:right w:val="none" w:sz="0" w:space="0" w:color="auto"/>
      </w:divBdr>
    </w:div>
    <w:div w:id="1618297223">
      <w:bodyDiv w:val="1"/>
      <w:marLeft w:val="0"/>
      <w:marRight w:val="0"/>
      <w:marTop w:val="0"/>
      <w:marBottom w:val="0"/>
      <w:divBdr>
        <w:top w:val="none" w:sz="0" w:space="0" w:color="auto"/>
        <w:left w:val="none" w:sz="0" w:space="0" w:color="auto"/>
        <w:bottom w:val="none" w:sz="0" w:space="0" w:color="auto"/>
        <w:right w:val="none" w:sz="0" w:space="0" w:color="auto"/>
      </w:divBdr>
    </w:div>
    <w:div w:id="1619949391">
      <w:bodyDiv w:val="1"/>
      <w:marLeft w:val="0"/>
      <w:marRight w:val="0"/>
      <w:marTop w:val="0"/>
      <w:marBottom w:val="0"/>
      <w:divBdr>
        <w:top w:val="none" w:sz="0" w:space="0" w:color="auto"/>
        <w:left w:val="none" w:sz="0" w:space="0" w:color="auto"/>
        <w:bottom w:val="none" w:sz="0" w:space="0" w:color="auto"/>
        <w:right w:val="none" w:sz="0" w:space="0" w:color="auto"/>
      </w:divBdr>
    </w:div>
    <w:div w:id="1621106095">
      <w:bodyDiv w:val="1"/>
      <w:marLeft w:val="0"/>
      <w:marRight w:val="0"/>
      <w:marTop w:val="0"/>
      <w:marBottom w:val="0"/>
      <w:divBdr>
        <w:top w:val="none" w:sz="0" w:space="0" w:color="auto"/>
        <w:left w:val="none" w:sz="0" w:space="0" w:color="auto"/>
        <w:bottom w:val="none" w:sz="0" w:space="0" w:color="auto"/>
        <w:right w:val="none" w:sz="0" w:space="0" w:color="auto"/>
      </w:divBdr>
    </w:div>
    <w:div w:id="1623267955">
      <w:bodyDiv w:val="1"/>
      <w:marLeft w:val="0"/>
      <w:marRight w:val="0"/>
      <w:marTop w:val="0"/>
      <w:marBottom w:val="0"/>
      <w:divBdr>
        <w:top w:val="none" w:sz="0" w:space="0" w:color="auto"/>
        <w:left w:val="none" w:sz="0" w:space="0" w:color="auto"/>
        <w:bottom w:val="none" w:sz="0" w:space="0" w:color="auto"/>
        <w:right w:val="none" w:sz="0" w:space="0" w:color="auto"/>
      </w:divBdr>
    </w:div>
    <w:div w:id="1623686526">
      <w:bodyDiv w:val="1"/>
      <w:marLeft w:val="0"/>
      <w:marRight w:val="0"/>
      <w:marTop w:val="0"/>
      <w:marBottom w:val="0"/>
      <w:divBdr>
        <w:top w:val="none" w:sz="0" w:space="0" w:color="auto"/>
        <w:left w:val="none" w:sz="0" w:space="0" w:color="auto"/>
        <w:bottom w:val="none" w:sz="0" w:space="0" w:color="auto"/>
        <w:right w:val="none" w:sz="0" w:space="0" w:color="auto"/>
      </w:divBdr>
    </w:div>
    <w:div w:id="1624919313">
      <w:bodyDiv w:val="1"/>
      <w:marLeft w:val="0"/>
      <w:marRight w:val="0"/>
      <w:marTop w:val="0"/>
      <w:marBottom w:val="0"/>
      <w:divBdr>
        <w:top w:val="none" w:sz="0" w:space="0" w:color="auto"/>
        <w:left w:val="none" w:sz="0" w:space="0" w:color="auto"/>
        <w:bottom w:val="none" w:sz="0" w:space="0" w:color="auto"/>
        <w:right w:val="none" w:sz="0" w:space="0" w:color="auto"/>
      </w:divBdr>
    </w:div>
    <w:div w:id="1625111360">
      <w:bodyDiv w:val="1"/>
      <w:marLeft w:val="0"/>
      <w:marRight w:val="0"/>
      <w:marTop w:val="0"/>
      <w:marBottom w:val="0"/>
      <w:divBdr>
        <w:top w:val="none" w:sz="0" w:space="0" w:color="auto"/>
        <w:left w:val="none" w:sz="0" w:space="0" w:color="auto"/>
        <w:bottom w:val="none" w:sz="0" w:space="0" w:color="auto"/>
        <w:right w:val="none" w:sz="0" w:space="0" w:color="auto"/>
      </w:divBdr>
    </w:div>
    <w:div w:id="1625233919">
      <w:bodyDiv w:val="1"/>
      <w:marLeft w:val="0"/>
      <w:marRight w:val="0"/>
      <w:marTop w:val="0"/>
      <w:marBottom w:val="0"/>
      <w:divBdr>
        <w:top w:val="none" w:sz="0" w:space="0" w:color="auto"/>
        <w:left w:val="none" w:sz="0" w:space="0" w:color="auto"/>
        <w:bottom w:val="none" w:sz="0" w:space="0" w:color="auto"/>
        <w:right w:val="none" w:sz="0" w:space="0" w:color="auto"/>
      </w:divBdr>
    </w:div>
    <w:div w:id="1628507399">
      <w:bodyDiv w:val="1"/>
      <w:marLeft w:val="0"/>
      <w:marRight w:val="0"/>
      <w:marTop w:val="0"/>
      <w:marBottom w:val="0"/>
      <w:divBdr>
        <w:top w:val="none" w:sz="0" w:space="0" w:color="auto"/>
        <w:left w:val="none" w:sz="0" w:space="0" w:color="auto"/>
        <w:bottom w:val="none" w:sz="0" w:space="0" w:color="auto"/>
        <w:right w:val="none" w:sz="0" w:space="0" w:color="auto"/>
      </w:divBdr>
    </w:div>
    <w:div w:id="1630671349">
      <w:bodyDiv w:val="1"/>
      <w:marLeft w:val="0"/>
      <w:marRight w:val="0"/>
      <w:marTop w:val="0"/>
      <w:marBottom w:val="0"/>
      <w:divBdr>
        <w:top w:val="none" w:sz="0" w:space="0" w:color="auto"/>
        <w:left w:val="none" w:sz="0" w:space="0" w:color="auto"/>
        <w:bottom w:val="none" w:sz="0" w:space="0" w:color="auto"/>
        <w:right w:val="none" w:sz="0" w:space="0" w:color="auto"/>
      </w:divBdr>
    </w:div>
    <w:div w:id="1636135831">
      <w:bodyDiv w:val="1"/>
      <w:marLeft w:val="0"/>
      <w:marRight w:val="0"/>
      <w:marTop w:val="0"/>
      <w:marBottom w:val="0"/>
      <w:divBdr>
        <w:top w:val="none" w:sz="0" w:space="0" w:color="auto"/>
        <w:left w:val="none" w:sz="0" w:space="0" w:color="auto"/>
        <w:bottom w:val="none" w:sz="0" w:space="0" w:color="auto"/>
        <w:right w:val="none" w:sz="0" w:space="0" w:color="auto"/>
      </w:divBdr>
    </w:div>
    <w:div w:id="1638561576">
      <w:bodyDiv w:val="1"/>
      <w:marLeft w:val="0"/>
      <w:marRight w:val="0"/>
      <w:marTop w:val="0"/>
      <w:marBottom w:val="0"/>
      <w:divBdr>
        <w:top w:val="none" w:sz="0" w:space="0" w:color="auto"/>
        <w:left w:val="none" w:sz="0" w:space="0" w:color="auto"/>
        <w:bottom w:val="none" w:sz="0" w:space="0" w:color="auto"/>
        <w:right w:val="none" w:sz="0" w:space="0" w:color="auto"/>
      </w:divBdr>
    </w:div>
    <w:div w:id="1640769129">
      <w:bodyDiv w:val="1"/>
      <w:marLeft w:val="0"/>
      <w:marRight w:val="0"/>
      <w:marTop w:val="0"/>
      <w:marBottom w:val="0"/>
      <w:divBdr>
        <w:top w:val="none" w:sz="0" w:space="0" w:color="auto"/>
        <w:left w:val="none" w:sz="0" w:space="0" w:color="auto"/>
        <w:bottom w:val="none" w:sz="0" w:space="0" w:color="auto"/>
        <w:right w:val="none" w:sz="0" w:space="0" w:color="auto"/>
      </w:divBdr>
    </w:div>
    <w:div w:id="1641156091">
      <w:bodyDiv w:val="1"/>
      <w:marLeft w:val="0"/>
      <w:marRight w:val="0"/>
      <w:marTop w:val="0"/>
      <w:marBottom w:val="0"/>
      <w:divBdr>
        <w:top w:val="none" w:sz="0" w:space="0" w:color="auto"/>
        <w:left w:val="none" w:sz="0" w:space="0" w:color="auto"/>
        <w:bottom w:val="none" w:sz="0" w:space="0" w:color="auto"/>
        <w:right w:val="none" w:sz="0" w:space="0" w:color="auto"/>
      </w:divBdr>
    </w:div>
    <w:div w:id="1641573402">
      <w:bodyDiv w:val="1"/>
      <w:marLeft w:val="0"/>
      <w:marRight w:val="0"/>
      <w:marTop w:val="0"/>
      <w:marBottom w:val="0"/>
      <w:divBdr>
        <w:top w:val="none" w:sz="0" w:space="0" w:color="auto"/>
        <w:left w:val="none" w:sz="0" w:space="0" w:color="auto"/>
        <w:bottom w:val="none" w:sz="0" w:space="0" w:color="auto"/>
        <w:right w:val="none" w:sz="0" w:space="0" w:color="auto"/>
      </w:divBdr>
    </w:div>
    <w:div w:id="1641884214">
      <w:bodyDiv w:val="1"/>
      <w:marLeft w:val="0"/>
      <w:marRight w:val="0"/>
      <w:marTop w:val="0"/>
      <w:marBottom w:val="0"/>
      <w:divBdr>
        <w:top w:val="none" w:sz="0" w:space="0" w:color="auto"/>
        <w:left w:val="none" w:sz="0" w:space="0" w:color="auto"/>
        <w:bottom w:val="none" w:sz="0" w:space="0" w:color="auto"/>
        <w:right w:val="none" w:sz="0" w:space="0" w:color="auto"/>
      </w:divBdr>
    </w:div>
    <w:div w:id="1642031118">
      <w:bodyDiv w:val="1"/>
      <w:marLeft w:val="0"/>
      <w:marRight w:val="0"/>
      <w:marTop w:val="0"/>
      <w:marBottom w:val="0"/>
      <w:divBdr>
        <w:top w:val="none" w:sz="0" w:space="0" w:color="auto"/>
        <w:left w:val="none" w:sz="0" w:space="0" w:color="auto"/>
        <w:bottom w:val="none" w:sz="0" w:space="0" w:color="auto"/>
        <w:right w:val="none" w:sz="0" w:space="0" w:color="auto"/>
      </w:divBdr>
    </w:div>
    <w:div w:id="1642614921">
      <w:bodyDiv w:val="1"/>
      <w:marLeft w:val="0"/>
      <w:marRight w:val="0"/>
      <w:marTop w:val="0"/>
      <w:marBottom w:val="0"/>
      <w:divBdr>
        <w:top w:val="none" w:sz="0" w:space="0" w:color="auto"/>
        <w:left w:val="none" w:sz="0" w:space="0" w:color="auto"/>
        <w:bottom w:val="none" w:sz="0" w:space="0" w:color="auto"/>
        <w:right w:val="none" w:sz="0" w:space="0" w:color="auto"/>
      </w:divBdr>
    </w:div>
    <w:div w:id="1644114210">
      <w:bodyDiv w:val="1"/>
      <w:marLeft w:val="0"/>
      <w:marRight w:val="0"/>
      <w:marTop w:val="0"/>
      <w:marBottom w:val="0"/>
      <w:divBdr>
        <w:top w:val="none" w:sz="0" w:space="0" w:color="auto"/>
        <w:left w:val="none" w:sz="0" w:space="0" w:color="auto"/>
        <w:bottom w:val="none" w:sz="0" w:space="0" w:color="auto"/>
        <w:right w:val="none" w:sz="0" w:space="0" w:color="auto"/>
      </w:divBdr>
    </w:div>
    <w:div w:id="1648238076">
      <w:bodyDiv w:val="1"/>
      <w:marLeft w:val="0"/>
      <w:marRight w:val="0"/>
      <w:marTop w:val="0"/>
      <w:marBottom w:val="0"/>
      <w:divBdr>
        <w:top w:val="none" w:sz="0" w:space="0" w:color="auto"/>
        <w:left w:val="none" w:sz="0" w:space="0" w:color="auto"/>
        <w:bottom w:val="none" w:sz="0" w:space="0" w:color="auto"/>
        <w:right w:val="none" w:sz="0" w:space="0" w:color="auto"/>
      </w:divBdr>
    </w:div>
    <w:div w:id="1649894158">
      <w:bodyDiv w:val="1"/>
      <w:marLeft w:val="0"/>
      <w:marRight w:val="0"/>
      <w:marTop w:val="0"/>
      <w:marBottom w:val="0"/>
      <w:divBdr>
        <w:top w:val="none" w:sz="0" w:space="0" w:color="auto"/>
        <w:left w:val="none" w:sz="0" w:space="0" w:color="auto"/>
        <w:bottom w:val="none" w:sz="0" w:space="0" w:color="auto"/>
        <w:right w:val="none" w:sz="0" w:space="0" w:color="auto"/>
      </w:divBdr>
    </w:div>
    <w:div w:id="1651208203">
      <w:bodyDiv w:val="1"/>
      <w:marLeft w:val="0"/>
      <w:marRight w:val="0"/>
      <w:marTop w:val="0"/>
      <w:marBottom w:val="0"/>
      <w:divBdr>
        <w:top w:val="none" w:sz="0" w:space="0" w:color="auto"/>
        <w:left w:val="none" w:sz="0" w:space="0" w:color="auto"/>
        <w:bottom w:val="none" w:sz="0" w:space="0" w:color="auto"/>
        <w:right w:val="none" w:sz="0" w:space="0" w:color="auto"/>
      </w:divBdr>
    </w:div>
    <w:div w:id="1651864087">
      <w:bodyDiv w:val="1"/>
      <w:marLeft w:val="0"/>
      <w:marRight w:val="0"/>
      <w:marTop w:val="0"/>
      <w:marBottom w:val="0"/>
      <w:divBdr>
        <w:top w:val="none" w:sz="0" w:space="0" w:color="auto"/>
        <w:left w:val="none" w:sz="0" w:space="0" w:color="auto"/>
        <w:bottom w:val="none" w:sz="0" w:space="0" w:color="auto"/>
        <w:right w:val="none" w:sz="0" w:space="0" w:color="auto"/>
      </w:divBdr>
    </w:div>
    <w:div w:id="1652056327">
      <w:bodyDiv w:val="1"/>
      <w:marLeft w:val="0"/>
      <w:marRight w:val="0"/>
      <w:marTop w:val="0"/>
      <w:marBottom w:val="0"/>
      <w:divBdr>
        <w:top w:val="none" w:sz="0" w:space="0" w:color="auto"/>
        <w:left w:val="none" w:sz="0" w:space="0" w:color="auto"/>
        <w:bottom w:val="none" w:sz="0" w:space="0" w:color="auto"/>
        <w:right w:val="none" w:sz="0" w:space="0" w:color="auto"/>
      </w:divBdr>
    </w:div>
    <w:div w:id="1653831549">
      <w:bodyDiv w:val="1"/>
      <w:marLeft w:val="0"/>
      <w:marRight w:val="0"/>
      <w:marTop w:val="0"/>
      <w:marBottom w:val="0"/>
      <w:divBdr>
        <w:top w:val="none" w:sz="0" w:space="0" w:color="auto"/>
        <w:left w:val="none" w:sz="0" w:space="0" w:color="auto"/>
        <w:bottom w:val="none" w:sz="0" w:space="0" w:color="auto"/>
        <w:right w:val="none" w:sz="0" w:space="0" w:color="auto"/>
      </w:divBdr>
    </w:div>
    <w:div w:id="1657227024">
      <w:bodyDiv w:val="1"/>
      <w:marLeft w:val="0"/>
      <w:marRight w:val="0"/>
      <w:marTop w:val="0"/>
      <w:marBottom w:val="0"/>
      <w:divBdr>
        <w:top w:val="none" w:sz="0" w:space="0" w:color="auto"/>
        <w:left w:val="none" w:sz="0" w:space="0" w:color="auto"/>
        <w:bottom w:val="none" w:sz="0" w:space="0" w:color="auto"/>
        <w:right w:val="none" w:sz="0" w:space="0" w:color="auto"/>
      </w:divBdr>
    </w:div>
    <w:div w:id="1659727150">
      <w:bodyDiv w:val="1"/>
      <w:marLeft w:val="0"/>
      <w:marRight w:val="0"/>
      <w:marTop w:val="0"/>
      <w:marBottom w:val="0"/>
      <w:divBdr>
        <w:top w:val="none" w:sz="0" w:space="0" w:color="auto"/>
        <w:left w:val="none" w:sz="0" w:space="0" w:color="auto"/>
        <w:bottom w:val="none" w:sz="0" w:space="0" w:color="auto"/>
        <w:right w:val="none" w:sz="0" w:space="0" w:color="auto"/>
      </w:divBdr>
    </w:div>
    <w:div w:id="1660382799">
      <w:bodyDiv w:val="1"/>
      <w:marLeft w:val="0"/>
      <w:marRight w:val="0"/>
      <w:marTop w:val="0"/>
      <w:marBottom w:val="0"/>
      <w:divBdr>
        <w:top w:val="none" w:sz="0" w:space="0" w:color="auto"/>
        <w:left w:val="none" w:sz="0" w:space="0" w:color="auto"/>
        <w:bottom w:val="none" w:sz="0" w:space="0" w:color="auto"/>
        <w:right w:val="none" w:sz="0" w:space="0" w:color="auto"/>
      </w:divBdr>
    </w:div>
    <w:div w:id="1661234275">
      <w:bodyDiv w:val="1"/>
      <w:marLeft w:val="0"/>
      <w:marRight w:val="0"/>
      <w:marTop w:val="0"/>
      <w:marBottom w:val="0"/>
      <w:divBdr>
        <w:top w:val="none" w:sz="0" w:space="0" w:color="auto"/>
        <w:left w:val="none" w:sz="0" w:space="0" w:color="auto"/>
        <w:bottom w:val="none" w:sz="0" w:space="0" w:color="auto"/>
        <w:right w:val="none" w:sz="0" w:space="0" w:color="auto"/>
      </w:divBdr>
    </w:div>
    <w:div w:id="1661422069">
      <w:bodyDiv w:val="1"/>
      <w:marLeft w:val="0"/>
      <w:marRight w:val="0"/>
      <w:marTop w:val="0"/>
      <w:marBottom w:val="0"/>
      <w:divBdr>
        <w:top w:val="none" w:sz="0" w:space="0" w:color="auto"/>
        <w:left w:val="none" w:sz="0" w:space="0" w:color="auto"/>
        <w:bottom w:val="none" w:sz="0" w:space="0" w:color="auto"/>
        <w:right w:val="none" w:sz="0" w:space="0" w:color="auto"/>
      </w:divBdr>
    </w:div>
    <w:div w:id="1663043487">
      <w:bodyDiv w:val="1"/>
      <w:marLeft w:val="0"/>
      <w:marRight w:val="0"/>
      <w:marTop w:val="0"/>
      <w:marBottom w:val="0"/>
      <w:divBdr>
        <w:top w:val="none" w:sz="0" w:space="0" w:color="auto"/>
        <w:left w:val="none" w:sz="0" w:space="0" w:color="auto"/>
        <w:bottom w:val="none" w:sz="0" w:space="0" w:color="auto"/>
        <w:right w:val="none" w:sz="0" w:space="0" w:color="auto"/>
      </w:divBdr>
    </w:div>
    <w:div w:id="1663851810">
      <w:bodyDiv w:val="1"/>
      <w:marLeft w:val="0"/>
      <w:marRight w:val="0"/>
      <w:marTop w:val="0"/>
      <w:marBottom w:val="0"/>
      <w:divBdr>
        <w:top w:val="none" w:sz="0" w:space="0" w:color="auto"/>
        <w:left w:val="none" w:sz="0" w:space="0" w:color="auto"/>
        <w:bottom w:val="none" w:sz="0" w:space="0" w:color="auto"/>
        <w:right w:val="none" w:sz="0" w:space="0" w:color="auto"/>
      </w:divBdr>
    </w:div>
    <w:div w:id="1663921932">
      <w:bodyDiv w:val="1"/>
      <w:marLeft w:val="0"/>
      <w:marRight w:val="0"/>
      <w:marTop w:val="0"/>
      <w:marBottom w:val="0"/>
      <w:divBdr>
        <w:top w:val="none" w:sz="0" w:space="0" w:color="auto"/>
        <w:left w:val="none" w:sz="0" w:space="0" w:color="auto"/>
        <w:bottom w:val="none" w:sz="0" w:space="0" w:color="auto"/>
        <w:right w:val="none" w:sz="0" w:space="0" w:color="auto"/>
      </w:divBdr>
    </w:div>
    <w:div w:id="1669941426">
      <w:bodyDiv w:val="1"/>
      <w:marLeft w:val="0"/>
      <w:marRight w:val="0"/>
      <w:marTop w:val="0"/>
      <w:marBottom w:val="0"/>
      <w:divBdr>
        <w:top w:val="none" w:sz="0" w:space="0" w:color="auto"/>
        <w:left w:val="none" w:sz="0" w:space="0" w:color="auto"/>
        <w:bottom w:val="none" w:sz="0" w:space="0" w:color="auto"/>
        <w:right w:val="none" w:sz="0" w:space="0" w:color="auto"/>
      </w:divBdr>
    </w:div>
    <w:div w:id="1670326683">
      <w:bodyDiv w:val="1"/>
      <w:marLeft w:val="0"/>
      <w:marRight w:val="0"/>
      <w:marTop w:val="0"/>
      <w:marBottom w:val="0"/>
      <w:divBdr>
        <w:top w:val="none" w:sz="0" w:space="0" w:color="auto"/>
        <w:left w:val="none" w:sz="0" w:space="0" w:color="auto"/>
        <w:bottom w:val="none" w:sz="0" w:space="0" w:color="auto"/>
        <w:right w:val="none" w:sz="0" w:space="0" w:color="auto"/>
      </w:divBdr>
    </w:div>
    <w:div w:id="1670643933">
      <w:bodyDiv w:val="1"/>
      <w:marLeft w:val="0"/>
      <w:marRight w:val="0"/>
      <w:marTop w:val="0"/>
      <w:marBottom w:val="0"/>
      <w:divBdr>
        <w:top w:val="none" w:sz="0" w:space="0" w:color="auto"/>
        <w:left w:val="none" w:sz="0" w:space="0" w:color="auto"/>
        <w:bottom w:val="none" w:sz="0" w:space="0" w:color="auto"/>
        <w:right w:val="none" w:sz="0" w:space="0" w:color="auto"/>
      </w:divBdr>
    </w:div>
    <w:div w:id="1671517644">
      <w:bodyDiv w:val="1"/>
      <w:marLeft w:val="0"/>
      <w:marRight w:val="0"/>
      <w:marTop w:val="0"/>
      <w:marBottom w:val="0"/>
      <w:divBdr>
        <w:top w:val="none" w:sz="0" w:space="0" w:color="auto"/>
        <w:left w:val="none" w:sz="0" w:space="0" w:color="auto"/>
        <w:bottom w:val="none" w:sz="0" w:space="0" w:color="auto"/>
        <w:right w:val="none" w:sz="0" w:space="0" w:color="auto"/>
      </w:divBdr>
    </w:div>
    <w:div w:id="1671758549">
      <w:bodyDiv w:val="1"/>
      <w:marLeft w:val="0"/>
      <w:marRight w:val="0"/>
      <w:marTop w:val="0"/>
      <w:marBottom w:val="0"/>
      <w:divBdr>
        <w:top w:val="none" w:sz="0" w:space="0" w:color="auto"/>
        <w:left w:val="none" w:sz="0" w:space="0" w:color="auto"/>
        <w:bottom w:val="none" w:sz="0" w:space="0" w:color="auto"/>
        <w:right w:val="none" w:sz="0" w:space="0" w:color="auto"/>
      </w:divBdr>
    </w:div>
    <w:div w:id="1672369881">
      <w:bodyDiv w:val="1"/>
      <w:marLeft w:val="0"/>
      <w:marRight w:val="0"/>
      <w:marTop w:val="0"/>
      <w:marBottom w:val="0"/>
      <w:divBdr>
        <w:top w:val="none" w:sz="0" w:space="0" w:color="auto"/>
        <w:left w:val="none" w:sz="0" w:space="0" w:color="auto"/>
        <w:bottom w:val="none" w:sz="0" w:space="0" w:color="auto"/>
        <w:right w:val="none" w:sz="0" w:space="0" w:color="auto"/>
      </w:divBdr>
    </w:div>
    <w:div w:id="1673869976">
      <w:bodyDiv w:val="1"/>
      <w:marLeft w:val="0"/>
      <w:marRight w:val="0"/>
      <w:marTop w:val="0"/>
      <w:marBottom w:val="0"/>
      <w:divBdr>
        <w:top w:val="none" w:sz="0" w:space="0" w:color="auto"/>
        <w:left w:val="none" w:sz="0" w:space="0" w:color="auto"/>
        <w:bottom w:val="none" w:sz="0" w:space="0" w:color="auto"/>
        <w:right w:val="none" w:sz="0" w:space="0" w:color="auto"/>
      </w:divBdr>
    </w:div>
    <w:div w:id="1675109795">
      <w:bodyDiv w:val="1"/>
      <w:marLeft w:val="0"/>
      <w:marRight w:val="0"/>
      <w:marTop w:val="0"/>
      <w:marBottom w:val="0"/>
      <w:divBdr>
        <w:top w:val="none" w:sz="0" w:space="0" w:color="auto"/>
        <w:left w:val="none" w:sz="0" w:space="0" w:color="auto"/>
        <w:bottom w:val="none" w:sz="0" w:space="0" w:color="auto"/>
        <w:right w:val="none" w:sz="0" w:space="0" w:color="auto"/>
      </w:divBdr>
    </w:div>
    <w:div w:id="1675493818">
      <w:bodyDiv w:val="1"/>
      <w:marLeft w:val="0"/>
      <w:marRight w:val="0"/>
      <w:marTop w:val="0"/>
      <w:marBottom w:val="0"/>
      <w:divBdr>
        <w:top w:val="none" w:sz="0" w:space="0" w:color="auto"/>
        <w:left w:val="none" w:sz="0" w:space="0" w:color="auto"/>
        <w:bottom w:val="none" w:sz="0" w:space="0" w:color="auto"/>
        <w:right w:val="none" w:sz="0" w:space="0" w:color="auto"/>
      </w:divBdr>
    </w:div>
    <w:div w:id="1677269131">
      <w:bodyDiv w:val="1"/>
      <w:marLeft w:val="0"/>
      <w:marRight w:val="0"/>
      <w:marTop w:val="0"/>
      <w:marBottom w:val="0"/>
      <w:divBdr>
        <w:top w:val="none" w:sz="0" w:space="0" w:color="auto"/>
        <w:left w:val="none" w:sz="0" w:space="0" w:color="auto"/>
        <w:bottom w:val="none" w:sz="0" w:space="0" w:color="auto"/>
        <w:right w:val="none" w:sz="0" w:space="0" w:color="auto"/>
      </w:divBdr>
    </w:div>
    <w:div w:id="1679573461">
      <w:bodyDiv w:val="1"/>
      <w:marLeft w:val="0"/>
      <w:marRight w:val="0"/>
      <w:marTop w:val="0"/>
      <w:marBottom w:val="0"/>
      <w:divBdr>
        <w:top w:val="none" w:sz="0" w:space="0" w:color="auto"/>
        <w:left w:val="none" w:sz="0" w:space="0" w:color="auto"/>
        <w:bottom w:val="none" w:sz="0" w:space="0" w:color="auto"/>
        <w:right w:val="none" w:sz="0" w:space="0" w:color="auto"/>
      </w:divBdr>
    </w:div>
    <w:div w:id="1679847667">
      <w:bodyDiv w:val="1"/>
      <w:marLeft w:val="0"/>
      <w:marRight w:val="0"/>
      <w:marTop w:val="0"/>
      <w:marBottom w:val="0"/>
      <w:divBdr>
        <w:top w:val="none" w:sz="0" w:space="0" w:color="auto"/>
        <w:left w:val="none" w:sz="0" w:space="0" w:color="auto"/>
        <w:bottom w:val="none" w:sz="0" w:space="0" w:color="auto"/>
        <w:right w:val="none" w:sz="0" w:space="0" w:color="auto"/>
      </w:divBdr>
    </w:div>
    <w:div w:id="1681198284">
      <w:bodyDiv w:val="1"/>
      <w:marLeft w:val="0"/>
      <w:marRight w:val="0"/>
      <w:marTop w:val="0"/>
      <w:marBottom w:val="0"/>
      <w:divBdr>
        <w:top w:val="none" w:sz="0" w:space="0" w:color="auto"/>
        <w:left w:val="none" w:sz="0" w:space="0" w:color="auto"/>
        <w:bottom w:val="none" w:sz="0" w:space="0" w:color="auto"/>
        <w:right w:val="none" w:sz="0" w:space="0" w:color="auto"/>
      </w:divBdr>
    </w:div>
    <w:div w:id="1681464897">
      <w:bodyDiv w:val="1"/>
      <w:marLeft w:val="0"/>
      <w:marRight w:val="0"/>
      <w:marTop w:val="0"/>
      <w:marBottom w:val="0"/>
      <w:divBdr>
        <w:top w:val="none" w:sz="0" w:space="0" w:color="auto"/>
        <w:left w:val="none" w:sz="0" w:space="0" w:color="auto"/>
        <w:bottom w:val="none" w:sz="0" w:space="0" w:color="auto"/>
        <w:right w:val="none" w:sz="0" w:space="0" w:color="auto"/>
      </w:divBdr>
    </w:div>
    <w:div w:id="1682707776">
      <w:bodyDiv w:val="1"/>
      <w:marLeft w:val="0"/>
      <w:marRight w:val="0"/>
      <w:marTop w:val="0"/>
      <w:marBottom w:val="0"/>
      <w:divBdr>
        <w:top w:val="none" w:sz="0" w:space="0" w:color="auto"/>
        <w:left w:val="none" w:sz="0" w:space="0" w:color="auto"/>
        <w:bottom w:val="none" w:sz="0" w:space="0" w:color="auto"/>
        <w:right w:val="none" w:sz="0" w:space="0" w:color="auto"/>
      </w:divBdr>
    </w:div>
    <w:div w:id="1683167922">
      <w:bodyDiv w:val="1"/>
      <w:marLeft w:val="0"/>
      <w:marRight w:val="0"/>
      <w:marTop w:val="0"/>
      <w:marBottom w:val="0"/>
      <w:divBdr>
        <w:top w:val="none" w:sz="0" w:space="0" w:color="auto"/>
        <w:left w:val="none" w:sz="0" w:space="0" w:color="auto"/>
        <w:bottom w:val="none" w:sz="0" w:space="0" w:color="auto"/>
        <w:right w:val="none" w:sz="0" w:space="0" w:color="auto"/>
      </w:divBdr>
    </w:div>
    <w:div w:id="1684897614">
      <w:bodyDiv w:val="1"/>
      <w:marLeft w:val="0"/>
      <w:marRight w:val="0"/>
      <w:marTop w:val="0"/>
      <w:marBottom w:val="0"/>
      <w:divBdr>
        <w:top w:val="none" w:sz="0" w:space="0" w:color="auto"/>
        <w:left w:val="none" w:sz="0" w:space="0" w:color="auto"/>
        <w:bottom w:val="none" w:sz="0" w:space="0" w:color="auto"/>
        <w:right w:val="none" w:sz="0" w:space="0" w:color="auto"/>
      </w:divBdr>
    </w:div>
    <w:div w:id="1688215085">
      <w:bodyDiv w:val="1"/>
      <w:marLeft w:val="0"/>
      <w:marRight w:val="0"/>
      <w:marTop w:val="0"/>
      <w:marBottom w:val="0"/>
      <w:divBdr>
        <w:top w:val="none" w:sz="0" w:space="0" w:color="auto"/>
        <w:left w:val="none" w:sz="0" w:space="0" w:color="auto"/>
        <w:bottom w:val="none" w:sz="0" w:space="0" w:color="auto"/>
        <w:right w:val="none" w:sz="0" w:space="0" w:color="auto"/>
      </w:divBdr>
    </w:div>
    <w:div w:id="1688601403">
      <w:bodyDiv w:val="1"/>
      <w:marLeft w:val="0"/>
      <w:marRight w:val="0"/>
      <w:marTop w:val="0"/>
      <w:marBottom w:val="0"/>
      <w:divBdr>
        <w:top w:val="none" w:sz="0" w:space="0" w:color="auto"/>
        <w:left w:val="none" w:sz="0" w:space="0" w:color="auto"/>
        <w:bottom w:val="none" w:sz="0" w:space="0" w:color="auto"/>
        <w:right w:val="none" w:sz="0" w:space="0" w:color="auto"/>
      </w:divBdr>
    </w:div>
    <w:div w:id="1689214385">
      <w:bodyDiv w:val="1"/>
      <w:marLeft w:val="0"/>
      <w:marRight w:val="0"/>
      <w:marTop w:val="0"/>
      <w:marBottom w:val="0"/>
      <w:divBdr>
        <w:top w:val="none" w:sz="0" w:space="0" w:color="auto"/>
        <w:left w:val="none" w:sz="0" w:space="0" w:color="auto"/>
        <w:bottom w:val="none" w:sz="0" w:space="0" w:color="auto"/>
        <w:right w:val="none" w:sz="0" w:space="0" w:color="auto"/>
      </w:divBdr>
    </w:div>
    <w:div w:id="1689284644">
      <w:bodyDiv w:val="1"/>
      <w:marLeft w:val="0"/>
      <w:marRight w:val="0"/>
      <w:marTop w:val="0"/>
      <w:marBottom w:val="0"/>
      <w:divBdr>
        <w:top w:val="none" w:sz="0" w:space="0" w:color="auto"/>
        <w:left w:val="none" w:sz="0" w:space="0" w:color="auto"/>
        <w:bottom w:val="none" w:sz="0" w:space="0" w:color="auto"/>
        <w:right w:val="none" w:sz="0" w:space="0" w:color="auto"/>
      </w:divBdr>
    </w:div>
    <w:div w:id="1690065846">
      <w:bodyDiv w:val="1"/>
      <w:marLeft w:val="0"/>
      <w:marRight w:val="0"/>
      <w:marTop w:val="0"/>
      <w:marBottom w:val="0"/>
      <w:divBdr>
        <w:top w:val="none" w:sz="0" w:space="0" w:color="auto"/>
        <w:left w:val="none" w:sz="0" w:space="0" w:color="auto"/>
        <w:bottom w:val="none" w:sz="0" w:space="0" w:color="auto"/>
        <w:right w:val="none" w:sz="0" w:space="0" w:color="auto"/>
      </w:divBdr>
    </w:div>
    <w:div w:id="1692611235">
      <w:bodyDiv w:val="1"/>
      <w:marLeft w:val="0"/>
      <w:marRight w:val="0"/>
      <w:marTop w:val="0"/>
      <w:marBottom w:val="0"/>
      <w:divBdr>
        <w:top w:val="none" w:sz="0" w:space="0" w:color="auto"/>
        <w:left w:val="none" w:sz="0" w:space="0" w:color="auto"/>
        <w:bottom w:val="none" w:sz="0" w:space="0" w:color="auto"/>
        <w:right w:val="none" w:sz="0" w:space="0" w:color="auto"/>
      </w:divBdr>
    </w:div>
    <w:div w:id="1693602587">
      <w:bodyDiv w:val="1"/>
      <w:marLeft w:val="0"/>
      <w:marRight w:val="0"/>
      <w:marTop w:val="0"/>
      <w:marBottom w:val="0"/>
      <w:divBdr>
        <w:top w:val="none" w:sz="0" w:space="0" w:color="auto"/>
        <w:left w:val="none" w:sz="0" w:space="0" w:color="auto"/>
        <w:bottom w:val="none" w:sz="0" w:space="0" w:color="auto"/>
        <w:right w:val="none" w:sz="0" w:space="0" w:color="auto"/>
      </w:divBdr>
    </w:div>
    <w:div w:id="1693915508">
      <w:bodyDiv w:val="1"/>
      <w:marLeft w:val="0"/>
      <w:marRight w:val="0"/>
      <w:marTop w:val="0"/>
      <w:marBottom w:val="0"/>
      <w:divBdr>
        <w:top w:val="none" w:sz="0" w:space="0" w:color="auto"/>
        <w:left w:val="none" w:sz="0" w:space="0" w:color="auto"/>
        <w:bottom w:val="none" w:sz="0" w:space="0" w:color="auto"/>
        <w:right w:val="none" w:sz="0" w:space="0" w:color="auto"/>
      </w:divBdr>
    </w:div>
    <w:div w:id="1693995620">
      <w:bodyDiv w:val="1"/>
      <w:marLeft w:val="0"/>
      <w:marRight w:val="0"/>
      <w:marTop w:val="0"/>
      <w:marBottom w:val="0"/>
      <w:divBdr>
        <w:top w:val="none" w:sz="0" w:space="0" w:color="auto"/>
        <w:left w:val="none" w:sz="0" w:space="0" w:color="auto"/>
        <w:bottom w:val="none" w:sz="0" w:space="0" w:color="auto"/>
        <w:right w:val="none" w:sz="0" w:space="0" w:color="auto"/>
      </w:divBdr>
    </w:div>
    <w:div w:id="1694720237">
      <w:bodyDiv w:val="1"/>
      <w:marLeft w:val="0"/>
      <w:marRight w:val="0"/>
      <w:marTop w:val="0"/>
      <w:marBottom w:val="0"/>
      <w:divBdr>
        <w:top w:val="none" w:sz="0" w:space="0" w:color="auto"/>
        <w:left w:val="none" w:sz="0" w:space="0" w:color="auto"/>
        <w:bottom w:val="none" w:sz="0" w:space="0" w:color="auto"/>
        <w:right w:val="none" w:sz="0" w:space="0" w:color="auto"/>
      </w:divBdr>
    </w:div>
    <w:div w:id="1695304816">
      <w:bodyDiv w:val="1"/>
      <w:marLeft w:val="0"/>
      <w:marRight w:val="0"/>
      <w:marTop w:val="0"/>
      <w:marBottom w:val="0"/>
      <w:divBdr>
        <w:top w:val="none" w:sz="0" w:space="0" w:color="auto"/>
        <w:left w:val="none" w:sz="0" w:space="0" w:color="auto"/>
        <w:bottom w:val="none" w:sz="0" w:space="0" w:color="auto"/>
        <w:right w:val="none" w:sz="0" w:space="0" w:color="auto"/>
      </w:divBdr>
    </w:div>
    <w:div w:id="1695886332">
      <w:bodyDiv w:val="1"/>
      <w:marLeft w:val="0"/>
      <w:marRight w:val="0"/>
      <w:marTop w:val="0"/>
      <w:marBottom w:val="0"/>
      <w:divBdr>
        <w:top w:val="none" w:sz="0" w:space="0" w:color="auto"/>
        <w:left w:val="none" w:sz="0" w:space="0" w:color="auto"/>
        <w:bottom w:val="none" w:sz="0" w:space="0" w:color="auto"/>
        <w:right w:val="none" w:sz="0" w:space="0" w:color="auto"/>
      </w:divBdr>
    </w:div>
    <w:div w:id="1698238247">
      <w:bodyDiv w:val="1"/>
      <w:marLeft w:val="0"/>
      <w:marRight w:val="0"/>
      <w:marTop w:val="0"/>
      <w:marBottom w:val="0"/>
      <w:divBdr>
        <w:top w:val="none" w:sz="0" w:space="0" w:color="auto"/>
        <w:left w:val="none" w:sz="0" w:space="0" w:color="auto"/>
        <w:bottom w:val="none" w:sz="0" w:space="0" w:color="auto"/>
        <w:right w:val="none" w:sz="0" w:space="0" w:color="auto"/>
      </w:divBdr>
    </w:div>
    <w:div w:id="1699507102">
      <w:bodyDiv w:val="1"/>
      <w:marLeft w:val="0"/>
      <w:marRight w:val="0"/>
      <w:marTop w:val="0"/>
      <w:marBottom w:val="0"/>
      <w:divBdr>
        <w:top w:val="none" w:sz="0" w:space="0" w:color="auto"/>
        <w:left w:val="none" w:sz="0" w:space="0" w:color="auto"/>
        <w:bottom w:val="none" w:sz="0" w:space="0" w:color="auto"/>
        <w:right w:val="none" w:sz="0" w:space="0" w:color="auto"/>
      </w:divBdr>
    </w:div>
    <w:div w:id="1700353210">
      <w:bodyDiv w:val="1"/>
      <w:marLeft w:val="0"/>
      <w:marRight w:val="0"/>
      <w:marTop w:val="0"/>
      <w:marBottom w:val="0"/>
      <w:divBdr>
        <w:top w:val="none" w:sz="0" w:space="0" w:color="auto"/>
        <w:left w:val="none" w:sz="0" w:space="0" w:color="auto"/>
        <w:bottom w:val="none" w:sz="0" w:space="0" w:color="auto"/>
        <w:right w:val="none" w:sz="0" w:space="0" w:color="auto"/>
      </w:divBdr>
    </w:div>
    <w:div w:id="1700429102">
      <w:bodyDiv w:val="1"/>
      <w:marLeft w:val="0"/>
      <w:marRight w:val="0"/>
      <w:marTop w:val="0"/>
      <w:marBottom w:val="0"/>
      <w:divBdr>
        <w:top w:val="none" w:sz="0" w:space="0" w:color="auto"/>
        <w:left w:val="none" w:sz="0" w:space="0" w:color="auto"/>
        <w:bottom w:val="none" w:sz="0" w:space="0" w:color="auto"/>
        <w:right w:val="none" w:sz="0" w:space="0" w:color="auto"/>
      </w:divBdr>
    </w:div>
    <w:div w:id="1701857618">
      <w:bodyDiv w:val="1"/>
      <w:marLeft w:val="0"/>
      <w:marRight w:val="0"/>
      <w:marTop w:val="0"/>
      <w:marBottom w:val="0"/>
      <w:divBdr>
        <w:top w:val="none" w:sz="0" w:space="0" w:color="auto"/>
        <w:left w:val="none" w:sz="0" w:space="0" w:color="auto"/>
        <w:bottom w:val="none" w:sz="0" w:space="0" w:color="auto"/>
        <w:right w:val="none" w:sz="0" w:space="0" w:color="auto"/>
      </w:divBdr>
    </w:div>
    <w:div w:id="1702783521">
      <w:bodyDiv w:val="1"/>
      <w:marLeft w:val="0"/>
      <w:marRight w:val="0"/>
      <w:marTop w:val="0"/>
      <w:marBottom w:val="0"/>
      <w:divBdr>
        <w:top w:val="none" w:sz="0" w:space="0" w:color="auto"/>
        <w:left w:val="none" w:sz="0" w:space="0" w:color="auto"/>
        <w:bottom w:val="none" w:sz="0" w:space="0" w:color="auto"/>
        <w:right w:val="none" w:sz="0" w:space="0" w:color="auto"/>
      </w:divBdr>
    </w:div>
    <w:div w:id="1704094835">
      <w:bodyDiv w:val="1"/>
      <w:marLeft w:val="0"/>
      <w:marRight w:val="0"/>
      <w:marTop w:val="0"/>
      <w:marBottom w:val="0"/>
      <w:divBdr>
        <w:top w:val="none" w:sz="0" w:space="0" w:color="auto"/>
        <w:left w:val="none" w:sz="0" w:space="0" w:color="auto"/>
        <w:bottom w:val="none" w:sz="0" w:space="0" w:color="auto"/>
        <w:right w:val="none" w:sz="0" w:space="0" w:color="auto"/>
      </w:divBdr>
    </w:div>
    <w:div w:id="1710914125">
      <w:bodyDiv w:val="1"/>
      <w:marLeft w:val="0"/>
      <w:marRight w:val="0"/>
      <w:marTop w:val="0"/>
      <w:marBottom w:val="0"/>
      <w:divBdr>
        <w:top w:val="none" w:sz="0" w:space="0" w:color="auto"/>
        <w:left w:val="none" w:sz="0" w:space="0" w:color="auto"/>
        <w:bottom w:val="none" w:sz="0" w:space="0" w:color="auto"/>
        <w:right w:val="none" w:sz="0" w:space="0" w:color="auto"/>
      </w:divBdr>
    </w:div>
    <w:div w:id="1713072050">
      <w:bodyDiv w:val="1"/>
      <w:marLeft w:val="0"/>
      <w:marRight w:val="0"/>
      <w:marTop w:val="0"/>
      <w:marBottom w:val="0"/>
      <w:divBdr>
        <w:top w:val="none" w:sz="0" w:space="0" w:color="auto"/>
        <w:left w:val="none" w:sz="0" w:space="0" w:color="auto"/>
        <w:bottom w:val="none" w:sz="0" w:space="0" w:color="auto"/>
        <w:right w:val="none" w:sz="0" w:space="0" w:color="auto"/>
      </w:divBdr>
    </w:div>
    <w:div w:id="1713387719">
      <w:bodyDiv w:val="1"/>
      <w:marLeft w:val="0"/>
      <w:marRight w:val="0"/>
      <w:marTop w:val="0"/>
      <w:marBottom w:val="0"/>
      <w:divBdr>
        <w:top w:val="none" w:sz="0" w:space="0" w:color="auto"/>
        <w:left w:val="none" w:sz="0" w:space="0" w:color="auto"/>
        <w:bottom w:val="none" w:sz="0" w:space="0" w:color="auto"/>
        <w:right w:val="none" w:sz="0" w:space="0" w:color="auto"/>
      </w:divBdr>
    </w:div>
    <w:div w:id="1714768417">
      <w:bodyDiv w:val="1"/>
      <w:marLeft w:val="0"/>
      <w:marRight w:val="0"/>
      <w:marTop w:val="0"/>
      <w:marBottom w:val="0"/>
      <w:divBdr>
        <w:top w:val="none" w:sz="0" w:space="0" w:color="auto"/>
        <w:left w:val="none" w:sz="0" w:space="0" w:color="auto"/>
        <w:bottom w:val="none" w:sz="0" w:space="0" w:color="auto"/>
        <w:right w:val="none" w:sz="0" w:space="0" w:color="auto"/>
      </w:divBdr>
    </w:div>
    <w:div w:id="1714883852">
      <w:bodyDiv w:val="1"/>
      <w:marLeft w:val="0"/>
      <w:marRight w:val="0"/>
      <w:marTop w:val="0"/>
      <w:marBottom w:val="0"/>
      <w:divBdr>
        <w:top w:val="none" w:sz="0" w:space="0" w:color="auto"/>
        <w:left w:val="none" w:sz="0" w:space="0" w:color="auto"/>
        <w:bottom w:val="none" w:sz="0" w:space="0" w:color="auto"/>
        <w:right w:val="none" w:sz="0" w:space="0" w:color="auto"/>
      </w:divBdr>
    </w:div>
    <w:div w:id="1714889872">
      <w:bodyDiv w:val="1"/>
      <w:marLeft w:val="0"/>
      <w:marRight w:val="0"/>
      <w:marTop w:val="0"/>
      <w:marBottom w:val="0"/>
      <w:divBdr>
        <w:top w:val="none" w:sz="0" w:space="0" w:color="auto"/>
        <w:left w:val="none" w:sz="0" w:space="0" w:color="auto"/>
        <w:bottom w:val="none" w:sz="0" w:space="0" w:color="auto"/>
        <w:right w:val="none" w:sz="0" w:space="0" w:color="auto"/>
      </w:divBdr>
    </w:div>
    <w:div w:id="1716269232">
      <w:bodyDiv w:val="1"/>
      <w:marLeft w:val="0"/>
      <w:marRight w:val="0"/>
      <w:marTop w:val="0"/>
      <w:marBottom w:val="0"/>
      <w:divBdr>
        <w:top w:val="none" w:sz="0" w:space="0" w:color="auto"/>
        <w:left w:val="none" w:sz="0" w:space="0" w:color="auto"/>
        <w:bottom w:val="none" w:sz="0" w:space="0" w:color="auto"/>
        <w:right w:val="none" w:sz="0" w:space="0" w:color="auto"/>
      </w:divBdr>
    </w:div>
    <w:div w:id="1718354732">
      <w:bodyDiv w:val="1"/>
      <w:marLeft w:val="0"/>
      <w:marRight w:val="0"/>
      <w:marTop w:val="0"/>
      <w:marBottom w:val="0"/>
      <w:divBdr>
        <w:top w:val="none" w:sz="0" w:space="0" w:color="auto"/>
        <w:left w:val="none" w:sz="0" w:space="0" w:color="auto"/>
        <w:bottom w:val="none" w:sz="0" w:space="0" w:color="auto"/>
        <w:right w:val="none" w:sz="0" w:space="0" w:color="auto"/>
      </w:divBdr>
    </w:div>
    <w:div w:id="1718973142">
      <w:bodyDiv w:val="1"/>
      <w:marLeft w:val="0"/>
      <w:marRight w:val="0"/>
      <w:marTop w:val="0"/>
      <w:marBottom w:val="0"/>
      <w:divBdr>
        <w:top w:val="none" w:sz="0" w:space="0" w:color="auto"/>
        <w:left w:val="none" w:sz="0" w:space="0" w:color="auto"/>
        <w:bottom w:val="none" w:sz="0" w:space="0" w:color="auto"/>
        <w:right w:val="none" w:sz="0" w:space="0" w:color="auto"/>
      </w:divBdr>
    </w:div>
    <w:div w:id="1721587089">
      <w:bodyDiv w:val="1"/>
      <w:marLeft w:val="0"/>
      <w:marRight w:val="0"/>
      <w:marTop w:val="0"/>
      <w:marBottom w:val="0"/>
      <w:divBdr>
        <w:top w:val="none" w:sz="0" w:space="0" w:color="auto"/>
        <w:left w:val="none" w:sz="0" w:space="0" w:color="auto"/>
        <w:bottom w:val="none" w:sz="0" w:space="0" w:color="auto"/>
        <w:right w:val="none" w:sz="0" w:space="0" w:color="auto"/>
      </w:divBdr>
    </w:div>
    <w:div w:id="1721593410">
      <w:bodyDiv w:val="1"/>
      <w:marLeft w:val="0"/>
      <w:marRight w:val="0"/>
      <w:marTop w:val="0"/>
      <w:marBottom w:val="0"/>
      <w:divBdr>
        <w:top w:val="none" w:sz="0" w:space="0" w:color="auto"/>
        <w:left w:val="none" w:sz="0" w:space="0" w:color="auto"/>
        <w:bottom w:val="none" w:sz="0" w:space="0" w:color="auto"/>
        <w:right w:val="none" w:sz="0" w:space="0" w:color="auto"/>
      </w:divBdr>
    </w:div>
    <w:div w:id="1722169690">
      <w:bodyDiv w:val="1"/>
      <w:marLeft w:val="0"/>
      <w:marRight w:val="0"/>
      <w:marTop w:val="0"/>
      <w:marBottom w:val="0"/>
      <w:divBdr>
        <w:top w:val="none" w:sz="0" w:space="0" w:color="auto"/>
        <w:left w:val="none" w:sz="0" w:space="0" w:color="auto"/>
        <w:bottom w:val="none" w:sz="0" w:space="0" w:color="auto"/>
        <w:right w:val="none" w:sz="0" w:space="0" w:color="auto"/>
      </w:divBdr>
    </w:div>
    <w:div w:id="1722242935">
      <w:bodyDiv w:val="1"/>
      <w:marLeft w:val="0"/>
      <w:marRight w:val="0"/>
      <w:marTop w:val="0"/>
      <w:marBottom w:val="0"/>
      <w:divBdr>
        <w:top w:val="none" w:sz="0" w:space="0" w:color="auto"/>
        <w:left w:val="none" w:sz="0" w:space="0" w:color="auto"/>
        <w:bottom w:val="none" w:sz="0" w:space="0" w:color="auto"/>
        <w:right w:val="none" w:sz="0" w:space="0" w:color="auto"/>
      </w:divBdr>
    </w:div>
    <w:div w:id="1722627546">
      <w:bodyDiv w:val="1"/>
      <w:marLeft w:val="0"/>
      <w:marRight w:val="0"/>
      <w:marTop w:val="0"/>
      <w:marBottom w:val="0"/>
      <w:divBdr>
        <w:top w:val="none" w:sz="0" w:space="0" w:color="auto"/>
        <w:left w:val="none" w:sz="0" w:space="0" w:color="auto"/>
        <w:bottom w:val="none" w:sz="0" w:space="0" w:color="auto"/>
        <w:right w:val="none" w:sz="0" w:space="0" w:color="auto"/>
      </w:divBdr>
    </w:div>
    <w:div w:id="1723092188">
      <w:bodyDiv w:val="1"/>
      <w:marLeft w:val="0"/>
      <w:marRight w:val="0"/>
      <w:marTop w:val="0"/>
      <w:marBottom w:val="0"/>
      <w:divBdr>
        <w:top w:val="none" w:sz="0" w:space="0" w:color="auto"/>
        <w:left w:val="none" w:sz="0" w:space="0" w:color="auto"/>
        <w:bottom w:val="none" w:sz="0" w:space="0" w:color="auto"/>
        <w:right w:val="none" w:sz="0" w:space="0" w:color="auto"/>
      </w:divBdr>
    </w:div>
    <w:div w:id="1728720875">
      <w:bodyDiv w:val="1"/>
      <w:marLeft w:val="0"/>
      <w:marRight w:val="0"/>
      <w:marTop w:val="0"/>
      <w:marBottom w:val="0"/>
      <w:divBdr>
        <w:top w:val="none" w:sz="0" w:space="0" w:color="auto"/>
        <w:left w:val="none" w:sz="0" w:space="0" w:color="auto"/>
        <w:bottom w:val="none" w:sz="0" w:space="0" w:color="auto"/>
        <w:right w:val="none" w:sz="0" w:space="0" w:color="auto"/>
      </w:divBdr>
    </w:div>
    <w:div w:id="1731222936">
      <w:bodyDiv w:val="1"/>
      <w:marLeft w:val="0"/>
      <w:marRight w:val="0"/>
      <w:marTop w:val="0"/>
      <w:marBottom w:val="0"/>
      <w:divBdr>
        <w:top w:val="none" w:sz="0" w:space="0" w:color="auto"/>
        <w:left w:val="none" w:sz="0" w:space="0" w:color="auto"/>
        <w:bottom w:val="none" w:sz="0" w:space="0" w:color="auto"/>
        <w:right w:val="none" w:sz="0" w:space="0" w:color="auto"/>
      </w:divBdr>
    </w:div>
    <w:div w:id="1734352465">
      <w:bodyDiv w:val="1"/>
      <w:marLeft w:val="0"/>
      <w:marRight w:val="0"/>
      <w:marTop w:val="0"/>
      <w:marBottom w:val="0"/>
      <w:divBdr>
        <w:top w:val="none" w:sz="0" w:space="0" w:color="auto"/>
        <w:left w:val="none" w:sz="0" w:space="0" w:color="auto"/>
        <w:bottom w:val="none" w:sz="0" w:space="0" w:color="auto"/>
        <w:right w:val="none" w:sz="0" w:space="0" w:color="auto"/>
      </w:divBdr>
    </w:div>
    <w:div w:id="1735739106">
      <w:bodyDiv w:val="1"/>
      <w:marLeft w:val="0"/>
      <w:marRight w:val="0"/>
      <w:marTop w:val="0"/>
      <w:marBottom w:val="0"/>
      <w:divBdr>
        <w:top w:val="none" w:sz="0" w:space="0" w:color="auto"/>
        <w:left w:val="none" w:sz="0" w:space="0" w:color="auto"/>
        <w:bottom w:val="none" w:sz="0" w:space="0" w:color="auto"/>
        <w:right w:val="none" w:sz="0" w:space="0" w:color="auto"/>
      </w:divBdr>
    </w:div>
    <w:div w:id="1736852101">
      <w:bodyDiv w:val="1"/>
      <w:marLeft w:val="0"/>
      <w:marRight w:val="0"/>
      <w:marTop w:val="0"/>
      <w:marBottom w:val="0"/>
      <w:divBdr>
        <w:top w:val="none" w:sz="0" w:space="0" w:color="auto"/>
        <w:left w:val="none" w:sz="0" w:space="0" w:color="auto"/>
        <w:bottom w:val="none" w:sz="0" w:space="0" w:color="auto"/>
        <w:right w:val="none" w:sz="0" w:space="0" w:color="auto"/>
      </w:divBdr>
    </w:div>
    <w:div w:id="1737434076">
      <w:bodyDiv w:val="1"/>
      <w:marLeft w:val="0"/>
      <w:marRight w:val="0"/>
      <w:marTop w:val="0"/>
      <w:marBottom w:val="0"/>
      <w:divBdr>
        <w:top w:val="none" w:sz="0" w:space="0" w:color="auto"/>
        <w:left w:val="none" w:sz="0" w:space="0" w:color="auto"/>
        <w:bottom w:val="none" w:sz="0" w:space="0" w:color="auto"/>
        <w:right w:val="none" w:sz="0" w:space="0" w:color="auto"/>
      </w:divBdr>
    </w:div>
    <w:div w:id="1738362160">
      <w:bodyDiv w:val="1"/>
      <w:marLeft w:val="0"/>
      <w:marRight w:val="0"/>
      <w:marTop w:val="0"/>
      <w:marBottom w:val="0"/>
      <w:divBdr>
        <w:top w:val="none" w:sz="0" w:space="0" w:color="auto"/>
        <w:left w:val="none" w:sz="0" w:space="0" w:color="auto"/>
        <w:bottom w:val="none" w:sz="0" w:space="0" w:color="auto"/>
        <w:right w:val="none" w:sz="0" w:space="0" w:color="auto"/>
      </w:divBdr>
    </w:div>
    <w:div w:id="1738550117">
      <w:bodyDiv w:val="1"/>
      <w:marLeft w:val="0"/>
      <w:marRight w:val="0"/>
      <w:marTop w:val="0"/>
      <w:marBottom w:val="0"/>
      <w:divBdr>
        <w:top w:val="none" w:sz="0" w:space="0" w:color="auto"/>
        <w:left w:val="none" w:sz="0" w:space="0" w:color="auto"/>
        <w:bottom w:val="none" w:sz="0" w:space="0" w:color="auto"/>
        <w:right w:val="none" w:sz="0" w:space="0" w:color="auto"/>
      </w:divBdr>
    </w:div>
    <w:div w:id="1741750410">
      <w:bodyDiv w:val="1"/>
      <w:marLeft w:val="0"/>
      <w:marRight w:val="0"/>
      <w:marTop w:val="0"/>
      <w:marBottom w:val="0"/>
      <w:divBdr>
        <w:top w:val="none" w:sz="0" w:space="0" w:color="auto"/>
        <w:left w:val="none" w:sz="0" w:space="0" w:color="auto"/>
        <w:bottom w:val="none" w:sz="0" w:space="0" w:color="auto"/>
        <w:right w:val="none" w:sz="0" w:space="0" w:color="auto"/>
      </w:divBdr>
    </w:div>
    <w:div w:id="1742285638">
      <w:bodyDiv w:val="1"/>
      <w:marLeft w:val="0"/>
      <w:marRight w:val="0"/>
      <w:marTop w:val="0"/>
      <w:marBottom w:val="0"/>
      <w:divBdr>
        <w:top w:val="none" w:sz="0" w:space="0" w:color="auto"/>
        <w:left w:val="none" w:sz="0" w:space="0" w:color="auto"/>
        <w:bottom w:val="none" w:sz="0" w:space="0" w:color="auto"/>
        <w:right w:val="none" w:sz="0" w:space="0" w:color="auto"/>
      </w:divBdr>
    </w:div>
    <w:div w:id="1742872117">
      <w:bodyDiv w:val="1"/>
      <w:marLeft w:val="0"/>
      <w:marRight w:val="0"/>
      <w:marTop w:val="0"/>
      <w:marBottom w:val="0"/>
      <w:divBdr>
        <w:top w:val="none" w:sz="0" w:space="0" w:color="auto"/>
        <w:left w:val="none" w:sz="0" w:space="0" w:color="auto"/>
        <w:bottom w:val="none" w:sz="0" w:space="0" w:color="auto"/>
        <w:right w:val="none" w:sz="0" w:space="0" w:color="auto"/>
      </w:divBdr>
    </w:div>
    <w:div w:id="1743797546">
      <w:bodyDiv w:val="1"/>
      <w:marLeft w:val="0"/>
      <w:marRight w:val="0"/>
      <w:marTop w:val="0"/>
      <w:marBottom w:val="0"/>
      <w:divBdr>
        <w:top w:val="none" w:sz="0" w:space="0" w:color="auto"/>
        <w:left w:val="none" w:sz="0" w:space="0" w:color="auto"/>
        <w:bottom w:val="none" w:sz="0" w:space="0" w:color="auto"/>
        <w:right w:val="none" w:sz="0" w:space="0" w:color="auto"/>
      </w:divBdr>
    </w:div>
    <w:div w:id="1746679844">
      <w:bodyDiv w:val="1"/>
      <w:marLeft w:val="0"/>
      <w:marRight w:val="0"/>
      <w:marTop w:val="0"/>
      <w:marBottom w:val="0"/>
      <w:divBdr>
        <w:top w:val="none" w:sz="0" w:space="0" w:color="auto"/>
        <w:left w:val="none" w:sz="0" w:space="0" w:color="auto"/>
        <w:bottom w:val="none" w:sz="0" w:space="0" w:color="auto"/>
        <w:right w:val="none" w:sz="0" w:space="0" w:color="auto"/>
      </w:divBdr>
    </w:div>
    <w:div w:id="1746685814">
      <w:bodyDiv w:val="1"/>
      <w:marLeft w:val="0"/>
      <w:marRight w:val="0"/>
      <w:marTop w:val="0"/>
      <w:marBottom w:val="0"/>
      <w:divBdr>
        <w:top w:val="none" w:sz="0" w:space="0" w:color="auto"/>
        <w:left w:val="none" w:sz="0" w:space="0" w:color="auto"/>
        <w:bottom w:val="none" w:sz="0" w:space="0" w:color="auto"/>
        <w:right w:val="none" w:sz="0" w:space="0" w:color="auto"/>
      </w:divBdr>
    </w:div>
    <w:div w:id="1747990376">
      <w:bodyDiv w:val="1"/>
      <w:marLeft w:val="0"/>
      <w:marRight w:val="0"/>
      <w:marTop w:val="0"/>
      <w:marBottom w:val="0"/>
      <w:divBdr>
        <w:top w:val="none" w:sz="0" w:space="0" w:color="auto"/>
        <w:left w:val="none" w:sz="0" w:space="0" w:color="auto"/>
        <w:bottom w:val="none" w:sz="0" w:space="0" w:color="auto"/>
        <w:right w:val="none" w:sz="0" w:space="0" w:color="auto"/>
      </w:divBdr>
    </w:div>
    <w:div w:id="1749033445">
      <w:bodyDiv w:val="1"/>
      <w:marLeft w:val="0"/>
      <w:marRight w:val="0"/>
      <w:marTop w:val="0"/>
      <w:marBottom w:val="0"/>
      <w:divBdr>
        <w:top w:val="none" w:sz="0" w:space="0" w:color="auto"/>
        <w:left w:val="none" w:sz="0" w:space="0" w:color="auto"/>
        <w:bottom w:val="none" w:sz="0" w:space="0" w:color="auto"/>
        <w:right w:val="none" w:sz="0" w:space="0" w:color="auto"/>
      </w:divBdr>
    </w:div>
    <w:div w:id="1750031424">
      <w:bodyDiv w:val="1"/>
      <w:marLeft w:val="0"/>
      <w:marRight w:val="0"/>
      <w:marTop w:val="0"/>
      <w:marBottom w:val="0"/>
      <w:divBdr>
        <w:top w:val="none" w:sz="0" w:space="0" w:color="auto"/>
        <w:left w:val="none" w:sz="0" w:space="0" w:color="auto"/>
        <w:bottom w:val="none" w:sz="0" w:space="0" w:color="auto"/>
        <w:right w:val="none" w:sz="0" w:space="0" w:color="auto"/>
      </w:divBdr>
    </w:div>
    <w:div w:id="1753770279">
      <w:bodyDiv w:val="1"/>
      <w:marLeft w:val="0"/>
      <w:marRight w:val="0"/>
      <w:marTop w:val="0"/>
      <w:marBottom w:val="0"/>
      <w:divBdr>
        <w:top w:val="none" w:sz="0" w:space="0" w:color="auto"/>
        <w:left w:val="none" w:sz="0" w:space="0" w:color="auto"/>
        <w:bottom w:val="none" w:sz="0" w:space="0" w:color="auto"/>
        <w:right w:val="none" w:sz="0" w:space="0" w:color="auto"/>
      </w:divBdr>
    </w:div>
    <w:div w:id="1753968506">
      <w:bodyDiv w:val="1"/>
      <w:marLeft w:val="0"/>
      <w:marRight w:val="0"/>
      <w:marTop w:val="0"/>
      <w:marBottom w:val="0"/>
      <w:divBdr>
        <w:top w:val="none" w:sz="0" w:space="0" w:color="auto"/>
        <w:left w:val="none" w:sz="0" w:space="0" w:color="auto"/>
        <w:bottom w:val="none" w:sz="0" w:space="0" w:color="auto"/>
        <w:right w:val="none" w:sz="0" w:space="0" w:color="auto"/>
      </w:divBdr>
    </w:div>
    <w:div w:id="1754548839">
      <w:bodyDiv w:val="1"/>
      <w:marLeft w:val="0"/>
      <w:marRight w:val="0"/>
      <w:marTop w:val="0"/>
      <w:marBottom w:val="0"/>
      <w:divBdr>
        <w:top w:val="none" w:sz="0" w:space="0" w:color="auto"/>
        <w:left w:val="none" w:sz="0" w:space="0" w:color="auto"/>
        <w:bottom w:val="none" w:sz="0" w:space="0" w:color="auto"/>
        <w:right w:val="none" w:sz="0" w:space="0" w:color="auto"/>
      </w:divBdr>
    </w:div>
    <w:div w:id="1755279710">
      <w:bodyDiv w:val="1"/>
      <w:marLeft w:val="0"/>
      <w:marRight w:val="0"/>
      <w:marTop w:val="0"/>
      <w:marBottom w:val="0"/>
      <w:divBdr>
        <w:top w:val="none" w:sz="0" w:space="0" w:color="auto"/>
        <w:left w:val="none" w:sz="0" w:space="0" w:color="auto"/>
        <w:bottom w:val="none" w:sz="0" w:space="0" w:color="auto"/>
        <w:right w:val="none" w:sz="0" w:space="0" w:color="auto"/>
      </w:divBdr>
    </w:div>
    <w:div w:id="1757049512">
      <w:bodyDiv w:val="1"/>
      <w:marLeft w:val="0"/>
      <w:marRight w:val="0"/>
      <w:marTop w:val="0"/>
      <w:marBottom w:val="0"/>
      <w:divBdr>
        <w:top w:val="none" w:sz="0" w:space="0" w:color="auto"/>
        <w:left w:val="none" w:sz="0" w:space="0" w:color="auto"/>
        <w:bottom w:val="none" w:sz="0" w:space="0" w:color="auto"/>
        <w:right w:val="none" w:sz="0" w:space="0" w:color="auto"/>
      </w:divBdr>
    </w:div>
    <w:div w:id="1757356655">
      <w:bodyDiv w:val="1"/>
      <w:marLeft w:val="0"/>
      <w:marRight w:val="0"/>
      <w:marTop w:val="0"/>
      <w:marBottom w:val="0"/>
      <w:divBdr>
        <w:top w:val="none" w:sz="0" w:space="0" w:color="auto"/>
        <w:left w:val="none" w:sz="0" w:space="0" w:color="auto"/>
        <w:bottom w:val="none" w:sz="0" w:space="0" w:color="auto"/>
        <w:right w:val="none" w:sz="0" w:space="0" w:color="auto"/>
      </w:divBdr>
    </w:div>
    <w:div w:id="1758400141">
      <w:bodyDiv w:val="1"/>
      <w:marLeft w:val="0"/>
      <w:marRight w:val="0"/>
      <w:marTop w:val="0"/>
      <w:marBottom w:val="0"/>
      <w:divBdr>
        <w:top w:val="none" w:sz="0" w:space="0" w:color="auto"/>
        <w:left w:val="none" w:sz="0" w:space="0" w:color="auto"/>
        <w:bottom w:val="none" w:sz="0" w:space="0" w:color="auto"/>
        <w:right w:val="none" w:sz="0" w:space="0" w:color="auto"/>
      </w:divBdr>
    </w:div>
    <w:div w:id="1758597251">
      <w:bodyDiv w:val="1"/>
      <w:marLeft w:val="0"/>
      <w:marRight w:val="0"/>
      <w:marTop w:val="0"/>
      <w:marBottom w:val="0"/>
      <w:divBdr>
        <w:top w:val="none" w:sz="0" w:space="0" w:color="auto"/>
        <w:left w:val="none" w:sz="0" w:space="0" w:color="auto"/>
        <w:bottom w:val="none" w:sz="0" w:space="0" w:color="auto"/>
        <w:right w:val="none" w:sz="0" w:space="0" w:color="auto"/>
      </w:divBdr>
    </w:div>
    <w:div w:id="1760563975">
      <w:bodyDiv w:val="1"/>
      <w:marLeft w:val="0"/>
      <w:marRight w:val="0"/>
      <w:marTop w:val="0"/>
      <w:marBottom w:val="0"/>
      <w:divBdr>
        <w:top w:val="none" w:sz="0" w:space="0" w:color="auto"/>
        <w:left w:val="none" w:sz="0" w:space="0" w:color="auto"/>
        <w:bottom w:val="none" w:sz="0" w:space="0" w:color="auto"/>
        <w:right w:val="none" w:sz="0" w:space="0" w:color="auto"/>
      </w:divBdr>
    </w:div>
    <w:div w:id="1763061529">
      <w:bodyDiv w:val="1"/>
      <w:marLeft w:val="0"/>
      <w:marRight w:val="0"/>
      <w:marTop w:val="0"/>
      <w:marBottom w:val="0"/>
      <w:divBdr>
        <w:top w:val="none" w:sz="0" w:space="0" w:color="auto"/>
        <w:left w:val="none" w:sz="0" w:space="0" w:color="auto"/>
        <w:bottom w:val="none" w:sz="0" w:space="0" w:color="auto"/>
        <w:right w:val="none" w:sz="0" w:space="0" w:color="auto"/>
      </w:divBdr>
    </w:div>
    <w:div w:id="1765805670">
      <w:bodyDiv w:val="1"/>
      <w:marLeft w:val="0"/>
      <w:marRight w:val="0"/>
      <w:marTop w:val="0"/>
      <w:marBottom w:val="0"/>
      <w:divBdr>
        <w:top w:val="none" w:sz="0" w:space="0" w:color="auto"/>
        <w:left w:val="none" w:sz="0" w:space="0" w:color="auto"/>
        <w:bottom w:val="none" w:sz="0" w:space="0" w:color="auto"/>
        <w:right w:val="none" w:sz="0" w:space="0" w:color="auto"/>
      </w:divBdr>
    </w:div>
    <w:div w:id="1766998048">
      <w:bodyDiv w:val="1"/>
      <w:marLeft w:val="0"/>
      <w:marRight w:val="0"/>
      <w:marTop w:val="0"/>
      <w:marBottom w:val="0"/>
      <w:divBdr>
        <w:top w:val="none" w:sz="0" w:space="0" w:color="auto"/>
        <w:left w:val="none" w:sz="0" w:space="0" w:color="auto"/>
        <w:bottom w:val="none" w:sz="0" w:space="0" w:color="auto"/>
        <w:right w:val="none" w:sz="0" w:space="0" w:color="auto"/>
      </w:divBdr>
    </w:div>
    <w:div w:id="1769502344">
      <w:bodyDiv w:val="1"/>
      <w:marLeft w:val="0"/>
      <w:marRight w:val="0"/>
      <w:marTop w:val="0"/>
      <w:marBottom w:val="0"/>
      <w:divBdr>
        <w:top w:val="none" w:sz="0" w:space="0" w:color="auto"/>
        <w:left w:val="none" w:sz="0" w:space="0" w:color="auto"/>
        <w:bottom w:val="none" w:sz="0" w:space="0" w:color="auto"/>
        <w:right w:val="none" w:sz="0" w:space="0" w:color="auto"/>
      </w:divBdr>
    </w:div>
    <w:div w:id="1769886262">
      <w:bodyDiv w:val="1"/>
      <w:marLeft w:val="0"/>
      <w:marRight w:val="0"/>
      <w:marTop w:val="0"/>
      <w:marBottom w:val="0"/>
      <w:divBdr>
        <w:top w:val="none" w:sz="0" w:space="0" w:color="auto"/>
        <w:left w:val="none" w:sz="0" w:space="0" w:color="auto"/>
        <w:bottom w:val="none" w:sz="0" w:space="0" w:color="auto"/>
        <w:right w:val="none" w:sz="0" w:space="0" w:color="auto"/>
      </w:divBdr>
    </w:div>
    <w:div w:id="1770615994">
      <w:bodyDiv w:val="1"/>
      <w:marLeft w:val="0"/>
      <w:marRight w:val="0"/>
      <w:marTop w:val="0"/>
      <w:marBottom w:val="0"/>
      <w:divBdr>
        <w:top w:val="none" w:sz="0" w:space="0" w:color="auto"/>
        <w:left w:val="none" w:sz="0" w:space="0" w:color="auto"/>
        <w:bottom w:val="none" w:sz="0" w:space="0" w:color="auto"/>
        <w:right w:val="none" w:sz="0" w:space="0" w:color="auto"/>
      </w:divBdr>
    </w:div>
    <w:div w:id="1771504453">
      <w:bodyDiv w:val="1"/>
      <w:marLeft w:val="0"/>
      <w:marRight w:val="0"/>
      <w:marTop w:val="0"/>
      <w:marBottom w:val="0"/>
      <w:divBdr>
        <w:top w:val="none" w:sz="0" w:space="0" w:color="auto"/>
        <w:left w:val="none" w:sz="0" w:space="0" w:color="auto"/>
        <w:bottom w:val="none" w:sz="0" w:space="0" w:color="auto"/>
        <w:right w:val="none" w:sz="0" w:space="0" w:color="auto"/>
      </w:divBdr>
    </w:div>
    <w:div w:id="1773817303">
      <w:bodyDiv w:val="1"/>
      <w:marLeft w:val="0"/>
      <w:marRight w:val="0"/>
      <w:marTop w:val="0"/>
      <w:marBottom w:val="0"/>
      <w:divBdr>
        <w:top w:val="none" w:sz="0" w:space="0" w:color="auto"/>
        <w:left w:val="none" w:sz="0" w:space="0" w:color="auto"/>
        <w:bottom w:val="none" w:sz="0" w:space="0" w:color="auto"/>
        <w:right w:val="none" w:sz="0" w:space="0" w:color="auto"/>
      </w:divBdr>
    </w:div>
    <w:div w:id="1775857464">
      <w:bodyDiv w:val="1"/>
      <w:marLeft w:val="0"/>
      <w:marRight w:val="0"/>
      <w:marTop w:val="0"/>
      <w:marBottom w:val="0"/>
      <w:divBdr>
        <w:top w:val="none" w:sz="0" w:space="0" w:color="auto"/>
        <w:left w:val="none" w:sz="0" w:space="0" w:color="auto"/>
        <w:bottom w:val="none" w:sz="0" w:space="0" w:color="auto"/>
        <w:right w:val="none" w:sz="0" w:space="0" w:color="auto"/>
      </w:divBdr>
    </w:div>
    <w:div w:id="1775901447">
      <w:bodyDiv w:val="1"/>
      <w:marLeft w:val="0"/>
      <w:marRight w:val="0"/>
      <w:marTop w:val="0"/>
      <w:marBottom w:val="0"/>
      <w:divBdr>
        <w:top w:val="none" w:sz="0" w:space="0" w:color="auto"/>
        <w:left w:val="none" w:sz="0" w:space="0" w:color="auto"/>
        <w:bottom w:val="none" w:sz="0" w:space="0" w:color="auto"/>
        <w:right w:val="none" w:sz="0" w:space="0" w:color="auto"/>
      </w:divBdr>
    </w:div>
    <w:div w:id="1776754001">
      <w:bodyDiv w:val="1"/>
      <w:marLeft w:val="0"/>
      <w:marRight w:val="0"/>
      <w:marTop w:val="0"/>
      <w:marBottom w:val="0"/>
      <w:divBdr>
        <w:top w:val="none" w:sz="0" w:space="0" w:color="auto"/>
        <w:left w:val="none" w:sz="0" w:space="0" w:color="auto"/>
        <w:bottom w:val="none" w:sz="0" w:space="0" w:color="auto"/>
        <w:right w:val="none" w:sz="0" w:space="0" w:color="auto"/>
      </w:divBdr>
    </w:div>
    <w:div w:id="1778058637">
      <w:bodyDiv w:val="1"/>
      <w:marLeft w:val="0"/>
      <w:marRight w:val="0"/>
      <w:marTop w:val="0"/>
      <w:marBottom w:val="0"/>
      <w:divBdr>
        <w:top w:val="none" w:sz="0" w:space="0" w:color="auto"/>
        <w:left w:val="none" w:sz="0" w:space="0" w:color="auto"/>
        <w:bottom w:val="none" w:sz="0" w:space="0" w:color="auto"/>
        <w:right w:val="none" w:sz="0" w:space="0" w:color="auto"/>
      </w:divBdr>
    </w:div>
    <w:div w:id="1778256768">
      <w:bodyDiv w:val="1"/>
      <w:marLeft w:val="0"/>
      <w:marRight w:val="0"/>
      <w:marTop w:val="0"/>
      <w:marBottom w:val="0"/>
      <w:divBdr>
        <w:top w:val="none" w:sz="0" w:space="0" w:color="auto"/>
        <w:left w:val="none" w:sz="0" w:space="0" w:color="auto"/>
        <w:bottom w:val="none" w:sz="0" w:space="0" w:color="auto"/>
        <w:right w:val="none" w:sz="0" w:space="0" w:color="auto"/>
      </w:divBdr>
    </w:div>
    <w:div w:id="1779180735">
      <w:bodyDiv w:val="1"/>
      <w:marLeft w:val="0"/>
      <w:marRight w:val="0"/>
      <w:marTop w:val="0"/>
      <w:marBottom w:val="0"/>
      <w:divBdr>
        <w:top w:val="none" w:sz="0" w:space="0" w:color="auto"/>
        <w:left w:val="none" w:sz="0" w:space="0" w:color="auto"/>
        <w:bottom w:val="none" w:sz="0" w:space="0" w:color="auto"/>
        <w:right w:val="none" w:sz="0" w:space="0" w:color="auto"/>
      </w:divBdr>
    </w:div>
    <w:div w:id="1779908643">
      <w:bodyDiv w:val="1"/>
      <w:marLeft w:val="0"/>
      <w:marRight w:val="0"/>
      <w:marTop w:val="0"/>
      <w:marBottom w:val="0"/>
      <w:divBdr>
        <w:top w:val="none" w:sz="0" w:space="0" w:color="auto"/>
        <w:left w:val="none" w:sz="0" w:space="0" w:color="auto"/>
        <w:bottom w:val="none" w:sz="0" w:space="0" w:color="auto"/>
        <w:right w:val="none" w:sz="0" w:space="0" w:color="auto"/>
      </w:divBdr>
    </w:div>
    <w:div w:id="1783527305">
      <w:bodyDiv w:val="1"/>
      <w:marLeft w:val="0"/>
      <w:marRight w:val="0"/>
      <w:marTop w:val="0"/>
      <w:marBottom w:val="0"/>
      <w:divBdr>
        <w:top w:val="none" w:sz="0" w:space="0" w:color="auto"/>
        <w:left w:val="none" w:sz="0" w:space="0" w:color="auto"/>
        <w:bottom w:val="none" w:sz="0" w:space="0" w:color="auto"/>
        <w:right w:val="none" w:sz="0" w:space="0" w:color="auto"/>
      </w:divBdr>
    </w:div>
    <w:div w:id="1784105784">
      <w:bodyDiv w:val="1"/>
      <w:marLeft w:val="0"/>
      <w:marRight w:val="0"/>
      <w:marTop w:val="0"/>
      <w:marBottom w:val="0"/>
      <w:divBdr>
        <w:top w:val="none" w:sz="0" w:space="0" w:color="auto"/>
        <w:left w:val="none" w:sz="0" w:space="0" w:color="auto"/>
        <w:bottom w:val="none" w:sz="0" w:space="0" w:color="auto"/>
        <w:right w:val="none" w:sz="0" w:space="0" w:color="auto"/>
      </w:divBdr>
    </w:div>
    <w:div w:id="1784494326">
      <w:bodyDiv w:val="1"/>
      <w:marLeft w:val="0"/>
      <w:marRight w:val="0"/>
      <w:marTop w:val="0"/>
      <w:marBottom w:val="0"/>
      <w:divBdr>
        <w:top w:val="none" w:sz="0" w:space="0" w:color="auto"/>
        <w:left w:val="none" w:sz="0" w:space="0" w:color="auto"/>
        <w:bottom w:val="none" w:sz="0" w:space="0" w:color="auto"/>
        <w:right w:val="none" w:sz="0" w:space="0" w:color="auto"/>
      </w:divBdr>
    </w:div>
    <w:div w:id="1784689164">
      <w:bodyDiv w:val="1"/>
      <w:marLeft w:val="0"/>
      <w:marRight w:val="0"/>
      <w:marTop w:val="0"/>
      <w:marBottom w:val="0"/>
      <w:divBdr>
        <w:top w:val="none" w:sz="0" w:space="0" w:color="auto"/>
        <w:left w:val="none" w:sz="0" w:space="0" w:color="auto"/>
        <w:bottom w:val="none" w:sz="0" w:space="0" w:color="auto"/>
        <w:right w:val="none" w:sz="0" w:space="0" w:color="auto"/>
      </w:divBdr>
    </w:div>
    <w:div w:id="1786843725">
      <w:bodyDiv w:val="1"/>
      <w:marLeft w:val="0"/>
      <w:marRight w:val="0"/>
      <w:marTop w:val="0"/>
      <w:marBottom w:val="0"/>
      <w:divBdr>
        <w:top w:val="none" w:sz="0" w:space="0" w:color="auto"/>
        <w:left w:val="none" w:sz="0" w:space="0" w:color="auto"/>
        <w:bottom w:val="none" w:sz="0" w:space="0" w:color="auto"/>
        <w:right w:val="none" w:sz="0" w:space="0" w:color="auto"/>
      </w:divBdr>
    </w:div>
    <w:div w:id="1789465148">
      <w:bodyDiv w:val="1"/>
      <w:marLeft w:val="0"/>
      <w:marRight w:val="0"/>
      <w:marTop w:val="0"/>
      <w:marBottom w:val="0"/>
      <w:divBdr>
        <w:top w:val="none" w:sz="0" w:space="0" w:color="auto"/>
        <w:left w:val="none" w:sz="0" w:space="0" w:color="auto"/>
        <w:bottom w:val="none" w:sz="0" w:space="0" w:color="auto"/>
        <w:right w:val="none" w:sz="0" w:space="0" w:color="auto"/>
      </w:divBdr>
    </w:div>
    <w:div w:id="1790391253">
      <w:bodyDiv w:val="1"/>
      <w:marLeft w:val="0"/>
      <w:marRight w:val="0"/>
      <w:marTop w:val="0"/>
      <w:marBottom w:val="0"/>
      <w:divBdr>
        <w:top w:val="none" w:sz="0" w:space="0" w:color="auto"/>
        <w:left w:val="none" w:sz="0" w:space="0" w:color="auto"/>
        <w:bottom w:val="none" w:sz="0" w:space="0" w:color="auto"/>
        <w:right w:val="none" w:sz="0" w:space="0" w:color="auto"/>
      </w:divBdr>
    </w:div>
    <w:div w:id="1797142368">
      <w:bodyDiv w:val="1"/>
      <w:marLeft w:val="0"/>
      <w:marRight w:val="0"/>
      <w:marTop w:val="0"/>
      <w:marBottom w:val="0"/>
      <w:divBdr>
        <w:top w:val="none" w:sz="0" w:space="0" w:color="auto"/>
        <w:left w:val="none" w:sz="0" w:space="0" w:color="auto"/>
        <w:bottom w:val="none" w:sz="0" w:space="0" w:color="auto"/>
        <w:right w:val="none" w:sz="0" w:space="0" w:color="auto"/>
      </w:divBdr>
    </w:div>
    <w:div w:id="1798449888">
      <w:bodyDiv w:val="1"/>
      <w:marLeft w:val="0"/>
      <w:marRight w:val="0"/>
      <w:marTop w:val="0"/>
      <w:marBottom w:val="0"/>
      <w:divBdr>
        <w:top w:val="none" w:sz="0" w:space="0" w:color="auto"/>
        <w:left w:val="none" w:sz="0" w:space="0" w:color="auto"/>
        <w:bottom w:val="none" w:sz="0" w:space="0" w:color="auto"/>
        <w:right w:val="none" w:sz="0" w:space="0" w:color="auto"/>
      </w:divBdr>
    </w:div>
    <w:div w:id="1799257668">
      <w:bodyDiv w:val="1"/>
      <w:marLeft w:val="0"/>
      <w:marRight w:val="0"/>
      <w:marTop w:val="0"/>
      <w:marBottom w:val="0"/>
      <w:divBdr>
        <w:top w:val="none" w:sz="0" w:space="0" w:color="auto"/>
        <w:left w:val="none" w:sz="0" w:space="0" w:color="auto"/>
        <w:bottom w:val="none" w:sz="0" w:space="0" w:color="auto"/>
        <w:right w:val="none" w:sz="0" w:space="0" w:color="auto"/>
      </w:divBdr>
    </w:div>
    <w:div w:id="1802577533">
      <w:bodyDiv w:val="1"/>
      <w:marLeft w:val="0"/>
      <w:marRight w:val="0"/>
      <w:marTop w:val="0"/>
      <w:marBottom w:val="0"/>
      <w:divBdr>
        <w:top w:val="none" w:sz="0" w:space="0" w:color="auto"/>
        <w:left w:val="none" w:sz="0" w:space="0" w:color="auto"/>
        <w:bottom w:val="none" w:sz="0" w:space="0" w:color="auto"/>
        <w:right w:val="none" w:sz="0" w:space="0" w:color="auto"/>
      </w:divBdr>
    </w:div>
    <w:div w:id="1804082051">
      <w:bodyDiv w:val="1"/>
      <w:marLeft w:val="0"/>
      <w:marRight w:val="0"/>
      <w:marTop w:val="0"/>
      <w:marBottom w:val="0"/>
      <w:divBdr>
        <w:top w:val="none" w:sz="0" w:space="0" w:color="auto"/>
        <w:left w:val="none" w:sz="0" w:space="0" w:color="auto"/>
        <w:bottom w:val="none" w:sz="0" w:space="0" w:color="auto"/>
        <w:right w:val="none" w:sz="0" w:space="0" w:color="auto"/>
      </w:divBdr>
    </w:div>
    <w:div w:id="1804498801">
      <w:bodyDiv w:val="1"/>
      <w:marLeft w:val="0"/>
      <w:marRight w:val="0"/>
      <w:marTop w:val="0"/>
      <w:marBottom w:val="0"/>
      <w:divBdr>
        <w:top w:val="none" w:sz="0" w:space="0" w:color="auto"/>
        <w:left w:val="none" w:sz="0" w:space="0" w:color="auto"/>
        <w:bottom w:val="none" w:sz="0" w:space="0" w:color="auto"/>
        <w:right w:val="none" w:sz="0" w:space="0" w:color="auto"/>
      </w:divBdr>
    </w:div>
    <w:div w:id="1806048942">
      <w:bodyDiv w:val="1"/>
      <w:marLeft w:val="0"/>
      <w:marRight w:val="0"/>
      <w:marTop w:val="0"/>
      <w:marBottom w:val="0"/>
      <w:divBdr>
        <w:top w:val="none" w:sz="0" w:space="0" w:color="auto"/>
        <w:left w:val="none" w:sz="0" w:space="0" w:color="auto"/>
        <w:bottom w:val="none" w:sz="0" w:space="0" w:color="auto"/>
        <w:right w:val="none" w:sz="0" w:space="0" w:color="auto"/>
      </w:divBdr>
    </w:div>
    <w:div w:id="1808938450">
      <w:bodyDiv w:val="1"/>
      <w:marLeft w:val="0"/>
      <w:marRight w:val="0"/>
      <w:marTop w:val="0"/>
      <w:marBottom w:val="0"/>
      <w:divBdr>
        <w:top w:val="none" w:sz="0" w:space="0" w:color="auto"/>
        <w:left w:val="none" w:sz="0" w:space="0" w:color="auto"/>
        <w:bottom w:val="none" w:sz="0" w:space="0" w:color="auto"/>
        <w:right w:val="none" w:sz="0" w:space="0" w:color="auto"/>
      </w:divBdr>
    </w:div>
    <w:div w:id="1809857001">
      <w:bodyDiv w:val="1"/>
      <w:marLeft w:val="0"/>
      <w:marRight w:val="0"/>
      <w:marTop w:val="0"/>
      <w:marBottom w:val="0"/>
      <w:divBdr>
        <w:top w:val="none" w:sz="0" w:space="0" w:color="auto"/>
        <w:left w:val="none" w:sz="0" w:space="0" w:color="auto"/>
        <w:bottom w:val="none" w:sz="0" w:space="0" w:color="auto"/>
        <w:right w:val="none" w:sz="0" w:space="0" w:color="auto"/>
      </w:divBdr>
    </w:div>
    <w:div w:id="1809930644">
      <w:bodyDiv w:val="1"/>
      <w:marLeft w:val="0"/>
      <w:marRight w:val="0"/>
      <w:marTop w:val="0"/>
      <w:marBottom w:val="0"/>
      <w:divBdr>
        <w:top w:val="none" w:sz="0" w:space="0" w:color="auto"/>
        <w:left w:val="none" w:sz="0" w:space="0" w:color="auto"/>
        <w:bottom w:val="none" w:sz="0" w:space="0" w:color="auto"/>
        <w:right w:val="none" w:sz="0" w:space="0" w:color="auto"/>
      </w:divBdr>
    </w:div>
    <w:div w:id="1814445965">
      <w:bodyDiv w:val="1"/>
      <w:marLeft w:val="0"/>
      <w:marRight w:val="0"/>
      <w:marTop w:val="0"/>
      <w:marBottom w:val="0"/>
      <w:divBdr>
        <w:top w:val="none" w:sz="0" w:space="0" w:color="auto"/>
        <w:left w:val="none" w:sz="0" w:space="0" w:color="auto"/>
        <w:bottom w:val="none" w:sz="0" w:space="0" w:color="auto"/>
        <w:right w:val="none" w:sz="0" w:space="0" w:color="auto"/>
      </w:divBdr>
    </w:div>
    <w:div w:id="1814978799">
      <w:bodyDiv w:val="1"/>
      <w:marLeft w:val="0"/>
      <w:marRight w:val="0"/>
      <w:marTop w:val="0"/>
      <w:marBottom w:val="0"/>
      <w:divBdr>
        <w:top w:val="none" w:sz="0" w:space="0" w:color="auto"/>
        <w:left w:val="none" w:sz="0" w:space="0" w:color="auto"/>
        <w:bottom w:val="none" w:sz="0" w:space="0" w:color="auto"/>
        <w:right w:val="none" w:sz="0" w:space="0" w:color="auto"/>
      </w:divBdr>
    </w:div>
    <w:div w:id="1817798516">
      <w:bodyDiv w:val="1"/>
      <w:marLeft w:val="0"/>
      <w:marRight w:val="0"/>
      <w:marTop w:val="0"/>
      <w:marBottom w:val="0"/>
      <w:divBdr>
        <w:top w:val="none" w:sz="0" w:space="0" w:color="auto"/>
        <w:left w:val="none" w:sz="0" w:space="0" w:color="auto"/>
        <w:bottom w:val="none" w:sz="0" w:space="0" w:color="auto"/>
        <w:right w:val="none" w:sz="0" w:space="0" w:color="auto"/>
      </w:divBdr>
    </w:div>
    <w:div w:id="1817918005">
      <w:bodyDiv w:val="1"/>
      <w:marLeft w:val="0"/>
      <w:marRight w:val="0"/>
      <w:marTop w:val="0"/>
      <w:marBottom w:val="0"/>
      <w:divBdr>
        <w:top w:val="none" w:sz="0" w:space="0" w:color="auto"/>
        <w:left w:val="none" w:sz="0" w:space="0" w:color="auto"/>
        <w:bottom w:val="none" w:sz="0" w:space="0" w:color="auto"/>
        <w:right w:val="none" w:sz="0" w:space="0" w:color="auto"/>
      </w:divBdr>
    </w:div>
    <w:div w:id="1819809402">
      <w:bodyDiv w:val="1"/>
      <w:marLeft w:val="0"/>
      <w:marRight w:val="0"/>
      <w:marTop w:val="0"/>
      <w:marBottom w:val="0"/>
      <w:divBdr>
        <w:top w:val="none" w:sz="0" w:space="0" w:color="auto"/>
        <w:left w:val="none" w:sz="0" w:space="0" w:color="auto"/>
        <w:bottom w:val="none" w:sz="0" w:space="0" w:color="auto"/>
        <w:right w:val="none" w:sz="0" w:space="0" w:color="auto"/>
      </w:divBdr>
    </w:div>
    <w:div w:id="1820070714">
      <w:bodyDiv w:val="1"/>
      <w:marLeft w:val="0"/>
      <w:marRight w:val="0"/>
      <w:marTop w:val="0"/>
      <w:marBottom w:val="0"/>
      <w:divBdr>
        <w:top w:val="none" w:sz="0" w:space="0" w:color="auto"/>
        <w:left w:val="none" w:sz="0" w:space="0" w:color="auto"/>
        <w:bottom w:val="none" w:sz="0" w:space="0" w:color="auto"/>
        <w:right w:val="none" w:sz="0" w:space="0" w:color="auto"/>
      </w:divBdr>
    </w:div>
    <w:div w:id="1822427309">
      <w:bodyDiv w:val="1"/>
      <w:marLeft w:val="0"/>
      <w:marRight w:val="0"/>
      <w:marTop w:val="0"/>
      <w:marBottom w:val="0"/>
      <w:divBdr>
        <w:top w:val="none" w:sz="0" w:space="0" w:color="auto"/>
        <w:left w:val="none" w:sz="0" w:space="0" w:color="auto"/>
        <w:bottom w:val="none" w:sz="0" w:space="0" w:color="auto"/>
        <w:right w:val="none" w:sz="0" w:space="0" w:color="auto"/>
      </w:divBdr>
    </w:div>
    <w:div w:id="1824658676">
      <w:bodyDiv w:val="1"/>
      <w:marLeft w:val="0"/>
      <w:marRight w:val="0"/>
      <w:marTop w:val="0"/>
      <w:marBottom w:val="0"/>
      <w:divBdr>
        <w:top w:val="none" w:sz="0" w:space="0" w:color="auto"/>
        <w:left w:val="none" w:sz="0" w:space="0" w:color="auto"/>
        <w:bottom w:val="none" w:sz="0" w:space="0" w:color="auto"/>
        <w:right w:val="none" w:sz="0" w:space="0" w:color="auto"/>
      </w:divBdr>
    </w:div>
    <w:div w:id="1826161907">
      <w:bodyDiv w:val="1"/>
      <w:marLeft w:val="0"/>
      <w:marRight w:val="0"/>
      <w:marTop w:val="0"/>
      <w:marBottom w:val="0"/>
      <w:divBdr>
        <w:top w:val="none" w:sz="0" w:space="0" w:color="auto"/>
        <w:left w:val="none" w:sz="0" w:space="0" w:color="auto"/>
        <w:bottom w:val="none" w:sz="0" w:space="0" w:color="auto"/>
        <w:right w:val="none" w:sz="0" w:space="0" w:color="auto"/>
      </w:divBdr>
    </w:div>
    <w:div w:id="1826630297">
      <w:bodyDiv w:val="1"/>
      <w:marLeft w:val="0"/>
      <w:marRight w:val="0"/>
      <w:marTop w:val="0"/>
      <w:marBottom w:val="0"/>
      <w:divBdr>
        <w:top w:val="none" w:sz="0" w:space="0" w:color="auto"/>
        <w:left w:val="none" w:sz="0" w:space="0" w:color="auto"/>
        <w:bottom w:val="none" w:sz="0" w:space="0" w:color="auto"/>
        <w:right w:val="none" w:sz="0" w:space="0" w:color="auto"/>
      </w:divBdr>
    </w:div>
    <w:div w:id="1828782511">
      <w:bodyDiv w:val="1"/>
      <w:marLeft w:val="0"/>
      <w:marRight w:val="0"/>
      <w:marTop w:val="0"/>
      <w:marBottom w:val="0"/>
      <w:divBdr>
        <w:top w:val="none" w:sz="0" w:space="0" w:color="auto"/>
        <w:left w:val="none" w:sz="0" w:space="0" w:color="auto"/>
        <w:bottom w:val="none" w:sz="0" w:space="0" w:color="auto"/>
        <w:right w:val="none" w:sz="0" w:space="0" w:color="auto"/>
      </w:divBdr>
    </w:div>
    <w:div w:id="1829979572">
      <w:bodyDiv w:val="1"/>
      <w:marLeft w:val="0"/>
      <w:marRight w:val="0"/>
      <w:marTop w:val="0"/>
      <w:marBottom w:val="0"/>
      <w:divBdr>
        <w:top w:val="none" w:sz="0" w:space="0" w:color="auto"/>
        <w:left w:val="none" w:sz="0" w:space="0" w:color="auto"/>
        <w:bottom w:val="none" w:sz="0" w:space="0" w:color="auto"/>
        <w:right w:val="none" w:sz="0" w:space="0" w:color="auto"/>
      </w:divBdr>
    </w:div>
    <w:div w:id="1830828989">
      <w:bodyDiv w:val="1"/>
      <w:marLeft w:val="0"/>
      <w:marRight w:val="0"/>
      <w:marTop w:val="0"/>
      <w:marBottom w:val="0"/>
      <w:divBdr>
        <w:top w:val="none" w:sz="0" w:space="0" w:color="auto"/>
        <w:left w:val="none" w:sz="0" w:space="0" w:color="auto"/>
        <w:bottom w:val="none" w:sz="0" w:space="0" w:color="auto"/>
        <w:right w:val="none" w:sz="0" w:space="0" w:color="auto"/>
      </w:divBdr>
    </w:div>
    <w:div w:id="1831752700">
      <w:bodyDiv w:val="1"/>
      <w:marLeft w:val="0"/>
      <w:marRight w:val="0"/>
      <w:marTop w:val="0"/>
      <w:marBottom w:val="0"/>
      <w:divBdr>
        <w:top w:val="none" w:sz="0" w:space="0" w:color="auto"/>
        <w:left w:val="none" w:sz="0" w:space="0" w:color="auto"/>
        <w:bottom w:val="none" w:sz="0" w:space="0" w:color="auto"/>
        <w:right w:val="none" w:sz="0" w:space="0" w:color="auto"/>
      </w:divBdr>
    </w:div>
    <w:div w:id="1832453241">
      <w:bodyDiv w:val="1"/>
      <w:marLeft w:val="0"/>
      <w:marRight w:val="0"/>
      <w:marTop w:val="0"/>
      <w:marBottom w:val="0"/>
      <w:divBdr>
        <w:top w:val="none" w:sz="0" w:space="0" w:color="auto"/>
        <w:left w:val="none" w:sz="0" w:space="0" w:color="auto"/>
        <w:bottom w:val="none" w:sz="0" w:space="0" w:color="auto"/>
        <w:right w:val="none" w:sz="0" w:space="0" w:color="auto"/>
      </w:divBdr>
    </w:div>
    <w:div w:id="1833911909">
      <w:bodyDiv w:val="1"/>
      <w:marLeft w:val="0"/>
      <w:marRight w:val="0"/>
      <w:marTop w:val="0"/>
      <w:marBottom w:val="0"/>
      <w:divBdr>
        <w:top w:val="none" w:sz="0" w:space="0" w:color="auto"/>
        <w:left w:val="none" w:sz="0" w:space="0" w:color="auto"/>
        <w:bottom w:val="none" w:sz="0" w:space="0" w:color="auto"/>
        <w:right w:val="none" w:sz="0" w:space="0" w:color="auto"/>
      </w:divBdr>
    </w:div>
    <w:div w:id="1835102565">
      <w:bodyDiv w:val="1"/>
      <w:marLeft w:val="0"/>
      <w:marRight w:val="0"/>
      <w:marTop w:val="0"/>
      <w:marBottom w:val="0"/>
      <w:divBdr>
        <w:top w:val="none" w:sz="0" w:space="0" w:color="auto"/>
        <w:left w:val="none" w:sz="0" w:space="0" w:color="auto"/>
        <w:bottom w:val="none" w:sz="0" w:space="0" w:color="auto"/>
        <w:right w:val="none" w:sz="0" w:space="0" w:color="auto"/>
      </w:divBdr>
    </w:div>
    <w:div w:id="1835488034">
      <w:bodyDiv w:val="1"/>
      <w:marLeft w:val="0"/>
      <w:marRight w:val="0"/>
      <w:marTop w:val="0"/>
      <w:marBottom w:val="0"/>
      <w:divBdr>
        <w:top w:val="none" w:sz="0" w:space="0" w:color="auto"/>
        <w:left w:val="none" w:sz="0" w:space="0" w:color="auto"/>
        <w:bottom w:val="none" w:sz="0" w:space="0" w:color="auto"/>
        <w:right w:val="none" w:sz="0" w:space="0" w:color="auto"/>
      </w:divBdr>
    </w:div>
    <w:div w:id="1837113740">
      <w:bodyDiv w:val="1"/>
      <w:marLeft w:val="0"/>
      <w:marRight w:val="0"/>
      <w:marTop w:val="0"/>
      <w:marBottom w:val="0"/>
      <w:divBdr>
        <w:top w:val="none" w:sz="0" w:space="0" w:color="auto"/>
        <w:left w:val="none" w:sz="0" w:space="0" w:color="auto"/>
        <w:bottom w:val="none" w:sz="0" w:space="0" w:color="auto"/>
        <w:right w:val="none" w:sz="0" w:space="0" w:color="auto"/>
      </w:divBdr>
    </w:div>
    <w:div w:id="1838417544">
      <w:bodyDiv w:val="1"/>
      <w:marLeft w:val="0"/>
      <w:marRight w:val="0"/>
      <w:marTop w:val="0"/>
      <w:marBottom w:val="0"/>
      <w:divBdr>
        <w:top w:val="none" w:sz="0" w:space="0" w:color="auto"/>
        <w:left w:val="none" w:sz="0" w:space="0" w:color="auto"/>
        <w:bottom w:val="none" w:sz="0" w:space="0" w:color="auto"/>
        <w:right w:val="none" w:sz="0" w:space="0" w:color="auto"/>
      </w:divBdr>
    </w:div>
    <w:div w:id="1838687302">
      <w:bodyDiv w:val="1"/>
      <w:marLeft w:val="0"/>
      <w:marRight w:val="0"/>
      <w:marTop w:val="0"/>
      <w:marBottom w:val="0"/>
      <w:divBdr>
        <w:top w:val="none" w:sz="0" w:space="0" w:color="auto"/>
        <w:left w:val="none" w:sz="0" w:space="0" w:color="auto"/>
        <w:bottom w:val="none" w:sz="0" w:space="0" w:color="auto"/>
        <w:right w:val="none" w:sz="0" w:space="0" w:color="auto"/>
      </w:divBdr>
    </w:div>
    <w:div w:id="1839228180">
      <w:bodyDiv w:val="1"/>
      <w:marLeft w:val="0"/>
      <w:marRight w:val="0"/>
      <w:marTop w:val="0"/>
      <w:marBottom w:val="0"/>
      <w:divBdr>
        <w:top w:val="none" w:sz="0" w:space="0" w:color="auto"/>
        <w:left w:val="none" w:sz="0" w:space="0" w:color="auto"/>
        <w:bottom w:val="none" w:sz="0" w:space="0" w:color="auto"/>
        <w:right w:val="none" w:sz="0" w:space="0" w:color="auto"/>
      </w:divBdr>
    </w:div>
    <w:div w:id="1839421332">
      <w:bodyDiv w:val="1"/>
      <w:marLeft w:val="0"/>
      <w:marRight w:val="0"/>
      <w:marTop w:val="0"/>
      <w:marBottom w:val="0"/>
      <w:divBdr>
        <w:top w:val="none" w:sz="0" w:space="0" w:color="auto"/>
        <w:left w:val="none" w:sz="0" w:space="0" w:color="auto"/>
        <w:bottom w:val="none" w:sz="0" w:space="0" w:color="auto"/>
        <w:right w:val="none" w:sz="0" w:space="0" w:color="auto"/>
      </w:divBdr>
    </w:div>
    <w:div w:id="1840465194">
      <w:bodyDiv w:val="1"/>
      <w:marLeft w:val="0"/>
      <w:marRight w:val="0"/>
      <w:marTop w:val="0"/>
      <w:marBottom w:val="0"/>
      <w:divBdr>
        <w:top w:val="none" w:sz="0" w:space="0" w:color="auto"/>
        <w:left w:val="none" w:sz="0" w:space="0" w:color="auto"/>
        <w:bottom w:val="none" w:sz="0" w:space="0" w:color="auto"/>
        <w:right w:val="none" w:sz="0" w:space="0" w:color="auto"/>
      </w:divBdr>
    </w:div>
    <w:div w:id="1844129140">
      <w:bodyDiv w:val="1"/>
      <w:marLeft w:val="0"/>
      <w:marRight w:val="0"/>
      <w:marTop w:val="0"/>
      <w:marBottom w:val="0"/>
      <w:divBdr>
        <w:top w:val="none" w:sz="0" w:space="0" w:color="auto"/>
        <w:left w:val="none" w:sz="0" w:space="0" w:color="auto"/>
        <w:bottom w:val="none" w:sz="0" w:space="0" w:color="auto"/>
        <w:right w:val="none" w:sz="0" w:space="0" w:color="auto"/>
      </w:divBdr>
    </w:div>
    <w:div w:id="1845393080">
      <w:bodyDiv w:val="1"/>
      <w:marLeft w:val="0"/>
      <w:marRight w:val="0"/>
      <w:marTop w:val="0"/>
      <w:marBottom w:val="0"/>
      <w:divBdr>
        <w:top w:val="none" w:sz="0" w:space="0" w:color="auto"/>
        <w:left w:val="none" w:sz="0" w:space="0" w:color="auto"/>
        <w:bottom w:val="none" w:sz="0" w:space="0" w:color="auto"/>
        <w:right w:val="none" w:sz="0" w:space="0" w:color="auto"/>
      </w:divBdr>
    </w:div>
    <w:div w:id="1845704104">
      <w:bodyDiv w:val="1"/>
      <w:marLeft w:val="0"/>
      <w:marRight w:val="0"/>
      <w:marTop w:val="0"/>
      <w:marBottom w:val="0"/>
      <w:divBdr>
        <w:top w:val="none" w:sz="0" w:space="0" w:color="auto"/>
        <w:left w:val="none" w:sz="0" w:space="0" w:color="auto"/>
        <w:bottom w:val="none" w:sz="0" w:space="0" w:color="auto"/>
        <w:right w:val="none" w:sz="0" w:space="0" w:color="auto"/>
      </w:divBdr>
    </w:div>
    <w:div w:id="1847598556">
      <w:bodyDiv w:val="1"/>
      <w:marLeft w:val="0"/>
      <w:marRight w:val="0"/>
      <w:marTop w:val="0"/>
      <w:marBottom w:val="0"/>
      <w:divBdr>
        <w:top w:val="none" w:sz="0" w:space="0" w:color="auto"/>
        <w:left w:val="none" w:sz="0" w:space="0" w:color="auto"/>
        <w:bottom w:val="none" w:sz="0" w:space="0" w:color="auto"/>
        <w:right w:val="none" w:sz="0" w:space="0" w:color="auto"/>
      </w:divBdr>
    </w:div>
    <w:div w:id="1849057400">
      <w:bodyDiv w:val="1"/>
      <w:marLeft w:val="0"/>
      <w:marRight w:val="0"/>
      <w:marTop w:val="0"/>
      <w:marBottom w:val="0"/>
      <w:divBdr>
        <w:top w:val="none" w:sz="0" w:space="0" w:color="auto"/>
        <w:left w:val="none" w:sz="0" w:space="0" w:color="auto"/>
        <w:bottom w:val="none" w:sz="0" w:space="0" w:color="auto"/>
        <w:right w:val="none" w:sz="0" w:space="0" w:color="auto"/>
      </w:divBdr>
    </w:div>
    <w:div w:id="1850951276">
      <w:bodyDiv w:val="1"/>
      <w:marLeft w:val="0"/>
      <w:marRight w:val="0"/>
      <w:marTop w:val="0"/>
      <w:marBottom w:val="0"/>
      <w:divBdr>
        <w:top w:val="none" w:sz="0" w:space="0" w:color="auto"/>
        <w:left w:val="none" w:sz="0" w:space="0" w:color="auto"/>
        <w:bottom w:val="none" w:sz="0" w:space="0" w:color="auto"/>
        <w:right w:val="none" w:sz="0" w:space="0" w:color="auto"/>
      </w:divBdr>
    </w:div>
    <w:div w:id="1853490447">
      <w:bodyDiv w:val="1"/>
      <w:marLeft w:val="0"/>
      <w:marRight w:val="0"/>
      <w:marTop w:val="0"/>
      <w:marBottom w:val="0"/>
      <w:divBdr>
        <w:top w:val="none" w:sz="0" w:space="0" w:color="auto"/>
        <w:left w:val="none" w:sz="0" w:space="0" w:color="auto"/>
        <w:bottom w:val="none" w:sz="0" w:space="0" w:color="auto"/>
        <w:right w:val="none" w:sz="0" w:space="0" w:color="auto"/>
      </w:divBdr>
    </w:div>
    <w:div w:id="1854218721">
      <w:bodyDiv w:val="1"/>
      <w:marLeft w:val="0"/>
      <w:marRight w:val="0"/>
      <w:marTop w:val="0"/>
      <w:marBottom w:val="0"/>
      <w:divBdr>
        <w:top w:val="none" w:sz="0" w:space="0" w:color="auto"/>
        <w:left w:val="none" w:sz="0" w:space="0" w:color="auto"/>
        <w:bottom w:val="none" w:sz="0" w:space="0" w:color="auto"/>
        <w:right w:val="none" w:sz="0" w:space="0" w:color="auto"/>
      </w:divBdr>
    </w:div>
    <w:div w:id="1854606650">
      <w:bodyDiv w:val="1"/>
      <w:marLeft w:val="0"/>
      <w:marRight w:val="0"/>
      <w:marTop w:val="0"/>
      <w:marBottom w:val="0"/>
      <w:divBdr>
        <w:top w:val="none" w:sz="0" w:space="0" w:color="auto"/>
        <w:left w:val="none" w:sz="0" w:space="0" w:color="auto"/>
        <w:bottom w:val="none" w:sz="0" w:space="0" w:color="auto"/>
        <w:right w:val="none" w:sz="0" w:space="0" w:color="auto"/>
      </w:divBdr>
    </w:div>
    <w:div w:id="1855997095">
      <w:bodyDiv w:val="1"/>
      <w:marLeft w:val="0"/>
      <w:marRight w:val="0"/>
      <w:marTop w:val="0"/>
      <w:marBottom w:val="0"/>
      <w:divBdr>
        <w:top w:val="none" w:sz="0" w:space="0" w:color="auto"/>
        <w:left w:val="none" w:sz="0" w:space="0" w:color="auto"/>
        <w:bottom w:val="none" w:sz="0" w:space="0" w:color="auto"/>
        <w:right w:val="none" w:sz="0" w:space="0" w:color="auto"/>
      </w:divBdr>
    </w:div>
    <w:div w:id="1856335947">
      <w:bodyDiv w:val="1"/>
      <w:marLeft w:val="0"/>
      <w:marRight w:val="0"/>
      <w:marTop w:val="0"/>
      <w:marBottom w:val="0"/>
      <w:divBdr>
        <w:top w:val="none" w:sz="0" w:space="0" w:color="auto"/>
        <w:left w:val="none" w:sz="0" w:space="0" w:color="auto"/>
        <w:bottom w:val="none" w:sz="0" w:space="0" w:color="auto"/>
        <w:right w:val="none" w:sz="0" w:space="0" w:color="auto"/>
      </w:divBdr>
    </w:div>
    <w:div w:id="1856457426">
      <w:bodyDiv w:val="1"/>
      <w:marLeft w:val="0"/>
      <w:marRight w:val="0"/>
      <w:marTop w:val="0"/>
      <w:marBottom w:val="0"/>
      <w:divBdr>
        <w:top w:val="none" w:sz="0" w:space="0" w:color="auto"/>
        <w:left w:val="none" w:sz="0" w:space="0" w:color="auto"/>
        <w:bottom w:val="none" w:sz="0" w:space="0" w:color="auto"/>
        <w:right w:val="none" w:sz="0" w:space="0" w:color="auto"/>
      </w:divBdr>
    </w:div>
    <w:div w:id="1856723750">
      <w:bodyDiv w:val="1"/>
      <w:marLeft w:val="0"/>
      <w:marRight w:val="0"/>
      <w:marTop w:val="0"/>
      <w:marBottom w:val="0"/>
      <w:divBdr>
        <w:top w:val="none" w:sz="0" w:space="0" w:color="auto"/>
        <w:left w:val="none" w:sz="0" w:space="0" w:color="auto"/>
        <w:bottom w:val="none" w:sz="0" w:space="0" w:color="auto"/>
        <w:right w:val="none" w:sz="0" w:space="0" w:color="auto"/>
      </w:divBdr>
    </w:div>
    <w:div w:id="1857235511">
      <w:bodyDiv w:val="1"/>
      <w:marLeft w:val="0"/>
      <w:marRight w:val="0"/>
      <w:marTop w:val="0"/>
      <w:marBottom w:val="0"/>
      <w:divBdr>
        <w:top w:val="none" w:sz="0" w:space="0" w:color="auto"/>
        <w:left w:val="none" w:sz="0" w:space="0" w:color="auto"/>
        <w:bottom w:val="none" w:sz="0" w:space="0" w:color="auto"/>
        <w:right w:val="none" w:sz="0" w:space="0" w:color="auto"/>
      </w:divBdr>
    </w:div>
    <w:div w:id="1858695182">
      <w:bodyDiv w:val="1"/>
      <w:marLeft w:val="0"/>
      <w:marRight w:val="0"/>
      <w:marTop w:val="0"/>
      <w:marBottom w:val="0"/>
      <w:divBdr>
        <w:top w:val="none" w:sz="0" w:space="0" w:color="auto"/>
        <w:left w:val="none" w:sz="0" w:space="0" w:color="auto"/>
        <w:bottom w:val="none" w:sz="0" w:space="0" w:color="auto"/>
        <w:right w:val="none" w:sz="0" w:space="0" w:color="auto"/>
      </w:divBdr>
    </w:div>
    <w:div w:id="1860462152">
      <w:bodyDiv w:val="1"/>
      <w:marLeft w:val="0"/>
      <w:marRight w:val="0"/>
      <w:marTop w:val="0"/>
      <w:marBottom w:val="0"/>
      <w:divBdr>
        <w:top w:val="none" w:sz="0" w:space="0" w:color="auto"/>
        <w:left w:val="none" w:sz="0" w:space="0" w:color="auto"/>
        <w:bottom w:val="none" w:sz="0" w:space="0" w:color="auto"/>
        <w:right w:val="none" w:sz="0" w:space="0" w:color="auto"/>
      </w:divBdr>
    </w:div>
    <w:div w:id="1861310407">
      <w:bodyDiv w:val="1"/>
      <w:marLeft w:val="0"/>
      <w:marRight w:val="0"/>
      <w:marTop w:val="0"/>
      <w:marBottom w:val="0"/>
      <w:divBdr>
        <w:top w:val="none" w:sz="0" w:space="0" w:color="auto"/>
        <w:left w:val="none" w:sz="0" w:space="0" w:color="auto"/>
        <w:bottom w:val="none" w:sz="0" w:space="0" w:color="auto"/>
        <w:right w:val="none" w:sz="0" w:space="0" w:color="auto"/>
      </w:divBdr>
    </w:div>
    <w:div w:id="1861700677">
      <w:bodyDiv w:val="1"/>
      <w:marLeft w:val="0"/>
      <w:marRight w:val="0"/>
      <w:marTop w:val="0"/>
      <w:marBottom w:val="0"/>
      <w:divBdr>
        <w:top w:val="none" w:sz="0" w:space="0" w:color="auto"/>
        <w:left w:val="none" w:sz="0" w:space="0" w:color="auto"/>
        <w:bottom w:val="none" w:sz="0" w:space="0" w:color="auto"/>
        <w:right w:val="none" w:sz="0" w:space="0" w:color="auto"/>
      </w:divBdr>
    </w:div>
    <w:div w:id="1862281700">
      <w:bodyDiv w:val="1"/>
      <w:marLeft w:val="0"/>
      <w:marRight w:val="0"/>
      <w:marTop w:val="0"/>
      <w:marBottom w:val="0"/>
      <w:divBdr>
        <w:top w:val="none" w:sz="0" w:space="0" w:color="auto"/>
        <w:left w:val="none" w:sz="0" w:space="0" w:color="auto"/>
        <w:bottom w:val="none" w:sz="0" w:space="0" w:color="auto"/>
        <w:right w:val="none" w:sz="0" w:space="0" w:color="auto"/>
      </w:divBdr>
    </w:div>
    <w:div w:id="1863663340">
      <w:bodyDiv w:val="1"/>
      <w:marLeft w:val="0"/>
      <w:marRight w:val="0"/>
      <w:marTop w:val="0"/>
      <w:marBottom w:val="0"/>
      <w:divBdr>
        <w:top w:val="none" w:sz="0" w:space="0" w:color="auto"/>
        <w:left w:val="none" w:sz="0" w:space="0" w:color="auto"/>
        <w:bottom w:val="none" w:sz="0" w:space="0" w:color="auto"/>
        <w:right w:val="none" w:sz="0" w:space="0" w:color="auto"/>
      </w:divBdr>
    </w:div>
    <w:div w:id="1864395071">
      <w:bodyDiv w:val="1"/>
      <w:marLeft w:val="0"/>
      <w:marRight w:val="0"/>
      <w:marTop w:val="0"/>
      <w:marBottom w:val="0"/>
      <w:divBdr>
        <w:top w:val="none" w:sz="0" w:space="0" w:color="auto"/>
        <w:left w:val="none" w:sz="0" w:space="0" w:color="auto"/>
        <w:bottom w:val="none" w:sz="0" w:space="0" w:color="auto"/>
        <w:right w:val="none" w:sz="0" w:space="0" w:color="auto"/>
      </w:divBdr>
    </w:div>
    <w:div w:id="1864711710">
      <w:bodyDiv w:val="1"/>
      <w:marLeft w:val="0"/>
      <w:marRight w:val="0"/>
      <w:marTop w:val="0"/>
      <w:marBottom w:val="0"/>
      <w:divBdr>
        <w:top w:val="none" w:sz="0" w:space="0" w:color="auto"/>
        <w:left w:val="none" w:sz="0" w:space="0" w:color="auto"/>
        <w:bottom w:val="none" w:sz="0" w:space="0" w:color="auto"/>
        <w:right w:val="none" w:sz="0" w:space="0" w:color="auto"/>
      </w:divBdr>
    </w:div>
    <w:div w:id="1868323588">
      <w:bodyDiv w:val="1"/>
      <w:marLeft w:val="0"/>
      <w:marRight w:val="0"/>
      <w:marTop w:val="0"/>
      <w:marBottom w:val="0"/>
      <w:divBdr>
        <w:top w:val="none" w:sz="0" w:space="0" w:color="auto"/>
        <w:left w:val="none" w:sz="0" w:space="0" w:color="auto"/>
        <w:bottom w:val="none" w:sz="0" w:space="0" w:color="auto"/>
        <w:right w:val="none" w:sz="0" w:space="0" w:color="auto"/>
      </w:divBdr>
    </w:div>
    <w:div w:id="1868983380">
      <w:bodyDiv w:val="1"/>
      <w:marLeft w:val="0"/>
      <w:marRight w:val="0"/>
      <w:marTop w:val="0"/>
      <w:marBottom w:val="0"/>
      <w:divBdr>
        <w:top w:val="none" w:sz="0" w:space="0" w:color="auto"/>
        <w:left w:val="none" w:sz="0" w:space="0" w:color="auto"/>
        <w:bottom w:val="none" w:sz="0" w:space="0" w:color="auto"/>
        <w:right w:val="none" w:sz="0" w:space="0" w:color="auto"/>
      </w:divBdr>
    </w:div>
    <w:div w:id="1870489898">
      <w:bodyDiv w:val="1"/>
      <w:marLeft w:val="0"/>
      <w:marRight w:val="0"/>
      <w:marTop w:val="0"/>
      <w:marBottom w:val="0"/>
      <w:divBdr>
        <w:top w:val="none" w:sz="0" w:space="0" w:color="auto"/>
        <w:left w:val="none" w:sz="0" w:space="0" w:color="auto"/>
        <w:bottom w:val="none" w:sz="0" w:space="0" w:color="auto"/>
        <w:right w:val="none" w:sz="0" w:space="0" w:color="auto"/>
      </w:divBdr>
    </w:div>
    <w:div w:id="1871257171">
      <w:bodyDiv w:val="1"/>
      <w:marLeft w:val="0"/>
      <w:marRight w:val="0"/>
      <w:marTop w:val="0"/>
      <w:marBottom w:val="0"/>
      <w:divBdr>
        <w:top w:val="none" w:sz="0" w:space="0" w:color="auto"/>
        <w:left w:val="none" w:sz="0" w:space="0" w:color="auto"/>
        <w:bottom w:val="none" w:sz="0" w:space="0" w:color="auto"/>
        <w:right w:val="none" w:sz="0" w:space="0" w:color="auto"/>
      </w:divBdr>
    </w:div>
    <w:div w:id="1873760716">
      <w:bodyDiv w:val="1"/>
      <w:marLeft w:val="0"/>
      <w:marRight w:val="0"/>
      <w:marTop w:val="0"/>
      <w:marBottom w:val="0"/>
      <w:divBdr>
        <w:top w:val="none" w:sz="0" w:space="0" w:color="auto"/>
        <w:left w:val="none" w:sz="0" w:space="0" w:color="auto"/>
        <w:bottom w:val="none" w:sz="0" w:space="0" w:color="auto"/>
        <w:right w:val="none" w:sz="0" w:space="0" w:color="auto"/>
      </w:divBdr>
    </w:div>
    <w:div w:id="1875071050">
      <w:bodyDiv w:val="1"/>
      <w:marLeft w:val="0"/>
      <w:marRight w:val="0"/>
      <w:marTop w:val="0"/>
      <w:marBottom w:val="0"/>
      <w:divBdr>
        <w:top w:val="none" w:sz="0" w:space="0" w:color="auto"/>
        <w:left w:val="none" w:sz="0" w:space="0" w:color="auto"/>
        <w:bottom w:val="none" w:sz="0" w:space="0" w:color="auto"/>
        <w:right w:val="none" w:sz="0" w:space="0" w:color="auto"/>
      </w:divBdr>
    </w:div>
    <w:div w:id="1877309589">
      <w:bodyDiv w:val="1"/>
      <w:marLeft w:val="0"/>
      <w:marRight w:val="0"/>
      <w:marTop w:val="0"/>
      <w:marBottom w:val="0"/>
      <w:divBdr>
        <w:top w:val="none" w:sz="0" w:space="0" w:color="auto"/>
        <w:left w:val="none" w:sz="0" w:space="0" w:color="auto"/>
        <w:bottom w:val="none" w:sz="0" w:space="0" w:color="auto"/>
        <w:right w:val="none" w:sz="0" w:space="0" w:color="auto"/>
      </w:divBdr>
    </w:div>
    <w:div w:id="1880632010">
      <w:bodyDiv w:val="1"/>
      <w:marLeft w:val="0"/>
      <w:marRight w:val="0"/>
      <w:marTop w:val="0"/>
      <w:marBottom w:val="0"/>
      <w:divBdr>
        <w:top w:val="none" w:sz="0" w:space="0" w:color="auto"/>
        <w:left w:val="none" w:sz="0" w:space="0" w:color="auto"/>
        <w:bottom w:val="none" w:sz="0" w:space="0" w:color="auto"/>
        <w:right w:val="none" w:sz="0" w:space="0" w:color="auto"/>
      </w:divBdr>
    </w:div>
    <w:div w:id="1885173462">
      <w:bodyDiv w:val="1"/>
      <w:marLeft w:val="0"/>
      <w:marRight w:val="0"/>
      <w:marTop w:val="0"/>
      <w:marBottom w:val="0"/>
      <w:divBdr>
        <w:top w:val="none" w:sz="0" w:space="0" w:color="auto"/>
        <w:left w:val="none" w:sz="0" w:space="0" w:color="auto"/>
        <w:bottom w:val="none" w:sz="0" w:space="0" w:color="auto"/>
        <w:right w:val="none" w:sz="0" w:space="0" w:color="auto"/>
      </w:divBdr>
    </w:div>
    <w:div w:id="1885827103">
      <w:bodyDiv w:val="1"/>
      <w:marLeft w:val="0"/>
      <w:marRight w:val="0"/>
      <w:marTop w:val="0"/>
      <w:marBottom w:val="0"/>
      <w:divBdr>
        <w:top w:val="none" w:sz="0" w:space="0" w:color="auto"/>
        <w:left w:val="none" w:sz="0" w:space="0" w:color="auto"/>
        <w:bottom w:val="none" w:sz="0" w:space="0" w:color="auto"/>
        <w:right w:val="none" w:sz="0" w:space="0" w:color="auto"/>
      </w:divBdr>
    </w:div>
    <w:div w:id="1886214040">
      <w:bodyDiv w:val="1"/>
      <w:marLeft w:val="0"/>
      <w:marRight w:val="0"/>
      <w:marTop w:val="0"/>
      <w:marBottom w:val="0"/>
      <w:divBdr>
        <w:top w:val="none" w:sz="0" w:space="0" w:color="auto"/>
        <w:left w:val="none" w:sz="0" w:space="0" w:color="auto"/>
        <w:bottom w:val="none" w:sz="0" w:space="0" w:color="auto"/>
        <w:right w:val="none" w:sz="0" w:space="0" w:color="auto"/>
      </w:divBdr>
    </w:div>
    <w:div w:id="1890342736">
      <w:bodyDiv w:val="1"/>
      <w:marLeft w:val="0"/>
      <w:marRight w:val="0"/>
      <w:marTop w:val="0"/>
      <w:marBottom w:val="0"/>
      <w:divBdr>
        <w:top w:val="none" w:sz="0" w:space="0" w:color="auto"/>
        <w:left w:val="none" w:sz="0" w:space="0" w:color="auto"/>
        <w:bottom w:val="none" w:sz="0" w:space="0" w:color="auto"/>
        <w:right w:val="none" w:sz="0" w:space="0" w:color="auto"/>
      </w:divBdr>
    </w:div>
    <w:div w:id="1891644461">
      <w:bodyDiv w:val="1"/>
      <w:marLeft w:val="0"/>
      <w:marRight w:val="0"/>
      <w:marTop w:val="0"/>
      <w:marBottom w:val="0"/>
      <w:divBdr>
        <w:top w:val="none" w:sz="0" w:space="0" w:color="auto"/>
        <w:left w:val="none" w:sz="0" w:space="0" w:color="auto"/>
        <w:bottom w:val="none" w:sz="0" w:space="0" w:color="auto"/>
        <w:right w:val="none" w:sz="0" w:space="0" w:color="auto"/>
      </w:divBdr>
    </w:div>
    <w:div w:id="1891842726">
      <w:bodyDiv w:val="1"/>
      <w:marLeft w:val="0"/>
      <w:marRight w:val="0"/>
      <w:marTop w:val="0"/>
      <w:marBottom w:val="0"/>
      <w:divBdr>
        <w:top w:val="none" w:sz="0" w:space="0" w:color="auto"/>
        <w:left w:val="none" w:sz="0" w:space="0" w:color="auto"/>
        <w:bottom w:val="none" w:sz="0" w:space="0" w:color="auto"/>
        <w:right w:val="none" w:sz="0" w:space="0" w:color="auto"/>
      </w:divBdr>
    </w:div>
    <w:div w:id="1892417843">
      <w:bodyDiv w:val="1"/>
      <w:marLeft w:val="0"/>
      <w:marRight w:val="0"/>
      <w:marTop w:val="0"/>
      <w:marBottom w:val="0"/>
      <w:divBdr>
        <w:top w:val="none" w:sz="0" w:space="0" w:color="auto"/>
        <w:left w:val="none" w:sz="0" w:space="0" w:color="auto"/>
        <w:bottom w:val="none" w:sz="0" w:space="0" w:color="auto"/>
        <w:right w:val="none" w:sz="0" w:space="0" w:color="auto"/>
      </w:divBdr>
    </w:div>
    <w:div w:id="1894197512">
      <w:bodyDiv w:val="1"/>
      <w:marLeft w:val="0"/>
      <w:marRight w:val="0"/>
      <w:marTop w:val="0"/>
      <w:marBottom w:val="0"/>
      <w:divBdr>
        <w:top w:val="none" w:sz="0" w:space="0" w:color="auto"/>
        <w:left w:val="none" w:sz="0" w:space="0" w:color="auto"/>
        <w:bottom w:val="none" w:sz="0" w:space="0" w:color="auto"/>
        <w:right w:val="none" w:sz="0" w:space="0" w:color="auto"/>
      </w:divBdr>
    </w:div>
    <w:div w:id="1894265387">
      <w:bodyDiv w:val="1"/>
      <w:marLeft w:val="0"/>
      <w:marRight w:val="0"/>
      <w:marTop w:val="0"/>
      <w:marBottom w:val="0"/>
      <w:divBdr>
        <w:top w:val="none" w:sz="0" w:space="0" w:color="auto"/>
        <w:left w:val="none" w:sz="0" w:space="0" w:color="auto"/>
        <w:bottom w:val="none" w:sz="0" w:space="0" w:color="auto"/>
        <w:right w:val="none" w:sz="0" w:space="0" w:color="auto"/>
      </w:divBdr>
    </w:div>
    <w:div w:id="1894846979">
      <w:bodyDiv w:val="1"/>
      <w:marLeft w:val="0"/>
      <w:marRight w:val="0"/>
      <w:marTop w:val="0"/>
      <w:marBottom w:val="0"/>
      <w:divBdr>
        <w:top w:val="none" w:sz="0" w:space="0" w:color="auto"/>
        <w:left w:val="none" w:sz="0" w:space="0" w:color="auto"/>
        <w:bottom w:val="none" w:sz="0" w:space="0" w:color="auto"/>
        <w:right w:val="none" w:sz="0" w:space="0" w:color="auto"/>
      </w:divBdr>
    </w:div>
    <w:div w:id="1896546632">
      <w:bodyDiv w:val="1"/>
      <w:marLeft w:val="0"/>
      <w:marRight w:val="0"/>
      <w:marTop w:val="0"/>
      <w:marBottom w:val="0"/>
      <w:divBdr>
        <w:top w:val="none" w:sz="0" w:space="0" w:color="auto"/>
        <w:left w:val="none" w:sz="0" w:space="0" w:color="auto"/>
        <w:bottom w:val="none" w:sz="0" w:space="0" w:color="auto"/>
        <w:right w:val="none" w:sz="0" w:space="0" w:color="auto"/>
      </w:divBdr>
    </w:div>
    <w:div w:id="1897083978">
      <w:bodyDiv w:val="1"/>
      <w:marLeft w:val="0"/>
      <w:marRight w:val="0"/>
      <w:marTop w:val="0"/>
      <w:marBottom w:val="0"/>
      <w:divBdr>
        <w:top w:val="none" w:sz="0" w:space="0" w:color="auto"/>
        <w:left w:val="none" w:sz="0" w:space="0" w:color="auto"/>
        <w:bottom w:val="none" w:sz="0" w:space="0" w:color="auto"/>
        <w:right w:val="none" w:sz="0" w:space="0" w:color="auto"/>
      </w:divBdr>
    </w:div>
    <w:div w:id="1899170850">
      <w:bodyDiv w:val="1"/>
      <w:marLeft w:val="0"/>
      <w:marRight w:val="0"/>
      <w:marTop w:val="0"/>
      <w:marBottom w:val="0"/>
      <w:divBdr>
        <w:top w:val="none" w:sz="0" w:space="0" w:color="auto"/>
        <w:left w:val="none" w:sz="0" w:space="0" w:color="auto"/>
        <w:bottom w:val="none" w:sz="0" w:space="0" w:color="auto"/>
        <w:right w:val="none" w:sz="0" w:space="0" w:color="auto"/>
      </w:divBdr>
    </w:div>
    <w:div w:id="1900508082">
      <w:bodyDiv w:val="1"/>
      <w:marLeft w:val="0"/>
      <w:marRight w:val="0"/>
      <w:marTop w:val="0"/>
      <w:marBottom w:val="0"/>
      <w:divBdr>
        <w:top w:val="none" w:sz="0" w:space="0" w:color="auto"/>
        <w:left w:val="none" w:sz="0" w:space="0" w:color="auto"/>
        <w:bottom w:val="none" w:sz="0" w:space="0" w:color="auto"/>
        <w:right w:val="none" w:sz="0" w:space="0" w:color="auto"/>
      </w:divBdr>
    </w:div>
    <w:div w:id="1902209164">
      <w:bodyDiv w:val="1"/>
      <w:marLeft w:val="0"/>
      <w:marRight w:val="0"/>
      <w:marTop w:val="0"/>
      <w:marBottom w:val="0"/>
      <w:divBdr>
        <w:top w:val="none" w:sz="0" w:space="0" w:color="auto"/>
        <w:left w:val="none" w:sz="0" w:space="0" w:color="auto"/>
        <w:bottom w:val="none" w:sz="0" w:space="0" w:color="auto"/>
        <w:right w:val="none" w:sz="0" w:space="0" w:color="auto"/>
      </w:divBdr>
    </w:div>
    <w:div w:id="1902252515">
      <w:bodyDiv w:val="1"/>
      <w:marLeft w:val="0"/>
      <w:marRight w:val="0"/>
      <w:marTop w:val="0"/>
      <w:marBottom w:val="0"/>
      <w:divBdr>
        <w:top w:val="none" w:sz="0" w:space="0" w:color="auto"/>
        <w:left w:val="none" w:sz="0" w:space="0" w:color="auto"/>
        <w:bottom w:val="none" w:sz="0" w:space="0" w:color="auto"/>
        <w:right w:val="none" w:sz="0" w:space="0" w:color="auto"/>
      </w:divBdr>
    </w:div>
    <w:div w:id="1902789821">
      <w:bodyDiv w:val="1"/>
      <w:marLeft w:val="0"/>
      <w:marRight w:val="0"/>
      <w:marTop w:val="0"/>
      <w:marBottom w:val="0"/>
      <w:divBdr>
        <w:top w:val="none" w:sz="0" w:space="0" w:color="auto"/>
        <w:left w:val="none" w:sz="0" w:space="0" w:color="auto"/>
        <w:bottom w:val="none" w:sz="0" w:space="0" w:color="auto"/>
        <w:right w:val="none" w:sz="0" w:space="0" w:color="auto"/>
      </w:divBdr>
    </w:div>
    <w:div w:id="1905138046">
      <w:bodyDiv w:val="1"/>
      <w:marLeft w:val="0"/>
      <w:marRight w:val="0"/>
      <w:marTop w:val="0"/>
      <w:marBottom w:val="0"/>
      <w:divBdr>
        <w:top w:val="none" w:sz="0" w:space="0" w:color="auto"/>
        <w:left w:val="none" w:sz="0" w:space="0" w:color="auto"/>
        <w:bottom w:val="none" w:sz="0" w:space="0" w:color="auto"/>
        <w:right w:val="none" w:sz="0" w:space="0" w:color="auto"/>
      </w:divBdr>
    </w:div>
    <w:div w:id="1905287660">
      <w:bodyDiv w:val="1"/>
      <w:marLeft w:val="0"/>
      <w:marRight w:val="0"/>
      <w:marTop w:val="0"/>
      <w:marBottom w:val="0"/>
      <w:divBdr>
        <w:top w:val="none" w:sz="0" w:space="0" w:color="auto"/>
        <w:left w:val="none" w:sz="0" w:space="0" w:color="auto"/>
        <w:bottom w:val="none" w:sz="0" w:space="0" w:color="auto"/>
        <w:right w:val="none" w:sz="0" w:space="0" w:color="auto"/>
      </w:divBdr>
    </w:div>
    <w:div w:id="1905528545">
      <w:bodyDiv w:val="1"/>
      <w:marLeft w:val="0"/>
      <w:marRight w:val="0"/>
      <w:marTop w:val="0"/>
      <w:marBottom w:val="0"/>
      <w:divBdr>
        <w:top w:val="none" w:sz="0" w:space="0" w:color="auto"/>
        <w:left w:val="none" w:sz="0" w:space="0" w:color="auto"/>
        <w:bottom w:val="none" w:sz="0" w:space="0" w:color="auto"/>
        <w:right w:val="none" w:sz="0" w:space="0" w:color="auto"/>
      </w:divBdr>
    </w:div>
    <w:div w:id="1907377578">
      <w:bodyDiv w:val="1"/>
      <w:marLeft w:val="0"/>
      <w:marRight w:val="0"/>
      <w:marTop w:val="0"/>
      <w:marBottom w:val="0"/>
      <w:divBdr>
        <w:top w:val="none" w:sz="0" w:space="0" w:color="auto"/>
        <w:left w:val="none" w:sz="0" w:space="0" w:color="auto"/>
        <w:bottom w:val="none" w:sz="0" w:space="0" w:color="auto"/>
        <w:right w:val="none" w:sz="0" w:space="0" w:color="auto"/>
      </w:divBdr>
    </w:div>
    <w:div w:id="1910798107">
      <w:bodyDiv w:val="1"/>
      <w:marLeft w:val="0"/>
      <w:marRight w:val="0"/>
      <w:marTop w:val="0"/>
      <w:marBottom w:val="0"/>
      <w:divBdr>
        <w:top w:val="none" w:sz="0" w:space="0" w:color="auto"/>
        <w:left w:val="none" w:sz="0" w:space="0" w:color="auto"/>
        <w:bottom w:val="none" w:sz="0" w:space="0" w:color="auto"/>
        <w:right w:val="none" w:sz="0" w:space="0" w:color="auto"/>
      </w:divBdr>
    </w:div>
    <w:div w:id="1912353013">
      <w:bodyDiv w:val="1"/>
      <w:marLeft w:val="0"/>
      <w:marRight w:val="0"/>
      <w:marTop w:val="0"/>
      <w:marBottom w:val="0"/>
      <w:divBdr>
        <w:top w:val="none" w:sz="0" w:space="0" w:color="auto"/>
        <w:left w:val="none" w:sz="0" w:space="0" w:color="auto"/>
        <w:bottom w:val="none" w:sz="0" w:space="0" w:color="auto"/>
        <w:right w:val="none" w:sz="0" w:space="0" w:color="auto"/>
      </w:divBdr>
    </w:div>
    <w:div w:id="1912811776">
      <w:bodyDiv w:val="1"/>
      <w:marLeft w:val="0"/>
      <w:marRight w:val="0"/>
      <w:marTop w:val="0"/>
      <w:marBottom w:val="0"/>
      <w:divBdr>
        <w:top w:val="none" w:sz="0" w:space="0" w:color="auto"/>
        <w:left w:val="none" w:sz="0" w:space="0" w:color="auto"/>
        <w:bottom w:val="none" w:sz="0" w:space="0" w:color="auto"/>
        <w:right w:val="none" w:sz="0" w:space="0" w:color="auto"/>
      </w:divBdr>
    </w:div>
    <w:div w:id="1914701606">
      <w:bodyDiv w:val="1"/>
      <w:marLeft w:val="0"/>
      <w:marRight w:val="0"/>
      <w:marTop w:val="0"/>
      <w:marBottom w:val="0"/>
      <w:divBdr>
        <w:top w:val="none" w:sz="0" w:space="0" w:color="auto"/>
        <w:left w:val="none" w:sz="0" w:space="0" w:color="auto"/>
        <w:bottom w:val="none" w:sz="0" w:space="0" w:color="auto"/>
        <w:right w:val="none" w:sz="0" w:space="0" w:color="auto"/>
      </w:divBdr>
    </w:div>
    <w:div w:id="1915894688">
      <w:bodyDiv w:val="1"/>
      <w:marLeft w:val="0"/>
      <w:marRight w:val="0"/>
      <w:marTop w:val="0"/>
      <w:marBottom w:val="0"/>
      <w:divBdr>
        <w:top w:val="none" w:sz="0" w:space="0" w:color="auto"/>
        <w:left w:val="none" w:sz="0" w:space="0" w:color="auto"/>
        <w:bottom w:val="none" w:sz="0" w:space="0" w:color="auto"/>
        <w:right w:val="none" w:sz="0" w:space="0" w:color="auto"/>
      </w:divBdr>
    </w:div>
    <w:div w:id="1917351792">
      <w:bodyDiv w:val="1"/>
      <w:marLeft w:val="0"/>
      <w:marRight w:val="0"/>
      <w:marTop w:val="0"/>
      <w:marBottom w:val="0"/>
      <w:divBdr>
        <w:top w:val="none" w:sz="0" w:space="0" w:color="auto"/>
        <w:left w:val="none" w:sz="0" w:space="0" w:color="auto"/>
        <w:bottom w:val="none" w:sz="0" w:space="0" w:color="auto"/>
        <w:right w:val="none" w:sz="0" w:space="0" w:color="auto"/>
      </w:divBdr>
    </w:div>
    <w:div w:id="1918126534">
      <w:bodyDiv w:val="1"/>
      <w:marLeft w:val="0"/>
      <w:marRight w:val="0"/>
      <w:marTop w:val="0"/>
      <w:marBottom w:val="0"/>
      <w:divBdr>
        <w:top w:val="none" w:sz="0" w:space="0" w:color="auto"/>
        <w:left w:val="none" w:sz="0" w:space="0" w:color="auto"/>
        <w:bottom w:val="none" w:sz="0" w:space="0" w:color="auto"/>
        <w:right w:val="none" w:sz="0" w:space="0" w:color="auto"/>
      </w:divBdr>
    </w:div>
    <w:div w:id="1918978622">
      <w:bodyDiv w:val="1"/>
      <w:marLeft w:val="0"/>
      <w:marRight w:val="0"/>
      <w:marTop w:val="0"/>
      <w:marBottom w:val="0"/>
      <w:divBdr>
        <w:top w:val="none" w:sz="0" w:space="0" w:color="auto"/>
        <w:left w:val="none" w:sz="0" w:space="0" w:color="auto"/>
        <w:bottom w:val="none" w:sz="0" w:space="0" w:color="auto"/>
        <w:right w:val="none" w:sz="0" w:space="0" w:color="auto"/>
      </w:divBdr>
    </w:div>
    <w:div w:id="1928346539">
      <w:bodyDiv w:val="1"/>
      <w:marLeft w:val="0"/>
      <w:marRight w:val="0"/>
      <w:marTop w:val="0"/>
      <w:marBottom w:val="0"/>
      <w:divBdr>
        <w:top w:val="none" w:sz="0" w:space="0" w:color="auto"/>
        <w:left w:val="none" w:sz="0" w:space="0" w:color="auto"/>
        <w:bottom w:val="none" w:sz="0" w:space="0" w:color="auto"/>
        <w:right w:val="none" w:sz="0" w:space="0" w:color="auto"/>
      </w:divBdr>
    </w:div>
    <w:div w:id="1930499295">
      <w:bodyDiv w:val="1"/>
      <w:marLeft w:val="0"/>
      <w:marRight w:val="0"/>
      <w:marTop w:val="0"/>
      <w:marBottom w:val="0"/>
      <w:divBdr>
        <w:top w:val="none" w:sz="0" w:space="0" w:color="auto"/>
        <w:left w:val="none" w:sz="0" w:space="0" w:color="auto"/>
        <w:bottom w:val="none" w:sz="0" w:space="0" w:color="auto"/>
        <w:right w:val="none" w:sz="0" w:space="0" w:color="auto"/>
      </w:divBdr>
    </w:div>
    <w:div w:id="1930774198">
      <w:bodyDiv w:val="1"/>
      <w:marLeft w:val="0"/>
      <w:marRight w:val="0"/>
      <w:marTop w:val="0"/>
      <w:marBottom w:val="0"/>
      <w:divBdr>
        <w:top w:val="none" w:sz="0" w:space="0" w:color="auto"/>
        <w:left w:val="none" w:sz="0" w:space="0" w:color="auto"/>
        <w:bottom w:val="none" w:sz="0" w:space="0" w:color="auto"/>
        <w:right w:val="none" w:sz="0" w:space="0" w:color="auto"/>
      </w:divBdr>
    </w:div>
    <w:div w:id="1931502661">
      <w:bodyDiv w:val="1"/>
      <w:marLeft w:val="0"/>
      <w:marRight w:val="0"/>
      <w:marTop w:val="0"/>
      <w:marBottom w:val="0"/>
      <w:divBdr>
        <w:top w:val="none" w:sz="0" w:space="0" w:color="auto"/>
        <w:left w:val="none" w:sz="0" w:space="0" w:color="auto"/>
        <w:bottom w:val="none" w:sz="0" w:space="0" w:color="auto"/>
        <w:right w:val="none" w:sz="0" w:space="0" w:color="auto"/>
      </w:divBdr>
    </w:div>
    <w:div w:id="1931619455">
      <w:bodyDiv w:val="1"/>
      <w:marLeft w:val="0"/>
      <w:marRight w:val="0"/>
      <w:marTop w:val="0"/>
      <w:marBottom w:val="0"/>
      <w:divBdr>
        <w:top w:val="none" w:sz="0" w:space="0" w:color="auto"/>
        <w:left w:val="none" w:sz="0" w:space="0" w:color="auto"/>
        <w:bottom w:val="none" w:sz="0" w:space="0" w:color="auto"/>
        <w:right w:val="none" w:sz="0" w:space="0" w:color="auto"/>
      </w:divBdr>
    </w:div>
    <w:div w:id="1934046541">
      <w:bodyDiv w:val="1"/>
      <w:marLeft w:val="0"/>
      <w:marRight w:val="0"/>
      <w:marTop w:val="0"/>
      <w:marBottom w:val="0"/>
      <w:divBdr>
        <w:top w:val="none" w:sz="0" w:space="0" w:color="auto"/>
        <w:left w:val="none" w:sz="0" w:space="0" w:color="auto"/>
        <w:bottom w:val="none" w:sz="0" w:space="0" w:color="auto"/>
        <w:right w:val="none" w:sz="0" w:space="0" w:color="auto"/>
      </w:divBdr>
    </w:div>
    <w:div w:id="1934976048">
      <w:bodyDiv w:val="1"/>
      <w:marLeft w:val="0"/>
      <w:marRight w:val="0"/>
      <w:marTop w:val="0"/>
      <w:marBottom w:val="0"/>
      <w:divBdr>
        <w:top w:val="none" w:sz="0" w:space="0" w:color="auto"/>
        <w:left w:val="none" w:sz="0" w:space="0" w:color="auto"/>
        <w:bottom w:val="none" w:sz="0" w:space="0" w:color="auto"/>
        <w:right w:val="none" w:sz="0" w:space="0" w:color="auto"/>
      </w:divBdr>
    </w:div>
    <w:div w:id="1935169018">
      <w:bodyDiv w:val="1"/>
      <w:marLeft w:val="0"/>
      <w:marRight w:val="0"/>
      <w:marTop w:val="0"/>
      <w:marBottom w:val="0"/>
      <w:divBdr>
        <w:top w:val="none" w:sz="0" w:space="0" w:color="auto"/>
        <w:left w:val="none" w:sz="0" w:space="0" w:color="auto"/>
        <w:bottom w:val="none" w:sz="0" w:space="0" w:color="auto"/>
        <w:right w:val="none" w:sz="0" w:space="0" w:color="auto"/>
      </w:divBdr>
    </w:div>
    <w:div w:id="1935238473">
      <w:bodyDiv w:val="1"/>
      <w:marLeft w:val="0"/>
      <w:marRight w:val="0"/>
      <w:marTop w:val="0"/>
      <w:marBottom w:val="0"/>
      <w:divBdr>
        <w:top w:val="none" w:sz="0" w:space="0" w:color="auto"/>
        <w:left w:val="none" w:sz="0" w:space="0" w:color="auto"/>
        <w:bottom w:val="none" w:sz="0" w:space="0" w:color="auto"/>
        <w:right w:val="none" w:sz="0" w:space="0" w:color="auto"/>
      </w:divBdr>
    </w:div>
    <w:div w:id="1935244361">
      <w:bodyDiv w:val="1"/>
      <w:marLeft w:val="0"/>
      <w:marRight w:val="0"/>
      <w:marTop w:val="0"/>
      <w:marBottom w:val="0"/>
      <w:divBdr>
        <w:top w:val="none" w:sz="0" w:space="0" w:color="auto"/>
        <w:left w:val="none" w:sz="0" w:space="0" w:color="auto"/>
        <w:bottom w:val="none" w:sz="0" w:space="0" w:color="auto"/>
        <w:right w:val="none" w:sz="0" w:space="0" w:color="auto"/>
      </w:divBdr>
    </w:div>
    <w:div w:id="1935555096">
      <w:bodyDiv w:val="1"/>
      <w:marLeft w:val="0"/>
      <w:marRight w:val="0"/>
      <w:marTop w:val="0"/>
      <w:marBottom w:val="0"/>
      <w:divBdr>
        <w:top w:val="none" w:sz="0" w:space="0" w:color="auto"/>
        <w:left w:val="none" w:sz="0" w:space="0" w:color="auto"/>
        <w:bottom w:val="none" w:sz="0" w:space="0" w:color="auto"/>
        <w:right w:val="none" w:sz="0" w:space="0" w:color="auto"/>
      </w:divBdr>
    </w:div>
    <w:div w:id="1938512266">
      <w:bodyDiv w:val="1"/>
      <w:marLeft w:val="0"/>
      <w:marRight w:val="0"/>
      <w:marTop w:val="0"/>
      <w:marBottom w:val="0"/>
      <w:divBdr>
        <w:top w:val="none" w:sz="0" w:space="0" w:color="auto"/>
        <w:left w:val="none" w:sz="0" w:space="0" w:color="auto"/>
        <w:bottom w:val="none" w:sz="0" w:space="0" w:color="auto"/>
        <w:right w:val="none" w:sz="0" w:space="0" w:color="auto"/>
      </w:divBdr>
    </w:div>
    <w:div w:id="1939481702">
      <w:bodyDiv w:val="1"/>
      <w:marLeft w:val="0"/>
      <w:marRight w:val="0"/>
      <w:marTop w:val="0"/>
      <w:marBottom w:val="0"/>
      <w:divBdr>
        <w:top w:val="none" w:sz="0" w:space="0" w:color="auto"/>
        <w:left w:val="none" w:sz="0" w:space="0" w:color="auto"/>
        <w:bottom w:val="none" w:sz="0" w:space="0" w:color="auto"/>
        <w:right w:val="none" w:sz="0" w:space="0" w:color="auto"/>
      </w:divBdr>
    </w:div>
    <w:div w:id="1941064884">
      <w:bodyDiv w:val="1"/>
      <w:marLeft w:val="0"/>
      <w:marRight w:val="0"/>
      <w:marTop w:val="0"/>
      <w:marBottom w:val="0"/>
      <w:divBdr>
        <w:top w:val="none" w:sz="0" w:space="0" w:color="auto"/>
        <w:left w:val="none" w:sz="0" w:space="0" w:color="auto"/>
        <w:bottom w:val="none" w:sz="0" w:space="0" w:color="auto"/>
        <w:right w:val="none" w:sz="0" w:space="0" w:color="auto"/>
      </w:divBdr>
    </w:div>
    <w:div w:id="1941984168">
      <w:bodyDiv w:val="1"/>
      <w:marLeft w:val="0"/>
      <w:marRight w:val="0"/>
      <w:marTop w:val="0"/>
      <w:marBottom w:val="0"/>
      <w:divBdr>
        <w:top w:val="none" w:sz="0" w:space="0" w:color="auto"/>
        <w:left w:val="none" w:sz="0" w:space="0" w:color="auto"/>
        <w:bottom w:val="none" w:sz="0" w:space="0" w:color="auto"/>
        <w:right w:val="none" w:sz="0" w:space="0" w:color="auto"/>
      </w:divBdr>
    </w:div>
    <w:div w:id="1942302874">
      <w:bodyDiv w:val="1"/>
      <w:marLeft w:val="0"/>
      <w:marRight w:val="0"/>
      <w:marTop w:val="0"/>
      <w:marBottom w:val="0"/>
      <w:divBdr>
        <w:top w:val="none" w:sz="0" w:space="0" w:color="auto"/>
        <w:left w:val="none" w:sz="0" w:space="0" w:color="auto"/>
        <w:bottom w:val="none" w:sz="0" w:space="0" w:color="auto"/>
        <w:right w:val="none" w:sz="0" w:space="0" w:color="auto"/>
      </w:divBdr>
    </w:div>
    <w:div w:id="1943370823">
      <w:bodyDiv w:val="1"/>
      <w:marLeft w:val="0"/>
      <w:marRight w:val="0"/>
      <w:marTop w:val="0"/>
      <w:marBottom w:val="0"/>
      <w:divBdr>
        <w:top w:val="none" w:sz="0" w:space="0" w:color="auto"/>
        <w:left w:val="none" w:sz="0" w:space="0" w:color="auto"/>
        <w:bottom w:val="none" w:sz="0" w:space="0" w:color="auto"/>
        <w:right w:val="none" w:sz="0" w:space="0" w:color="auto"/>
      </w:divBdr>
    </w:div>
    <w:div w:id="1946844269">
      <w:bodyDiv w:val="1"/>
      <w:marLeft w:val="0"/>
      <w:marRight w:val="0"/>
      <w:marTop w:val="0"/>
      <w:marBottom w:val="0"/>
      <w:divBdr>
        <w:top w:val="none" w:sz="0" w:space="0" w:color="auto"/>
        <w:left w:val="none" w:sz="0" w:space="0" w:color="auto"/>
        <w:bottom w:val="none" w:sz="0" w:space="0" w:color="auto"/>
        <w:right w:val="none" w:sz="0" w:space="0" w:color="auto"/>
      </w:divBdr>
    </w:div>
    <w:div w:id="1950234624">
      <w:bodyDiv w:val="1"/>
      <w:marLeft w:val="0"/>
      <w:marRight w:val="0"/>
      <w:marTop w:val="0"/>
      <w:marBottom w:val="0"/>
      <w:divBdr>
        <w:top w:val="none" w:sz="0" w:space="0" w:color="auto"/>
        <w:left w:val="none" w:sz="0" w:space="0" w:color="auto"/>
        <w:bottom w:val="none" w:sz="0" w:space="0" w:color="auto"/>
        <w:right w:val="none" w:sz="0" w:space="0" w:color="auto"/>
      </w:divBdr>
    </w:div>
    <w:div w:id="1952083592">
      <w:bodyDiv w:val="1"/>
      <w:marLeft w:val="0"/>
      <w:marRight w:val="0"/>
      <w:marTop w:val="0"/>
      <w:marBottom w:val="0"/>
      <w:divBdr>
        <w:top w:val="none" w:sz="0" w:space="0" w:color="auto"/>
        <w:left w:val="none" w:sz="0" w:space="0" w:color="auto"/>
        <w:bottom w:val="none" w:sz="0" w:space="0" w:color="auto"/>
        <w:right w:val="none" w:sz="0" w:space="0" w:color="auto"/>
      </w:divBdr>
    </w:div>
    <w:div w:id="1953051512">
      <w:bodyDiv w:val="1"/>
      <w:marLeft w:val="0"/>
      <w:marRight w:val="0"/>
      <w:marTop w:val="0"/>
      <w:marBottom w:val="0"/>
      <w:divBdr>
        <w:top w:val="none" w:sz="0" w:space="0" w:color="auto"/>
        <w:left w:val="none" w:sz="0" w:space="0" w:color="auto"/>
        <w:bottom w:val="none" w:sz="0" w:space="0" w:color="auto"/>
        <w:right w:val="none" w:sz="0" w:space="0" w:color="auto"/>
      </w:divBdr>
    </w:div>
    <w:div w:id="1953660707">
      <w:bodyDiv w:val="1"/>
      <w:marLeft w:val="0"/>
      <w:marRight w:val="0"/>
      <w:marTop w:val="0"/>
      <w:marBottom w:val="0"/>
      <w:divBdr>
        <w:top w:val="none" w:sz="0" w:space="0" w:color="auto"/>
        <w:left w:val="none" w:sz="0" w:space="0" w:color="auto"/>
        <w:bottom w:val="none" w:sz="0" w:space="0" w:color="auto"/>
        <w:right w:val="none" w:sz="0" w:space="0" w:color="auto"/>
      </w:divBdr>
    </w:div>
    <w:div w:id="1953895601">
      <w:bodyDiv w:val="1"/>
      <w:marLeft w:val="0"/>
      <w:marRight w:val="0"/>
      <w:marTop w:val="0"/>
      <w:marBottom w:val="0"/>
      <w:divBdr>
        <w:top w:val="none" w:sz="0" w:space="0" w:color="auto"/>
        <w:left w:val="none" w:sz="0" w:space="0" w:color="auto"/>
        <w:bottom w:val="none" w:sz="0" w:space="0" w:color="auto"/>
        <w:right w:val="none" w:sz="0" w:space="0" w:color="auto"/>
      </w:divBdr>
    </w:div>
    <w:div w:id="1954239070">
      <w:bodyDiv w:val="1"/>
      <w:marLeft w:val="0"/>
      <w:marRight w:val="0"/>
      <w:marTop w:val="0"/>
      <w:marBottom w:val="0"/>
      <w:divBdr>
        <w:top w:val="none" w:sz="0" w:space="0" w:color="auto"/>
        <w:left w:val="none" w:sz="0" w:space="0" w:color="auto"/>
        <w:bottom w:val="none" w:sz="0" w:space="0" w:color="auto"/>
        <w:right w:val="none" w:sz="0" w:space="0" w:color="auto"/>
      </w:divBdr>
    </w:div>
    <w:div w:id="1954512448">
      <w:bodyDiv w:val="1"/>
      <w:marLeft w:val="0"/>
      <w:marRight w:val="0"/>
      <w:marTop w:val="0"/>
      <w:marBottom w:val="0"/>
      <w:divBdr>
        <w:top w:val="none" w:sz="0" w:space="0" w:color="auto"/>
        <w:left w:val="none" w:sz="0" w:space="0" w:color="auto"/>
        <w:bottom w:val="none" w:sz="0" w:space="0" w:color="auto"/>
        <w:right w:val="none" w:sz="0" w:space="0" w:color="auto"/>
      </w:divBdr>
    </w:div>
    <w:div w:id="1958440931">
      <w:bodyDiv w:val="1"/>
      <w:marLeft w:val="0"/>
      <w:marRight w:val="0"/>
      <w:marTop w:val="0"/>
      <w:marBottom w:val="0"/>
      <w:divBdr>
        <w:top w:val="none" w:sz="0" w:space="0" w:color="auto"/>
        <w:left w:val="none" w:sz="0" w:space="0" w:color="auto"/>
        <w:bottom w:val="none" w:sz="0" w:space="0" w:color="auto"/>
        <w:right w:val="none" w:sz="0" w:space="0" w:color="auto"/>
      </w:divBdr>
    </w:div>
    <w:div w:id="1959800112">
      <w:bodyDiv w:val="1"/>
      <w:marLeft w:val="0"/>
      <w:marRight w:val="0"/>
      <w:marTop w:val="0"/>
      <w:marBottom w:val="0"/>
      <w:divBdr>
        <w:top w:val="none" w:sz="0" w:space="0" w:color="auto"/>
        <w:left w:val="none" w:sz="0" w:space="0" w:color="auto"/>
        <w:bottom w:val="none" w:sz="0" w:space="0" w:color="auto"/>
        <w:right w:val="none" w:sz="0" w:space="0" w:color="auto"/>
      </w:divBdr>
    </w:div>
    <w:div w:id="1962760917">
      <w:bodyDiv w:val="1"/>
      <w:marLeft w:val="0"/>
      <w:marRight w:val="0"/>
      <w:marTop w:val="0"/>
      <w:marBottom w:val="0"/>
      <w:divBdr>
        <w:top w:val="none" w:sz="0" w:space="0" w:color="auto"/>
        <w:left w:val="none" w:sz="0" w:space="0" w:color="auto"/>
        <w:bottom w:val="none" w:sz="0" w:space="0" w:color="auto"/>
        <w:right w:val="none" w:sz="0" w:space="0" w:color="auto"/>
      </w:divBdr>
    </w:div>
    <w:div w:id="1967467786">
      <w:bodyDiv w:val="1"/>
      <w:marLeft w:val="0"/>
      <w:marRight w:val="0"/>
      <w:marTop w:val="0"/>
      <w:marBottom w:val="0"/>
      <w:divBdr>
        <w:top w:val="none" w:sz="0" w:space="0" w:color="auto"/>
        <w:left w:val="none" w:sz="0" w:space="0" w:color="auto"/>
        <w:bottom w:val="none" w:sz="0" w:space="0" w:color="auto"/>
        <w:right w:val="none" w:sz="0" w:space="0" w:color="auto"/>
      </w:divBdr>
    </w:div>
    <w:div w:id="1969817876">
      <w:bodyDiv w:val="1"/>
      <w:marLeft w:val="0"/>
      <w:marRight w:val="0"/>
      <w:marTop w:val="0"/>
      <w:marBottom w:val="0"/>
      <w:divBdr>
        <w:top w:val="none" w:sz="0" w:space="0" w:color="auto"/>
        <w:left w:val="none" w:sz="0" w:space="0" w:color="auto"/>
        <w:bottom w:val="none" w:sz="0" w:space="0" w:color="auto"/>
        <w:right w:val="none" w:sz="0" w:space="0" w:color="auto"/>
      </w:divBdr>
    </w:div>
    <w:div w:id="1970431667">
      <w:bodyDiv w:val="1"/>
      <w:marLeft w:val="0"/>
      <w:marRight w:val="0"/>
      <w:marTop w:val="0"/>
      <w:marBottom w:val="0"/>
      <w:divBdr>
        <w:top w:val="none" w:sz="0" w:space="0" w:color="auto"/>
        <w:left w:val="none" w:sz="0" w:space="0" w:color="auto"/>
        <w:bottom w:val="none" w:sz="0" w:space="0" w:color="auto"/>
        <w:right w:val="none" w:sz="0" w:space="0" w:color="auto"/>
      </w:divBdr>
    </w:div>
    <w:div w:id="1973366190">
      <w:bodyDiv w:val="1"/>
      <w:marLeft w:val="0"/>
      <w:marRight w:val="0"/>
      <w:marTop w:val="0"/>
      <w:marBottom w:val="0"/>
      <w:divBdr>
        <w:top w:val="none" w:sz="0" w:space="0" w:color="auto"/>
        <w:left w:val="none" w:sz="0" w:space="0" w:color="auto"/>
        <w:bottom w:val="none" w:sz="0" w:space="0" w:color="auto"/>
        <w:right w:val="none" w:sz="0" w:space="0" w:color="auto"/>
      </w:divBdr>
    </w:div>
    <w:div w:id="1976593863">
      <w:bodyDiv w:val="1"/>
      <w:marLeft w:val="0"/>
      <w:marRight w:val="0"/>
      <w:marTop w:val="0"/>
      <w:marBottom w:val="0"/>
      <w:divBdr>
        <w:top w:val="none" w:sz="0" w:space="0" w:color="auto"/>
        <w:left w:val="none" w:sz="0" w:space="0" w:color="auto"/>
        <w:bottom w:val="none" w:sz="0" w:space="0" w:color="auto"/>
        <w:right w:val="none" w:sz="0" w:space="0" w:color="auto"/>
      </w:divBdr>
    </w:div>
    <w:div w:id="1980570071">
      <w:bodyDiv w:val="1"/>
      <w:marLeft w:val="0"/>
      <w:marRight w:val="0"/>
      <w:marTop w:val="0"/>
      <w:marBottom w:val="0"/>
      <w:divBdr>
        <w:top w:val="none" w:sz="0" w:space="0" w:color="auto"/>
        <w:left w:val="none" w:sz="0" w:space="0" w:color="auto"/>
        <w:bottom w:val="none" w:sz="0" w:space="0" w:color="auto"/>
        <w:right w:val="none" w:sz="0" w:space="0" w:color="auto"/>
      </w:divBdr>
    </w:div>
    <w:div w:id="1981808684">
      <w:bodyDiv w:val="1"/>
      <w:marLeft w:val="0"/>
      <w:marRight w:val="0"/>
      <w:marTop w:val="0"/>
      <w:marBottom w:val="0"/>
      <w:divBdr>
        <w:top w:val="none" w:sz="0" w:space="0" w:color="auto"/>
        <w:left w:val="none" w:sz="0" w:space="0" w:color="auto"/>
        <w:bottom w:val="none" w:sz="0" w:space="0" w:color="auto"/>
        <w:right w:val="none" w:sz="0" w:space="0" w:color="auto"/>
      </w:divBdr>
    </w:div>
    <w:div w:id="1984894219">
      <w:bodyDiv w:val="1"/>
      <w:marLeft w:val="0"/>
      <w:marRight w:val="0"/>
      <w:marTop w:val="0"/>
      <w:marBottom w:val="0"/>
      <w:divBdr>
        <w:top w:val="none" w:sz="0" w:space="0" w:color="auto"/>
        <w:left w:val="none" w:sz="0" w:space="0" w:color="auto"/>
        <w:bottom w:val="none" w:sz="0" w:space="0" w:color="auto"/>
        <w:right w:val="none" w:sz="0" w:space="0" w:color="auto"/>
      </w:divBdr>
    </w:div>
    <w:div w:id="1986423668">
      <w:bodyDiv w:val="1"/>
      <w:marLeft w:val="0"/>
      <w:marRight w:val="0"/>
      <w:marTop w:val="0"/>
      <w:marBottom w:val="0"/>
      <w:divBdr>
        <w:top w:val="none" w:sz="0" w:space="0" w:color="auto"/>
        <w:left w:val="none" w:sz="0" w:space="0" w:color="auto"/>
        <w:bottom w:val="none" w:sz="0" w:space="0" w:color="auto"/>
        <w:right w:val="none" w:sz="0" w:space="0" w:color="auto"/>
      </w:divBdr>
    </w:div>
    <w:div w:id="1988625261">
      <w:bodyDiv w:val="1"/>
      <w:marLeft w:val="0"/>
      <w:marRight w:val="0"/>
      <w:marTop w:val="0"/>
      <w:marBottom w:val="0"/>
      <w:divBdr>
        <w:top w:val="none" w:sz="0" w:space="0" w:color="auto"/>
        <w:left w:val="none" w:sz="0" w:space="0" w:color="auto"/>
        <w:bottom w:val="none" w:sz="0" w:space="0" w:color="auto"/>
        <w:right w:val="none" w:sz="0" w:space="0" w:color="auto"/>
      </w:divBdr>
    </w:div>
    <w:div w:id="1991447433">
      <w:bodyDiv w:val="1"/>
      <w:marLeft w:val="0"/>
      <w:marRight w:val="0"/>
      <w:marTop w:val="0"/>
      <w:marBottom w:val="0"/>
      <w:divBdr>
        <w:top w:val="none" w:sz="0" w:space="0" w:color="auto"/>
        <w:left w:val="none" w:sz="0" w:space="0" w:color="auto"/>
        <w:bottom w:val="none" w:sz="0" w:space="0" w:color="auto"/>
        <w:right w:val="none" w:sz="0" w:space="0" w:color="auto"/>
      </w:divBdr>
    </w:div>
    <w:div w:id="1992060627">
      <w:bodyDiv w:val="1"/>
      <w:marLeft w:val="0"/>
      <w:marRight w:val="0"/>
      <w:marTop w:val="0"/>
      <w:marBottom w:val="0"/>
      <w:divBdr>
        <w:top w:val="none" w:sz="0" w:space="0" w:color="auto"/>
        <w:left w:val="none" w:sz="0" w:space="0" w:color="auto"/>
        <w:bottom w:val="none" w:sz="0" w:space="0" w:color="auto"/>
        <w:right w:val="none" w:sz="0" w:space="0" w:color="auto"/>
      </w:divBdr>
    </w:div>
    <w:div w:id="1995450866">
      <w:bodyDiv w:val="1"/>
      <w:marLeft w:val="0"/>
      <w:marRight w:val="0"/>
      <w:marTop w:val="0"/>
      <w:marBottom w:val="0"/>
      <w:divBdr>
        <w:top w:val="none" w:sz="0" w:space="0" w:color="auto"/>
        <w:left w:val="none" w:sz="0" w:space="0" w:color="auto"/>
        <w:bottom w:val="none" w:sz="0" w:space="0" w:color="auto"/>
        <w:right w:val="none" w:sz="0" w:space="0" w:color="auto"/>
      </w:divBdr>
    </w:div>
    <w:div w:id="1996373967">
      <w:bodyDiv w:val="1"/>
      <w:marLeft w:val="0"/>
      <w:marRight w:val="0"/>
      <w:marTop w:val="0"/>
      <w:marBottom w:val="0"/>
      <w:divBdr>
        <w:top w:val="none" w:sz="0" w:space="0" w:color="auto"/>
        <w:left w:val="none" w:sz="0" w:space="0" w:color="auto"/>
        <w:bottom w:val="none" w:sz="0" w:space="0" w:color="auto"/>
        <w:right w:val="none" w:sz="0" w:space="0" w:color="auto"/>
      </w:divBdr>
    </w:div>
    <w:div w:id="1996376878">
      <w:bodyDiv w:val="1"/>
      <w:marLeft w:val="0"/>
      <w:marRight w:val="0"/>
      <w:marTop w:val="0"/>
      <w:marBottom w:val="0"/>
      <w:divBdr>
        <w:top w:val="none" w:sz="0" w:space="0" w:color="auto"/>
        <w:left w:val="none" w:sz="0" w:space="0" w:color="auto"/>
        <w:bottom w:val="none" w:sz="0" w:space="0" w:color="auto"/>
        <w:right w:val="none" w:sz="0" w:space="0" w:color="auto"/>
      </w:divBdr>
    </w:div>
    <w:div w:id="1998269173">
      <w:bodyDiv w:val="1"/>
      <w:marLeft w:val="0"/>
      <w:marRight w:val="0"/>
      <w:marTop w:val="0"/>
      <w:marBottom w:val="0"/>
      <w:divBdr>
        <w:top w:val="none" w:sz="0" w:space="0" w:color="auto"/>
        <w:left w:val="none" w:sz="0" w:space="0" w:color="auto"/>
        <w:bottom w:val="none" w:sz="0" w:space="0" w:color="auto"/>
        <w:right w:val="none" w:sz="0" w:space="0" w:color="auto"/>
      </w:divBdr>
    </w:div>
    <w:div w:id="1998456532">
      <w:bodyDiv w:val="1"/>
      <w:marLeft w:val="0"/>
      <w:marRight w:val="0"/>
      <w:marTop w:val="0"/>
      <w:marBottom w:val="0"/>
      <w:divBdr>
        <w:top w:val="none" w:sz="0" w:space="0" w:color="auto"/>
        <w:left w:val="none" w:sz="0" w:space="0" w:color="auto"/>
        <w:bottom w:val="none" w:sz="0" w:space="0" w:color="auto"/>
        <w:right w:val="none" w:sz="0" w:space="0" w:color="auto"/>
      </w:divBdr>
    </w:div>
    <w:div w:id="2003580655">
      <w:bodyDiv w:val="1"/>
      <w:marLeft w:val="0"/>
      <w:marRight w:val="0"/>
      <w:marTop w:val="0"/>
      <w:marBottom w:val="0"/>
      <w:divBdr>
        <w:top w:val="none" w:sz="0" w:space="0" w:color="auto"/>
        <w:left w:val="none" w:sz="0" w:space="0" w:color="auto"/>
        <w:bottom w:val="none" w:sz="0" w:space="0" w:color="auto"/>
        <w:right w:val="none" w:sz="0" w:space="0" w:color="auto"/>
      </w:divBdr>
    </w:div>
    <w:div w:id="2004114965">
      <w:bodyDiv w:val="1"/>
      <w:marLeft w:val="0"/>
      <w:marRight w:val="0"/>
      <w:marTop w:val="0"/>
      <w:marBottom w:val="0"/>
      <w:divBdr>
        <w:top w:val="none" w:sz="0" w:space="0" w:color="auto"/>
        <w:left w:val="none" w:sz="0" w:space="0" w:color="auto"/>
        <w:bottom w:val="none" w:sz="0" w:space="0" w:color="auto"/>
        <w:right w:val="none" w:sz="0" w:space="0" w:color="auto"/>
      </w:divBdr>
    </w:div>
    <w:div w:id="2004385076">
      <w:bodyDiv w:val="1"/>
      <w:marLeft w:val="0"/>
      <w:marRight w:val="0"/>
      <w:marTop w:val="0"/>
      <w:marBottom w:val="0"/>
      <w:divBdr>
        <w:top w:val="none" w:sz="0" w:space="0" w:color="auto"/>
        <w:left w:val="none" w:sz="0" w:space="0" w:color="auto"/>
        <w:bottom w:val="none" w:sz="0" w:space="0" w:color="auto"/>
        <w:right w:val="none" w:sz="0" w:space="0" w:color="auto"/>
      </w:divBdr>
    </w:div>
    <w:div w:id="2004552233">
      <w:bodyDiv w:val="1"/>
      <w:marLeft w:val="0"/>
      <w:marRight w:val="0"/>
      <w:marTop w:val="0"/>
      <w:marBottom w:val="0"/>
      <w:divBdr>
        <w:top w:val="none" w:sz="0" w:space="0" w:color="auto"/>
        <w:left w:val="none" w:sz="0" w:space="0" w:color="auto"/>
        <w:bottom w:val="none" w:sz="0" w:space="0" w:color="auto"/>
        <w:right w:val="none" w:sz="0" w:space="0" w:color="auto"/>
      </w:divBdr>
    </w:div>
    <w:div w:id="2005742495">
      <w:bodyDiv w:val="1"/>
      <w:marLeft w:val="0"/>
      <w:marRight w:val="0"/>
      <w:marTop w:val="0"/>
      <w:marBottom w:val="0"/>
      <w:divBdr>
        <w:top w:val="none" w:sz="0" w:space="0" w:color="auto"/>
        <w:left w:val="none" w:sz="0" w:space="0" w:color="auto"/>
        <w:bottom w:val="none" w:sz="0" w:space="0" w:color="auto"/>
        <w:right w:val="none" w:sz="0" w:space="0" w:color="auto"/>
      </w:divBdr>
    </w:div>
    <w:div w:id="2006206220">
      <w:bodyDiv w:val="1"/>
      <w:marLeft w:val="0"/>
      <w:marRight w:val="0"/>
      <w:marTop w:val="0"/>
      <w:marBottom w:val="0"/>
      <w:divBdr>
        <w:top w:val="none" w:sz="0" w:space="0" w:color="auto"/>
        <w:left w:val="none" w:sz="0" w:space="0" w:color="auto"/>
        <w:bottom w:val="none" w:sz="0" w:space="0" w:color="auto"/>
        <w:right w:val="none" w:sz="0" w:space="0" w:color="auto"/>
      </w:divBdr>
    </w:div>
    <w:div w:id="2010213045">
      <w:bodyDiv w:val="1"/>
      <w:marLeft w:val="0"/>
      <w:marRight w:val="0"/>
      <w:marTop w:val="0"/>
      <w:marBottom w:val="0"/>
      <w:divBdr>
        <w:top w:val="none" w:sz="0" w:space="0" w:color="auto"/>
        <w:left w:val="none" w:sz="0" w:space="0" w:color="auto"/>
        <w:bottom w:val="none" w:sz="0" w:space="0" w:color="auto"/>
        <w:right w:val="none" w:sz="0" w:space="0" w:color="auto"/>
      </w:divBdr>
    </w:div>
    <w:div w:id="2012289537">
      <w:bodyDiv w:val="1"/>
      <w:marLeft w:val="0"/>
      <w:marRight w:val="0"/>
      <w:marTop w:val="0"/>
      <w:marBottom w:val="0"/>
      <w:divBdr>
        <w:top w:val="none" w:sz="0" w:space="0" w:color="auto"/>
        <w:left w:val="none" w:sz="0" w:space="0" w:color="auto"/>
        <w:bottom w:val="none" w:sz="0" w:space="0" w:color="auto"/>
        <w:right w:val="none" w:sz="0" w:space="0" w:color="auto"/>
      </w:divBdr>
    </w:div>
    <w:div w:id="2012415779">
      <w:bodyDiv w:val="1"/>
      <w:marLeft w:val="0"/>
      <w:marRight w:val="0"/>
      <w:marTop w:val="0"/>
      <w:marBottom w:val="0"/>
      <w:divBdr>
        <w:top w:val="none" w:sz="0" w:space="0" w:color="auto"/>
        <w:left w:val="none" w:sz="0" w:space="0" w:color="auto"/>
        <w:bottom w:val="none" w:sz="0" w:space="0" w:color="auto"/>
        <w:right w:val="none" w:sz="0" w:space="0" w:color="auto"/>
      </w:divBdr>
    </w:div>
    <w:div w:id="2013750225">
      <w:bodyDiv w:val="1"/>
      <w:marLeft w:val="0"/>
      <w:marRight w:val="0"/>
      <w:marTop w:val="0"/>
      <w:marBottom w:val="0"/>
      <w:divBdr>
        <w:top w:val="none" w:sz="0" w:space="0" w:color="auto"/>
        <w:left w:val="none" w:sz="0" w:space="0" w:color="auto"/>
        <w:bottom w:val="none" w:sz="0" w:space="0" w:color="auto"/>
        <w:right w:val="none" w:sz="0" w:space="0" w:color="auto"/>
      </w:divBdr>
    </w:div>
    <w:div w:id="2013801744">
      <w:bodyDiv w:val="1"/>
      <w:marLeft w:val="0"/>
      <w:marRight w:val="0"/>
      <w:marTop w:val="0"/>
      <w:marBottom w:val="0"/>
      <w:divBdr>
        <w:top w:val="none" w:sz="0" w:space="0" w:color="auto"/>
        <w:left w:val="none" w:sz="0" w:space="0" w:color="auto"/>
        <w:bottom w:val="none" w:sz="0" w:space="0" w:color="auto"/>
        <w:right w:val="none" w:sz="0" w:space="0" w:color="auto"/>
      </w:divBdr>
    </w:div>
    <w:div w:id="2014065460">
      <w:bodyDiv w:val="1"/>
      <w:marLeft w:val="0"/>
      <w:marRight w:val="0"/>
      <w:marTop w:val="0"/>
      <w:marBottom w:val="0"/>
      <w:divBdr>
        <w:top w:val="none" w:sz="0" w:space="0" w:color="auto"/>
        <w:left w:val="none" w:sz="0" w:space="0" w:color="auto"/>
        <w:bottom w:val="none" w:sz="0" w:space="0" w:color="auto"/>
        <w:right w:val="none" w:sz="0" w:space="0" w:color="auto"/>
      </w:divBdr>
    </w:div>
    <w:div w:id="2014263959">
      <w:bodyDiv w:val="1"/>
      <w:marLeft w:val="0"/>
      <w:marRight w:val="0"/>
      <w:marTop w:val="0"/>
      <w:marBottom w:val="0"/>
      <w:divBdr>
        <w:top w:val="none" w:sz="0" w:space="0" w:color="auto"/>
        <w:left w:val="none" w:sz="0" w:space="0" w:color="auto"/>
        <w:bottom w:val="none" w:sz="0" w:space="0" w:color="auto"/>
        <w:right w:val="none" w:sz="0" w:space="0" w:color="auto"/>
      </w:divBdr>
    </w:div>
    <w:div w:id="2019427780">
      <w:bodyDiv w:val="1"/>
      <w:marLeft w:val="0"/>
      <w:marRight w:val="0"/>
      <w:marTop w:val="0"/>
      <w:marBottom w:val="0"/>
      <w:divBdr>
        <w:top w:val="none" w:sz="0" w:space="0" w:color="auto"/>
        <w:left w:val="none" w:sz="0" w:space="0" w:color="auto"/>
        <w:bottom w:val="none" w:sz="0" w:space="0" w:color="auto"/>
        <w:right w:val="none" w:sz="0" w:space="0" w:color="auto"/>
      </w:divBdr>
    </w:div>
    <w:div w:id="2021278913">
      <w:bodyDiv w:val="1"/>
      <w:marLeft w:val="0"/>
      <w:marRight w:val="0"/>
      <w:marTop w:val="0"/>
      <w:marBottom w:val="0"/>
      <w:divBdr>
        <w:top w:val="none" w:sz="0" w:space="0" w:color="auto"/>
        <w:left w:val="none" w:sz="0" w:space="0" w:color="auto"/>
        <w:bottom w:val="none" w:sz="0" w:space="0" w:color="auto"/>
        <w:right w:val="none" w:sz="0" w:space="0" w:color="auto"/>
      </w:divBdr>
    </w:div>
    <w:div w:id="2025352696">
      <w:bodyDiv w:val="1"/>
      <w:marLeft w:val="0"/>
      <w:marRight w:val="0"/>
      <w:marTop w:val="0"/>
      <w:marBottom w:val="0"/>
      <w:divBdr>
        <w:top w:val="none" w:sz="0" w:space="0" w:color="auto"/>
        <w:left w:val="none" w:sz="0" w:space="0" w:color="auto"/>
        <w:bottom w:val="none" w:sz="0" w:space="0" w:color="auto"/>
        <w:right w:val="none" w:sz="0" w:space="0" w:color="auto"/>
      </w:divBdr>
    </w:div>
    <w:div w:id="2025595697">
      <w:bodyDiv w:val="1"/>
      <w:marLeft w:val="0"/>
      <w:marRight w:val="0"/>
      <w:marTop w:val="0"/>
      <w:marBottom w:val="0"/>
      <w:divBdr>
        <w:top w:val="none" w:sz="0" w:space="0" w:color="auto"/>
        <w:left w:val="none" w:sz="0" w:space="0" w:color="auto"/>
        <w:bottom w:val="none" w:sz="0" w:space="0" w:color="auto"/>
        <w:right w:val="none" w:sz="0" w:space="0" w:color="auto"/>
      </w:divBdr>
    </w:div>
    <w:div w:id="2027443751">
      <w:bodyDiv w:val="1"/>
      <w:marLeft w:val="0"/>
      <w:marRight w:val="0"/>
      <w:marTop w:val="0"/>
      <w:marBottom w:val="0"/>
      <w:divBdr>
        <w:top w:val="none" w:sz="0" w:space="0" w:color="auto"/>
        <w:left w:val="none" w:sz="0" w:space="0" w:color="auto"/>
        <w:bottom w:val="none" w:sz="0" w:space="0" w:color="auto"/>
        <w:right w:val="none" w:sz="0" w:space="0" w:color="auto"/>
      </w:divBdr>
    </w:div>
    <w:div w:id="2028865211">
      <w:bodyDiv w:val="1"/>
      <w:marLeft w:val="0"/>
      <w:marRight w:val="0"/>
      <w:marTop w:val="0"/>
      <w:marBottom w:val="0"/>
      <w:divBdr>
        <w:top w:val="none" w:sz="0" w:space="0" w:color="auto"/>
        <w:left w:val="none" w:sz="0" w:space="0" w:color="auto"/>
        <w:bottom w:val="none" w:sz="0" w:space="0" w:color="auto"/>
        <w:right w:val="none" w:sz="0" w:space="0" w:color="auto"/>
      </w:divBdr>
    </w:div>
    <w:div w:id="2029020658">
      <w:bodyDiv w:val="1"/>
      <w:marLeft w:val="0"/>
      <w:marRight w:val="0"/>
      <w:marTop w:val="0"/>
      <w:marBottom w:val="0"/>
      <w:divBdr>
        <w:top w:val="none" w:sz="0" w:space="0" w:color="auto"/>
        <w:left w:val="none" w:sz="0" w:space="0" w:color="auto"/>
        <w:bottom w:val="none" w:sz="0" w:space="0" w:color="auto"/>
        <w:right w:val="none" w:sz="0" w:space="0" w:color="auto"/>
      </w:divBdr>
    </w:div>
    <w:div w:id="2034264977">
      <w:bodyDiv w:val="1"/>
      <w:marLeft w:val="0"/>
      <w:marRight w:val="0"/>
      <w:marTop w:val="0"/>
      <w:marBottom w:val="0"/>
      <w:divBdr>
        <w:top w:val="none" w:sz="0" w:space="0" w:color="auto"/>
        <w:left w:val="none" w:sz="0" w:space="0" w:color="auto"/>
        <w:bottom w:val="none" w:sz="0" w:space="0" w:color="auto"/>
        <w:right w:val="none" w:sz="0" w:space="0" w:color="auto"/>
      </w:divBdr>
    </w:div>
    <w:div w:id="2034576226">
      <w:bodyDiv w:val="1"/>
      <w:marLeft w:val="0"/>
      <w:marRight w:val="0"/>
      <w:marTop w:val="0"/>
      <w:marBottom w:val="0"/>
      <w:divBdr>
        <w:top w:val="none" w:sz="0" w:space="0" w:color="auto"/>
        <w:left w:val="none" w:sz="0" w:space="0" w:color="auto"/>
        <w:bottom w:val="none" w:sz="0" w:space="0" w:color="auto"/>
        <w:right w:val="none" w:sz="0" w:space="0" w:color="auto"/>
      </w:divBdr>
    </w:div>
    <w:div w:id="2035959413">
      <w:bodyDiv w:val="1"/>
      <w:marLeft w:val="0"/>
      <w:marRight w:val="0"/>
      <w:marTop w:val="0"/>
      <w:marBottom w:val="0"/>
      <w:divBdr>
        <w:top w:val="none" w:sz="0" w:space="0" w:color="auto"/>
        <w:left w:val="none" w:sz="0" w:space="0" w:color="auto"/>
        <w:bottom w:val="none" w:sz="0" w:space="0" w:color="auto"/>
        <w:right w:val="none" w:sz="0" w:space="0" w:color="auto"/>
      </w:divBdr>
    </w:div>
    <w:div w:id="2036229143">
      <w:bodyDiv w:val="1"/>
      <w:marLeft w:val="0"/>
      <w:marRight w:val="0"/>
      <w:marTop w:val="0"/>
      <w:marBottom w:val="0"/>
      <w:divBdr>
        <w:top w:val="none" w:sz="0" w:space="0" w:color="auto"/>
        <w:left w:val="none" w:sz="0" w:space="0" w:color="auto"/>
        <w:bottom w:val="none" w:sz="0" w:space="0" w:color="auto"/>
        <w:right w:val="none" w:sz="0" w:space="0" w:color="auto"/>
      </w:divBdr>
    </w:div>
    <w:div w:id="2036492508">
      <w:bodyDiv w:val="1"/>
      <w:marLeft w:val="0"/>
      <w:marRight w:val="0"/>
      <w:marTop w:val="0"/>
      <w:marBottom w:val="0"/>
      <w:divBdr>
        <w:top w:val="none" w:sz="0" w:space="0" w:color="auto"/>
        <w:left w:val="none" w:sz="0" w:space="0" w:color="auto"/>
        <w:bottom w:val="none" w:sz="0" w:space="0" w:color="auto"/>
        <w:right w:val="none" w:sz="0" w:space="0" w:color="auto"/>
      </w:divBdr>
    </w:div>
    <w:div w:id="2039892836">
      <w:bodyDiv w:val="1"/>
      <w:marLeft w:val="0"/>
      <w:marRight w:val="0"/>
      <w:marTop w:val="0"/>
      <w:marBottom w:val="0"/>
      <w:divBdr>
        <w:top w:val="none" w:sz="0" w:space="0" w:color="auto"/>
        <w:left w:val="none" w:sz="0" w:space="0" w:color="auto"/>
        <w:bottom w:val="none" w:sz="0" w:space="0" w:color="auto"/>
        <w:right w:val="none" w:sz="0" w:space="0" w:color="auto"/>
      </w:divBdr>
    </w:div>
    <w:div w:id="2043633172">
      <w:bodyDiv w:val="1"/>
      <w:marLeft w:val="0"/>
      <w:marRight w:val="0"/>
      <w:marTop w:val="0"/>
      <w:marBottom w:val="0"/>
      <w:divBdr>
        <w:top w:val="none" w:sz="0" w:space="0" w:color="auto"/>
        <w:left w:val="none" w:sz="0" w:space="0" w:color="auto"/>
        <w:bottom w:val="none" w:sz="0" w:space="0" w:color="auto"/>
        <w:right w:val="none" w:sz="0" w:space="0" w:color="auto"/>
      </w:divBdr>
    </w:div>
    <w:div w:id="2045134335">
      <w:bodyDiv w:val="1"/>
      <w:marLeft w:val="0"/>
      <w:marRight w:val="0"/>
      <w:marTop w:val="0"/>
      <w:marBottom w:val="0"/>
      <w:divBdr>
        <w:top w:val="none" w:sz="0" w:space="0" w:color="auto"/>
        <w:left w:val="none" w:sz="0" w:space="0" w:color="auto"/>
        <w:bottom w:val="none" w:sz="0" w:space="0" w:color="auto"/>
        <w:right w:val="none" w:sz="0" w:space="0" w:color="auto"/>
      </w:divBdr>
    </w:div>
    <w:div w:id="2045248434">
      <w:bodyDiv w:val="1"/>
      <w:marLeft w:val="0"/>
      <w:marRight w:val="0"/>
      <w:marTop w:val="0"/>
      <w:marBottom w:val="0"/>
      <w:divBdr>
        <w:top w:val="none" w:sz="0" w:space="0" w:color="auto"/>
        <w:left w:val="none" w:sz="0" w:space="0" w:color="auto"/>
        <w:bottom w:val="none" w:sz="0" w:space="0" w:color="auto"/>
        <w:right w:val="none" w:sz="0" w:space="0" w:color="auto"/>
      </w:divBdr>
    </w:div>
    <w:div w:id="2045906278">
      <w:bodyDiv w:val="1"/>
      <w:marLeft w:val="0"/>
      <w:marRight w:val="0"/>
      <w:marTop w:val="0"/>
      <w:marBottom w:val="0"/>
      <w:divBdr>
        <w:top w:val="none" w:sz="0" w:space="0" w:color="auto"/>
        <w:left w:val="none" w:sz="0" w:space="0" w:color="auto"/>
        <w:bottom w:val="none" w:sz="0" w:space="0" w:color="auto"/>
        <w:right w:val="none" w:sz="0" w:space="0" w:color="auto"/>
      </w:divBdr>
    </w:div>
    <w:div w:id="2051762539">
      <w:bodyDiv w:val="1"/>
      <w:marLeft w:val="0"/>
      <w:marRight w:val="0"/>
      <w:marTop w:val="0"/>
      <w:marBottom w:val="0"/>
      <w:divBdr>
        <w:top w:val="none" w:sz="0" w:space="0" w:color="auto"/>
        <w:left w:val="none" w:sz="0" w:space="0" w:color="auto"/>
        <w:bottom w:val="none" w:sz="0" w:space="0" w:color="auto"/>
        <w:right w:val="none" w:sz="0" w:space="0" w:color="auto"/>
      </w:divBdr>
    </w:div>
    <w:div w:id="2058699807">
      <w:bodyDiv w:val="1"/>
      <w:marLeft w:val="0"/>
      <w:marRight w:val="0"/>
      <w:marTop w:val="0"/>
      <w:marBottom w:val="0"/>
      <w:divBdr>
        <w:top w:val="none" w:sz="0" w:space="0" w:color="auto"/>
        <w:left w:val="none" w:sz="0" w:space="0" w:color="auto"/>
        <w:bottom w:val="none" w:sz="0" w:space="0" w:color="auto"/>
        <w:right w:val="none" w:sz="0" w:space="0" w:color="auto"/>
      </w:divBdr>
    </w:div>
    <w:div w:id="2060282844">
      <w:bodyDiv w:val="1"/>
      <w:marLeft w:val="0"/>
      <w:marRight w:val="0"/>
      <w:marTop w:val="0"/>
      <w:marBottom w:val="0"/>
      <w:divBdr>
        <w:top w:val="none" w:sz="0" w:space="0" w:color="auto"/>
        <w:left w:val="none" w:sz="0" w:space="0" w:color="auto"/>
        <w:bottom w:val="none" w:sz="0" w:space="0" w:color="auto"/>
        <w:right w:val="none" w:sz="0" w:space="0" w:color="auto"/>
      </w:divBdr>
    </w:div>
    <w:div w:id="2061637029">
      <w:bodyDiv w:val="1"/>
      <w:marLeft w:val="0"/>
      <w:marRight w:val="0"/>
      <w:marTop w:val="0"/>
      <w:marBottom w:val="0"/>
      <w:divBdr>
        <w:top w:val="none" w:sz="0" w:space="0" w:color="auto"/>
        <w:left w:val="none" w:sz="0" w:space="0" w:color="auto"/>
        <w:bottom w:val="none" w:sz="0" w:space="0" w:color="auto"/>
        <w:right w:val="none" w:sz="0" w:space="0" w:color="auto"/>
      </w:divBdr>
    </w:div>
    <w:div w:id="2062748144">
      <w:bodyDiv w:val="1"/>
      <w:marLeft w:val="0"/>
      <w:marRight w:val="0"/>
      <w:marTop w:val="0"/>
      <w:marBottom w:val="0"/>
      <w:divBdr>
        <w:top w:val="none" w:sz="0" w:space="0" w:color="auto"/>
        <w:left w:val="none" w:sz="0" w:space="0" w:color="auto"/>
        <w:bottom w:val="none" w:sz="0" w:space="0" w:color="auto"/>
        <w:right w:val="none" w:sz="0" w:space="0" w:color="auto"/>
      </w:divBdr>
    </w:div>
    <w:div w:id="2067603894">
      <w:bodyDiv w:val="1"/>
      <w:marLeft w:val="0"/>
      <w:marRight w:val="0"/>
      <w:marTop w:val="0"/>
      <w:marBottom w:val="0"/>
      <w:divBdr>
        <w:top w:val="none" w:sz="0" w:space="0" w:color="auto"/>
        <w:left w:val="none" w:sz="0" w:space="0" w:color="auto"/>
        <w:bottom w:val="none" w:sz="0" w:space="0" w:color="auto"/>
        <w:right w:val="none" w:sz="0" w:space="0" w:color="auto"/>
      </w:divBdr>
    </w:div>
    <w:div w:id="2069065034">
      <w:bodyDiv w:val="1"/>
      <w:marLeft w:val="0"/>
      <w:marRight w:val="0"/>
      <w:marTop w:val="0"/>
      <w:marBottom w:val="0"/>
      <w:divBdr>
        <w:top w:val="none" w:sz="0" w:space="0" w:color="auto"/>
        <w:left w:val="none" w:sz="0" w:space="0" w:color="auto"/>
        <w:bottom w:val="none" w:sz="0" w:space="0" w:color="auto"/>
        <w:right w:val="none" w:sz="0" w:space="0" w:color="auto"/>
      </w:divBdr>
    </w:div>
    <w:div w:id="2070222689">
      <w:bodyDiv w:val="1"/>
      <w:marLeft w:val="0"/>
      <w:marRight w:val="0"/>
      <w:marTop w:val="0"/>
      <w:marBottom w:val="0"/>
      <w:divBdr>
        <w:top w:val="none" w:sz="0" w:space="0" w:color="auto"/>
        <w:left w:val="none" w:sz="0" w:space="0" w:color="auto"/>
        <w:bottom w:val="none" w:sz="0" w:space="0" w:color="auto"/>
        <w:right w:val="none" w:sz="0" w:space="0" w:color="auto"/>
      </w:divBdr>
    </w:div>
    <w:div w:id="2070415371">
      <w:bodyDiv w:val="1"/>
      <w:marLeft w:val="0"/>
      <w:marRight w:val="0"/>
      <w:marTop w:val="0"/>
      <w:marBottom w:val="0"/>
      <w:divBdr>
        <w:top w:val="none" w:sz="0" w:space="0" w:color="auto"/>
        <w:left w:val="none" w:sz="0" w:space="0" w:color="auto"/>
        <w:bottom w:val="none" w:sz="0" w:space="0" w:color="auto"/>
        <w:right w:val="none" w:sz="0" w:space="0" w:color="auto"/>
      </w:divBdr>
    </w:div>
    <w:div w:id="2070610399">
      <w:bodyDiv w:val="1"/>
      <w:marLeft w:val="0"/>
      <w:marRight w:val="0"/>
      <w:marTop w:val="0"/>
      <w:marBottom w:val="0"/>
      <w:divBdr>
        <w:top w:val="none" w:sz="0" w:space="0" w:color="auto"/>
        <w:left w:val="none" w:sz="0" w:space="0" w:color="auto"/>
        <w:bottom w:val="none" w:sz="0" w:space="0" w:color="auto"/>
        <w:right w:val="none" w:sz="0" w:space="0" w:color="auto"/>
      </w:divBdr>
    </w:div>
    <w:div w:id="2070810724">
      <w:bodyDiv w:val="1"/>
      <w:marLeft w:val="0"/>
      <w:marRight w:val="0"/>
      <w:marTop w:val="0"/>
      <w:marBottom w:val="0"/>
      <w:divBdr>
        <w:top w:val="none" w:sz="0" w:space="0" w:color="auto"/>
        <w:left w:val="none" w:sz="0" w:space="0" w:color="auto"/>
        <w:bottom w:val="none" w:sz="0" w:space="0" w:color="auto"/>
        <w:right w:val="none" w:sz="0" w:space="0" w:color="auto"/>
      </w:divBdr>
    </w:div>
    <w:div w:id="2070959673">
      <w:bodyDiv w:val="1"/>
      <w:marLeft w:val="0"/>
      <w:marRight w:val="0"/>
      <w:marTop w:val="0"/>
      <w:marBottom w:val="0"/>
      <w:divBdr>
        <w:top w:val="none" w:sz="0" w:space="0" w:color="auto"/>
        <w:left w:val="none" w:sz="0" w:space="0" w:color="auto"/>
        <w:bottom w:val="none" w:sz="0" w:space="0" w:color="auto"/>
        <w:right w:val="none" w:sz="0" w:space="0" w:color="auto"/>
      </w:divBdr>
    </w:div>
    <w:div w:id="2073119195">
      <w:bodyDiv w:val="1"/>
      <w:marLeft w:val="0"/>
      <w:marRight w:val="0"/>
      <w:marTop w:val="0"/>
      <w:marBottom w:val="0"/>
      <w:divBdr>
        <w:top w:val="none" w:sz="0" w:space="0" w:color="auto"/>
        <w:left w:val="none" w:sz="0" w:space="0" w:color="auto"/>
        <w:bottom w:val="none" w:sz="0" w:space="0" w:color="auto"/>
        <w:right w:val="none" w:sz="0" w:space="0" w:color="auto"/>
      </w:divBdr>
    </w:div>
    <w:div w:id="2075349424">
      <w:bodyDiv w:val="1"/>
      <w:marLeft w:val="0"/>
      <w:marRight w:val="0"/>
      <w:marTop w:val="0"/>
      <w:marBottom w:val="0"/>
      <w:divBdr>
        <w:top w:val="none" w:sz="0" w:space="0" w:color="auto"/>
        <w:left w:val="none" w:sz="0" w:space="0" w:color="auto"/>
        <w:bottom w:val="none" w:sz="0" w:space="0" w:color="auto"/>
        <w:right w:val="none" w:sz="0" w:space="0" w:color="auto"/>
      </w:divBdr>
    </w:div>
    <w:div w:id="2075471569">
      <w:bodyDiv w:val="1"/>
      <w:marLeft w:val="0"/>
      <w:marRight w:val="0"/>
      <w:marTop w:val="0"/>
      <w:marBottom w:val="0"/>
      <w:divBdr>
        <w:top w:val="none" w:sz="0" w:space="0" w:color="auto"/>
        <w:left w:val="none" w:sz="0" w:space="0" w:color="auto"/>
        <w:bottom w:val="none" w:sz="0" w:space="0" w:color="auto"/>
        <w:right w:val="none" w:sz="0" w:space="0" w:color="auto"/>
      </w:divBdr>
    </w:div>
    <w:div w:id="2076852113">
      <w:bodyDiv w:val="1"/>
      <w:marLeft w:val="0"/>
      <w:marRight w:val="0"/>
      <w:marTop w:val="0"/>
      <w:marBottom w:val="0"/>
      <w:divBdr>
        <w:top w:val="none" w:sz="0" w:space="0" w:color="auto"/>
        <w:left w:val="none" w:sz="0" w:space="0" w:color="auto"/>
        <w:bottom w:val="none" w:sz="0" w:space="0" w:color="auto"/>
        <w:right w:val="none" w:sz="0" w:space="0" w:color="auto"/>
      </w:divBdr>
    </w:div>
    <w:div w:id="2077166567">
      <w:bodyDiv w:val="1"/>
      <w:marLeft w:val="0"/>
      <w:marRight w:val="0"/>
      <w:marTop w:val="0"/>
      <w:marBottom w:val="0"/>
      <w:divBdr>
        <w:top w:val="none" w:sz="0" w:space="0" w:color="auto"/>
        <w:left w:val="none" w:sz="0" w:space="0" w:color="auto"/>
        <w:bottom w:val="none" w:sz="0" w:space="0" w:color="auto"/>
        <w:right w:val="none" w:sz="0" w:space="0" w:color="auto"/>
      </w:divBdr>
    </w:div>
    <w:div w:id="2078627287">
      <w:bodyDiv w:val="1"/>
      <w:marLeft w:val="0"/>
      <w:marRight w:val="0"/>
      <w:marTop w:val="0"/>
      <w:marBottom w:val="0"/>
      <w:divBdr>
        <w:top w:val="none" w:sz="0" w:space="0" w:color="auto"/>
        <w:left w:val="none" w:sz="0" w:space="0" w:color="auto"/>
        <w:bottom w:val="none" w:sz="0" w:space="0" w:color="auto"/>
        <w:right w:val="none" w:sz="0" w:space="0" w:color="auto"/>
      </w:divBdr>
    </w:div>
    <w:div w:id="2079355764">
      <w:bodyDiv w:val="1"/>
      <w:marLeft w:val="0"/>
      <w:marRight w:val="0"/>
      <w:marTop w:val="0"/>
      <w:marBottom w:val="0"/>
      <w:divBdr>
        <w:top w:val="none" w:sz="0" w:space="0" w:color="auto"/>
        <w:left w:val="none" w:sz="0" w:space="0" w:color="auto"/>
        <w:bottom w:val="none" w:sz="0" w:space="0" w:color="auto"/>
        <w:right w:val="none" w:sz="0" w:space="0" w:color="auto"/>
      </w:divBdr>
    </w:div>
    <w:div w:id="2081168199">
      <w:bodyDiv w:val="1"/>
      <w:marLeft w:val="0"/>
      <w:marRight w:val="0"/>
      <w:marTop w:val="0"/>
      <w:marBottom w:val="0"/>
      <w:divBdr>
        <w:top w:val="none" w:sz="0" w:space="0" w:color="auto"/>
        <w:left w:val="none" w:sz="0" w:space="0" w:color="auto"/>
        <w:bottom w:val="none" w:sz="0" w:space="0" w:color="auto"/>
        <w:right w:val="none" w:sz="0" w:space="0" w:color="auto"/>
      </w:divBdr>
    </w:div>
    <w:div w:id="2082173931">
      <w:bodyDiv w:val="1"/>
      <w:marLeft w:val="0"/>
      <w:marRight w:val="0"/>
      <w:marTop w:val="0"/>
      <w:marBottom w:val="0"/>
      <w:divBdr>
        <w:top w:val="none" w:sz="0" w:space="0" w:color="auto"/>
        <w:left w:val="none" w:sz="0" w:space="0" w:color="auto"/>
        <w:bottom w:val="none" w:sz="0" w:space="0" w:color="auto"/>
        <w:right w:val="none" w:sz="0" w:space="0" w:color="auto"/>
      </w:divBdr>
    </w:div>
    <w:div w:id="2084326529">
      <w:bodyDiv w:val="1"/>
      <w:marLeft w:val="0"/>
      <w:marRight w:val="0"/>
      <w:marTop w:val="0"/>
      <w:marBottom w:val="0"/>
      <w:divBdr>
        <w:top w:val="none" w:sz="0" w:space="0" w:color="auto"/>
        <w:left w:val="none" w:sz="0" w:space="0" w:color="auto"/>
        <w:bottom w:val="none" w:sz="0" w:space="0" w:color="auto"/>
        <w:right w:val="none" w:sz="0" w:space="0" w:color="auto"/>
      </w:divBdr>
    </w:div>
    <w:div w:id="2084792528">
      <w:bodyDiv w:val="1"/>
      <w:marLeft w:val="0"/>
      <w:marRight w:val="0"/>
      <w:marTop w:val="0"/>
      <w:marBottom w:val="0"/>
      <w:divBdr>
        <w:top w:val="none" w:sz="0" w:space="0" w:color="auto"/>
        <w:left w:val="none" w:sz="0" w:space="0" w:color="auto"/>
        <w:bottom w:val="none" w:sz="0" w:space="0" w:color="auto"/>
        <w:right w:val="none" w:sz="0" w:space="0" w:color="auto"/>
      </w:divBdr>
    </w:div>
    <w:div w:id="2085107641">
      <w:bodyDiv w:val="1"/>
      <w:marLeft w:val="0"/>
      <w:marRight w:val="0"/>
      <w:marTop w:val="0"/>
      <w:marBottom w:val="0"/>
      <w:divBdr>
        <w:top w:val="none" w:sz="0" w:space="0" w:color="auto"/>
        <w:left w:val="none" w:sz="0" w:space="0" w:color="auto"/>
        <w:bottom w:val="none" w:sz="0" w:space="0" w:color="auto"/>
        <w:right w:val="none" w:sz="0" w:space="0" w:color="auto"/>
      </w:divBdr>
    </w:div>
    <w:div w:id="2087071765">
      <w:bodyDiv w:val="1"/>
      <w:marLeft w:val="0"/>
      <w:marRight w:val="0"/>
      <w:marTop w:val="0"/>
      <w:marBottom w:val="0"/>
      <w:divBdr>
        <w:top w:val="none" w:sz="0" w:space="0" w:color="auto"/>
        <w:left w:val="none" w:sz="0" w:space="0" w:color="auto"/>
        <w:bottom w:val="none" w:sz="0" w:space="0" w:color="auto"/>
        <w:right w:val="none" w:sz="0" w:space="0" w:color="auto"/>
      </w:divBdr>
    </w:div>
    <w:div w:id="2087529854">
      <w:bodyDiv w:val="1"/>
      <w:marLeft w:val="0"/>
      <w:marRight w:val="0"/>
      <w:marTop w:val="0"/>
      <w:marBottom w:val="0"/>
      <w:divBdr>
        <w:top w:val="none" w:sz="0" w:space="0" w:color="auto"/>
        <w:left w:val="none" w:sz="0" w:space="0" w:color="auto"/>
        <w:bottom w:val="none" w:sz="0" w:space="0" w:color="auto"/>
        <w:right w:val="none" w:sz="0" w:space="0" w:color="auto"/>
      </w:divBdr>
    </w:div>
    <w:div w:id="2088111480">
      <w:bodyDiv w:val="1"/>
      <w:marLeft w:val="0"/>
      <w:marRight w:val="0"/>
      <w:marTop w:val="0"/>
      <w:marBottom w:val="0"/>
      <w:divBdr>
        <w:top w:val="none" w:sz="0" w:space="0" w:color="auto"/>
        <w:left w:val="none" w:sz="0" w:space="0" w:color="auto"/>
        <w:bottom w:val="none" w:sz="0" w:space="0" w:color="auto"/>
        <w:right w:val="none" w:sz="0" w:space="0" w:color="auto"/>
      </w:divBdr>
    </w:div>
    <w:div w:id="2089033144">
      <w:bodyDiv w:val="1"/>
      <w:marLeft w:val="0"/>
      <w:marRight w:val="0"/>
      <w:marTop w:val="0"/>
      <w:marBottom w:val="0"/>
      <w:divBdr>
        <w:top w:val="none" w:sz="0" w:space="0" w:color="auto"/>
        <w:left w:val="none" w:sz="0" w:space="0" w:color="auto"/>
        <w:bottom w:val="none" w:sz="0" w:space="0" w:color="auto"/>
        <w:right w:val="none" w:sz="0" w:space="0" w:color="auto"/>
      </w:divBdr>
    </w:div>
    <w:div w:id="2091538793">
      <w:bodyDiv w:val="1"/>
      <w:marLeft w:val="0"/>
      <w:marRight w:val="0"/>
      <w:marTop w:val="0"/>
      <w:marBottom w:val="0"/>
      <w:divBdr>
        <w:top w:val="none" w:sz="0" w:space="0" w:color="auto"/>
        <w:left w:val="none" w:sz="0" w:space="0" w:color="auto"/>
        <w:bottom w:val="none" w:sz="0" w:space="0" w:color="auto"/>
        <w:right w:val="none" w:sz="0" w:space="0" w:color="auto"/>
      </w:divBdr>
    </w:div>
    <w:div w:id="2094667539">
      <w:bodyDiv w:val="1"/>
      <w:marLeft w:val="0"/>
      <w:marRight w:val="0"/>
      <w:marTop w:val="0"/>
      <w:marBottom w:val="0"/>
      <w:divBdr>
        <w:top w:val="none" w:sz="0" w:space="0" w:color="auto"/>
        <w:left w:val="none" w:sz="0" w:space="0" w:color="auto"/>
        <w:bottom w:val="none" w:sz="0" w:space="0" w:color="auto"/>
        <w:right w:val="none" w:sz="0" w:space="0" w:color="auto"/>
      </w:divBdr>
    </w:div>
    <w:div w:id="2095859296">
      <w:bodyDiv w:val="1"/>
      <w:marLeft w:val="0"/>
      <w:marRight w:val="0"/>
      <w:marTop w:val="0"/>
      <w:marBottom w:val="0"/>
      <w:divBdr>
        <w:top w:val="none" w:sz="0" w:space="0" w:color="auto"/>
        <w:left w:val="none" w:sz="0" w:space="0" w:color="auto"/>
        <w:bottom w:val="none" w:sz="0" w:space="0" w:color="auto"/>
        <w:right w:val="none" w:sz="0" w:space="0" w:color="auto"/>
      </w:divBdr>
    </w:div>
    <w:div w:id="2099205628">
      <w:bodyDiv w:val="1"/>
      <w:marLeft w:val="0"/>
      <w:marRight w:val="0"/>
      <w:marTop w:val="0"/>
      <w:marBottom w:val="0"/>
      <w:divBdr>
        <w:top w:val="none" w:sz="0" w:space="0" w:color="auto"/>
        <w:left w:val="none" w:sz="0" w:space="0" w:color="auto"/>
        <w:bottom w:val="none" w:sz="0" w:space="0" w:color="auto"/>
        <w:right w:val="none" w:sz="0" w:space="0" w:color="auto"/>
      </w:divBdr>
    </w:div>
    <w:div w:id="2104034136">
      <w:bodyDiv w:val="1"/>
      <w:marLeft w:val="0"/>
      <w:marRight w:val="0"/>
      <w:marTop w:val="0"/>
      <w:marBottom w:val="0"/>
      <w:divBdr>
        <w:top w:val="none" w:sz="0" w:space="0" w:color="auto"/>
        <w:left w:val="none" w:sz="0" w:space="0" w:color="auto"/>
        <w:bottom w:val="none" w:sz="0" w:space="0" w:color="auto"/>
        <w:right w:val="none" w:sz="0" w:space="0" w:color="auto"/>
      </w:divBdr>
    </w:div>
    <w:div w:id="2104187056">
      <w:bodyDiv w:val="1"/>
      <w:marLeft w:val="0"/>
      <w:marRight w:val="0"/>
      <w:marTop w:val="0"/>
      <w:marBottom w:val="0"/>
      <w:divBdr>
        <w:top w:val="none" w:sz="0" w:space="0" w:color="auto"/>
        <w:left w:val="none" w:sz="0" w:space="0" w:color="auto"/>
        <w:bottom w:val="none" w:sz="0" w:space="0" w:color="auto"/>
        <w:right w:val="none" w:sz="0" w:space="0" w:color="auto"/>
      </w:divBdr>
    </w:div>
    <w:div w:id="2106729193">
      <w:bodyDiv w:val="1"/>
      <w:marLeft w:val="0"/>
      <w:marRight w:val="0"/>
      <w:marTop w:val="0"/>
      <w:marBottom w:val="0"/>
      <w:divBdr>
        <w:top w:val="none" w:sz="0" w:space="0" w:color="auto"/>
        <w:left w:val="none" w:sz="0" w:space="0" w:color="auto"/>
        <w:bottom w:val="none" w:sz="0" w:space="0" w:color="auto"/>
        <w:right w:val="none" w:sz="0" w:space="0" w:color="auto"/>
      </w:divBdr>
    </w:div>
    <w:div w:id="2107654516">
      <w:bodyDiv w:val="1"/>
      <w:marLeft w:val="0"/>
      <w:marRight w:val="0"/>
      <w:marTop w:val="0"/>
      <w:marBottom w:val="0"/>
      <w:divBdr>
        <w:top w:val="none" w:sz="0" w:space="0" w:color="auto"/>
        <w:left w:val="none" w:sz="0" w:space="0" w:color="auto"/>
        <w:bottom w:val="none" w:sz="0" w:space="0" w:color="auto"/>
        <w:right w:val="none" w:sz="0" w:space="0" w:color="auto"/>
      </w:divBdr>
    </w:div>
    <w:div w:id="2107725775">
      <w:bodyDiv w:val="1"/>
      <w:marLeft w:val="0"/>
      <w:marRight w:val="0"/>
      <w:marTop w:val="0"/>
      <w:marBottom w:val="0"/>
      <w:divBdr>
        <w:top w:val="none" w:sz="0" w:space="0" w:color="auto"/>
        <w:left w:val="none" w:sz="0" w:space="0" w:color="auto"/>
        <w:bottom w:val="none" w:sz="0" w:space="0" w:color="auto"/>
        <w:right w:val="none" w:sz="0" w:space="0" w:color="auto"/>
      </w:divBdr>
    </w:div>
    <w:div w:id="2108963106">
      <w:bodyDiv w:val="1"/>
      <w:marLeft w:val="0"/>
      <w:marRight w:val="0"/>
      <w:marTop w:val="0"/>
      <w:marBottom w:val="0"/>
      <w:divBdr>
        <w:top w:val="none" w:sz="0" w:space="0" w:color="auto"/>
        <w:left w:val="none" w:sz="0" w:space="0" w:color="auto"/>
        <w:bottom w:val="none" w:sz="0" w:space="0" w:color="auto"/>
        <w:right w:val="none" w:sz="0" w:space="0" w:color="auto"/>
      </w:divBdr>
    </w:div>
    <w:div w:id="2109504128">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11393242">
      <w:bodyDiv w:val="1"/>
      <w:marLeft w:val="0"/>
      <w:marRight w:val="0"/>
      <w:marTop w:val="0"/>
      <w:marBottom w:val="0"/>
      <w:divBdr>
        <w:top w:val="none" w:sz="0" w:space="0" w:color="auto"/>
        <w:left w:val="none" w:sz="0" w:space="0" w:color="auto"/>
        <w:bottom w:val="none" w:sz="0" w:space="0" w:color="auto"/>
        <w:right w:val="none" w:sz="0" w:space="0" w:color="auto"/>
      </w:divBdr>
    </w:div>
    <w:div w:id="2112504090">
      <w:bodyDiv w:val="1"/>
      <w:marLeft w:val="0"/>
      <w:marRight w:val="0"/>
      <w:marTop w:val="0"/>
      <w:marBottom w:val="0"/>
      <w:divBdr>
        <w:top w:val="none" w:sz="0" w:space="0" w:color="auto"/>
        <w:left w:val="none" w:sz="0" w:space="0" w:color="auto"/>
        <w:bottom w:val="none" w:sz="0" w:space="0" w:color="auto"/>
        <w:right w:val="none" w:sz="0" w:space="0" w:color="auto"/>
      </w:divBdr>
    </w:div>
    <w:div w:id="2112580680">
      <w:bodyDiv w:val="1"/>
      <w:marLeft w:val="0"/>
      <w:marRight w:val="0"/>
      <w:marTop w:val="0"/>
      <w:marBottom w:val="0"/>
      <w:divBdr>
        <w:top w:val="none" w:sz="0" w:space="0" w:color="auto"/>
        <w:left w:val="none" w:sz="0" w:space="0" w:color="auto"/>
        <w:bottom w:val="none" w:sz="0" w:space="0" w:color="auto"/>
        <w:right w:val="none" w:sz="0" w:space="0" w:color="auto"/>
      </w:divBdr>
    </w:div>
    <w:div w:id="2113741156">
      <w:bodyDiv w:val="1"/>
      <w:marLeft w:val="0"/>
      <w:marRight w:val="0"/>
      <w:marTop w:val="0"/>
      <w:marBottom w:val="0"/>
      <w:divBdr>
        <w:top w:val="none" w:sz="0" w:space="0" w:color="auto"/>
        <w:left w:val="none" w:sz="0" w:space="0" w:color="auto"/>
        <w:bottom w:val="none" w:sz="0" w:space="0" w:color="auto"/>
        <w:right w:val="none" w:sz="0" w:space="0" w:color="auto"/>
      </w:divBdr>
    </w:div>
    <w:div w:id="2113934129">
      <w:bodyDiv w:val="1"/>
      <w:marLeft w:val="0"/>
      <w:marRight w:val="0"/>
      <w:marTop w:val="0"/>
      <w:marBottom w:val="0"/>
      <w:divBdr>
        <w:top w:val="none" w:sz="0" w:space="0" w:color="auto"/>
        <w:left w:val="none" w:sz="0" w:space="0" w:color="auto"/>
        <w:bottom w:val="none" w:sz="0" w:space="0" w:color="auto"/>
        <w:right w:val="none" w:sz="0" w:space="0" w:color="auto"/>
      </w:divBdr>
    </w:div>
    <w:div w:id="2114014511">
      <w:bodyDiv w:val="1"/>
      <w:marLeft w:val="0"/>
      <w:marRight w:val="0"/>
      <w:marTop w:val="0"/>
      <w:marBottom w:val="0"/>
      <w:divBdr>
        <w:top w:val="none" w:sz="0" w:space="0" w:color="auto"/>
        <w:left w:val="none" w:sz="0" w:space="0" w:color="auto"/>
        <w:bottom w:val="none" w:sz="0" w:space="0" w:color="auto"/>
        <w:right w:val="none" w:sz="0" w:space="0" w:color="auto"/>
      </w:divBdr>
    </w:div>
    <w:div w:id="2114549539">
      <w:bodyDiv w:val="1"/>
      <w:marLeft w:val="0"/>
      <w:marRight w:val="0"/>
      <w:marTop w:val="0"/>
      <w:marBottom w:val="0"/>
      <w:divBdr>
        <w:top w:val="none" w:sz="0" w:space="0" w:color="auto"/>
        <w:left w:val="none" w:sz="0" w:space="0" w:color="auto"/>
        <w:bottom w:val="none" w:sz="0" w:space="0" w:color="auto"/>
        <w:right w:val="none" w:sz="0" w:space="0" w:color="auto"/>
      </w:divBdr>
    </w:div>
    <w:div w:id="2116092609">
      <w:bodyDiv w:val="1"/>
      <w:marLeft w:val="0"/>
      <w:marRight w:val="0"/>
      <w:marTop w:val="0"/>
      <w:marBottom w:val="0"/>
      <w:divBdr>
        <w:top w:val="none" w:sz="0" w:space="0" w:color="auto"/>
        <w:left w:val="none" w:sz="0" w:space="0" w:color="auto"/>
        <w:bottom w:val="none" w:sz="0" w:space="0" w:color="auto"/>
        <w:right w:val="none" w:sz="0" w:space="0" w:color="auto"/>
      </w:divBdr>
    </w:div>
    <w:div w:id="2117862771">
      <w:bodyDiv w:val="1"/>
      <w:marLeft w:val="0"/>
      <w:marRight w:val="0"/>
      <w:marTop w:val="0"/>
      <w:marBottom w:val="0"/>
      <w:divBdr>
        <w:top w:val="none" w:sz="0" w:space="0" w:color="auto"/>
        <w:left w:val="none" w:sz="0" w:space="0" w:color="auto"/>
        <w:bottom w:val="none" w:sz="0" w:space="0" w:color="auto"/>
        <w:right w:val="none" w:sz="0" w:space="0" w:color="auto"/>
      </w:divBdr>
    </w:div>
    <w:div w:id="2119639048">
      <w:bodyDiv w:val="1"/>
      <w:marLeft w:val="0"/>
      <w:marRight w:val="0"/>
      <w:marTop w:val="0"/>
      <w:marBottom w:val="0"/>
      <w:divBdr>
        <w:top w:val="none" w:sz="0" w:space="0" w:color="auto"/>
        <w:left w:val="none" w:sz="0" w:space="0" w:color="auto"/>
        <w:bottom w:val="none" w:sz="0" w:space="0" w:color="auto"/>
        <w:right w:val="none" w:sz="0" w:space="0" w:color="auto"/>
      </w:divBdr>
    </w:div>
    <w:div w:id="2119641702">
      <w:bodyDiv w:val="1"/>
      <w:marLeft w:val="0"/>
      <w:marRight w:val="0"/>
      <w:marTop w:val="0"/>
      <w:marBottom w:val="0"/>
      <w:divBdr>
        <w:top w:val="none" w:sz="0" w:space="0" w:color="auto"/>
        <w:left w:val="none" w:sz="0" w:space="0" w:color="auto"/>
        <w:bottom w:val="none" w:sz="0" w:space="0" w:color="auto"/>
        <w:right w:val="none" w:sz="0" w:space="0" w:color="auto"/>
      </w:divBdr>
    </w:div>
    <w:div w:id="2119718001">
      <w:bodyDiv w:val="1"/>
      <w:marLeft w:val="0"/>
      <w:marRight w:val="0"/>
      <w:marTop w:val="0"/>
      <w:marBottom w:val="0"/>
      <w:divBdr>
        <w:top w:val="none" w:sz="0" w:space="0" w:color="auto"/>
        <w:left w:val="none" w:sz="0" w:space="0" w:color="auto"/>
        <w:bottom w:val="none" w:sz="0" w:space="0" w:color="auto"/>
        <w:right w:val="none" w:sz="0" w:space="0" w:color="auto"/>
      </w:divBdr>
      <w:divsChild>
        <w:div w:id="1790077679">
          <w:marLeft w:val="547"/>
          <w:marRight w:val="0"/>
          <w:marTop w:val="192"/>
          <w:marBottom w:val="0"/>
          <w:divBdr>
            <w:top w:val="none" w:sz="0" w:space="0" w:color="auto"/>
            <w:left w:val="none" w:sz="0" w:space="0" w:color="auto"/>
            <w:bottom w:val="none" w:sz="0" w:space="0" w:color="auto"/>
            <w:right w:val="none" w:sz="0" w:space="0" w:color="auto"/>
          </w:divBdr>
        </w:div>
      </w:divsChild>
    </w:div>
    <w:div w:id="2120224483">
      <w:bodyDiv w:val="1"/>
      <w:marLeft w:val="0"/>
      <w:marRight w:val="0"/>
      <w:marTop w:val="0"/>
      <w:marBottom w:val="0"/>
      <w:divBdr>
        <w:top w:val="none" w:sz="0" w:space="0" w:color="auto"/>
        <w:left w:val="none" w:sz="0" w:space="0" w:color="auto"/>
        <w:bottom w:val="none" w:sz="0" w:space="0" w:color="auto"/>
        <w:right w:val="none" w:sz="0" w:space="0" w:color="auto"/>
      </w:divBdr>
    </w:div>
    <w:div w:id="2121146863">
      <w:bodyDiv w:val="1"/>
      <w:marLeft w:val="0"/>
      <w:marRight w:val="0"/>
      <w:marTop w:val="0"/>
      <w:marBottom w:val="0"/>
      <w:divBdr>
        <w:top w:val="none" w:sz="0" w:space="0" w:color="auto"/>
        <w:left w:val="none" w:sz="0" w:space="0" w:color="auto"/>
        <w:bottom w:val="none" w:sz="0" w:space="0" w:color="auto"/>
        <w:right w:val="none" w:sz="0" w:space="0" w:color="auto"/>
      </w:divBdr>
    </w:div>
    <w:div w:id="2122337116">
      <w:bodyDiv w:val="1"/>
      <w:marLeft w:val="0"/>
      <w:marRight w:val="0"/>
      <w:marTop w:val="0"/>
      <w:marBottom w:val="0"/>
      <w:divBdr>
        <w:top w:val="none" w:sz="0" w:space="0" w:color="auto"/>
        <w:left w:val="none" w:sz="0" w:space="0" w:color="auto"/>
        <w:bottom w:val="none" w:sz="0" w:space="0" w:color="auto"/>
        <w:right w:val="none" w:sz="0" w:space="0" w:color="auto"/>
      </w:divBdr>
    </w:div>
    <w:div w:id="2123837071">
      <w:bodyDiv w:val="1"/>
      <w:marLeft w:val="0"/>
      <w:marRight w:val="0"/>
      <w:marTop w:val="0"/>
      <w:marBottom w:val="0"/>
      <w:divBdr>
        <w:top w:val="none" w:sz="0" w:space="0" w:color="auto"/>
        <w:left w:val="none" w:sz="0" w:space="0" w:color="auto"/>
        <w:bottom w:val="none" w:sz="0" w:space="0" w:color="auto"/>
        <w:right w:val="none" w:sz="0" w:space="0" w:color="auto"/>
      </w:divBdr>
    </w:div>
    <w:div w:id="2124955964">
      <w:bodyDiv w:val="1"/>
      <w:marLeft w:val="0"/>
      <w:marRight w:val="0"/>
      <w:marTop w:val="0"/>
      <w:marBottom w:val="0"/>
      <w:divBdr>
        <w:top w:val="none" w:sz="0" w:space="0" w:color="auto"/>
        <w:left w:val="none" w:sz="0" w:space="0" w:color="auto"/>
        <w:bottom w:val="none" w:sz="0" w:space="0" w:color="auto"/>
        <w:right w:val="none" w:sz="0" w:space="0" w:color="auto"/>
      </w:divBdr>
    </w:div>
    <w:div w:id="2127697239">
      <w:bodyDiv w:val="1"/>
      <w:marLeft w:val="0"/>
      <w:marRight w:val="0"/>
      <w:marTop w:val="0"/>
      <w:marBottom w:val="0"/>
      <w:divBdr>
        <w:top w:val="none" w:sz="0" w:space="0" w:color="auto"/>
        <w:left w:val="none" w:sz="0" w:space="0" w:color="auto"/>
        <w:bottom w:val="none" w:sz="0" w:space="0" w:color="auto"/>
        <w:right w:val="none" w:sz="0" w:space="0" w:color="auto"/>
      </w:divBdr>
    </w:div>
    <w:div w:id="2128624726">
      <w:bodyDiv w:val="1"/>
      <w:marLeft w:val="0"/>
      <w:marRight w:val="0"/>
      <w:marTop w:val="0"/>
      <w:marBottom w:val="0"/>
      <w:divBdr>
        <w:top w:val="none" w:sz="0" w:space="0" w:color="auto"/>
        <w:left w:val="none" w:sz="0" w:space="0" w:color="auto"/>
        <w:bottom w:val="none" w:sz="0" w:space="0" w:color="auto"/>
        <w:right w:val="none" w:sz="0" w:space="0" w:color="auto"/>
      </w:divBdr>
    </w:div>
    <w:div w:id="2129348245">
      <w:bodyDiv w:val="1"/>
      <w:marLeft w:val="0"/>
      <w:marRight w:val="0"/>
      <w:marTop w:val="0"/>
      <w:marBottom w:val="0"/>
      <w:divBdr>
        <w:top w:val="none" w:sz="0" w:space="0" w:color="auto"/>
        <w:left w:val="none" w:sz="0" w:space="0" w:color="auto"/>
        <w:bottom w:val="none" w:sz="0" w:space="0" w:color="auto"/>
        <w:right w:val="none" w:sz="0" w:space="0" w:color="auto"/>
      </w:divBdr>
      <w:divsChild>
        <w:div w:id="542254149">
          <w:marLeft w:val="547"/>
          <w:marRight w:val="0"/>
          <w:marTop w:val="192"/>
          <w:marBottom w:val="0"/>
          <w:divBdr>
            <w:top w:val="none" w:sz="0" w:space="0" w:color="auto"/>
            <w:left w:val="none" w:sz="0" w:space="0" w:color="auto"/>
            <w:bottom w:val="none" w:sz="0" w:space="0" w:color="auto"/>
            <w:right w:val="none" w:sz="0" w:space="0" w:color="auto"/>
          </w:divBdr>
        </w:div>
      </w:divsChild>
    </w:div>
    <w:div w:id="2131852180">
      <w:bodyDiv w:val="1"/>
      <w:marLeft w:val="0"/>
      <w:marRight w:val="0"/>
      <w:marTop w:val="0"/>
      <w:marBottom w:val="0"/>
      <w:divBdr>
        <w:top w:val="none" w:sz="0" w:space="0" w:color="auto"/>
        <w:left w:val="none" w:sz="0" w:space="0" w:color="auto"/>
        <w:bottom w:val="none" w:sz="0" w:space="0" w:color="auto"/>
        <w:right w:val="none" w:sz="0" w:space="0" w:color="auto"/>
      </w:divBdr>
    </w:div>
    <w:div w:id="2134010725">
      <w:bodyDiv w:val="1"/>
      <w:marLeft w:val="0"/>
      <w:marRight w:val="0"/>
      <w:marTop w:val="0"/>
      <w:marBottom w:val="0"/>
      <w:divBdr>
        <w:top w:val="none" w:sz="0" w:space="0" w:color="auto"/>
        <w:left w:val="none" w:sz="0" w:space="0" w:color="auto"/>
        <w:bottom w:val="none" w:sz="0" w:space="0" w:color="auto"/>
        <w:right w:val="none" w:sz="0" w:space="0" w:color="auto"/>
      </w:divBdr>
    </w:div>
    <w:div w:id="2135638431">
      <w:bodyDiv w:val="1"/>
      <w:marLeft w:val="0"/>
      <w:marRight w:val="0"/>
      <w:marTop w:val="0"/>
      <w:marBottom w:val="0"/>
      <w:divBdr>
        <w:top w:val="none" w:sz="0" w:space="0" w:color="auto"/>
        <w:left w:val="none" w:sz="0" w:space="0" w:color="auto"/>
        <w:bottom w:val="none" w:sz="0" w:space="0" w:color="auto"/>
        <w:right w:val="none" w:sz="0" w:space="0" w:color="auto"/>
      </w:divBdr>
    </w:div>
    <w:div w:id="2136677910">
      <w:bodyDiv w:val="1"/>
      <w:marLeft w:val="0"/>
      <w:marRight w:val="0"/>
      <w:marTop w:val="0"/>
      <w:marBottom w:val="0"/>
      <w:divBdr>
        <w:top w:val="none" w:sz="0" w:space="0" w:color="auto"/>
        <w:left w:val="none" w:sz="0" w:space="0" w:color="auto"/>
        <w:bottom w:val="none" w:sz="0" w:space="0" w:color="auto"/>
        <w:right w:val="none" w:sz="0" w:space="0" w:color="auto"/>
      </w:divBdr>
    </w:div>
    <w:div w:id="2137747894">
      <w:bodyDiv w:val="1"/>
      <w:marLeft w:val="0"/>
      <w:marRight w:val="0"/>
      <w:marTop w:val="0"/>
      <w:marBottom w:val="0"/>
      <w:divBdr>
        <w:top w:val="none" w:sz="0" w:space="0" w:color="auto"/>
        <w:left w:val="none" w:sz="0" w:space="0" w:color="auto"/>
        <w:bottom w:val="none" w:sz="0" w:space="0" w:color="auto"/>
        <w:right w:val="none" w:sz="0" w:space="0" w:color="auto"/>
      </w:divBdr>
    </w:div>
    <w:div w:id="2140100794">
      <w:bodyDiv w:val="1"/>
      <w:marLeft w:val="0"/>
      <w:marRight w:val="0"/>
      <w:marTop w:val="0"/>
      <w:marBottom w:val="0"/>
      <w:divBdr>
        <w:top w:val="none" w:sz="0" w:space="0" w:color="auto"/>
        <w:left w:val="none" w:sz="0" w:space="0" w:color="auto"/>
        <w:bottom w:val="none" w:sz="0" w:space="0" w:color="auto"/>
        <w:right w:val="none" w:sz="0" w:space="0" w:color="auto"/>
      </w:divBdr>
    </w:div>
    <w:div w:id="2145003072">
      <w:bodyDiv w:val="1"/>
      <w:marLeft w:val="0"/>
      <w:marRight w:val="0"/>
      <w:marTop w:val="0"/>
      <w:marBottom w:val="0"/>
      <w:divBdr>
        <w:top w:val="none" w:sz="0" w:space="0" w:color="auto"/>
        <w:left w:val="none" w:sz="0" w:space="0" w:color="auto"/>
        <w:bottom w:val="none" w:sz="0" w:space="0" w:color="auto"/>
        <w:right w:val="none" w:sz="0" w:space="0" w:color="auto"/>
      </w:divBdr>
    </w:div>
    <w:div w:id="2145124556">
      <w:bodyDiv w:val="1"/>
      <w:marLeft w:val="0"/>
      <w:marRight w:val="0"/>
      <w:marTop w:val="0"/>
      <w:marBottom w:val="0"/>
      <w:divBdr>
        <w:top w:val="none" w:sz="0" w:space="0" w:color="auto"/>
        <w:left w:val="none" w:sz="0" w:space="0" w:color="auto"/>
        <w:bottom w:val="none" w:sz="0" w:space="0" w:color="auto"/>
        <w:right w:val="none" w:sz="0" w:space="0" w:color="auto"/>
      </w:divBdr>
    </w:div>
    <w:div w:id="214715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https://portal.oecd.org/eshare/grs/pc/Deliverables/EurasiaIPA/Report/Figures/graphs-ipa-mapping-final.xlsx!chap.%201%20Institutional%20setting!%5bgraphs-ipa-mapping-final.xlsx%5dchap.%201%20Institutional%20setting%20Chart%2021" TargetMode="External"/><Relationship Id="rId39" Type="http://schemas.openxmlformats.org/officeDocument/2006/relationships/oleObject" Target="https://portal.oecd.org/eshare/grs/pc/Deliverables/EurasiaIPA/Report/Figures/graphs-ipa-mapping-final.xlsx!chap.%201%20Institutional%20setting!%5bgraphs-ipa-mapping-final.xlsx%5dchap.%201%20Institutional%20setting%20Chart%2038" TargetMode="External"/><Relationship Id="rId21" Type="http://schemas.openxmlformats.org/officeDocument/2006/relationships/image" Target="media/image3.emf"/><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https://portal.oecd.org/eshare/grs/pc/Deliverables/EurasiaIPA/Report/Figures/graphs-ipa-mapping-final.xlsx!chap.%201%20Institutional%20setting!%5bgraphs-ipa-mapping-final.xlsx%5dchap.%201%20Institutional%20setting%20Chart%2044" TargetMode="External"/><Relationship Id="rId50" Type="http://schemas.openxmlformats.org/officeDocument/2006/relationships/hyperlink" Target="http://www.oecd.org/mena/competitiveness/REPORT-Regional-EU-OECD-IPA-Workshop-Paris-201710.pdf" TargetMode="External"/><Relationship Id="rId55" Type="http://schemas.openxmlformats.org/officeDocument/2006/relationships/image" Target="media/image19.emf"/><Relationship Id="rId63" Type="http://schemas.openxmlformats.org/officeDocument/2006/relationships/oleObject" Target="https://portal.oecd.org/eshare/grs/pc/Deliverables/EurasiaIPA/Report/Figures/graphs-ipa-mapping-final.xlsx!chap.%202%20Activities!%5bgraphs-ipa-mapping-final.xlsx%5dchap.%202%20Activities%20Chart%205" TargetMode="External"/><Relationship Id="rId68" Type="http://schemas.openxmlformats.org/officeDocument/2006/relationships/oleObject" Target="https://portal.oecd.org/eshare/grs/pc/Deliverables/EurasiaIPA/Report/Figures/graphs-ipa-mapping-final.xlsx!chap.%202%20Activities!%5bgraphs-ipa-mapping-final.xlsx%5dchap.%202%20Activities%20Chart%2012" TargetMode="External"/><Relationship Id="rId76" Type="http://schemas.openxmlformats.org/officeDocument/2006/relationships/oleObject" Target="https://portal.oecd.org/eshare/grs/pc/Deliverables/EurasiaIPA/Report/Figures/graphs-ipa-mapping-final.xlsx!chap.%203%20M&amp;E!%5bgraphs-ipa-mapping-final.xlsx%5dchap.%203%20M&amp;E%20Chart%2015" TargetMode="External"/><Relationship Id="rId84" Type="http://schemas.openxmlformats.org/officeDocument/2006/relationships/oleObject" Target="https://portal.oecd.org/eshare/grs/pc/Deliverables/EurasiaIPA/Report/Figures/graphs-ipa-mapping-final.xlsx!chap.%203%20M&amp;E!%5bgraphs-ipa-mapping-final.xlsx%5dchap.%203%20M&amp;E%20Chart%2023" TargetMode="External"/><Relationship Id="rId89" Type="http://schemas.openxmlformats.org/officeDocument/2006/relationships/oleObject" Target="https://portal.oecd.org/eshare/grs/pc/Deliverables/EurasiaIPA/Report/Figures/graphs-ipa-mapping-final.xlsx!chap.%203%20M&amp;E!%5bgraphs-ipa-mapping-final.xlsx%5dchap.%203%20M&amp;E%20Chart%201" TargetMode="Externa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oleObject" Target="https://portal.oecd.org/eshare/grs/pc/Deliverables/EurasiaIPA/Report/Figures/graphs-ipa-mapping-final.xlsx!chap.%201%20Institutional%20setting!%5bgraphs-ipa-mapping-final.xlsx%5dchap.%201%20Institutional%20setting%20Chart%2027" TargetMode="External"/><Relationship Id="rId32" Type="http://schemas.openxmlformats.org/officeDocument/2006/relationships/oleObject" Target="https://portal.oecd.org/eshare/grs/pc/Deliverables/EurasiaIPA/Report/Figures/graphs-ipa-mapping-final.xlsx!chap.%201%20Institutional%20setting!%5bgraphs-ipa-mapping-final.xlsx%5dchap.%201%20Institutional%20setting%20Chart%2035" TargetMode="External"/><Relationship Id="rId37" Type="http://schemas.openxmlformats.org/officeDocument/2006/relationships/oleObject" Target="https://portal.oecd.org/eshare/grs/pc/Deliverables/EurasiaIPA/Report/Figures/graphs-ipa-mapping-final.xlsx!chap.%201%20Institutional%20setting!%5bgraphs-ipa-mapping-final.xlsx%5dchap.%201%20Institutional%20setting%20Chart%2037" TargetMode="External"/><Relationship Id="rId40" Type="http://schemas.openxmlformats.org/officeDocument/2006/relationships/image" Target="media/image12.emf"/><Relationship Id="rId45" Type="http://schemas.openxmlformats.org/officeDocument/2006/relationships/oleObject" Target="https://portal.oecd.org/eshare/grs/pc/Deliverables/EurasiaIPA/Report/Figures/graphs-ipa-mapping-final.xlsx!chap.%201%20Institutional%20setting!%5bgraphs-ipa-mapping-final.xlsx%5dchap.%201%20Institutional%20setting%20Chart%2043" TargetMode="External"/><Relationship Id="rId53" Type="http://schemas.openxmlformats.org/officeDocument/2006/relationships/image" Target="media/image18.emf"/><Relationship Id="rId58" Type="http://schemas.openxmlformats.org/officeDocument/2006/relationships/oleObject" Target="https://portal.oecd.org/eshare/grs/pc/Deliverables/EurasiaIPA/Report/Figures/graphs-ipa-mapping-final.xlsx!chap.%202%20Activities!%5bgraphs-ipa-mapping-final.xlsx%5dchap.%202%20Activities%20Chart%203" TargetMode="External"/><Relationship Id="rId66" Type="http://schemas.openxmlformats.org/officeDocument/2006/relationships/image" Target="media/image24.emf"/><Relationship Id="rId74" Type="http://schemas.openxmlformats.org/officeDocument/2006/relationships/oleObject" Target="https://portal.oecd.org/eshare/grs/pc/Deliverables/EurasiaIPA/Report/Figures/graphs-ipa-mapping-final.xlsx!chap.%203%20M&amp;E!%5bgraphs-ipa-mapping-final.xlsx%5dchap.%203%20M&amp;E%20Chart%2016" TargetMode="External"/><Relationship Id="rId79" Type="http://schemas.openxmlformats.org/officeDocument/2006/relationships/image" Target="media/image32.emf"/><Relationship Id="rId87" Type="http://schemas.openxmlformats.org/officeDocument/2006/relationships/image" Target="media/image36.emf"/><Relationship Id="rId5" Type="http://schemas.openxmlformats.org/officeDocument/2006/relationships/customXml" Target="../customXml/item5.xml"/><Relationship Id="rId61" Type="http://schemas.openxmlformats.org/officeDocument/2006/relationships/hyperlink" Target="http://dx.doi.org/10.18235/0001442" TargetMode="External"/><Relationship Id="rId82" Type="http://schemas.openxmlformats.org/officeDocument/2006/relationships/oleObject" Target="https://portal.oecd.org/eshare/grs/pc/Deliverables/EurasiaIPA/Report/Figures/graphs-ipa-mapping-final.xlsx!chap.%203%20M&amp;E!%5bgraphs-ipa-mapping-final.xlsx%5dchap.%203%20M&amp;E%20Chart%2022" TargetMode="External"/><Relationship Id="rId90" Type="http://schemas.openxmlformats.org/officeDocument/2006/relationships/header" Target="header4.xml"/><Relationship Id="rId95"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https://portal.oecd.org/eshare/grs/pc/Deliverables/EurasiaIPA/Report/Figures/graphs-ipa-mapping-final.xlsx!Introduction!%5bgraphs-ipa-mapping-final.xlsx%5dIntroduction%20Chart%204" TargetMode="External"/><Relationship Id="rId27" Type="http://schemas.openxmlformats.org/officeDocument/2006/relationships/image" Target="media/image6.emf"/><Relationship Id="rId30" Type="http://schemas.openxmlformats.org/officeDocument/2006/relationships/oleObject" Target="https://portal.oecd.org/eshare/grs/pc/Deliverables/EurasiaIPA/Report/Figures/graphs-ipa-mapping-final.xlsx!chap.%201%20Institutional%20setting!%5bgraphs-ipa-mapping-final.xlsx%5dchap.%201%20Institutional%20setting%20Chart%2024" TargetMode="External"/><Relationship Id="rId35" Type="http://schemas.openxmlformats.org/officeDocument/2006/relationships/oleObject" Target="https://portal.oecd.org/eshare/grs/pc/Deliverables/EurasiaIPA/Report/Figures/graphs-ipa-mapping-final.xlsx!chap.%201%20Institutional%20setting!%5bgraphs-ipa-mapping-final.xlsx%5dchap.%201%20Institutional%20setting%20Chart%2036" TargetMode="External"/><Relationship Id="rId43" Type="http://schemas.openxmlformats.org/officeDocument/2006/relationships/oleObject" Target="https://portal.oecd.org/eshare/grs/pc/Deliverables/EurasiaIPA/Report/Figures/graphs-ipa-mapping-final.xlsx!chap.%201%20Institutional%20setting!%5bgraphs-ipa-mapping-final.xlsx%5dchap.%201%20Institutional%20setting%20Chart%2041" TargetMode="External"/><Relationship Id="rId48" Type="http://schemas.openxmlformats.org/officeDocument/2006/relationships/image" Target="media/image16.emf"/><Relationship Id="rId56" Type="http://schemas.openxmlformats.org/officeDocument/2006/relationships/oleObject" Target="https://portal.oecd.org/eshare/grs/pc/Deliverables/EurasiaIPA/Report/Figures/graphs-ipa-mapping-final.xlsx!chap.%202%20Activities!%5bgraphs-ipa-mapping-final.xlsx%5dchap.%202%20Activities%20Chart%202" TargetMode="External"/><Relationship Id="rId64" Type="http://schemas.openxmlformats.org/officeDocument/2006/relationships/image" Target="media/image23.emf"/><Relationship Id="rId69" Type="http://schemas.openxmlformats.org/officeDocument/2006/relationships/image" Target="media/image26.emf"/><Relationship Id="rId77" Type="http://schemas.openxmlformats.org/officeDocument/2006/relationships/image" Target="media/image31.emf"/><Relationship Id="rId8" Type="http://schemas.openxmlformats.org/officeDocument/2006/relationships/styles" Target="styles.xml"/><Relationship Id="rId51" Type="http://schemas.openxmlformats.org/officeDocument/2006/relationships/image" Target="media/image17.emf"/><Relationship Id="rId72" Type="http://schemas.openxmlformats.org/officeDocument/2006/relationships/oleObject" Target="https://portal.oecd.org/eshare/grs/pc/Deliverables/EurasiaIPA/Report/Figures/graphs-ipa-mapping-final.xlsx!chap.%203%20M&amp;E!%5bgraphs-ipa-mapping-final.xlsx%5dchap.%203%20M&amp;E%20Chart%2014" TargetMode="External"/><Relationship Id="rId80" Type="http://schemas.openxmlformats.org/officeDocument/2006/relationships/oleObject" Target="https://portal.oecd.org/eshare/grs/pc/Deliverables/EurasiaIPA/Report/Figures/graphs-ipa-mapping-final.xlsx!chap.%203%20M&amp;E!%5bgraphs-ipa-mapping-final.xlsx%5dchap.%203%20M&amp;E%20Chart%206" TargetMode="External"/><Relationship Id="rId85" Type="http://schemas.openxmlformats.org/officeDocument/2006/relationships/image" Target="media/image35.emf"/><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hyperlink" Target="https://www.oecd.org/mena/competitiveness/REPORT-Institutional-Reforms-Investment-Promotion-Agencies-20180130.pdf" TargetMode="External"/><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image" Target="media/image2.png"/><Relationship Id="rId41" Type="http://schemas.openxmlformats.org/officeDocument/2006/relationships/oleObject" Target="https://portal.oecd.org/eshare/grs/pc/Deliverables/EurasiaIPA/Report/Figures/graphs-ipa-mapping-final.xlsx!chap.%201%20Institutional%20setting!%5bgraphs-ipa-mapping-final.xlsx%5dchap.%201%20Institutional%20setting%20Chart%2039" TargetMode="External"/><Relationship Id="rId54" Type="http://schemas.openxmlformats.org/officeDocument/2006/relationships/oleObject" Target="https://portal.oecd.org/eshare/grs/pc/Deliverables/EurasiaIPA/Report/Figures/graphs-ipa-mapping-final.xlsx!chap.%202%20Activities!%5bgraphs-ipa-mapping-final.xlsx%5dchap.%202%20Activities%20Chart%207" TargetMode="External"/><Relationship Id="rId62" Type="http://schemas.openxmlformats.org/officeDocument/2006/relationships/image" Target="media/image22.emf"/><Relationship Id="rId70" Type="http://schemas.openxmlformats.org/officeDocument/2006/relationships/image" Target="media/image27.emf"/><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image" Target="media/image37.emf"/><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oleObject" Target="https://portal.oecd.org/eshare/grs/pc/Deliverables/EurasiaIPA/Report/Figures/graphs-ipa-mapping-final.xlsx!chap.%201%20Institutional%20setting!%5bgraphs-ipa-mapping-final.xlsx%5dchap.%201%20Institutional%20setting%20Chart%2028" TargetMode="External"/><Relationship Id="rId36" Type="http://schemas.openxmlformats.org/officeDocument/2006/relationships/image" Target="media/image10.emf"/><Relationship Id="rId49" Type="http://schemas.openxmlformats.org/officeDocument/2006/relationships/oleObject" Target="https://portal.oecd.org/eshare/grs/pc/Deliverables/EurasiaIPA/Report/Figures/graphs-ipa-mapping-final.xlsx!chap.%201%20Institutional%20setting!%5bgraphs-ipa-mapping-final.xlsx%5dchap.%201%20Institutional%20setting%20Chart%2011" TargetMode="External"/><Relationship Id="rId57" Type="http://schemas.openxmlformats.org/officeDocument/2006/relationships/image" Target="media/image20.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14.emf"/><Relationship Id="rId52" Type="http://schemas.openxmlformats.org/officeDocument/2006/relationships/oleObject" Target="https://portal.oecd.org/eshare/grs/pc/Deliverables/EurasiaIPA/Report/Figures/graphs-ipa-mapping-final.xlsx!chap.%202%20Activities!%5bgraphs-ipa-mapping-final.xlsx%5dchap.%202%20Activities%20Chart%201" TargetMode="External"/><Relationship Id="rId60" Type="http://schemas.openxmlformats.org/officeDocument/2006/relationships/oleObject" Target="https://portal.oecd.org/eshare/grs/pc/Deliverables/EurasiaIPA/Report/Figures/graphs-ipa-mapping-final.xlsx!chap.%202%20Activities!%5bgraphs-ipa-mapping-final.xlsx%5dchap.%202%20Activities%20Chart%204" TargetMode="External"/><Relationship Id="rId65" Type="http://schemas.openxmlformats.org/officeDocument/2006/relationships/oleObject" Target="https://portal.oecd.org/eshare/grs/pc/Deliverables/EurasiaIPA/Report/Figures/graphs-ipa-mapping-final.xlsx!chap.%202%20Activities!%5bgraphs-ipa-mapping-final.xlsx%5dchap.%202%20Activities%20Chart%206" TargetMode="External"/><Relationship Id="rId73" Type="http://schemas.openxmlformats.org/officeDocument/2006/relationships/image" Target="media/image29.emf"/><Relationship Id="rId78" Type="http://schemas.openxmlformats.org/officeDocument/2006/relationships/oleObject" Target="https://portal.oecd.org/eshare/grs/pc/Deliverables/EurasiaIPA/Report/Figures/graphs-ipa-mapping-final.xlsx!chap.%203%20M&amp;E!%5bgraphs-ipa-mapping-final.xlsx%5dchap.%203%20M&amp;E%20Chart%2018" TargetMode="External"/><Relationship Id="rId81" Type="http://schemas.openxmlformats.org/officeDocument/2006/relationships/image" Target="media/image33.emf"/><Relationship Id="rId86" Type="http://schemas.openxmlformats.org/officeDocument/2006/relationships/oleObject" Target="https://portal.oecd.org/eshare/grs/pc/Deliverables/EurasiaIPA/Report/Figures/graphs-ipa-mapping-final.xlsx!chap.%203%20M&amp;E!%5bgraphs-ipa-mapping-final.xlsx%5dchap.%203%20M&amp;E%20Chart%207"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tFieldPriority xmlns="http://www.oecd.org/eshare/projectsentre/CtFieldPriority/" xmlns:i="http://www.w3.org/2001/XMLSchema-instance">
  <PriorityFields xmlns:a="http://schemas.microsoft.com/2003/10/Serialization/Arrays">
    <a:string>Title</a:string>
    <a:string>OECDCountry</a:string>
    <a:string>OECDTopic</a:string>
    <a:string>OECDKeywords</a:string>
  </PriorityFields>
</CtFieldPriority>
</file>

<file path=customXml/item2.xml><?xml version="1.0" encoding="utf-8"?>
<ct:contentTypeSchema xmlns:ct="http://schemas.microsoft.com/office/2006/metadata/contentType" xmlns:ma="http://schemas.microsoft.com/office/2006/metadata/properties/metaAttributes" ct:_="" ma:_="" ma:contentTypeName="Working Document" ma:contentTypeID="0x0101008B4DD370EC31429186F3AD49F0D3098F00D44DBCB9EB4F45278CB5C9765BE5299500A4858B360C6A491AA753F8BCA47AA91000ECB31D9D4640A04A9E1A2D0868FC2086" ma:contentTypeVersion="82" ma:contentTypeDescription="" ma:contentTypeScope="" ma:versionID="9989f8d4da75ef103e100dc60ad4053b">
  <xsd:schema xmlns:xsd="http://www.w3.org/2001/XMLSchema" xmlns:xs="http://www.w3.org/2001/XMLSchema" xmlns:p="http://schemas.microsoft.com/office/2006/metadata/properties" xmlns:ns1="54c4cd27-f286-408f-9ce0-33c1e0f3ab39" xmlns:ns2="439f5b02-3b33-475e-b1dd-2befeeb2508a" xmlns:ns3="0fdfc921-f221-4763-9e31-81f120c7cd17" xmlns:ns5="c9f238dd-bb73-4aef-a7a5-d644ad823e52" xmlns:ns6="ca82dde9-3436-4d3d-bddd-d31447390034" xmlns:ns7="http://schemas.microsoft.com/sharepoint/v4" targetNamespace="http://schemas.microsoft.com/office/2006/metadata/properties" ma:root="true" ma:fieldsID="862de19fc1d49b480d8773dbd2b9c6a7" ns1:_="" ns2:_="" ns3:_="" ns5:_="" ns6:_="" ns7:_="">
    <xsd:import namespace="54c4cd27-f286-408f-9ce0-33c1e0f3ab39"/>
    <xsd:import namespace="439f5b02-3b33-475e-b1dd-2befeeb2508a"/>
    <xsd:import namespace="0fdfc921-f221-4763-9e31-81f120c7cd17"/>
    <xsd:import namespace="c9f238dd-bb73-4aef-a7a5-d644ad823e52"/>
    <xsd:import namespace="ca82dde9-3436-4d3d-bddd-d31447390034"/>
    <xsd:import namespace="http://schemas.microsoft.com/sharepoint/v4"/>
    <xsd:element name="properties">
      <xsd:complexType>
        <xsd:sequence>
          <xsd:element name="documentManagement">
            <xsd:complexType>
              <xsd:all>
                <xsd:element ref="ns1:OECDKimStatus" minOccurs="0"/>
                <xsd:element ref="ns1:OECDKimBussinessContext" minOccurs="0"/>
                <xsd:element ref="ns1:OECDKimProvenance" minOccurs="0"/>
                <xsd:element ref="ns2:OECDExpirationDate" minOccurs="0"/>
                <xsd:element ref="ns3:OECDProjectLookup" minOccurs="0"/>
                <xsd:element ref="ns3:OECDProjectManager" minOccurs="0"/>
                <xsd:element ref="ns3:OECDProjectMembers" minOccurs="0"/>
                <xsd:element ref="ns3:OECDMainProject" minOccurs="0"/>
                <xsd:element ref="ns3:OECDPinnedBy" minOccurs="0"/>
                <xsd:element ref="ns5:eShareCountryTaxHTField0" minOccurs="0"/>
                <xsd:element ref="ns5:eShareTopicTaxHTField0" minOccurs="0"/>
                <xsd:element ref="ns5:eShareKeywordsTaxHTField0" minOccurs="0"/>
                <xsd:element ref="ns5:eShareCommitteeTaxHTField0" minOccurs="0"/>
                <xsd:element ref="ns5:eSharePWBTaxHTField0" minOccurs="0"/>
                <xsd:element ref="ns6:aa366335bba64f7186c6f91b1ae503c2" minOccurs="0"/>
                <xsd:element ref="ns6:TaxCatchAll" minOccurs="0"/>
                <xsd:element ref="ns6:TaxCatchAllLabel" minOccurs="0"/>
                <xsd:element ref="ns6:pb5335f8765c484a86ddd10580650a95" minOccurs="0"/>
                <xsd:element ref="ns2:h941d5ad240e42c1ac5e8179aa23b15e" minOccurs="0"/>
                <xsd:element ref="ns3:n6ea0116cd58440890c0bb9a25ab7bf4" minOccurs="0"/>
                <xsd:element ref="ns3:l1daaca4531f4c63a70952d1e850b77b" minOccurs="0"/>
                <xsd:element ref="ns3:OECDSharingStatus" minOccurs="0"/>
                <xsd:element ref="ns3:OECDCommunityDocumentURL" minOccurs="0"/>
                <xsd:element ref="ns3:OECDCommunityDocumentID" minOccurs="0"/>
                <xsd:element ref="ns2:eShareHorizProjTaxHTField0" minOccurs="0"/>
                <xsd:element ref="ns3:OECDTagsCache" minOccurs="0"/>
                <xsd:element ref="ns6:OECDlanguage" minOccurs="0"/>
                <xsd:element ref="ns1:OECDMeetingDate" minOccurs="0"/>
                <xsd:element ref="ns7:IconOverlay" minOccurs="0"/>
                <xsd:element ref="ns2:OECDAllRelatedUsers" minOccurs="0"/>
                <xsd:element ref="ns3:SharedWithUsers" minOccurs="0"/>
                <xsd:element ref="ns3:OECDDeliverableManag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4cd27-f286-408f-9ce0-33c1e0f3ab39" elementFormDefault="qualified">
    <xsd:import namespace="http://schemas.microsoft.com/office/2006/documentManagement/types"/>
    <xsd:import namespace="http://schemas.microsoft.com/office/infopath/2007/PartnerControls"/>
    <xsd:element name="OECDKimStatus" ma:index="3" nillable="true" ma:displayName="Kim status" ma:default="Draft" ma:description="" ma:format="Dropdown" ma:hidden="true" ma:internalName="OECDKimStatus" ma:readOnly="false">
      <xsd:simpleType>
        <xsd:restriction base="dms:Choice">
          <xsd:enumeration value="Draft"/>
          <xsd:enumeration value="Final"/>
        </xsd:restriction>
      </xsd:simpleType>
    </xsd:element>
    <xsd:element name="OECDKimBussinessContext" ma:index="4" nillable="true" ma:displayName="Kim bussiness context" ma:description="" ma:hidden="true" ma:internalName="OECDKimBussinessContext" ma:readOnly="false">
      <xsd:simpleType>
        <xsd:restriction base="dms:Text"/>
      </xsd:simpleType>
    </xsd:element>
    <xsd:element name="OECDKimProvenance" ma:index="5" nillable="true" ma:displayName="Kim provenance" ma:description="" ma:hidden="true" ma:internalName="OECDKimProvenance" ma:readOnly="false">
      <xsd:simpleType>
        <xsd:restriction base="dms:Text">
          <xsd:maxLength value="255"/>
        </xsd:restriction>
      </xsd:simpleType>
    </xsd:element>
    <xsd:element name="OECDMeetingDate" ma:index="42" nillable="true" ma:displayName="Meeting Date" ma:default="" ma:format="DateOnly" ma:hidden="true" ma:internalName="OECD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9f5b02-3b33-475e-b1dd-2befeeb2508a" elementFormDefault="qualified">
    <xsd:import namespace="http://schemas.microsoft.com/office/2006/documentManagement/types"/>
    <xsd:import namespace="http://schemas.microsoft.com/office/infopath/2007/PartnerControls"/>
    <xsd:element name="OECDExpirationDate" ma:index="8" nillable="true" ma:displayName="Highlights" ma:default="" ma:description="" ma:format="DateOnly" ma:hidden="true" ma:indexed="true" ma:internalName="OECDExpirationDate" ma:readOnly="false">
      <xsd:simpleType>
        <xsd:restriction base="dms:DateTime"/>
      </xsd:simpleType>
    </xsd:element>
    <xsd:element name="h941d5ad240e42c1ac5e8179aa23b15e" ma:index="30" nillable="true" ma:taxonomy="true" ma:internalName="h941d5ad240e42c1ac5e8179aa23b15e" ma:taxonomyFieldName="OECDHorizontalProjects" ma:displayName="Horizontal project" ma:readOnly="false" ma:default="" ma:fieldId="{1941d5ad-240e-42c1-ac5e-8179aa23b15e}" ma:taxonomyMulti="true" ma:sspId="27ec883c-a62c-444f-a935-fcddb579e39d" ma:termSetId="d3ca0e0e-65f9-44bf-9d98-5271504f6d61" ma:anchorId="00000000-0000-0000-0000-000000000000" ma:open="false" ma:isKeyword="false">
      <xsd:complexType>
        <xsd:sequence>
          <xsd:element ref="pc:Terms" minOccurs="0" maxOccurs="1"/>
        </xsd:sequence>
      </xsd:complexType>
    </xsd:element>
    <xsd:element name="eShareHorizProjTaxHTField0" ma:index="38" nillable="true" ma:displayName="OECDHorizontalProjects_0" ma:description="" ma:hidden="true" ma:internalName="eShareHorizProjTaxHTField0">
      <xsd:simpleType>
        <xsd:restriction base="dms:Note"/>
      </xsd:simpleType>
    </xsd:element>
    <xsd:element name="OECDAllRelatedUsers" ma:index="44" nillable="true" ma:displayName="All related users" ma:description="" ma:hidden="true" ma:internalName="OECDAllRelatedUs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fc921-f221-4763-9e31-81f120c7cd17" elementFormDefault="qualified">
    <xsd:import namespace="http://schemas.microsoft.com/office/2006/documentManagement/types"/>
    <xsd:import namespace="http://schemas.microsoft.com/office/infopath/2007/PartnerControls"/>
    <xsd:element name="OECDProjectLookup" ma:index="9" nillable="true" ma:displayName="Project" ma:description="" ma:hidden="true" ma:indexed="true" ma:list="bf49a777-15e6-4f0c-a068-0246e95b4d6b" ma:internalName="OECDProjectLookup" ma:showField="OECDShortProjectName" ma:web="0fdfc921-f221-4763-9e31-81f120c7cd17">
      <xsd:simpleType>
        <xsd:restriction base="dms:Lookup"/>
      </xsd:simpleType>
    </xsd:element>
    <xsd:element name="OECDProjectManager" ma:index="10" nillable="true" ma:displayName="Project manager" ma:description="" ma:hidden="true" ma:indexed="true" ma:internalName="OECDProjectManag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ProjectMembers" ma:index="11" nillable="true" ma:displayName="Project members" ma:description="" ma:hidden="true" ma:internalName="OECDProjectMemb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MainProject" ma:index="14" nillable="true" ma:displayName="Main project" ma:description="" ma:hidden="true" ma:indexed="true" ma:list="bf49a777-15e6-4f0c-a068-0246e95b4d6b" ma:internalName="OECDMainProject" ma:readOnly="false" ma:showField="OECDShortProjectName">
      <xsd:simpleType>
        <xsd:restriction base="dms:Lookup"/>
      </xsd:simpleType>
    </xsd:element>
    <xsd:element name="OECDPinnedBy" ma:index="15" nillable="true" ma:displayName="Pinned by" ma:description="" ma:hidden="true" ma:internalName="OECDPinn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6ea0116cd58440890c0bb9a25ab7bf4" ma:index="31" nillable="true" ma:taxonomy="true" ma:internalName="n6ea0116cd58440890c0bb9a25ab7bf4" ma:taxonomyFieldName="OECDProjectOwnerStructure" ma:displayName="Project owner" ma:readOnly="false" ma:default="" ma:fieldId="76ea0116-cd58-4408-90c0-bb9a25ab7bf4" ma:taxonomyMulti="true" ma:sspId="27ec883c-a62c-444f-a935-fcddb579e39d" ma:termSetId="aeec4dcb-19ee-4bc0-941f-681845b568c9" ma:anchorId="00000000-0000-0000-0000-000000000000" ma:open="false" ma:isKeyword="false">
      <xsd:complexType>
        <xsd:sequence>
          <xsd:element ref="pc:Terms" minOccurs="0" maxOccurs="1"/>
        </xsd:sequence>
      </xsd:complexType>
    </xsd:element>
    <xsd:element name="l1daaca4531f4c63a70952d1e850b77b" ma:index="32" nillable="true" ma:displayName="Deliverable owner_0" ma:hidden="true" ma:internalName="l1daaca4531f4c63a70952d1e850b77b">
      <xsd:simpleType>
        <xsd:restriction base="dms:Note"/>
      </xsd:simpleType>
    </xsd:element>
    <xsd:element name="OECDSharingStatus" ma:index="35" nillable="true" ma:displayName="O.N.E Document Sharing Status" ma:description="" ma:hidden="true" ma:internalName="OECDSharingStatus">
      <xsd:simpleType>
        <xsd:restriction base="dms:Text"/>
      </xsd:simpleType>
    </xsd:element>
    <xsd:element name="OECDCommunityDocumentURL" ma:index="36" nillable="true" ma:displayName="O.N.E Community Document URL" ma:description="" ma:hidden="true" ma:internalName="OECDCommunityDocumentURL">
      <xsd:simpleType>
        <xsd:restriction base="dms:Text"/>
      </xsd:simpleType>
    </xsd:element>
    <xsd:element name="OECDCommunityDocumentID" ma:index="37" nillable="true" ma:displayName="O.N.E Community Document ID" ma:decimals="0" ma:description="" ma:hidden="true" ma:internalName="OECDCommunityDocumentID">
      <xsd:simpleType>
        <xsd:restriction base="dms:Number"/>
      </xsd:simpleType>
    </xsd:element>
    <xsd:element name="OECDTagsCache" ma:index="40" nillable="true" ma:displayName="Tags cache" ma:description="" ma:hidden="true" ma:internalName="OECDTagsCache">
      <xsd:simpleType>
        <xsd:restriction base="dms:Note"/>
      </xsd:simpleType>
    </xsd:element>
    <xsd:element name="SharedWithUsers" ma:index="4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ECDDeliverableManager" ma:index="47" nillable="true" ma:displayName="In charge" ma:description="" ma:hidden="true" ma:internalName="OECDDeliverable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eShareCountryTaxHTField0" ma:index="18" nillable="true" ma:taxonomy="true" ma:internalName="eShareCountryTaxHTField0" ma:taxonomyFieldName="OECDCountry" ma:displayName="Country" ma:readOnly="false" ma:default="" ma:fieldId="{aa366335-bba6-4f71-86c6-f91b1ae503c2}" ma:taxonomyMulti="true" ma:sspId="27ec883c-a62c-444f-a935-fcddb579e39d" ma:termSetId="e1026e78-e24d-4b33-a8f4-6ff75b8e5ad2" ma:anchorId="00000000-0000-0000-0000-000000000000" ma:open="false" ma:isKeyword="false">
      <xsd:complexType>
        <xsd:sequence>
          <xsd:element ref="pc:Terms" minOccurs="0" maxOccurs="1"/>
        </xsd:sequence>
      </xsd:complexType>
    </xsd:element>
    <xsd:element name="eShareTopicTaxHTField0" ma:index="19" nillable="true" ma:taxonomy="true" ma:internalName="eShareTopicTaxHTField0" ma:taxonomyFieldName="OECDTopic" ma:displayName="Topic" ma:readOnly="false" ma:default="" ma:fieldId="{9b5335f8-765c-484a-86dd-d10580650a95}" ma:taxonomyMulti="true" ma:sspId="27ec883c-a62c-444f-a935-fcddb579e39d" ma:termSetId="d0043ed9-7fdc-4b21-8641-a864cc50d2b2" ma:anchorId="00000000-0000-0000-0000-000000000000" ma:open="false" ma:isKeyword="false">
      <xsd:complexType>
        <xsd:sequence>
          <xsd:element ref="pc:Terms" minOccurs="0" maxOccurs="1"/>
        </xsd:sequence>
      </xsd:complexType>
    </xsd:element>
    <xsd:element name="eShareKeywordsTaxHTField0" ma:index="20" nillable="true" ma:taxonomy="true" ma:internalName="eShareKeywordsTaxHTField0" ma:taxonomyFieldName="OECDKeywords" ma:displayName="Keywords" ma:default="" ma:fieldId="{8a7c3663-990d-467c-b1b8-bb4b775674ad}" ma:taxonomyMulti="true" ma:sspId="27ec883c-a62c-444f-a935-fcddb579e39d" ma:termSetId="f51791ee-8e04-4654-a875-fc747102cd45" ma:anchorId="00000000-0000-0000-0000-000000000000" ma:open="true" ma:isKeyword="false">
      <xsd:complexType>
        <xsd:sequence>
          <xsd:element ref="pc:Terms" minOccurs="0" maxOccurs="1"/>
        </xsd:sequence>
      </xsd:complexType>
    </xsd:element>
    <xsd:element name="eShareCommitteeTaxHTField0" ma:index="21" nillable="true" ma:taxonomy="true" ma:internalName="eShareCommitteeTaxHTField0" ma:taxonomyFieldName="OECDCommittee" ma:displayName="Committee" ma:fieldId="{29494d90-e667-47b5-adc1-d09dfb5832ab}" ma:sspId="27ec883c-a62c-444f-a935-fcddb579e39d" ma:termSetId="87919aae-be42-4481-84cf-2389a5c84ac4" ma:anchorId="00000000-0000-0000-0000-000000000000" ma:open="false" ma:isKeyword="false">
      <xsd:complexType>
        <xsd:sequence>
          <xsd:element ref="pc:Terms" minOccurs="0" maxOccurs="1"/>
        </xsd:sequence>
      </xsd:complexType>
    </xsd:element>
    <xsd:element name="eSharePWBTaxHTField0" ma:index="22" nillable="true" ma:taxonomy="true" ma:internalName="eSharePWBTaxHTField0" ma:taxonomyFieldName="OECDPWB" ma:displayName="PWB" ma:default="" ma:fieldId="{fe327ce1-b783-48aa-9b0b-52ad26d1c9f6}" ma:sspId="27ec883c-a62c-444f-a935-fcddb579e39d" ma:termSetId="7bc7477d-4ef0-4820-a158-bb7b3cda138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82dde9-3436-4d3d-bddd-d31447390034" elementFormDefault="qualified">
    <xsd:import namespace="http://schemas.microsoft.com/office/2006/documentManagement/types"/>
    <xsd:import namespace="http://schemas.microsoft.com/office/infopath/2007/PartnerControls"/>
    <xsd:element name="aa366335bba64f7186c6f91b1ae503c2" ma:index="24" nillable="true" ma:displayName="Country_0" ma:hidden="true" ma:internalName="aa366335bba64f7186c6f91b1ae503c2">
      <xsd:simpleType>
        <xsd:restriction base="dms:Note"/>
      </xsd:simpleType>
    </xsd:element>
    <xsd:element name="TaxCatchAll" ma:index="25" nillable="true" ma:displayName="Taxonomy Catch All Column" ma:hidden="true" ma:list="{de36993c-b87f-46e8-a622-00d397574c34}" ma:internalName="TaxCatchAll" ma:showField="CatchAllData" ma:web="439f5b02-3b33-475e-b1dd-2befeeb2508a">
      <xsd:complexType>
        <xsd:complexContent>
          <xsd:extension base="dms:MultiChoiceLookup">
            <xsd:sequence>
              <xsd:element name="Value" type="dms:Lookup" maxOccurs="unbounded" minOccurs="0" nillable="true"/>
            </xsd:sequence>
          </xsd:extension>
        </xsd:complexContent>
      </xsd:complexType>
    </xsd:element>
    <xsd:element name="TaxCatchAllLabel" ma:index="26" nillable="true" ma:displayName="Taxonomy Catch All Column1" ma:hidden="true" ma:list="{de36993c-b87f-46e8-a622-00d397574c34}" ma:internalName="TaxCatchAllLabel" ma:readOnly="true" ma:showField="CatchAllDataLabel" ma:web="439f5b02-3b33-475e-b1dd-2befeeb2508a">
      <xsd:complexType>
        <xsd:complexContent>
          <xsd:extension base="dms:MultiChoiceLookup">
            <xsd:sequence>
              <xsd:element name="Value" type="dms:Lookup" maxOccurs="unbounded" minOccurs="0" nillable="true"/>
            </xsd:sequence>
          </xsd:extension>
        </xsd:complexContent>
      </xsd:complexType>
    </xsd:element>
    <xsd:element name="pb5335f8765c484a86ddd10580650a95" ma:index="27" nillable="true" ma:displayName="Topic_0" ma:hidden="true" ma:internalName="pb5335f8765c484a86ddd10580650a95">
      <xsd:simpleType>
        <xsd:restriction base="dms:Note"/>
      </xsd:simpleType>
    </xsd:element>
    <xsd:element name="OECDlanguage" ma:index="41" nillable="true" ma:displayName="Document language" ma:default="English" ma:description="" ma:format="Dropdown" ma:hidden="true" ma:internalName="OECDlanguage" ma:readOnly="false">
      <xsd:simpleType>
        <xsd:restriction base="dms:Choice">
          <xsd:enumeration value="Engl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1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941d5ad240e42c1ac5e8179aa23b15e xmlns="439f5b02-3b33-475e-b1dd-2befeeb2508a">
      <Terms xmlns="http://schemas.microsoft.com/office/infopath/2007/PartnerControls"/>
    </h941d5ad240e42c1ac5e8179aa23b15e>
    <OECDAllRelatedUsers xmlns="439f5b02-3b33-475e-b1dd-2befeeb2508a">
      <UserInfo>
        <DisplayName/>
        <AccountId xsi:nil="true"/>
        <AccountType/>
      </UserInfo>
    </OECDAllRelatedUsers>
    <n6ea0116cd58440890c0bb9a25ab7bf4 xmlns="0fdfc921-f221-4763-9e31-81f120c7cd17">
      <Terms xmlns="http://schemas.microsoft.com/office/infopath/2007/PartnerControls">
        <TermInfo xmlns="http://schemas.microsoft.com/office/infopath/2007/PartnerControls">
          <TermName xmlns="http://schemas.microsoft.com/office/infopath/2007/PartnerControls">SGE/GRS/EURASIA</TermName>
          <TermId xmlns="http://schemas.microsoft.com/office/infopath/2007/PartnerControls">43d0a903-1d43-474e-90b3-a06bc1c5cd83</TermId>
        </TermInfo>
      </Terms>
    </n6ea0116cd58440890c0bb9a25ab7bf4>
    <OECDPinnedBy xmlns="0fdfc921-f221-4763-9e31-81f120c7cd17">
      <UserInfo>
        <DisplayName/>
        <AccountId xsi:nil="true"/>
        <AccountType/>
      </UserInfo>
    </OECDPinnedBy>
    <OECDKimBussinessContext xmlns="54c4cd27-f286-408f-9ce0-33c1e0f3ab39" xsi:nil="true"/>
    <OECDTagsCache xmlns="0fdfc921-f221-4763-9e31-81f120c7cd17" xsi:nil="true"/>
    <eSharePWBTaxHTField0 xmlns="c9f238dd-bb73-4aef-a7a5-d644ad823e52">
      <Terms xmlns="http://schemas.microsoft.com/office/infopath/2007/PartnerControls">
        <TermInfo xmlns="http://schemas.microsoft.com/office/infopath/2007/PartnerControls">
          <TermName xmlns="http://schemas.microsoft.com/office/infopath/2007/PartnerControls">5.2.1.6 Eurasia Competitiveness Programme</TermName>
          <TermId xmlns="http://schemas.microsoft.com/office/infopath/2007/PartnerControls">2db57aed-ff9b-40c5-b0d4-3298c48a5af7</TermId>
        </TermInfo>
      </Terms>
    </eSharePWBTaxHTField0>
    <OECDlanguage xmlns="ca82dde9-3436-4d3d-bddd-d31447390034">English</OECDlanguage>
    <OECDCommunityDocumentID xmlns="0fdfc921-f221-4763-9e31-81f120c7cd17" xsi:nil="true"/>
    <IconOverlay xmlns="http://schemas.microsoft.com/sharepoint/v4" xsi:nil="true"/>
    <pb5335f8765c484a86ddd10580650a95 xmlns="ca82dde9-3436-4d3d-bddd-d31447390034" xsi:nil="true"/>
    <OECDCommunityDocumentURL xmlns="0fdfc921-f221-4763-9e31-81f120c7cd17" xsi:nil="true"/>
    <OECDDeliverableManager xmlns="0fdfc921-f221-4763-9e31-81f120c7cd17">
      <UserInfo>
        <DisplayName/>
        <AccountId xsi:nil="true"/>
        <AccountType/>
      </UserInfo>
    </OECDDeliverableManager>
    <OECDProjectMembers xmlns="0fdfc921-f221-4763-9e31-81f120c7cd17">
      <UserInfo>
        <DisplayName>GRS DIR EURASIA</DisplayName>
        <AccountId>346</AccountId>
        <AccountType/>
      </UserInfo>
      <UserInfo>
        <DisplayName>HALLIDAY Orla, SGE/GRS/EURASIA</DisplayName>
        <AccountId>188</AccountId>
        <AccountType/>
      </UserInfo>
      <UserInfo>
        <DisplayName>ALFONSO Francesco, SGE/GRS/EURASIA</DisplayName>
        <AccountId>93</AccountId>
        <AccountType/>
      </UserInfo>
      <UserInfo>
        <DisplayName>QUADBECK Daniel, SGE/GRS/EURASIA</DisplayName>
        <AccountId>89</AccountId>
        <AccountType/>
      </UserInfo>
      <UserInfo>
        <DisplayName>FRID Alena, EDU/ECS</DisplayName>
        <AccountId>217</AccountId>
        <AccountType/>
      </UserInfo>
      <UserInfo>
        <DisplayName>KLIMENKA Eugenia, SGE/GRS/EURASIA</DisplayName>
        <AccountId>1624</AccountId>
        <AccountType/>
      </UserInfo>
      <UserInfo>
        <DisplayName>CHAHTAHTINSKY Anna, SGE/GRS/EURASIA</DisplayName>
        <AccountId>179</AccountId>
        <AccountType/>
      </UserInfo>
      <UserInfo>
        <DisplayName>LARRAKOETXEA Elisa, SGE/GRS/EURASIA</DisplayName>
        <AccountId>2339</AccountId>
        <AccountType/>
      </UserInfo>
      <UserInfo>
        <DisplayName>PRUZINSKY Patrik, SGE/GRS/EURASIA</DisplayName>
        <AccountId>157</AccountId>
        <AccountType/>
      </UserInfo>
      <UserInfo>
        <DisplayName>MACKLE Luke, SGE/GRS/EURASIA</DisplayName>
        <AccountId>1414</AccountId>
        <AccountType/>
      </UserInfo>
      <UserInfo>
        <DisplayName>TRASI Cecilia, SGE/GRS/EURASIA</DisplayName>
        <AccountId>2732</AccountId>
        <AccountType/>
      </UserInfo>
      <UserInfo>
        <DisplayName>BOROVITSKY Daria, SGE/GRS/EURASIA</DisplayName>
        <AccountId>2755</AccountId>
        <AccountType/>
      </UserInfo>
      <UserInfo>
        <DisplayName>MIRANDA Gabriela, SGE/GRS/EURASIA</DisplayName>
        <AccountId>248</AccountId>
        <AccountType/>
      </UserInfo>
      <UserInfo>
        <DisplayName>ZANKO Yustyna, SGE/GRS/EURASIA</DisplayName>
        <AccountId>2842</AccountId>
        <AccountType/>
      </UserInfo>
      <UserInfo>
        <DisplayName>TAUTIYEVA Lyudmyla, SGE/GRS/EURASIA</DisplayName>
        <AccountId>1012</AccountId>
        <AccountType/>
      </UserInfo>
      <UserInfo>
        <DisplayName>RAUHALA Antti, SGE/GRS/EURASIA</DisplayName>
        <AccountId>2873</AccountId>
        <AccountType/>
      </UserInfo>
      <UserInfo>
        <DisplayName>SAZAMA Kristin, SGE/GRS/MCU</DisplayName>
        <AccountId>595</AccountId>
        <AccountType/>
      </UserInfo>
      <UserInfo>
        <DisplayName>LECOMTE Grégory, SGE/GRS/EURASIA</DisplayName>
        <AccountId>75</AccountId>
        <AccountType/>
      </UserInfo>
      <UserInfo>
        <DisplayName>SCHURICH Amelie, SGE/GRS/EURASIA</DisplayName>
        <AccountId>3036</AccountId>
        <AccountType/>
      </UserInfo>
      <UserInfo>
        <DisplayName>KUPFERSCHMID Sebastian, SGE/GRS/EURASIA</DisplayName>
        <AccountId>121</AccountId>
        <AccountType/>
      </UserInfo>
      <UserInfo>
        <DisplayName>FERREIRA Maria, SGE/GRS/EURASIA</DisplayName>
        <AccountId>920</AccountId>
        <AccountType/>
      </UserInfo>
      <UserInfo>
        <DisplayName>ZHANABERGENOVA Mira, SGE/GRS/EURASIA</DisplayName>
        <AccountId>2541</AccountId>
        <AccountType/>
      </UserInfo>
      <UserInfo>
        <DisplayName>UPTON Geoff, SGE/GRS/EURASIA</DisplayName>
        <AccountId>2924</AccountId>
        <AccountType/>
      </UserInfo>
      <UserInfo>
        <DisplayName>BERRY-CHATELAIN Vanessa, SGE/GRS/MCU</DisplayName>
        <AccountId>193</AccountId>
        <AccountType/>
      </UserInfo>
      <UserInfo>
        <DisplayName>VISCU Iulia, SGE/GRS/EURASIA</DisplayName>
        <AccountId>3029</AccountId>
        <AccountType/>
      </UserInfo>
      <UserInfo>
        <DisplayName>ATAMER Peline, SGE/GRS/EURASIA</DisplayName>
        <AccountId>114</AccountId>
        <AccountType/>
      </UserInfo>
      <UserInfo>
        <DisplayName>YUCE Salih, SGE/GRS/EURASIA</DisplayName>
        <AccountId>3060</AccountId>
        <AccountType/>
      </UserInfo>
      <UserInfo>
        <DisplayName>PUNTHAKEY Jibran, SGE/GRS/EURASIA</DisplayName>
        <AccountId>116</AccountId>
        <AccountType/>
      </UserInfo>
      <UserInfo>
        <DisplayName>WILL Salomé, SGE/GRS/EURASIA</DisplayName>
        <AccountId>3015</AccountId>
        <AccountType/>
      </UserInfo>
      <UserInfo>
        <DisplayName>MOISO Carlotta, SGE/GRS/EURASIA</DisplayName>
        <AccountId>2830</AccountId>
        <AccountType/>
      </UserInfo>
    </OECDProjectMembers>
    <l1daaca4531f4c63a70952d1e850b77b xmlns="0fdfc921-f221-4763-9e31-81f120c7cd17" xsi:nil="true"/>
    <OECDSharingStatus xmlns="0fdfc921-f221-4763-9e31-81f120c7cd17" xsi:nil="true"/>
    <OECDMeetingDate xmlns="54c4cd27-f286-408f-9ce0-33c1e0f3ab39" xsi:nil="true"/>
    <OECDProjectLookup xmlns="0fdfc921-f221-4763-9e31-81f120c7cd17">254</OECDProjectLookup>
    <OECDProjectManager xmlns="0fdfc921-f221-4763-9e31-81f120c7cd17">
      <UserInfo>
        <DisplayName/>
        <AccountId>313</AccountId>
        <AccountType/>
      </UserInfo>
    </OECDProjectManager>
    <eShareCommitteeTaxHTField0 xmlns="c9f238dd-bb73-4aef-a7a5-d644ad823e52">
      <Terms xmlns="http://schemas.microsoft.com/office/infopath/2007/PartnerControls"/>
    </eShareCommitteeTaxHTField0>
    <aa366335bba64f7186c6f91b1ae503c2 xmlns="ca82dde9-3436-4d3d-bddd-d31447390034" xsi:nil="true"/>
    <OECDKimProvenance xmlns="54c4cd27-f286-408f-9ce0-33c1e0f3ab39" xsi:nil="true"/>
    <eShareHorizProjTaxHTField0 xmlns="439f5b02-3b33-475e-b1dd-2befeeb2508a" xsi:nil="true"/>
    <OECDExpirationDate xmlns="439f5b02-3b33-475e-b1dd-2befeeb2508a" xsi:nil="true"/>
    <OECDKimStatus xmlns="54c4cd27-f286-408f-9ce0-33c1e0f3ab39">Draft</OECDKimStatus>
    <OECDMainProject xmlns="0fdfc921-f221-4763-9e31-81f120c7cd17">24</OECDMainProject>
    <eShareCountryTaxHTField0 xmlns="c9f238dd-bb73-4aef-a7a5-d644ad823e52">
      <Terms xmlns="http://schemas.microsoft.com/office/infopath/2007/PartnerControls">
        <TermInfo xmlns="http://schemas.microsoft.com/office/infopath/2007/PartnerControls">
          <TermName xmlns="http://schemas.microsoft.com/office/infopath/2007/PartnerControls">Eurasia</TermName>
          <TermId xmlns="http://schemas.microsoft.com/office/infopath/2007/PartnerControls">0013523e-bd76-4072-9f2f-a505ec31a380</TermId>
        </TermInfo>
      </Terms>
    </eShareCountryTaxHTField0>
    <eShareTopicTaxHTField0 xmlns="c9f238dd-bb73-4aef-a7a5-d644ad823e52">
      <Terms xmlns="http://schemas.microsoft.com/office/infopath/2007/PartnerControls"/>
    </eShareTopicTaxHTField0>
    <eShareKeywordsTaxHTField0 xmlns="c9f238dd-bb73-4aef-a7a5-d644ad823e52">
      <Terms xmlns="http://schemas.microsoft.com/office/infopath/2007/PartnerControls">
        <TermInfo xmlns="http://schemas.microsoft.com/office/infopath/2007/PartnerControls">
          <TermName xmlns="http://schemas.microsoft.com/office/infopath/2007/PartnerControls">Investment</TermName>
          <TermId xmlns="http://schemas.microsoft.com/office/infopath/2007/PartnerControls">90fc53f1-0b0c-4dcf-9303-45793ef115ad</TermId>
        </TermInfo>
      </Terms>
    </eShareKeywordsTaxHTField0>
    <TaxCatchAll xmlns="ca82dde9-3436-4d3d-bddd-d31447390034">
      <Value>537</Value>
      <Value>1159</Value>
      <Value>248</Value>
      <Value>80</Value>
    </TaxCatchAll>
  </documentManagement>
</p:properties>
</file>

<file path=customXml/item4.xml><?xml version="1.0" encoding="utf-8"?>
<?mso-contentType ?>
<FormTemplates xmlns="http://schemas.microsoft.com/sharepoint/v3/contenttype/forms">
  <Display>OECDListFormCollapsible</Display>
  <Edit>OECDListFormCollapsible</Edit>
  <New>OECDListFormCollapsible</New>
</FormTemplates>
</file>

<file path=customXml/item5.xml><?xml version="1.0" encoding="utf-8"?>
<?mso-contentType ?>
<SharedContentType xmlns="Microsoft.SharePoint.Taxonomy.ContentTypeSync" SourceId="27ec883c-a62c-444f-a935-fcddb579e39d" ContentTypeId="0x0101008B4DD370EC31429186F3AD49F0D3098F00D44DBCB9EB4F45278CB5C9765BE52995" PreviousValue="false"/>
</file>

<file path=customXml/item6.xml><?xml version="1.0" encoding="utf-8"?>
<b:Sources xmlns:b="http://schemas.openxmlformats.org/officeDocument/2006/bibliography" xmlns="http://schemas.openxmlformats.org/officeDocument/2006/bibliography" SelectedStyle="\oecd-en.xsl" StyleName="OECD English" Version="20190214">
  <b:Source>
    <b:Tag>UNC16</b:Tag>
    <b:SourceType>Report</b:SourceType>
    <b:Guid>{699D4CE6-5AA7-4365-B69D-AD33A54828D4}</b:Guid>
    <b:Author>
      <b:Author>
        <b:Corporate>UNCTAD</b:Corporate>
      </b:Author>
    </b:Author>
    <b:Title>Investment Policy Review of Tajikistan</b:Title>
    <b:Year>2016</b:Year>
    <b:RefOrder>13</b:RefOrder>
  </b:Source>
  <b:Source>
    <b:Tag>OEC183</b:Tag>
    <b:SourceType>Report</b:SourceType>
    <b:Guid>{BC5719D8-4086-476B-BFB4-637D97C3A9E5}</b:Guid>
    <b:Author>
      <b:Author>
        <b:Corporate>OECD and Business France</b:Corporate>
      </b:Author>
    </b:Author>
    <b:Title>The institutional transformation of investment promotion agencies: a case study</b:Title>
    <b:Year>2018</b:Year>
    <b:RefOrder>14</b:RefOrder>
  </b:Source>
  <b:Source>
    <b:Tag>Kappa_g2g3e67f</b:Tag>
    <b:SourceType>Book</b:SourceType>
    <b:Title>Policy Framework for Investment, 2015 Edition</b:Title>
    <b:Year>2015</b:Year>
    <b:Publisher>OECD Publishing, Paris</b:Publisher>
    <b:Author>
      <b:Author>
        <b:Corporate>OECD</b:Corporate>
      </b:Author>
    </b:Author>
    <b:DOI>https://dx.doi.org/10.1787/9789264208667-en</b:DOI>
    <b:LCID>en-GB</b:LCID>
    <b:Version>Kappa</b:Version>
    <b:RefOrder>7</b:RefOrder>
  </b:Source>
  <b:Source>
    <b:Tag>Mendeley_TA3dH6ihQza5YwFBu9ChhA</b:Tag>
    <b:SourceType>Book</b:SourceType>
    <b:Guid>{1FDD0D4C-A1A8-3643-B963-0141BBD0A184}</b:Guid>
    <b:Title>Investment Policy Review: Kyrgyzstan</b:Title>
    <b:Year>2016</b:Year>
    <b:Author>
      <b:Author>
        <b:NameList>
          <b:Person>
            <b:Last>UNCTAD</b:Last>
          </b:Person>
        </b:NameList>
      </b:Author>
    </b:Author>
    <b:YearAccessed>2020</b:YearAccessed>
    <b:MonthAccessed>01</b:MonthAccessed>
    <b:DayAccessed>16</b:DayAccessed>
    <b:URL>https://unctad.org/en/pages/PublicationWebflyer.aspx?publicationid=1436</b:URL>
    <b:LCID>en-US</b:LCID>
    <b:Version>Mendeley</b:Version>
    <b:RefOrder>26</b:RefOrder>
  </b:Source>
  <b:Source>
    <b:Tag>Kappa_g27a2751</b:Tag>
    <b:SourceType>BookSection</b:SourceType>
    <b:Title>Using Outcome Indicators to Improve Policies: Methods, Design Strategies and Implementation</b:Title>
    <b:Year>2016</b:Year>
    <b:Publisher>OECD Publishing, Paris</b:Publisher>
    <b:Author>
      <b:Author>
        <b:NameList>
          <b:Person>
            <b:Last>Schumann</b:Last>
            <b:First>Abel</b:First>
          </b:Person>
        </b:NameList>
      </b:Author>
    </b:Author>
    <b:Volume>2016/2</b:Volume>
    <b:BookTitle>OECD Regional Development Working Papers</b:BookTitle>
    <b:Medium>Working Paper</b:Medium>
    <b:DOI>https://dx.doi.org/10.1787/5jm5cgr8j532-en</b:DOI>
    <b:LCID>en-GB</b:LCID>
    <b:Version>Kappa</b:Version>
    <b:RefOrder>27</b:RefOrder>
  </b:Source>
  <b:Source>
    <b:Tag>Mendeley_tcEPOjatsz__e7ShMwPpBNQ</b:Tag>
    <b:SourceType>JournalArticle</b:SourceType>
    <b:Guid>{51C3C32B-18E6-4A53-816C-6FFC005FB960}</b:Guid>
    <b:Title>A framework for FDI promotion</b:Title>
    <b:Author>
      <b:Author>
        <b:NameList>
          <b:Person>
            <b:Last>Loewendahl</b:Last>
            <b:First>H.</b:First>
          </b:Person>
        </b:NameList>
      </b:Author>
    </b:Author>
    <b:BookTitle>go.galegroup.com</b:BookTitle>
    <b:YearAccessed>2020</b:YearAccessed>
    <b:MonthAccessed>01</b:MonthAccessed>
    <b:DayAccessed>03</b:DayAccessed>
    <b:JournalName>Transnational Corporations, 10(1), 1-42.</b:JournalName>
    <b:URL>https://go.galegroup.com/ps/i.do?id=GALE%7CA83698911&amp;sid=googleScholar&amp;v=2.1&amp;it=r&amp;linkaccess=abs&amp;issn=10149562&amp;p=AONE&amp;sw=w</b:URL>
    <b:LCID>en-US</b:LCID>
    <b:Version>Mendeley</b:Version>
    <b:Year>2001</b:Year>
    <b:RefOrder>9</b:RefOrder>
  </b:Source>
  <b:Source>
    <b:Tag>OEC19</b:Tag>
    <b:SourceType>Misc</b:SourceType>
    <b:Guid>{94BFF275-E34D-4982-B94B-735CF7652D62}</b:Guid>
    <b:Title>OECD Workshop IPA Summary 2019</b:Title>
    <b:Year>2019</b:Year>
    <b:Author>
      <b:Author>
        <b:NameList>
          <b:Person>
            <b:Last>OECD</b:Last>
          </b:Person>
        </b:NameList>
      </b:Author>
    </b:Author>
    <b:RefOrder>28</b:RefOrder>
  </b:Source>
  <b:Source>
    <b:Tag>Mendeley_DQLjew5tDDWTg7augA_7oA</b:Tag>
    <b:SourceType>JournalArticle</b:SourceType>
    <b:Guid>{7BE3020D-6D0E-350C-9383-B6AE800FFBA0}</b:Guid>
    <b:Title>The politics of performance evaluation: Independent evaluation at the International Monetary Fund</b:Title>
    <b:Year>2010</b:Year>
    <b:Publisher>Springer New York LLC</b:Publisher>
    <b:Author>
      <b:Author>
        <b:NameList>
          <b:Person>
            <b:Last>Weaver</b:Last>
            <b:First>Catherine</b:First>
          </b:Person>
        </b:NameList>
      </b:Author>
    </b:Author>
    <b:Volume>5</b:Volume>
    <b:BookTitle>Review of International Organizations</b:BookTitle>
    <b:Pages>365-385</b:Pages>
    <b:JournalName>Review of International Organizations</b:JournalName>
    <b:DOI>10.1007/s11558-010-9094-1</b:DOI>
    <b:Issue>3</b:Issue>
    <b:LCID>en-US</b:LCID>
    <b:Version>Mendeley</b:Version>
    <b:RefOrder>30</b:RefOrder>
  </b:Source>
  <b:Source>
    <b:Tag>Mendeley_6C7B1fKp7Tm7ZDYVh25ZDQ</b:Tag>
    <b:SourceType>Book</b:SourceType>
    <b:Guid>{D5C12EE8-A9F2-39ED-BB64-3615876E590D}</b:Guid>
    <b:Title>How to Solve the Investment Promotion Puzzle: A Mapping of Investment Promotion Agencies in Latin America and the Caribbean and OECD Countries</b:Title>
    <b:Year>2019</b:Year>
    <b:Publisher>Inter-American Development Bank</b:Publisher>
    <b:Author>
      <b:Author>
        <b:NameList>
          <b:Person>
            <b:Last>Volpe Martincus</b:Last>
            <b:First>Christian</b:First>
          </b:Person>
          <b:Person>
            <b:Last>Sztajerowska</b:Last>
            <b:First>Monika</b:First>
          </b:Person>
        </b:NameList>
      </b:Author>
    </b:Author>
    <b:BookTitle>How to Solve the Investment Promotion Puzzle: A Mapping of Investment Promotion Agencies in Latin America and the Caribbean and OECD Countries</b:BookTitle>
    <b:DOI>10.18235/0001767</b:DOI>
    <b:LCID>en-US</b:LCID>
    <b:Version>Mendeley</b:Version>
    <b:RefOrder>12</b:RefOrder>
  </b:Source>
  <b:Source>
    <b:Tag>Mon19</b:Tag>
    <b:SourceType>Book</b:SourceType>
    <b:Guid>{928B8351-9CFC-4B52-85A8-4C51C9ACCAF6}</b:Guid>
    <b:Author>
      <b:Author>
        <b:NameList>
          <b:Person>
            <b:Last>Sztajerowska</b:Last>
            <b:First>Monika</b:First>
          </b:Person>
        </b:NameList>
      </b:Author>
    </b:Author>
    <b:Title>Monitoring and Evaluation: A Brief Guide for Investment Promotion Agencies</b:Title>
    <b:Year>2019</b:Year>
    <b:Publisher>OECD Investment Insights</b:Publisher>
    <b:URL>https://www.oecd.org/investment/investment-policy/Monitoring-and-evaluation-a-brief-guide-for-investment-promotion-agencies.pdf</b:URL>
    <b:RefOrder>31</b:RefOrder>
  </b:Source>
  <b:Source>
    <b:Tag>Mendeley_eT1XZ3cOlzebYtKxJr6hBw</b:Tag>
    <b:SourceType>JournalArticle</b:SourceType>
    <b:Guid>{6B1BB346-5E87-414E-AD5C-13474D05C549}</b:Guid>
    <b:Title>Customer relationship management (CRM) processes from theory to practice: The pre-implementation plan of CRM system</b:Title>
    <b:Author>
      <b:Author>
        <b:NameList>
          <b:Person>
            <b:Last>Rababah</b:Last>
            <b:First>K</b:First>
          </b:Person>
          <b:Person>
            <b:Last>Mohd</b:Last>
            <b:First>H</b:First>
          </b:Person>
          <b:Person>
            <b:Last>&amp; Ibrahim</b:Last>
            <b:First>H.</b:First>
          </b:Person>
        </b:NameList>
      </b:Author>
    </b:Author>
    <b:BookTitle>academia.edu</b:BookTitle>
    <b:YearAccessed>2020</b:YearAccessed>
    <b:MonthAccessed>01</b:MonthAccessed>
    <b:DayAccessed>17</b:DayAccessed>
    <b:JournalName>International Journal of e-Education, e-Business, e-Management and e-Learning</b:JournalName>
    <b:URL>http://www.academia.edu/download/32561951/004-C00077.pdf</b:URL>
    <b:LCID>en-US</b:LCID>
    <b:Version>Mendeley</b:Version>
    <b:Year>2011</b:Year>
    <b:RefOrder>32</b:RefOrder>
  </b:Source>
  <b:Source>
    <b:Tag>Mendeley_PhpUZIbPgjGXDM8N1SGjGw</b:Tag>
    <b:SourceType>JournalArticle</b:SourceType>
    <b:Guid>{64541A3E-CF86-3182-970C-CF0DD521A31B}</b:Guid>
    <b:Title>CRM in the public sector: towards a conceptual research framework</b:Title>
    <b:Year>2005</b:Year>
    <b:Author>
      <b:Author>
        <b:NameList>
          <b:Person>
            <b:Last>Schellong</b:Last>
            <b:First>Alexander</b:First>
          </b:Person>
        </b:NameList>
      </b:Author>
    </b:Author>
    <b:BookTitle>Proceedings of the 2005 national conference on Digital government research</b:BookTitle>
    <b:StandardNumber>&lt;null&gt;</b:StandardNumber>
    <b:Pages>326-332</b:Pages>
    <b:JournalName>Proceedings of the 2005 national conference on Digital government research</b:JournalName>
    <b:DOI>10.1145/1065226.1065342</b:DOI>
    <b:Issue>January 2005</b:Issue>
    <b:LCID>en-US</b:LCID>
    <b:Version>Mendeley</b:Version>
    <b:RefOrder>33</b:RefOrder>
  </b:Source>
  <b:Source>
    <b:Tag>Mendeley_aaCaxYAhDD6aGi_NytuCag</b:Tag>
    <b:SourceType>JournalArticle</b:SourceType>
    <b:Guid>{C59AA069-2180-3E0C-9A1A-2FCDCADB826A}</b:Guid>
    <b:Title>What makes for CRM system success — Or failure?</b:Title>
    <b:Year>2008</b:Year>
    <b:Publisher>Springer Science and Business Media LLC</b:Publisher>
    <b:Author>
      <b:Author>
        <b:NameList>
          <b:Person>
            <b:Last>Foss</b:Last>
            <b:First>Bryan</b:First>
          </b:Person>
          <b:Person>
            <b:Last>Stone</b:Last>
            <b:First>Merlin</b:First>
          </b:Person>
          <b:Person>
            <b:Last>Ekinci</b:Last>
            <b:First>Yuksel</b:First>
          </b:Person>
        </b:NameList>
      </b:Author>
    </b:Author>
    <b:Volume>15</b:Volume>
    <b:BookTitle>Journal of Database Marketing &amp; Customer Strategy Management</b:BookTitle>
    <b:Pages>68-78</b:Pages>
    <b:JournalName>Journal of Database Marketing &amp; Customer Strategy Management</b:JournalName>
    <b:DOI>10.1057/dbm.2008.5</b:DOI>
    <b:Issue>2</b:Issue>
    <b:LCID>en-US</b:LCID>
    <b:Version>Mendeley</b:Version>
    <b:RefOrder>34</b:RefOrder>
  </b:Source>
  <b:Source>
    <b:Tag>Mor04</b:Tag>
    <b:SourceType>Report</b:SourceType>
    <b:Guid>{7C3683CF-AD9B-4153-B0ED-9E2D84B9F05A}</b:Guid>
    <b:Author>
      <b:Author>
        <b:NameList>
          <b:Person>
            <b:Last>Morisset</b:Last>
            <b:First>Jacques</b:First>
          </b:Person>
          <b:Person>
            <b:Last>Andrews-Johnson</b:Last>
            <b:First>Kelly</b:First>
          </b:Person>
        </b:NameList>
      </b:Author>
    </b:Author>
    <b:Title>The Effectiveness of Promotion Agencies at Attracting Foreign Direct Investment</b:Title>
    <b:Year>2004</b:Year>
    <b:RefOrder>15</b:RefOrder>
  </b:Source>
  <b:Source>
    <b:Tag>Placeholder1</b:Tag>
    <b:SourceType>Report</b:SourceType>
    <b:Guid>{4A82D87E-BCA4-413F-B48A-C06DE5CC48FC}</b:Guid>
    <b:Title>Mapping of Investment Promotion Agencies: Middle East and North Africa</b:Title>
    <b:YearAccessed>2020</b:YearAccessed>
    <b:MonthAccessed>01</b:MonthAccessed>
    <b:DayAccessed>17</b:DayAccessed>
    <b:URL>https://www.oecd.org/investment/investment-policy/mapping-of-investment-promotion-agencies-med.htm</b:URL>
    <b:LCID>en-US</b:LCID>
    <b:Version>Mendeley</b:Version>
    <b:Year>2019</b:Year>
    <b:Author>
      <b:Author>
        <b:Corporate>OECD</b:Corporate>
      </b:Author>
    </b:Author>
    <b:RefOrder>11</b:RefOrder>
  </b:Source>
  <b:Source>
    <b:Tag>OEC</b:Tag>
    <b:SourceType>Report</b:SourceType>
    <b:Guid>{B5A796A9-1AD9-48B2-8C30-A61F597CCDAB}</b:Guid>
    <b:Author>
      <b:Author>
        <b:Corporate>OECD</b:Corporate>
      </b:Author>
    </b:Author>
    <b:Title>Legal Environment for Business: Legal and operational environment </b:Title>
    <b:Year>forthcoming</b:Year>
    <b:RefOrder>10</b:RefOrder>
  </b:Source>
  <b:Source>
    <b:Tag>UNC07</b:Tag>
    <b:SourceType>Report</b:SourceType>
    <b:Guid>{5E7D3562-2947-4C87-AFFA-4A0243DAE2B4}</b:Guid>
    <b:Title>Aftercare A Core Function In Investment Promotion</b:Title>
    <b:Year>2007</b:Year>
    <b:Author>
      <b:Author>
        <b:NameList>
          <b:Person>
            <b:Last>UNCTAD</b:Last>
          </b:Person>
        </b:NameList>
      </b:Author>
    </b:Author>
    <b:RefOrder>35</b:RefOrder>
  </b:Source>
  <b:Source>
    <b:Tag>OEC17</b:Tag>
    <b:SourceType>ConferenceProceedings</b:SourceType>
    <b:Guid>{20389DE7-2736-4134-BBAE-ABE02B7ACA3C}</b:Guid>
    <b:Author>
      <b:Author>
        <b:Corporate>OECD</b:Corporate>
      </b:Author>
    </b:Author>
    <b:Title>Second workshop of the OECD IPA Network: Trends and practices in investment promotion and facilitation</b:Title>
    <b:Year>2017</b:Year>
    <b:RefOrder>23</b:RefOrder>
  </b:Source>
  <b:Source>
    <b:Tag>Kappa_g2g876fa</b:Tag>
    <b:SourceType>BookSection</b:SourceType>
    <b:Title>Enhancing Competitiveness in Central Asia</b:Title>
    <b:Year>2018</b:Year>
    <b:Publisher>OECD Publishing, Paris</b:Publisher>
    <b:Author>
      <b:Author>
        <b:Corporate>OECD</b:Corporate>
      </b:Author>
    </b:Author>
    <b:BookTitle>Competitiveness and Private Sector Development</b:BookTitle>
    <b:Medium>Series Book</b:Medium>
    <b:DOI>https://dx.doi.org/10.1787/9789264288133-en</b:DOI>
    <b:LCID>en-GB</b:LCID>
    <b:Version>Kappa</b:Version>
    <b:RefOrder>25</b:RefOrder>
  </b:Source>
  <b:Source>
    <b:Tag>Mendeley_CX0nmvsVAzS7YtiArX87vg</b:Tag>
    <b:SourceType>Book</b:SourceType>
    <b:Guid>{9A277D09-15FB-3403-BB62-D880AD7F3BBE}</b:Guid>
    <b:Title>The Central Asian Economies in the Twenty-First Century</b:Title>
    <b:Year>2019</b:Year>
    <b:Publisher>Princeton University Press</b:Publisher>
    <b:Author>
      <b:Author>
        <b:NameList>
          <b:Person>
            <b:Last>Pomfret</b:Last>
            <b:First>Richard</b:First>
          </b:Person>
        </b:NameList>
      </b:Author>
    </b:Author>
    <b:BookTitle>The Central Asian Economies in the Twenty-First Century</b:BookTitle>
    <b:DOI>10.23943/princeton/9780691182216.001.0001</b:DOI>
    <b:LCID>en-US</b:LCID>
    <b:Version>Mendeley</b:Version>
    <b:RefOrder>36</b:RefOrder>
  </b:Source>
  <b:Source>
    <b:Tag>CrossRef_cVA6u0FBCsm5hyqkTqNclg</b:Tag>
    <b:SourceType>JournalArticle</b:SourceType>
    <b:Title>Roll Out the Red Carpet and They Will Come: Investment Promotion and FDI Inflows</b:Title>
    <b:Year>2011</b:Year>
    <b:Publisher>Oxford University Press (OUP)</b:Publisher>
    <b:Author>
      <b:Author>
        <b:NameList>
          <b:Person>
            <b:Last>Harding</b:Last>
            <b:First>Torfinn</b:First>
          </b:Person>
          <b:Person>
            <b:Last>Javorcik</b:Last>
            <b:First>Beata S.</b:First>
          </b:Person>
        </b:NameList>
      </b:Author>
    </b:Author>
    <b:Volume>121</b:Volume>
    <b:Pages>1445-1476</b:Pages>
    <b:JournalName>The Economic Journal</b:JournalName>
    <b:DOI>10.1111/j.1468-0297.2011.02454.x</b:DOI>
    <b:Issue>557</b:Issue>
    <b:LCID>en-US</b:LCID>
    <b:Version>CrossRef</b:Version>
    <b:RefOrder>17</b:RefOrder>
  </b:Source>
  <b:Source>
    <b:Tag>Rod04</b:Tag>
    <b:SourceType>Report</b:SourceType>
    <b:Guid>{3E130B78-F9CB-4067-97FD-0FBB62F150BE}</b:Guid>
    <b:Author>
      <b:Author>
        <b:NameList>
          <b:Person>
            <b:Last>Rodrik</b:Last>
            <b:First>Dani</b:First>
          </b:Person>
        </b:NameList>
      </b:Author>
    </b:Author>
    <b:Title>Industrial Policy for the Twenty-First Century</b:Title>
    <b:Year>2004</b:Year>
    <b:RefOrder>18</b:RefOrder>
  </b:Source>
  <b:Source>
    <b:Tag>Bos18</b:Tag>
    <b:SourceType>Report</b:SourceType>
    <b:Guid>{EE065AC6-6035-44B6-B4AE-470EEE1BC6A1}</b:Guid>
    <b:Author>
      <b:Author>
        <b:Corporate>The Boston Consulting Group</b:Corporate>
      </b:Author>
    </b:Author>
    <b:Title>Investing in Central Asia</b:Title>
    <b:Year>2018</b:Year>
    <b:RefOrder>19</b:RefOrder>
  </b:Source>
  <b:Source>
    <b:Tag>Mendeley_3Fpsy_u__NTem3DuBhbqNDw</b:Tag>
    <b:SourceType>JournalArticle</b:SourceType>
    <b:Guid>{CB6C5ADC-BEFB-3735-A6DC-3B8185BA8D0F}</b:Guid>
    <b:Title>Foreign direct investment in the Eurasian transition states</b:Title>
    <b:Year>2003</b:Year>
    <b:Author>
      <b:Author>
        <b:NameList>
          <b:Person>
            <b:Last>Deichmann</b:Last>
            <b:First>Joel I.</b:First>
          </b:Person>
          <b:Person>
            <b:Last>Eshghi</b:Last>
            <b:First>Abdolreza</b:First>
          </b:Person>
          <b:Person>
            <b:Last>Haughton</b:Last>
            <b:First>Dominique M.</b:First>
          </b:Person>
          <b:Person>
            <b:Last>Sayek</b:Last>
            <b:First>Selin</b:First>
          </b:Person>
          <b:Person>
            <b:Last>Teebagy</b:Last>
            <b:First>Nicholas C.</b:First>
          </b:Person>
        </b:NameList>
      </b:Author>
    </b:Author>
    <b:Volume>41</b:Volume>
    <b:BookTitle>Eastern European Economics</b:BookTitle>
    <b:Pages>5-34</b:Pages>
    <b:JournalName>Eastern European Economics</b:JournalName>
    <b:DOI>10.1080/00128775.2003.11041039</b:DOI>
    <b:Issue>1</b:Issue>
    <b:LCID>en-US</b:LCID>
    <b:Version>Mendeley</b:Version>
    <b:RefOrder>1</b:RefOrder>
  </b:Source>
  <b:Source>
    <b:Tag>Mendeley_7XmXoNFGVz6blU6EqlZeqg</b:Tag>
    <b:SourceType>Book</b:SourceType>
    <b:Guid>{A09779ED-46D1-3E57-9B95-4E84AA565EAA}</b:Guid>
    <b:Title>Foreign Direct Investments: A Comparison of EAEU, DCFTA and Selected EU-CEE Countries</b:Title>
    <b:Year>2018</b:Year>
    <b:Author>
      <b:Author>
        <b:NameList>
          <b:Person>
            <b:Last>Havlík</b:Last>
            <b:First>Peter</b:First>
          </b:Person>
          <b:Person>
            <b:Last>Hunya</b:Last>
            <b:First>Gábor</b:First>
          </b:Person>
          <b:Person>
            <b:Last>Zaytsev</b:Last>
            <b:First>Yury V.</b:First>
          </b:Person>
        </b:NameList>
      </b:Author>
    </b:Author>
    <b:YearAccessed>2020</b:YearAccessed>
    <b:MonthAccessed>01</b:MonthAccessed>
    <b:DayAccessed>30</b:DayAccessed>
    <b:LCID>en-US</b:LCID>
    <b:Version>Mendeley</b:Version>
    <b:RefOrder>2</b:RefOrder>
  </b:Source>
  <b:Source>
    <b:Tag>Mendeley_hVKuhB_z4jaq61zHzqzaHA</b:Tag>
    <b:SourceType>Report</b:SourceType>
    <b:Guid>{7F0CDBF2-8F28-4E43-80BA-1009891DDD1B}</b:Guid>
    <b:Title>Foreign Direct Investment between the EU and EAEU: Challenges and Opportunities of Economic Integration within a Wider European and Eurasian Space</b:Title>
    <b:Year>2018</b:Year>
    <b:Author>
      <b:Author>
        <b:NameList>
          <b:Person>
            <b:Last>Balás</b:Last>
            <b:First>P.</b:First>
          </b:Person>
          <b:Person>
            <b:Last>Havlik</b:Last>
            <b:First>P.</b:First>
          </b:Person>
          <b:Person>
            <b:Last>Cielava</b:Last>
            <b:First>E.</b:First>
          </b:Person>
          <b:Person>
            <b:Last>Stepanova</b:Last>
            <b:First>A.</b:First>
          </b:Person>
          <b:Person>
            <b:Last>Komendantova</b:Last>
            <b:First>N.</b:First>
          </b:Person>
          <b:Person>
            <b:Last>Zaytsev</b:Last>
            <b:First>Y.</b:First>
          </b:Person>
          <b:Person>
            <b:Last>Knobel</b:Last>
            <b:First>A.</b:First>
          </b:Person>
        </b:NameList>
      </b:Author>
    </b:Author>
    <b:YearAccessed>2020</b:YearAccessed>
    <b:MonthAccessed>01</b:MonthAccessed>
    <b:DayAccessed>31</b:DayAccessed>
    <b:LCID>en-US</b:LCID>
    <b:Version>Mendeley</b:Version>
    <b:RefOrder>4</b:RefOrder>
  </b:Source>
  <b:Source>
    <b:Tag>OEC18</b:Tag>
    <b:SourceType>Report</b:SourceType>
    <b:Guid>{7A7B09B7-281D-4E2E-B391-D8A02F243D9A}</b:Guid>
    <b:Title>Mapping of Investment Promotion Agencies in OECD Countries</b:Title>
    <b:Year>2018</b:Year>
    <b:Author>
      <b:Author>
        <b:NameList>
          <b:Person>
            <b:Last>OECD</b:Last>
          </b:Person>
        </b:NameList>
      </b:Author>
    </b:Author>
    <b:DOI>www.oecd.org/investment/Mapping-of-Investment-Promotion-Agencies-in-OECD-Countries.pdf</b:DOI>
    <b:RefOrder>3</b:RefOrder>
  </b:Source>
  <b:Source>
    <b:Tag>Mendeley_rgKZfw02pTicXWcBCt1aAQ</b:Tag>
    <b:SourceType>Report</b:SourceType>
    <b:Guid>{79C38449-9506-4CC3-9B33-37D33A339FD8}</b:Guid>
    <b:Title>Marketing a country: Promotion as a Tool for Attracting Foreign Investment</b:Title>
    <b:Year>1990</b:Year>
    <b:Publisher>The World Bank</b:Publisher>
    <b:Author>
      <b:Author>
        <b:NameList>
          <b:Person>
            <b:Last>Wells</b:Last>
            <b:First>Louis T. Jr.</b:First>
          </b:Person>
          <b:Person>
            <b:Last>Wint</b:Last>
            <b:First>Alvin G.</b:First>
          </b:Person>
        </b:NameList>
      </b:Author>
    </b:Author>
    <b:BookTitle>Marketing a country</b:BookTitle>
    <b:DOI>10.1596/0-8213-4659-8</b:DOI>
    <b:LCID>en-US</b:LCID>
    <b:Version>Mendeley</b:Version>
    <b:RefOrder>8</b:RefOrder>
  </b:Source>
  <b:Source>
    <b:Tag>Mendeley_y8Uz9Oej2TuI0Fkqob5EoA</b:Tag>
    <b:SourceType>Book</b:SourceType>
    <b:Guid>{CD454441-C31E-4F0B-91CD-B43CF4415B79}</b:Guid>
    <b:Title>Marketing a country : Promotion as a tool for attracting foreign investment.</b:Title>
    <b:Year>2000</b:Year>
    <b:Publisher>IFC-International Finance Corporation</b:Publisher>
    <b:Author>
      <b:Author>
        <b:NameList>
          <b:Person>
            <b:Last>Wells</b:Last>
            <b:First>Louis T.</b:First>
          </b:Person>
          <b:Person>
            <b:Last>Wint</b:Last>
            <b:First>Alvin G.</b:First>
          </b:Person>
        </b:NameList>
      </b:Author>
    </b:Author>
    <b:StandardNumber>0821346598</b:StandardNumber>
    <b:Pages>189</b:Pages>
    <b:YearAccessed>2020</b:YearAccessed>
    <b:MonthAccessed>01</b:MonthAccessed>
    <b:DayAccessed>24</b:DayAccessed>
    <b:LCID>en-US</b:LCID>
    <b:Version>Mendeley</b:Version>
    <b:Volume>Revised Foreign Investment Advisory Service Occasional Paper</b:Volume>
    <b:RefOrder>16</b:RefOrder>
  </b:Source>
  <b:Source>
    <b:Tag>Ana18</b:Tag>
    <b:SourceType>Misc</b:SourceType>
    <b:Guid>{A3620738-479E-4007-8FDF-FEA10A4FFCDB}</b:Guid>
    <b:Author>
      <b:Author>
        <b:NameList>
          <b:Person>
            <b:Last>Novik</b:Last>
            <b:First>Ana</b:First>
          </b:Person>
          <b:Person>
            <b:Last>De Crombrugghe</b:Last>
            <b:First>Alexandre</b:First>
          </b:Person>
        </b:NameList>
      </b:Author>
    </b:Author>
    <b:Title>Towards an international framework for investment facilitation</b:Title>
    <b:Year>2018</b:Year>
    <b:RefOrder>20</b:RefOrder>
  </b:Source>
  <b:Source>
    <b:Tag>Mendeley_WKiTcmWWTTeUA42Wopv3BA</b:Tag>
    <b:SourceType>Report</b:SourceType>
    <b:Guid>{3A294CAC-C074-4457-8D6A-EFF20C07C9E3}</b:Guid>
    <b:Title>FDI Qualities Indicators: Measuring the sustainable development impacts of investment</b:Title>
    <b:LCID>en-US</b:LCID>
    <b:Version>Mendeley</b:Version>
    <b:Year>2019</b:Year>
    <b:Author>
      <b:Author>
        <b:NameList>
          <b:Person>
            <b:Last>OECD</b:Last>
          </b:Person>
        </b:NameList>
      </b:Author>
    </b:Author>
    <b:DOI>www.oecd.org/fr/investissement/fdi-qualities-indicators.htm</b:DOI>
    <b:RefOrder>29</b:RefOrder>
  </b:Source>
  <b:Source>
    <b:Tag>Mendeley_1IBT2ARGPDagT83zgdI19g</b:Tag>
    <b:SourceType>Report</b:SourceType>
    <b:Guid>{AE9B7166-4EE1-4EAE-9491-4174502017D4}</b:Guid>
    <b:Title>OECD Investment Policy Review of Southeast Asia</b:Title>
    <b:YearAccessed>2020</b:YearAccessed>
    <b:MonthAccessed>01</b:MonthAccessed>
    <b:DayAccessed>29</b:DayAccessed>
    <b:LCID>en-US</b:LCID>
    <b:Version>Mendeley</b:Version>
    <b:Author>
      <b:Author>
        <b:Corporate>OECD</b:Corporate>
      </b:Author>
    </b:Author>
    <b:Year>2019</b:Year>
    <b:DOI>www.oecd.org/investment/oecd-investment-policy-review-southeast-asia.htm</b:DOI>
    <b:RefOrder>22</b:RefOrder>
  </b:Source>
  <b:Source>
    <b:Tag>Mendeley_rTOUyPTs__j2BcEVyg8oAcA</b:Tag>
    <b:SourceType>Book</b:SourceType>
    <b:Guid>{A0C9D5B1-4D20-409A-9E52-25662E44B173}</b:Guid>
    <b:Title>Attracting, managing and developing inward investment in the single market - Behind the Myth of European</b:Title>
    <b:Author>
      <b:Author>
        <b:NameList>
          <b:Person>
            <b:Last>Young</b:Last>
            <b:First>S</b:First>
          </b:Person>
          <b:Person>
            <b:Last>Hood</b:Last>
            <b:First>N</b:First>
          </b:Person>
        </b:NameList>
      </b:Author>
    </b:Author>
    <b:BookTitle>books.google.com</b:BookTitle>
    <b:YearAccessed>2020</b:YearAccessed>
    <b:MonthAccessed>01</b:MonthAccessed>
    <b:DayAccessed>10</b:DayAccessed>
    <b:LCID>en-US</b:LCID>
    <b:Version>Mendeley</b:Version>
    <b:Year>1995</b:Year>
    <b:Publisher>Routledge, London, 282-304</b:Publisher>
    <b:RefOrder>21</b:RefOrder>
  </b:Source>
  <b:Source>
    <b:Tag>Mendeley_ivXDmg__rMDqcR4QZSY2iSw</b:Tag>
    <b:SourceType>Book</b:SourceType>
    <b:Guid>{9AC3F58A-AB0F-3A30-9C47-8419498DA24B}</b:Guid>
    <b:Title>Innovations in Foreign Direct Investment Attraction</b:Title>
    <b:Year>2018</b:Year>
    <b:Publisher>Inter-American Development Bank, Washington D.C.</b:Publisher>
    <b:Author>
      <b:Author>
        <b:NameList>
          <b:Person>
            <b:Last>Loewendahl</b:Last>
            <b:First>Henry</b:First>
          </b:Person>
        </b:NameList>
      </b:Author>
    </b:Author>
    <b:DOI>10.18235/0001442</b:DOI>
    <b:LCID>en-US</b:LCID>
    <b:Version>Mendeley</b:Version>
    <b:RefOrder>37</b:RefOrder>
  </b:Source>
  <b:Source>
    <b:Tag>Mendeley_Y0AN1mHbVTOZA1IBGq__MFQ</b:Tag>
    <b:SourceType>JournalArticle</b:SourceType>
    <b:Guid>{D60D4063-DB61-3355-9903-52011AAF8C15}</b:Guid>
    <b:Title>Linkages and spillovers in global production networks: firm-level analysis of the Czech automotive industry</b:Title>
    <b:Year>2016</b:Year>
    <b:Publisher>Oxford University Press</b:Publisher>
    <b:Author>
      <b:Author>
        <b:NameList>
          <b:Person>
            <b:Last>Pavlínek</b:Last>
            <b:First>Petr</b:First>
          </b:Person>
          <b:Person>
            <b:Last>Žížalová</b:Last>
            <b:First>Pavla</b:First>
          </b:Person>
        </b:NameList>
      </b:Author>
    </b:Author>
    <b:Volume>16</b:Volume>
    <b:BookTitle>Journal of Economic Geography</b:BookTitle>
    <b:Pages>331-363</b:Pages>
    <b:JournalName>Journal of Economic Geography</b:JournalName>
    <b:DOI>10.1093/jeg/lbu041</b:DOI>
    <b:Issue>2</b:Issue>
    <b:LCID>en-US</b:LCID>
    <b:Version>Mendeley</b:Version>
    <b:RefOrder>38</b:RefOrder>
  </b:Source>
  <b:Source>
    <b:Tag>UNC20</b:Tag>
    <b:SourceType>Report</b:SourceType>
    <b:Guid>{87EF2553-D832-45C4-A424-4B7ACAC79BC0}</b:Guid>
    <b:Author>
      <b:Author>
        <b:Corporate>UNCTAD</b:Corporate>
      </b:Author>
    </b:Author>
    <b:Title>Investment Trends Monitor - Impact of the COVID-19 Pademic on Global FDI and GVCs</b:Title>
    <b:Year>2020</b:Year>
    <b:RefOrder>6</b:RefOrder>
  </b:Source>
  <b:Source>
    <b:Tag>OEC20</b:Tag>
    <b:SourceType>Report</b:SourceType>
    <b:Guid>{C066E8D8-DA74-46E0-8169-F7B19F186E05}</b:Guid>
    <b:Author>
      <b:Author>
        <b:Corporate>OECD</b:Corporate>
      </b:Author>
    </b:Author>
    <b:Title>OECD  investment  policy  responses to COVID-19</b:Title>
    <b:Year>2020</b:Year>
    <b:RefOrder>5</b:RefOrder>
  </b:Source>
  <b:Source>
    <b:Tag>OECng1</b:Tag>
    <b:SourceType>Report</b:SourceType>
    <b:Guid>{03B856D5-0E54-48E7-BD59-1F1BF62554BA}</b:Guid>
    <b:Author>
      <b:Author>
        <b:Corporate>OECD</b:Corporate>
      </b:Author>
    </b:Author>
    <b:Title>Investment Perspectives in Eastern Partner Countries</b:Title>
    <b:Year>Forthcoming</b:Year>
    <b:RefOrder>24</b:RefOrder>
  </b:Source>
</b:Sources>
</file>

<file path=customXml/itemProps1.xml><?xml version="1.0" encoding="utf-8"?>
<ds:datastoreItem xmlns:ds="http://schemas.openxmlformats.org/officeDocument/2006/customXml" ds:itemID="{05D45B00-1584-412E-95FA-E7D3742C4EFA}">
  <ds:schemaRefs>
    <ds:schemaRef ds:uri="http://www.oecd.org/eshare/projectsentre/CtFieldPriority/"/>
    <ds:schemaRef ds:uri="http://schemas.microsoft.com/2003/10/Serialization/Arrays"/>
  </ds:schemaRefs>
</ds:datastoreItem>
</file>

<file path=customXml/itemProps2.xml><?xml version="1.0" encoding="utf-8"?>
<ds:datastoreItem xmlns:ds="http://schemas.openxmlformats.org/officeDocument/2006/customXml" ds:itemID="{7F9862E2-5D11-4315-9D08-88C542270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4cd27-f286-408f-9ce0-33c1e0f3ab39"/>
    <ds:schemaRef ds:uri="439f5b02-3b33-475e-b1dd-2befeeb2508a"/>
    <ds:schemaRef ds:uri="0fdfc921-f221-4763-9e31-81f120c7cd17"/>
    <ds:schemaRef ds:uri="c9f238dd-bb73-4aef-a7a5-d644ad823e52"/>
    <ds:schemaRef ds:uri="ca82dde9-3436-4d3d-bddd-d3144739003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5F5897-20BD-4540-97CD-998F05E4D26D}">
  <ds:schemaRefs>
    <ds:schemaRef ds:uri="0fdfc921-f221-4763-9e31-81f120c7cd17"/>
    <ds:schemaRef ds:uri="http://purl.org/dc/elements/1.1/"/>
    <ds:schemaRef ds:uri="http://schemas.microsoft.com/office/2006/metadata/properties"/>
    <ds:schemaRef ds:uri="54c4cd27-f286-408f-9ce0-33c1e0f3ab39"/>
    <ds:schemaRef ds:uri="http://schemas.microsoft.com/office/infopath/2007/PartnerControls"/>
    <ds:schemaRef ds:uri="http://schemas.microsoft.com/sharepoint/v4"/>
    <ds:schemaRef ds:uri="http://purl.org/dc/terms/"/>
    <ds:schemaRef ds:uri="http://schemas.openxmlformats.org/package/2006/metadata/core-properties"/>
    <ds:schemaRef ds:uri="439f5b02-3b33-475e-b1dd-2befeeb2508a"/>
    <ds:schemaRef ds:uri="http://schemas.microsoft.com/office/2006/documentManagement/types"/>
    <ds:schemaRef ds:uri="ca82dde9-3436-4d3d-bddd-d31447390034"/>
    <ds:schemaRef ds:uri="c9f238dd-bb73-4aef-a7a5-d644ad823e52"/>
    <ds:schemaRef ds:uri="http://www.w3.org/XML/1998/namespace"/>
    <ds:schemaRef ds:uri="http://purl.org/dc/dcmitype/"/>
  </ds:schemaRefs>
</ds:datastoreItem>
</file>

<file path=customXml/itemProps4.xml><?xml version="1.0" encoding="utf-8"?>
<ds:datastoreItem xmlns:ds="http://schemas.openxmlformats.org/officeDocument/2006/customXml" ds:itemID="{E2A22271-D885-446B-98B5-BA0373063633}">
  <ds:schemaRefs>
    <ds:schemaRef ds:uri="http://schemas.microsoft.com/sharepoint/v3/contenttype/forms"/>
  </ds:schemaRefs>
</ds:datastoreItem>
</file>

<file path=customXml/itemProps5.xml><?xml version="1.0" encoding="utf-8"?>
<ds:datastoreItem xmlns:ds="http://schemas.openxmlformats.org/officeDocument/2006/customXml" ds:itemID="{25E2FBBC-37E6-4B0D-9988-77A4B9796CA6}">
  <ds:schemaRefs>
    <ds:schemaRef ds:uri="Microsoft.SharePoint.Taxonomy.ContentTypeSync"/>
  </ds:schemaRefs>
</ds:datastoreItem>
</file>

<file path=customXml/itemProps6.xml><?xml version="1.0" encoding="utf-8"?>
<ds:datastoreItem xmlns:ds="http://schemas.openxmlformats.org/officeDocument/2006/customXml" ds:itemID="{9775D791-CA46-464C-AAB0-7FD22249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Author.dotx</Template>
  <TotalTime>0</TotalTime>
  <Pages>69</Pages>
  <Words>25022</Words>
  <Characters>142630</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Investment Promotion in Eurasia</vt:lpstr>
    </vt:vector>
  </TitlesOfParts>
  <Company>OECD</Company>
  <LinksUpToDate>false</LinksUpToDate>
  <CharactersWithSpaces>167318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Promotion in Eurasia</dc:title>
  <dc:subject>A Mapping of Investment Promotion Agencies</dc:subject>
  <dc:creator>ATAMER Peline</dc:creator>
  <cp:keywords>DOCUMENT CODE</cp:keywords>
  <dc:description/>
  <cp:lastModifiedBy>ATAMER Peline, SGE/GRS/EURASIA</cp:lastModifiedBy>
  <cp:revision>2</cp:revision>
  <cp:lastPrinted>2020-05-11T13:24:00Z</cp:lastPrinted>
  <dcterms:created xsi:type="dcterms:W3CDTF">2020-05-11T13:49:00Z</dcterms:created>
  <dcterms:modified xsi:type="dcterms:W3CDTF">2020-05-11T13:49:00Z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Version">
    <vt:lpwstr>2.01</vt:lpwstr>
  </property>
  <property fmtid="{D5CDD505-2E9C-101B-9397-08002B2CF9AE}" pid="3" name="OECDTemplateVersionOriginal">
    <vt:lpwstr>2.01</vt:lpwstr>
  </property>
  <property fmtid="{D5CDD505-2E9C-101B-9397-08002B2CF9AE}" pid="4" name="OECDTemplateName">
    <vt:lpwstr>ONE Author.dotx</vt:lpwstr>
  </property>
  <property fmtid="{D5CDD505-2E9C-101B-9397-08002B2CF9AE}" pid="5" name="OECDTemplateLocation">
    <vt:lpwstr>W:\Office2016\Workgroup Templates</vt:lpwstr>
  </property>
  <property fmtid="{D5CDD505-2E9C-101B-9397-08002B2CF9AE}" pid="6" name="OECDKappaEnrichment">
    <vt:lpwstr>Online</vt:lpwstr>
  </property>
  <property fmtid="{D5CDD505-2E9C-101B-9397-08002B2CF9AE}" pid="7" name="ContentTypeId">
    <vt:lpwstr>0x0101008B4DD370EC31429186F3AD49F0D3098F00D44DBCB9EB4F45278CB5C9765BE5299500A4858B360C6A491AA753F8BCA47AA91000ECB31D9D4640A04A9E1A2D0868FC2086</vt:lpwstr>
  </property>
  <property fmtid="{D5CDD505-2E9C-101B-9397-08002B2CF9AE}" pid="8" name="OECDTopic">
    <vt:lpwstr/>
  </property>
  <property fmtid="{D5CDD505-2E9C-101B-9397-08002B2CF9AE}" pid="9" name="OECDCommittee">
    <vt:lpwstr/>
  </property>
  <property fmtid="{D5CDD505-2E9C-101B-9397-08002B2CF9AE}" pid="10" name="OECDPWB">
    <vt:lpwstr>1159;#5.2.1.6 Eurasia Competitiveness Programme|2db57aed-ff9b-40c5-b0d4-3298c48a5af7</vt:lpwstr>
  </property>
  <property fmtid="{D5CDD505-2E9C-101B-9397-08002B2CF9AE}" pid="11" name="OECDKeywords">
    <vt:lpwstr>537;#Investment|90fc53f1-0b0c-4dcf-9303-45793ef115ad</vt:lpwstr>
  </property>
  <property fmtid="{D5CDD505-2E9C-101B-9397-08002B2CF9AE}" pid="12" name="OECDHorizontalProjects">
    <vt:lpwstr/>
  </property>
  <property fmtid="{D5CDD505-2E9C-101B-9397-08002B2CF9AE}" pid="13" name="OECDProjectOwnerStructure">
    <vt:lpwstr>80;#SGE/GRS/EURASIA|43d0a903-1d43-474e-90b3-a06bc1c5cd83</vt:lpwstr>
  </property>
  <property fmtid="{D5CDD505-2E9C-101B-9397-08002B2CF9AE}" pid="14" name="OECDCountry">
    <vt:lpwstr>248;#Eurasia|0013523e-bd76-4072-9f2f-a505ec31a380</vt:lpwstr>
  </property>
  <property fmtid="{D5CDD505-2E9C-101B-9397-08002B2CF9AE}" pid="15" name="OECDDocumentValidationWarnings">
    <vt:lpwstr>0</vt:lpwstr>
  </property>
  <property fmtid="{D5CDD505-2E9C-101B-9397-08002B2CF9AE}" pid="16" name="OECDDocumentCote">
    <vt:lpwstr>DOCUMENT CODE</vt:lpwstr>
  </property>
  <property fmtid="{D5CDD505-2E9C-101B-9397-08002B2CF9AE}" pid="17" name="OECDDocumentDirectorate">
    <vt:lpwstr/>
  </property>
  <property fmtid="{D5CDD505-2E9C-101B-9397-08002B2CF9AE}" pid="18" name="OECDDocumentCommittee">
    <vt:lpwstr/>
  </property>
  <property fmtid="{D5CDD505-2E9C-101B-9397-08002B2CF9AE}" pid="19" name="OECDDocumentWorkingParty">
    <vt:lpwstr/>
  </property>
  <property fmtid="{D5CDD505-2E9C-101B-9397-08002B2CF9AE}" pid="20" name="OECDDocumentClassification">
    <vt:lpwstr>For Official Use</vt:lpwstr>
  </property>
  <property fmtid="{D5CDD505-2E9C-101B-9397-08002B2CF9AE}" pid="21" name="OECDDocumentDocumentAbstract">
    <vt:lpwstr>Information Note: Use this area to provide a brief summary of the document or highlight any important information. This text will be displayed on the document page in O.N.E for Members and Partners.</vt:lpwstr>
  </property>
  <property fmtid="{D5CDD505-2E9C-101B-9397-08002B2CF9AE}" pid="22" name="OECDDocumentContactInfo">
    <vt:lpwstr>Enter contact names here.</vt:lpwstr>
  </property>
  <property fmtid="{D5CDD505-2E9C-101B-9397-08002B2CF9AE}" pid="23" name="OECDDocumentDocumentLanguage">
    <vt:lpwstr>English</vt:lpwstr>
  </property>
  <property fmtid="{D5CDD505-2E9C-101B-9397-08002B2CF9AE}" pid="24" name="OECDDocumentOriginalLanguage">
    <vt:lpwstr>English</vt:lpwstr>
  </property>
  <property fmtid="{D5CDD505-2E9C-101B-9397-08002B2CF9AE}" pid="25" name="OECDDocumentValidationErrors">
    <vt:lpwstr>1</vt:lpwstr>
  </property>
  <property fmtid="{D5CDD505-2E9C-101B-9397-08002B2CF9AE}" pid="26" name="OECDDocumentValidationWordCount">
    <vt:lpwstr>26404</vt:lpwstr>
  </property>
  <property fmtid="{D5CDD505-2E9C-101B-9397-08002B2CF9AE}" pid="27" name="OECDDocumentValidationDate">
    <vt:lpwstr>03/09/2020 11:53:28</vt:lpwstr>
  </property>
  <property fmtid="{D5CDD505-2E9C-101B-9397-08002B2CF9AE}" pid="28" name="OECDLastTypoCheck">
    <vt:lpwstr>02/11/2020 14:43:47</vt:lpwstr>
  </property>
  <property fmtid="{D5CDD505-2E9C-101B-9397-08002B2CF9AE}" pid="29" name="eShareOrganisationTaxHTField0">
    <vt:lpwstr/>
  </property>
  <property fmtid="{D5CDD505-2E9C-101B-9397-08002B2CF9AE}" pid="30" name="d0b6f6ac229144c2899590f0436d9385">
    <vt:lpwstr/>
  </property>
  <property fmtid="{D5CDD505-2E9C-101B-9397-08002B2CF9AE}" pid="31" name="OECDProject">
    <vt:lpwstr/>
  </property>
  <property fmtid="{D5CDD505-2E9C-101B-9397-08002B2CF9AE}" pid="32" name="OECDOrganisation">
    <vt:lpwstr/>
  </property>
</Properties>
</file>