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30" w:rsidRDefault="005847BD">
      <w:r>
        <w:rPr>
          <w:rFonts w:ascii="Times New Roman" w:hAnsi="Times New Roman"/>
          <w:sz w:val="20"/>
          <w:szCs w:val="20"/>
        </w:rPr>
        <w:t xml:space="preserve"> UPDATED LOGICAL FRAMEWORK, Project title</w:t>
      </w:r>
      <w:r w:rsidRPr="008E03D7">
        <w:rPr>
          <w:rFonts w:ascii="Times New Roman" w:hAnsi="Times New Roman"/>
          <w:sz w:val="20"/>
          <w:szCs w:val="20"/>
        </w:rPr>
        <w:t xml:space="preserve">: </w:t>
      </w:r>
      <w:r w:rsidRPr="008E03D7">
        <w:rPr>
          <w:rFonts w:ascii="Times New Roman" w:hAnsi="Times New Roman"/>
          <w:b/>
          <w:bCs/>
          <w:sz w:val="20"/>
          <w:szCs w:val="20"/>
        </w:rPr>
        <w:t xml:space="preserve">Improving the standards </w:t>
      </w:r>
      <w:r w:rsidRPr="008E03D7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of employment conditions/relations as well as health and safety at work in Georgia</w:t>
      </w:r>
    </w:p>
    <w:p w:rsidR="007456A4" w:rsidRDefault="00745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2883"/>
        <w:gridCol w:w="2553"/>
        <w:gridCol w:w="2149"/>
        <w:gridCol w:w="2230"/>
        <w:gridCol w:w="2322"/>
      </w:tblGrid>
      <w:tr w:rsidR="00E34E3E" w:rsidRPr="008E03D7" w:rsidTr="00E06A82">
        <w:trPr>
          <w:trHeight w:val="667"/>
        </w:trPr>
        <w:tc>
          <w:tcPr>
            <w:tcW w:w="1855" w:type="dxa"/>
            <w:shd w:val="clear" w:color="auto" w:fill="F2F2F2" w:themeFill="background1" w:themeFillShade="F2"/>
          </w:tcPr>
          <w:p w:rsidR="007456A4" w:rsidRPr="000F08CD" w:rsidRDefault="000F08CD" w:rsidP="00E06A8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F08CD">
              <w:rPr>
                <w:rFonts w:ascii="Times New Roman" w:hAnsi="Times New Roman"/>
                <w:b/>
                <w:sz w:val="20"/>
                <w:szCs w:val="20"/>
              </w:rPr>
              <w:t>Intervention logic</w:t>
            </w:r>
          </w:p>
        </w:tc>
        <w:tc>
          <w:tcPr>
            <w:tcW w:w="2883" w:type="dxa"/>
            <w:shd w:val="clear" w:color="auto" w:fill="F2F2F2"/>
          </w:tcPr>
          <w:p w:rsidR="007456A4" w:rsidRPr="008E03D7" w:rsidRDefault="007456A4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2553" w:type="dxa"/>
            <w:shd w:val="clear" w:color="auto" w:fill="F2F2F2"/>
          </w:tcPr>
          <w:p w:rsidR="007456A4" w:rsidRPr="008E03D7" w:rsidRDefault="007456A4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Indicators (with relevant baseline and target data)</w:t>
            </w:r>
          </w:p>
        </w:tc>
        <w:tc>
          <w:tcPr>
            <w:tcW w:w="2149" w:type="dxa"/>
            <w:shd w:val="clear" w:color="auto" w:fill="F2F2F2"/>
          </w:tcPr>
          <w:p w:rsidR="007456A4" w:rsidRPr="008E03D7" w:rsidRDefault="007456A4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Sources of verification</w:t>
            </w:r>
          </w:p>
        </w:tc>
        <w:tc>
          <w:tcPr>
            <w:tcW w:w="2230" w:type="dxa"/>
            <w:shd w:val="clear" w:color="auto" w:fill="F2F2F2"/>
          </w:tcPr>
          <w:p w:rsidR="007456A4" w:rsidRPr="008E03D7" w:rsidRDefault="007456A4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Risks</w:t>
            </w:r>
            <w:r w:rsidRPr="008E03D7">
              <w:rPr>
                <w:rStyle w:val="Odkaznapoznmkupodiarou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322" w:type="dxa"/>
            <w:shd w:val="clear" w:color="auto" w:fill="F2F2F2"/>
          </w:tcPr>
          <w:p w:rsidR="007456A4" w:rsidRPr="008E03D7" w:rsidRDefault="007456A4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Assumptions (external to project)</w:t>
            </w:r>
          </w:p>
        </w:tc>
      </w:tr>
      <w:tr w:rsidR="000F08CD" w:rsidRPr="008E03D7" w:rsidTr="005D01C1">
        <w:trPr>
          <w:trHeight w:val="667"/>
        </w:trPr>
        <w:tc>
          <w:tcPr>
            <w:tcW w:w="1855" w:type="dxa"/>
            <w:shd w:val="clear" w:color="auto" w:fill="FFFFFF" w:themeFill="background1"/>
          </w:tcPr>
          <w:p w:rsidR="000F08CD" w:rsidRPr="000F08CD" w:rsidRDefault="000F08CD" w:rsidP="00E06A8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Overall Objective</w:t>
            </w:r>
          </w:p>
        </w:tc>
        <w:tc>
          <w:tcPr>
            <w:tcW w:w="2883" w:type="dxa"/>
            <w:shd w:val="clear" w:color="auto" w:fill="FFFFFF" w:themeFill="background1"/>
          </w:tcPr>
          <w:p w:rsidR="000F08CD" w:rsidRPr="008E03D7" w:rsidRDefault="00DA0C20" w:rsidP="00DA0C20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The overall objective of the project is to support higher standards in employment relationship and working conditions in Georgia through improving legal framework and enforcing implementation.</w:t>
            </w:r>
          </w:p>
        </w:tc>
        <w:tc>
          <w:tcPr>
            <w:tcW w:w="2553" w:type="dxa"/>
            <w:shd w:val="clear" w:color="auto" w:fill="FFFFFF" w:themeFill="background1"/>
          </w:tcPr>
          <w:p w:rsidR="000F08CD" w:rsidRPr="005D01C1" w:rsidRDefault="005D01C1" w:rsidP="005D01C1">
            <w:pPr>
              <w:pStyle w:val="Odsekzoznamu"/>
              <w:numPr>
                <w:ilvl w:val="0"/>
                <w:numId w:val="4"/>
              </w:numPr>
              <w:ind w:left="111" w:hanging="14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I</w:t>
            </w:r>
            <w:r w:rsidRPr="005D01C1">
              <w:rPr>
                <w:rFonts w:ascii="Times New Roman" w:hAnsi="Times New Roman"/>
                <w:b w:val="0"/>
              </w:rPr>
              <w:t>mproved employment relations and health and safety standards at work</w:t>
            </w:r>
            <w:r>
              <w:rPr>
                <w:rFonts w:ascii="Times New Roman" w:hAnsi="Times New Roman"/>
                <w:b w:val="0"/>
              </w:rPr>
              <w:t xml:space="preserve"> for Georgian employees and enterprises</w:t>
            </w:r>
          </w:p>
        </w:tc>
        <w:tc>
          <w:tcPr>
            <w:tcW w:w="2149" w:type="dxa"/>
            <w:shd w:val="clear" w:color="auto" w:fill="FFFFFF" w:themeFill="background1"/>
          </w:tcPr>
          <w:p w:rsidR="00DA0C20" w:rsidRPr="00A144CF" w:rsidRDefault="00DA0C20" w:rsidP="00DA0C20">
            <w:pPr>
              <w:pStyle w:val="Odsekzoznamu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  <w:color w:val="000000"/>
                <w:lang w:eastAsia="tr-TR"/>
              </w:rPr>
            </w:pPr>
            <w:r w:rsidRPr="00A144CF">
              <w:rPr>
                <w:rFonts w:ascii="Times New Roman" w:hAnsi="Times New Roman"/>
                <w:b w:val="0"/>
                <w:color w:val="000000"/>
                <w:lang w:eastAsia="tr-TR"/>
              </w:rPr>
              <w:t>Reports, including the EC Progress reports</w:t>
            </w:r>
          </w:p>
          <w:p w:rsidR="00DA0C20" w:rsidRPr="00A144CF" w:rsidRDefault="00DA0C20" w:rsidP="00DA0C20">
            <w:pPr>
              <w:pStyle w:val="Odsekzoznamu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  <w:color w:val="000000"/>
                <w:lang w:eastAsia="tr-TR"/>
              </w:rPr>
            </w:pPr>
            <w:r w:rsidRPr="00A144CF">
              <w:rPr>
                <w:rFonts w:ascii="Times New Roman" w:hAnsi="Times New Roman"/>
                <w:b w:val="0"/>
                <w:color w:val="000000"/>
                <w:lang w:eastAsia="tr-TR"/>
              </w:rPr>
              <w:t>Comparative international studies</w:t>
            </w:r>
          </w:p>
          <w:p w:rsidR="00DA0C20" w:rsidRPr="00A144CF" w:rsidRDefault="00DA0C20" w:rsidP="00DA0C20">
            <w:pPr>
              <w:pStyle w:val="Odsekzoznamu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  <w:color w:val="000000"/>
                <w:lang w:eastAsia="tr-TR"/>
              </w:rPr>
            </w:pPr>
            <w:r w:rsidRPr="00A144CF">
              <w:rPr>
                <w:rFonts w:ascii="Times New Roman" w:hAnsi="Times New Roman"/>
                <w:b w:val="0"/>
                <w:color w:val="000000"/>
                <w:lang w:eastAsia="tr-TR"/>
              </w:rPr>
              <w:t>National statistics and reports</w:t>
            </w:r>
          </w:p>
          <w:p w:rsidR="000F08CD" w:rsidRPr="008E03D7" w:rsidRDefault="000F08CD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FFFFFF" w:themeFill="background1"/>
          </w:tcPr>
          <w:p w:rsidR="000F08CD" w:rsidRPr="008E03D7" w:rsidRDefault="000F08CD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2F2F2" w:themeFill="background1" w:themeFillShade="F2"/>
          </w:tcPr>
          <w:p w:rsidR="000F08CD" w:rsidRPr="008E03D7" w:rsidRDefault="000F08CD" w:rsidP="00D5722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F43D1" w:rsidRPr="008E03D7" w:rsidTr="00D5722B">
        <w:trPr>
          <w:trHeight w:val="889"/>
        </w:trPr>
        <w:tc>
          <w:tcPr>
            <w:tcW w:w="1855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 xml:space="preserve">Specific (Project) </w:t>
            </w:r>
          </w:p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Objective(s)</w:t>
            </w:r>
          </w:p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The specific objective of the project is to assist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, together with other relevant stakeholders, to draft the legal and administrative provisions and establish the institutional mechanisms to improve employment conditions/ relations and Occupational Safety and Health, including a labour inspection system. Additionally, to strengthen the capacity of the national institutions to implement and adopt the best European practices.</w:t>
            </w:r>
          </w:p>
        </w:tc>
        <w:tc>
          <w:tcPr>
            <w:tcW w:w="2553" w:type="dxa"/>
            <w:shd w:val="clear" w:color="auto" w:fill="auto"/>
          </w:tcPr>
          <w:p w:rsidR="000F08CD" w:rsidRDefault="000F08CD" w:rsidP="000F08CD">
            <w:pPr>
              <w:numPr>
                <w:ilvl w:val="0"/>
                <w:numId w:val="1"/>
              </w:num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Degree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compliance of the relevant G</w:t>
            </w:r>
            <w:r w:rsidRPr="008E03D7">
              <w:rPr>
                <w:rFonts w:ascii="Times New Roman" w:hAnsi="Times New Roman"/>
                <w:sz w:val="20"/>
                <w:szCs w:val="20"/>
              </w:rPr>
              <w:t xml:space="preserve">eorgian legislation with the Union acquis; </w:t>
            </w:r>
          </w:p>
          <w:p w:rsidR="000F08CD" w:rsidRPr="000F08CD" w:rsidRDefault="000F08CD" w:rsidP="000F08CD">
            <w:pPr>
              <w:numPr>
                <w:ilvl w:val="0"/>
                <w:numId w:val="1"/>
              </w:num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8CD">
              <w:rPr>
                <w:rFonts w:ascii="Times New Roman" w:hAnsi="Times New Roman"/>
                <w:sz w:val="20"/>
                <w:szCs w:val="20"/>
              </w:rPr>
              <w:t>Legal, administrative and institutional mechanisms for improved employment relations and health and safety standards at work are in place and operational.</w:t>
            </w:r>
          </w:p>
        </w:tc>
        <w:tc>
          <w:tcPr>
            <w:tcW w:w="2149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Project documentation (list of various meetings, list of participants from various meetings, training programmes, training materials, list of trainees, interim project reports, etc.);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Project documentation: legal analysis reports, administrative/  institutional analysis reports, quality and cost assessment reports, training needs assessments, recommendations, etc.);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Translated Georgian versions of the all labour legislation acquis covered by the project;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Operational plans and procedures, implementation manuals and guidelines;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Promotional materials, links to public information tools;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Mission reports, participants’ list, and/or training lists;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Project interim and final reports.</w:t>
            </w:r>
          </w:p>
        </w:tc>
        <w:tc>
          <w:tcPr>
            <w:tcW w:w="2230" w:type="dxa"/>
            <w:shd w:val="clear" w:color="auto" w:fill="auto"/>
          </w:tcPr>
          <w:p w:rsidR="000F08CD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L/M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2318">
              <w:rPr>
                <w:rFonts w:ascii="Times New Roman" w:hAnsi="Times New Roman"/>
                <w:sz w:val="20"/>
                <w:szCs w:val="20"/>
              </w:rPr>
              <w:t xml:space="preserve">Decrease of commitment and support of all governmental bodies of the Georgia and other involved stakeholders to the process of </w:t>
            </w:r>
            <w:r>
              <w:rPr>
                <w:rFonts w:ascii="Times New Roman" w:hAnsi="Times New Roman"/>
                <w:sz w:val="20"/>
                <w:szCs w:val="20"/>
              </w:rPr>
              <w:t>fulfilment of AA/DCFTA requirement</w:t>
            </w:r>
          </w:p>
        </w:tc>
        <w:tc>
          <w:tcPr>
            <w:tcW w:w="2322" w:type="dxa"/>
            <w:shd w:val="clear" w:color="auto" w:fill="auto"/>
          </w:tcPr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Strong support and commitment from twinning partner(s);</w:t>
            </w:r>
          </w:p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Releva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nt staff of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t>other stakeholder representatives available and involved in the process.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E3E" w:rsidRPr="008E03D7" w:rsidTr="00A144CF">
        <w:trPr>
          <w:trHeight w:val="877"/>
        </w:trPr>
        <w:tc>
          <w:tcPr>
            <w:tcW w:w="1855" w:type="dxa"/>
            <w:shd w:val="clear" w:color="auto" w:fill="F2F2F2" w:themeFill="background1" w:themeFillShade="F2"/>
          </w:tcPr>
          <w:p w:rsidR="000F08CD" w:rsidRPr="008E03D7" w:rsidRDefault="00A144CF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Mandatory results/outputs by Components</w:t>
            </w:r>
          </w:p>
        </w:tc>
        <w:tc>
          <w:tcPr>
            <w:tcW w:w="2883" w:type="dxa"/>
            <w:shd w:val="clear" w:color="auto" w:fill="F2F2F2" w:themeFill="background1" w:themeFillShade="F2"/>
          </w:tcPr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</w:tcPr>
          <w:p w:rsidR="000F08CD" w:rsidRPr="008E03D7" w:rsidRDefault="000F08CD" w:rsidP="00A144CF">
            <w:pPr>
              <w:tabs>
                <w:tab w:val="left" w:pos="1672"/>
              </w:tabs>
              <w:spacing w:after="0" w:line="240" w:lineRule="auto"/>
              <w:ind w:left="14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F2F2F2" w:themeFill="background1" w:themeFillShade="F2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shd w:val="clear" w:color="auto" w:fill="F2F2F2" w:themeFill="background1" w:themeFillShade="F2"/>
          </w:tcPr>
          <w:p w:rsidR="000F08CD" w:rsidRPr="00602318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F2F2F2" w:themeFill="background1" w:themeFillShade="F2"/>
          </w:tcPr>
          <w:p w:rsidR="000F08CD" w:rsidRPr="008E03D7" w:rsidRDefault="000F08CD" w:rsidP="000F08CD">
            <w:p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3D1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0F08CD" w:rsidRPr="008E03D7" w:rsidRDefault="000F08CD" w:rsidP="00A144CF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 xml:space="preserve">Mandatory result 1: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Approximation of primary and secondary legislation related to labour law, gender equality and OSH in accordance with the Union acquis</w:t>
            </w:r>
          </w:p>
        </w:tc>
        <w:tc>
          <w:tcPr>
            <w:tcW w:w="2553" w:type="dxa"/>
            <w:shd w:val="clear" w:color="auto" w:fill="auto"/>
          </w:tcPr>
          <w:p w:rsidR="000F08CD" w:rsidRPr="008E03D7" w:rsidRDefault="000F08CD" w:rsidP="000F08CD">
            <w:pPr>
              <w:numPr>
                <w:ilvl w:val="0"/>
                <w:numId w:val="1"/>
              </w:num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The legal basis allowing for a labour inspection system covering standard labour rights and working conditions elaborated;</w:t>
            </w:r>
          </w:p>
          <w:p w:rsidR="000F08CD" w:rsidRPr="008E03D7" w:rsidRDefault="000F08CD" w:rsidP="000F08CD">
            <w:pPr>
              <w:numPr>
                <w:ilvl w:val="0"/>
                <w:numId w:val="1"/>
              </w:num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Legal amendments prepared in the field of Labour Law, Gender Equality, and Occupational Safety and Health as per Union acquis, with an inclusive and evidence-based approach.</w:t>
            </w:r>
          </w:p>
        </w:tc>
        <w:tc>
          <w:tcPr>
            <w:tcW w:w="2149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Reports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Monitoring/assessment  reports by international organisations such as ILO;</w:t>
            </w:r>
          </w:p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EU-Georgia Association Agenda implementation report.</w:t>
            </w:r>
          </w:p>
        </w:tc>
        <w:tc>
          <w:tcPr>
            <w:tcW w:w="2230" w:type="dxa"/>
            <w:shd w:val="clear" w:color="auto" w:fill="auto"/>
          </w:tcPr>
          <w:p w:rsidR="000F08CD" w:rsidRPr="00092A1C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Inadequate commitment and support from decision making level in particular with regard to adoption of amended legislation, draft acts, guidelines and procedures</w:t>
            </w:r>
          </w:p>
        </w:tc>
        <w:tc>
          <w:tcPr>
            <w:tcW w:w="2322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Good communication between the Beneficiary and other stakeholders;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0F08CD" w:rsidRPr="00844DFA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BF43D1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0F08CD" w:rsidRPr="00844DFA" w:rsidRDefault="000F08CD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BE"/>
              </w:rPr>
            </w:pPr>
          </w:p>
        </w:tc>
        <w:tc>
          <w:tcPr>
            <w:tcW w:w="2883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Mandatory result 2: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Capacity building, inter-institutional cooperation, and awareness raising of relevant state authorities and private sector for full implementation of amended legislation in labour law, gender equality and OSH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2553" w:type="dxa"/>
            <w:shd w:val="clear" w:color="auto" w:fill="auto"/>
          </w:tcPr>
          <w:p w:rsidR="000F08CD" w:rsidRPr="008E03D7" w:rsidRDefault="000F08CD" w:rsidP="000F08CD">
            <w:pPr>
              <w:numPr>
                <w:ilvl w:val="0"/>
                <w:numId w:val="1"/>
              </w:num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Operational plans and administrative procedures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 xml:space="preserve"> and other relevant stakeholders amended in accordance with the new requirements;</w:t>
            </w:r>
          </w:p>
          <w:p w:rsidR="000F08CD" w:rsidRPr="008E03D7" w:rsidRDefault="000F08CD" w:rsidP="000F08CD">
            <w:pPr>
              <w:numPr>
                <w:ilvl w:val="0"/>
                <w:numId w:val="1"/>
              </w:numPr>
              <w:tabs>
                <w:tab w:val="left" w:pos="16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The relevant staff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 xml:space="preserve"> and other stakeholder representatives trained for the implementation of new legal framework.</w:t>
            </w:r>
          </w:p>
        </w:tc>
        <w:tc>
          <w:tcPr>
            <w:tcW w:w="2149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Reports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MoIDPLHSA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Monitoring/assessment  reports by international organisations such as ILO;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EU-Georgia Association Agenda implementation report.</w:t>
            </w:r>
          </w:p>
        </w:tc>
        <w:tc>
          <w:tcPr>
            <w:tcW w:w="2230" w:type="dxa"/>
            <w:shd w:val="clear" w:color="auto" w:fill="auto"/>
          </w:tcPr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L/M</w:t>
            </w:r>
          </w:p>
          <w:p w:rsidR="000F08CD" w:rsidRPr="00092A1C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</w:tc>
        <w:tc>
          <w:tcPr>
            <w:tcW w:w="2322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0F08CD" w:rsidRPr="00844DFA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BF43D1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Sub-results per component (optional and indicative</w:t>
            </w:r>
          </w:p>
          <w:p w:rsidR="000F08CD" w:rsidRPr="008E03D7" w:rsidRDefault="000F08CD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Sub-result 1.1: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Legal framework on labour law, including aspects of labour inspection system, amended in compliance with the Union acquis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 xml:space="preserve">Sub-result 1.2: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Legal framework on non-discrimination and gender equality, including aspects of labour inspection system, amended in compliance with the Union acquis</w:t>
            </w:r>
            <w:r w:rsidRPr="008E03D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0731C8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 xml:space="preserve">Sub-result 1.3: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Legal framework on OSH, including aspects of labour inspection system, amended in compliance with the  Union acquis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Sub-result 2.1: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Analysis for strengthening state authorities’ capacity for implementation of the EU best practices performed and required strategies developed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Sub-result 2.2: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Implementation of the EU best practices regarding the amended legislation piloted and awareness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of the citizens and private sector on the topic increased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E03D7">
              <w:rPr>
                <w:rFonts w:ascii="Times New Roman" w:hAnsi="Times New Roman"/>
                <w:b/>
                <w:sz w:val="20"/>
                <w:szCs w:val="20"/>
              </w:rPr>
              <w:t>Sub-result 2.3:</w:t>
            </w:r>
            <w:r w:rsidRPr="008E03D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Organisation of working group(s) on labour law, gender equality and OSH comprising line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ministries and social partners completed and functional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Number of the Tables of Concordance prepared for the Labour Law acquis, including aspec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ts of labour inspection system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4    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8 Directives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List of amendments to be made in the  Georgian primary and secondary labour legislation specified with explanatory notes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3  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8 Directives</w:t>
            </w: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List of amendments to be made in the  Georgian primary and secondary legislation on Gender Equality acquis specified with explanatory notes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3        </w:t>
            </w: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Target: 3 Directives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Share of staff from relevant public institutions who are fully informed on regulatory and fiscal impact of changes in labour law and gender equality acquis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90% of staff in LCID and LEPD</w:t>
            </w:r>
          </w:p>
          <w:p w:rsidR="000F08CD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Availability of quality checked translation of the OSH acquis with clear technical terminology (if necessary)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9    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15 Directives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Availability of the Tables of Concordance prepared for the OSH acquis, including aspects of labour inspection system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5   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15 Directives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Availability of the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t>list of amendments to be made in the Georgian primary and secondary OSH legislation specified with explanatory notes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2    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15 Directives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Share of staff from relevant public institutions who are fully informed on regulatory and fiscal impact of changes in OSH acquis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90% of staff in LCID and LEPD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Functional review of the relevant state authorities to implement changes, including human and financial resources, administrative structures and equipment needed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Baseline: 0         Target: 1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Training needs analysis and plan of the whole staff of beneficiary department and representatives from other relevant institutions listed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Baseline: 0         Target: 1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Share of BA staff who received training to implement necessary changes and the representatives from other relevant institutions listed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10% 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Target: 90% of staff in BA and others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Number of labour inspectors who are trained more to become ‘trainers’ with full knowledge and competency in implementing new laws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    Target: 5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Plan for improving institutional operations and procedures of the relevant state authorities to support their pilot implementation, each with clear competences and coordination roles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Baseline: 0         Target: 1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Number of written operational guidelines, manuals and procedures required to implement all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changes, explaining all steps of implementation to the relevant staff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  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At least 15 documents(*)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Number of OSH online Glossary and Risk Assessment checklists and their dissemination to relevant parties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At least 20 (*)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Number of elaborated promotional materials and public information campaigns in printed and online media, TV and other tools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5       Target: 30 short written materials + 2 public campaigns (*)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Share of private companies (i.e. both employers and workers) which are informed and number of citizens reached out on the new rules and changes made in labour legislation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50         Target: 90% of registered companies  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Proposal for a structure of inter-institutional cooperation and working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procedures, with a review of existing options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Baseline: 0         Target: 1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Working groups operational with team members from relevant institutions with a clear mandate and their continuous involvement in the ‘Technical Working Group’ and ‘Coordination Group’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   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2 (*)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Number of meetings facilitated for effective functioning of working groups through team building, training and expert inputs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Baseline: 0        </w:t>
            </w:r>
          </w:p>
          <w:p w:rsidR="000F08CD" w:rsidRPr="008E03D7" w:rsidRDefault="000F08CD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Target: at least 4 meetings a year (*)</w:t>
            </w:r>
          </w:p>
        </w:tc>
        <w:tc>
          <w:tcPr>
            <w:tcW w:w="2149" w:type="dxa"/>
            <w:shd w:val="clear" w:color="auto" w:fill="auto"/>
          </w:tcPr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Project documentation (list of meetings, training programs and materials, list of participants, recommendations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Translated Georgian versions of the all labour law acquis covered by the project;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Translated Georgian versions of the all OSH acquis covered by the project;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Analysis reports of the relevant Georgian legislation (including by-laws, amendments and administrative regulations);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Reports on regulatory and fiscal impact assessments of the legal amendments;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Tables of concordance in both areas (labour law, gender equality and OSH acquis);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Reports on administrative/  institutional assessments, including legal basis for a modern labour inspection system;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Meeting notes and decisions on the topic from the technical working group and/or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the Tripartite Social Partnership Commission (TSPC); </w:t>
            </w: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Legislative amendments made in labour law, gender equality, and OSH;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STE mission reports.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Project documentation (training programmes and materials, list of participants, recommendations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Translated Georgian versions of the all relevant EU Directives;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Analysis reports of the relevant Georgian legislation (including by-laws, amendments and administrative regulations);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Reports on regulatory and fiscal impact assessments of the legal amendments;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Meeting notes and decisions on the topic from the technical working group and/or the Tripartite Social Partnership Commission (TSPC);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Legislative amendments in labour law, non-discrimination and gender equality, and OSH);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Analysis reports on the training needs of the BA (LCID and LEPD staff) as well as other relevant institutions listed;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Short and long-term training plans, training programs and materials;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The names and numbers of training participants from all institutions;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Study visits’ and mission reports; 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Plans for improvement of administrative structure and resources;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Operational plans and procedures, implementation manuals and guidelines (in English and Georgian);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Promotional materials, links to public information campaigns.</w:t>
            </w:r>
          </w:p>
        </w:tc>
        <w:tc>
          <w:tcPr>
            <w:tcW w:w="2230" w:type="dxa"/>
            <w:shd w:val="clear" w:color="auto" w:fill="auto"/>
          </w:tcPr>
          <w:p w:rsidR="000F08CD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L/M</w:t>
            </w:r>
          </w:p>
          <w:p w:rsidR="00E02F2C" w:rsidRDefault="00E02F2C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 xml:space="preserve">Inadequate commitment and support from decision making level in particular with regard to adoption of amended legislation, draft acts, </w:t>
            </w:r>
            <w:r w:rsidRPr="00092A1C">
              <w:rPr>
                <w:rFonts w:ascii="Times New Roman" w:hAnsi="Times New Roman"/>
                <w:sz w:val="20"/>
                <w:szCs w:val="20"/>
              </w:rPr>
              <w:lastRenderedPageBreak/>
              <w:t>guidelines and procedures</w:t>
            </w:r>
            <w:r w:rsidRPr="00092A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08CD" w:rsidRPr="00092A1C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Government commitment on the fulfilment of AA/ DCFTA requirements continued; 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</w:t>
            </w: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0F08CD" w:rsidRPr="008E03D7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0F08CD" w:rsidRPr="00844DFA" w:rsidRDefault="000F08CD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EF1424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8E03D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2883" w:type="dxa"/>
            <w:shd w:val="clear" w:color="auto" w:fill="auto"/>
          </w:tcPr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Objectively Verifiable Indicators</w:t>
            </w:r>
          </w:p>
        </w:tc>
        <w:tc>
          <w:tcPr>
            <w:tcW w:w="2149" w:type="dxa"/>
            <w:shd w:val="clear" w:color="auto" w:fill="auto"/>
          </w:tcPr>
          <w:p w:rsidR="00EF1424" w:rsidRPr="00BF43D1" w:rsidRDefault="00BF43D1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43D1">
              <w:rPr>
                <w:rFonts w:ascii="Times New Roman" w:hAnsi="Times New Roman"/>
                <w:b/>
                <w:sz w:val="20"/>
                <w:szCs w:val="20"/>
              </w:rPr>
              <w:t>Source of verification</w:t>
            </w:r>
          </w:p>
        </w:tc>
        <w:tc>
          <w:tcPr>
            <w:tcW w:w="2230" w:type="dxa"/>
            <w:shd w:val="clear" w:color="auto" w:fill="auto"/>
          </w:tcPr>
          <w:p w:rsidR="00EF1424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F1424" w:rsidRPr="008E03D7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1424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8E03D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EF1424" w:rsidRPr="00EF1424" w:rsidRDefault="00EF1424" w:rsidP="00EF1424">
            <w:pPr>
              <w:spacing w:after="120" w:line="240" w:lineRule="auto"/>
              <w:ind w:right="-170"/>
              <w:rPr>
                <w:rFonts w:ascii="Times New Roman" w:hAnsi="Times New Roman" w:cs="Times New Roman"/>
              </w:rPr>
            </w:pPr>
            <w:r w:rsidRPr="00EF1424">
              <w:rPr>
                <w:rFonts w:ascii="Times New Roman" w:hAnsi="Times New Roman" w:cs="Times New Roman"/>
                <w:b/>
              </w:rPr>
              <w:t>1.1.1</w:t>
            </w:r>
          </w:p>
          <w:p w:rsidR="00EF1424" w:rsidRPr="00EF1424" w:rsidRDefault="00EF1424" w:rsidP="00EF1424">
            <w:pPr>
              <w:pStyle w:val="ColorfulList-Accent11"/>
              <w:autoSpaceDE w:val="0"/>
              <w:autoSpaceDN w:val="0"/>
              <w:adjustRightInd w:val="0"/>
              <w:ind w:left="0" w:right="146"/>
              <w:jc w:val="both"/>
              <w:rPr>
                <w:sz w:val="22"/>
                <w:szCs w:val="22"/>
                <w:lang w:eastAsia="en-GB"/>
              </w:rPr>
            </w:pPr>
            <w:r w:rsidRPr="00EF1424">
              <w:rPr>
                <w:sz w:val="22"/>
                <w:szCs w:val="22"/>
              </w:rPr>
              <w:t xml:space="preserve">Aligning </w:t>
            </w:r>
            <w:r w:rsidRPr="00EF1424">
              <w:rPr>
                <w:sz w:val="22"/>
                <w:szCs w:val="22"/>
                <w:lang w:eastAsia="en-GB"/>
              </w:rPr>
              <w:t xml:space="preserve">Georgian legal framework on labour law, including aspects of labour inspection system, amended in compliance with the </w:t>
            </w:r>
            <w:r w:rsidRPr="00EF1424">
              <w:rPr>
                <w:i/>
                <w:sz w:val="22"/>
                <w:szCs w:val="22"/>
              </w:rPr>
              <w:t>Union acquis</w:t>
            </w:r>
            <w:r w:rsidRPr="00EF1424">
              <w:rPr>
                <w:sz w:val="22"/>
                <w:szCs w:val="22"/>
              </w:rPr>
              <w:t xml:space="preserve">  </w:t>
            </w:r>
          </w:p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EF1424" w:rsidRPr="00EF1424" w:rsidRDefault="00EF1424" w:rsidP="00EF1424">
            <w:pPr>
              <w:pStyle w:val="Odsekzoznamu"/>
              <w:numPr>
                <w:ilvl w:val="0"/>
                <w:numId w:val="6"/>
              </w:numPr>
              <w:ind w:left="252" w:right="171" w:hanging="283"/>
              <w:rPr>
                <w:rFonts w:ascii="Times New Roman" w:hAnsi="Times New Roman"/>
                <w:b w:val="0"/>
                <w:u w:val="single"/>
                <w:lang w:eastAsia="en-GB"/>
              </w:rPr>
            </w:pPr>
            <w:r w:rsidRPr="00EF1424">
              <w:rPr>
                <w:rFonts w:ascii="Times New Roman" w:hAnsi="Times New Roman"/>
                <w:b w:val="0"/>
                <w:lang w:eastAsia="en-GB"/>
              </w:rPr>
              <w:t>Number of the Tables of Concordance prepared for the Labour Law acquis, including aspects of labour inspection system;</w:t>
            </w:r>
            <w:r w:rsidRPr="00EF1424">
              <w:rPr>
                <w:rFonts w:ascii="Times New Roman" w:hAnsi="Times New Roman"/>
                <w:b w:val="0"/>
                <w:u w:val="single"/>
                <w:lang w:eastAsia="en-GB"/>
              </w:rPr>
              <w:t xml:space="preserve"> </w:t>
            </w:r>
          </w:p>
          <w:p w:rsidR="00EF1424" w:rsidRPr="00EF1424" w:rsidRDefault="00EF1424" w:rsidP="00EF1424">
            <w:pPr>
              <w:pStyle w:val="Odsekzoznamu"/>
              <w:numPr>
                <w:ilvl w:val="0"/>
                <w:numId w:val="6"/>
              </w:numPr>
              <w:ind w:left="252" w:right="171" w:hanging="283"/>
              <w:rPr>
                <w:rFonts w:ascii="Times New Roman" w:hAnsi="Times New Roman"/>
                <w:b w:val="0"/>
                <w:u w:val="single"/>
                <w:lang w:eastAsia="en-GB"/>
              </w:rPr>
            </w:pPr>
            <w:r w:rsidRPr="00EF1424">
              <w:rPr>
                <w:rFonts w:ascii="Times New Roman" w:hAnsi="Times New Roman"/>
                <w:b w:val="0"/>
                <w:lang w:eastAsia="en-GB"/>
              </w:rPr>
              <w:t>List of amendments to be made in the Georgian primary and secondary labour legislation specified with explanatory notes</w:t>
            </w:r>
          </w:p>
          <w:p w:rsidR="00EF1424" w:rsidRPr="00EF1424" w:rsidRDefault="00EF1424" w:rsidP="00EF1424">
            <w:pPr>
              <w:pStyle w:val="Odsekzoznamu"/>
              <w:numPr>
                <w:ilvl w:val="0"/>
                <w:numId w:val="6"/>
              </w:numPr>
              <w:ind w:left="252" w:right="171" w:hanging="283"/>
              <w:rPr>
                <w:rFonts w:ascii="Times New Roman" w:hAnsi="Times New Roman"/>
                <w:b w:val="0"/>
                <w:u w:val="single"/>
                <w:lang w:eastAsia="en-GB"/>
              </w:rPr>
            </w:pPr>
            <w:r w:rsidRPr="00EF1424">
              <w:rPr>
                <w:rFonts w:ascii="Times New Roman" w:hAnsi="Times New Roman"/>
                <w:b w:val="0"/>
              </w:rPr>
              <w:t xml:space="preserve">Share of staff from relevant public </w:t>
            </w:r>
            <w:r w:rsidRPr="00EF1424">
              <w:rPr>
                <w:rFonts w:ascii="Times New Roman" w:hAnsi="Times New Roman"/>
                <w:b w:val="0"/>
              </w:rPr>
              <w:lastRenderedPageBreak/>
              <w:t>institutions who are fully informed on regulatory and fiscal impact of changes in OSH acquis</w:t>
            </w:r>
          </w:p>
          <w:p w:rsidR="00EF1424" w:rsidRPr="00EF1424" w:rsidRDefault="00EF1424" w:rsidP="00EF1424">
            <w:pPr>
              <w:spacing w:after="0" w:line="240" w:lineRule="auto"/>
              <w:ind w:left="252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11C17" w:rsidRPr="00E34E3E" w:rsidRDefault="00E11C17" w:rsidP="00BF43D1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2" w:hanging="375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lastRenderedPageBreak/>
              <w:t xml:space="preserve">Project documentation (list of meetings, training programs and materials, list of participants, recommendations </w:t>
            </w:r>
            <w:proofErr w:type="spellStart"/>
            <w:r w:rsidRPr="00E34E3E">
              <w:rPr>
                <w:rFonts w:ascii="Times New Roman" w:hAnsi="Times New Roman"/>
                <w:b w:val="0"/>
              </w:rPr>
              <w:t>etc</w:t>
            </w:r>
            <w:proofErr w:type="spellEnd"/>
            <w:r w:rsidRPr="00E34E3E">
              <w:rPr>
                <w:rFonts w:ascii="Times New Roman" w:hAnsi="Times New Roman"/>
                <w:b w:val="0"/>
              </w:rPr>
              <w:t>);</w:t>
            </w:r>
          </w:p>
          <w:p w:rsidR="00E11C17" w:rsidRPr="00E34E3E" w:rsidRDefault="00E11C17" w:rsidP="00BF43D1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>Translated Georgian versions of the all labour law acquis covered by the project;</w:t>
            </w:r>
          </w:p>
          <w:p w:rsidR="00E11C17" w:rsidRPr="00E34E3E" w:rsidRDefault="00E11C17" w:rsidP="00BF43D1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lastRenderedPageBreak/>
              <w:t xml:space="preserve">Analysis reports of the relevant Georgian legislation (including by-laws, amendments and administrative regulations); </w:t>
            </w:r>
          </w:p>
          <w:p w:rsidR="00E11C17" w:rsidRPr="00E34E3E" w:rsidRDefault="00E11C17" w:rsidP="00BF43D1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 xml:space="preserve">Reports on regulatory and fiscal impact assessments of the legal amendments; </w:t>
            </w:r>
          </w:p>
          <w:p w:rsidR="00E11C17" w:rsidRPr="00E34E3E" w:rsidRDefault="00E11C17" w:rsidP="00BF43D1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>Tables of concordance in both areas (labour law, gender equality and OSH acquis);</w:t>
            </w:r>
          </w:p>
          <w:p w:rsidR="00EF1424" w:rsidRPr="008E03D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F1424" w:rsidRDefault="00E02F2C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lastRenderedPageBreak/>
              <w:t>Different approaches of the Georgian stakeholders to legislative proposals.</w:t>
            </w:r>
          </w:p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 xml:space="preserve">Inadequate commitment and support from decision making level in particular with regard to adoption of amended legislation, draft acts, guidelines and procedures </w:t>
            </w:r>
          </w:p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Government commitment on the fulfilment of AA/ DCFTA requirements continued; 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EF1424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8E03D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EF1424" w:rsidRDefault="00EF1424" w:rsidP="00EF1424">
            <w:pPr>
              <w:spacing w:after="0" w:line="240" w:lineRule="auto"/>
              <w:ind w:left="17" w:right="141" w:hanging="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  <w:p w:rsidR="00EF1424" w:rsidRPr="00EF1424" w:rsidRDefault="00EF1424" w:rsidP="00EF1424">
            <w:pPr>
              <w:spacing w:after="0" w:line="240" w:lineRule="auto"/>
              <w:ind w:left="17" w:right="141" w:hanging="17"/>
              <w:jc w:val="both"/>
              <w:rPr>
                <w:rFonts w:ascii="Times New Roman" w:hAnsi="Times New Roman"/>
                <w:lang w:eastAsia="en-GB"/>
              </w:rPr>
            </w:pPr>
            <w:r w:rsidRPr="00EF1424">
              <w:rPr>
                <w:rFonts w:ascii="Times New Roman" w:hAnsi="Times New Roman"/>
              </w:rPr>
              <w:t xml:space="preserve">Aligning Georgian </w:t>
            </w:r>
            <w:r w:rsidRPr="00EF1424">
              <w:rPr>
                <w:rFonts w:ascii="Times New Roman" w:eastAsia="Times New Roman" w:hAnsi="Times New Roman"/>
                <w:lang w:eastAsia="en-GB"/>
              </w:rPr>
              <w:t xml:space="preserve">legal framework on non-discrimination and gender equality, including aspects of labour inspection system, amended in compliance with the </w:t>
            </w:r>
            <w:r w:rsidRPr="00EF1424">
              <w:rPr>
                <w:rFonts w:ascii="Times New Roman" w:hAnsi="Times New Roman"/>
                <w:i/>
              </w:rPr>
              <w:t>Union acquis</w:t>
            </w:r>
          </w:p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4B1791" w:rsidRPr="004B1791" w:rsidRDefault="004B1791" w:rsidP="004B1791">
            <w:pPr>
              <w:numPr>
                <w:ilvl w:val="0"/>
                <w:numId w:val="7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lang w:eastAsia="en-GB"/>
              </w:rPr>
            </w:pPr>
            <w:r w:rsidRPr="004B1791">
              <w:rPr>
                <w:rFonts w:ascii="Times New Roman" w:hAnsi="Times New Roman"/>
                <w:lang w:eastAsia="en-GB"/>
              </w:rPr>
              <w:t>List of amendments to be made in the  Georgian primary and secondary legislation on Gender Equality acquis specified with explanatory notes;</w:t>
            </w:r>
          </w:p>
          <w:p w:rsidR="004B1791" w:rsidRPr="004B1791" w:rsidRDefault="004B1791" w:rsidP="004B1791">
            <w:pPr>
              <w:numPr>
                <w:ilvl w:val="0"/>
                <w:numId w:val="7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lang w:eastAsia="en-GB"/>
              </w:rPr>
            </w:pPr>
            <w:r w:rsidRPr="004B1791">
              <w:rPr>
                <w:rFonts w:ascii="Times New Roman" w:hAnsi="Times New Roman"/>
                <w:lang w:eastAsia="en-GB"/>
              </w:rPr>
              <w:t xml:space="preserve">Share of staff from relevant public institutions who are fully informed on regulatory and fiscal impact of changes in labour law and gender equality acquis. </w:t>
            </w:r>
          </w:p>
          <w:p w:rsidR="004B1791" w:rsidRPr="004B1791" w:rsidRDefault="004B1791" w:rsidP="004B1791">
            <w:pPr>
              <w:numPr>
                <w:ilvl w:val="0"/>
                <w:numId w:val="7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u w:val="single"/>
                <w:lang w:eastAsia="en-GB"/>
              </w:rPr>
            </w:pPr>
            <w:r w:rsidRPr="004B1791">
              <w:rPr>
                <w:rFonts w:ascii="Times New Roman" w:hAnsi="Times New Roman"/>
                <w:sz w:val="20"/>
                <w:szCs w:val="20"/>
              </w:rPr>
              <w:t xml:space="preserve">Share of staff from relevant public </w:t>
            </w:r>
            <w:r w:rsidRPr="004B1791">
              <w:rPr>
                <w:rFonts w:ascii="Times New Roman" w:hAnsi="Times New Roman"/>
                <w:sz w:val="20"/>
                <w:szCs w:val="20"/>
              </w:rPr>
              <w:lastRenderedPageBreak/>
              <w:t>institutions who are fully informed on regulatory and fiscal impact of changes in OSH acquis</w:t>
            </w:r>
          </w:p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11C17" w:rsidRPr="00E34E3E" w:rsidRDefault="00E11C17" w:rsidP="00E34E3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5" w:hanging="225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lastRenderedPageBreak/>
              <w:t xml:space="preserve">Project documentation (list of meetings, training programs and materials, list of participants, recommendations </w:t>
            </w:r>
            <w:proofErr w:type="spellStart"/>
            <w:r w:rsidRPr="00E34E3E">
              <w:rPr>
                <w:rFonts w:ascii="Times New Roman" w:hAnsi="Times New Roman"/>
                <w:b w:val="0"/>
              </w:rPr>
              <w:t>etc</w:t>
            </w:r>
            <w:proofErr w:type="spellEnd"/>
            <w:r w:rsidRPr="00E34E3E">
              <w:rPr>
                <w:rFonts w:ascii="Times New Roman" w:hAnsi="Times New Roman"/>
                <w:b w:val="0"/>
              </w:rPr>
              <w:t>);</w:t>
            </w:r>
          </w:p>
          <w:p w:rsidR="00E11C17" w:rsidRPr="00E34E3E" w:rsidRDefault="00E11C17" w:rsidP="00E34E3E">
            <w:pPr>
              <w:autoSpaceDE w:val="0"/>
              <w:autoSpaceDN w:val="0"/>
              <w:adjustRightInd w:val="0"/>
              <w:spacing w:after="0" w:line="240" w:lineRule="auto"/>
              <w:ind w:left="225" w:hanging="2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11C17" w:rsidRPr="00E34E3E" w:rsidRDefault="00E11C17" w:rsidP="00E34E3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5" w:hanging="225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 xml:space="preserve">Translated Georgian versions of the all non-discrimination and </w:t>
            </w:r>
            <w:r w:rsidR="00E34E3E" w:rsidRPr="00E34E3E">
              <w:rPr>
                <w:rFonts w:ascii="Times New Roman" w:hAnsi="Times New Roman"/>
                <w:b w:val="0"/>
              </w:rPr>
              <w:t>gender equality</w:t>
            </w:r>
            <w:r w:rsidRPr="00E34E3E">
              <w:rPr>
                <w:rFonts w:ascii="Times New Roman" w:hAnsi="Times New Roman"/>
                <w:b w:val="0"/>
              </w:rPr>
              <w:t xml:space="preserve"> acquis covered by the project;</w:t>
            </w:r>
          </w:p>
          <w:p w:rsidR="00E34E3E" w:rsidRPr="00E34E3E" w:rsidRDefault="00E34E3E" w:rsidP="00E34E3E">
            <w:pPr>
              <w:autoSpaceDE w:val="0"/>
              <w:autoSpaceDN w:val="0"/>
              <w:adjustRightInd w:val="0"/>
              <w:spacing w:after="0" w:line="240" w:lineRule="auto"/>
              <w:ind w:left="225" w:hanging="2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11C17" w:rsidRPr="00E34E3E" w:rsidRDefault="00E11C17" w:rsidP="00E34E3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5" w:hanging="225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 xml:space="preserve">Analysis reports of the relevant Georgian legislation (including by-laws, amendments and </w:t>
            </w:r>
            <w:r w:rsidRPr="00E34E3E">
              <w:rPr>
                <w:rFonts w:ascii="Times New Roman" w:hAnsi="Times New Roman"/>
                <w:b w:val="0"/>
              </w:rPr>
              <w:lastRenderedPageBreak/>
              <w:t xml:space="preserve">administrative regulations); </w:t>
            </w:r>
          </w:p>
          <w:p w:rsidR="00E11C17" w:rsidRPr="00E34E3E" w:rsidRDefault="00E11C17" w:rsidP="00E34E3E">
            <w:pPr>
              <w:autoSpaceDE w:val="0"/>
              <w:autoSpaceDN w:val="0"/>
              <w:adjustRightInd w:val="0"/>
              <w:spacing w:after="0" w:line="240" w:lineRule="auto"/>
              <w:ind w:left="225" w:hanging="22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11C17" w:rsidRPr="00E34E3E" w:rsidRDefault="00E11C17" w:rsidP="00E34E3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5" w:hanging="225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 xml:space="preserve">Reports on regulatory and fiscal impact assessments of the legal amendments; </w:t>
            </w:r>
          </w:p>
          <w:p w:rsidR="00E11C17" w:rsidRPr="008E03D7" w:rsidRDefault="00E11C17" w:rsidP="00E11C1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F1424" w:rsidRPr="008E03D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lastRenderedPageBreak/>
              <w:t>Different approaches of the Georgian stakeholders to legislative proposals.</w:t>
            </w:r>
          </w:p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 xml:space="preserve">Inadequate commitment and support from decision making level in particular with regard to adoption of amended legislation, draft acts, guidelines and procedures </w:t>
            </w:r>
          </w:p>
          <w:p w:rsidR="00EF1424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EF1424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8E03D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4B1791" w:rsidRDefault="004B1791" w:rsidP="004B1791">
            <w:pPr>
              <w:spacing w:after="0" w:line="240" w:lineRule="auto"/>
              <w:ind w:left="108" w:right="141"/>
              <w:jc w:val="both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1.3.1.</w:t>
            </w:r>
          </w:p>
          <w:p w:rsidR="004B1791" w:rsidRPr="004B1791" w:rsidRDefault="004B1791" w:rsidP="004B1791">
            <w:pPr>
              <w:spacing w:after="0" w:line="240" w:lineRule="auto"/>
              <w:ind w:left="108" w:right="141"/>
              <w:jc w:val="both"/>
              <w:rPr>
                <w:rFonts w:ascii="Times New Roman" w:hAnsi="Times New Roman"/>
                <w:u w:val="single"/>
              </w:rPr>
            </w:pPr>
            <w:r w:rsidRPr="004B1791">
              <w:rPr>
                <w:rFonts w:ascii="Times New Roman" w:hAnsi="Times New Roman"/>
              </w:rPr>
              <w:t>Aligning Georgian l</w:t>
            </w:r>
            <w:r w:rsidRPr="004B1791">
              <w:rPr>
                <w:rFonts w:ascii="Times New Roman" w:eastAsia="Times New Roman" w:hAnsi="Times New Roman"/>
                <w:lang w:eastAsia="en-GB"/>
              </w:rPr>
              <w:t xml:space="preserve">egal framework on Occupational Safety and Health, including aspects of labour inspection system, amended in compliance with the </w:t>
            </w:r>
            <w:r w:rsidRPr="004B1791">
              <w:rPr>
                <w:rFonts w:ascii="Times New Roman" w:hAnsi="Times New Roman"/>
                <w:i/>
              </w:rPr>
              <w:t>Union acquis</w:t>
            </w:r>
          </w:p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4B1791" w:rsidRPr="004B1791" w:rsidRDefault="004B1791" w:rsidP="004B1791">
            <w:pPr>
              <w:numPr>
                <w:ilvl w:val="0"/>
                <w:numId w:val="9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lang w:eastAsia="en-GB"/>
              </w:rPr>
            </w:pPr>
            <w:r w:rsidRPr="004B1791">
              <w:rPr>
                <w:rFonts w:ascii="Times New Roman" w:hAnsi="Times New Roman"/>
                <w:lang w:eastAsia="en-GB"/>
              </w:rPr>
              <w:t xml:space="preserve">Availability of quality checked translation of the OSH acquis with clear technical terminology (if necessary); </w:t>
            </w:r>
          </w:p>
          <w:p w:rsidR="004B1791" w:rsidRPr="004B1791" w:rsidRDefault="004B1791" w:rsidP="004B1791">
            <w:pPr>
              <w:numPr>
                <w:ilvl w:val="0"/>
                <w:numId w:val="9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lang w:eastAsia="en-GB"/>
              </w:rPr>
            </w:pPr>
            <w:r w:rsidRPr="004B1791">
              <w:rPr>
                <w:rFonts w:ascii="Times New Roman" w:hAnsi="Times New Roman"/>
                <w:lang w:eastAsia="en-GB"/>
              </w:rPr>
              <w:t xml:space="preserve">Availability of the Tables of Concordance prepared for the OSH acquis, including aspects of labour inspection system; </w:t>
            </w:r>
          </w:p>
          <w:p w:rsidR="004B1791" w:rsidRPr="004B1791" w:rsidRDefault="004B1791" w:rsidP="004B1791">
            <w:pPr>
              <w:numPr>
                <w:ilvl w:val="0"/>
                <w:numId w:val="9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lang w:eastAsia="en-GB"/>
              </w:rPr>
            </w:pPr>
            <w:r w:rsidRPr="004B1791">
              <w:rPr>
                <w:rFonts w:ascii="Times New Roman" w:hAnsi="Times New Roman"/>
                <w:lang w:eastAsia="en-GB"/>
              </w:rPr>
              <w:t>Available list of amendments to be made in the Georgian primary and secondary OSH legislation specified with explanatory notes;</w:t>
            </w:r>
          </w:p>
          <w:p w:rsidR="004B1791" w:rsidRPr="004B1791" w:rsidRDefault="004B1791" w:rsidP="004B1791">
            <w:pPr>
              <w:numPr>
                <w:ilvl w:val="0"/>
                <w:numId w:val="9"/>
              </w:numPr>
              <w:spacing w:after="0" w:line="240" w:lineRule="auto"/>
              <w:ind w:left="252" w:right="171" w:hanging="283"/>
              <w:jc w:val="both"/>
              <w:rPr>
                <w:rFonts w:ascii="Times New Roman" w:hAnsi="Times New Roman"/>
                <w:lang w:eastAsia="en-GB"/>
              </w:rPr>
            </w:pPr>
            <w:r w:rsidRPr="004B1791">
              <w:rPr>
                <w:rFonts w:ascii="Times New Roman" w:hAnsi="Times New Roman"/>
                <w:lang w:eastAsia="en-GB"/>
              </w:rPr>
              <w:t xml:space="preserve">Share of staff from relevant public institutions who are fully informed on </w:t>
            </w:r>
            <w:r w:rsidRPr="004B1791">
              <w:rPr>
                <w:rFonts w:ascii="Times New Roman" w:hAnsi="Times New Roman"/>
                <w:lang w:eastAsia="en-GB"/>
              </w:rPr>
              <w:lastRenderedPageBreak/>
              <w:t>regulatory and fiscal impact of changes in OSH acquis.</w:t>
            </w:r>
          </w:p>
          <w:p w:rsidR="00EF1424" w:rsidRPr="008E03D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11C17" w:rsidRPr="00E11C17" w:rsidRDefault="00E11C17" w:rsidP="00E34E3E">
            <w:pPr>
              <w:pStyle w:val="Odsekzoznamu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1" w:hanging="251"/>
              <w:rPr>
                <w:rFonts w:ascii="Times New Roman" w:hAnsi="Times New Roman"/>
                <w:b w:val="0"/>
              </w:rPr>
            </w:pPr>
            <w:r w:rsidRPr="00E11C17">
              <w:rPr>
                <w:rFonts w:ascii="Times New Roman" w:hAnsi="Times New Roman"/>
                <w:b w:val="0"/>
              </w:rPr>
              <w:lastRenderedPageBreak/>
              <w:t xml:space="preserve">Translated Georgian versions of the all OSH acquis covered by the project; </w:t>
            </w:r>
          </w:p>
          <w:p w:rsidR="00E11C17" w:rsidRPr="00E11C17" w:rsidRDefault="00E11C17" w:rsidP="00E34E3E">
            <w:pPr>
              <w:pStyle w:val="Odsekzoznamu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1" w:hanging="251"/>
              <w:rPr>
                <w:rFonts w:ascii="Times New Roman" w:hAnsi="Times New Roman"/>
                <w:b w:val="0"/>
              </w:rPr>
            </w:pPr>
            <w:r w:rsidRPr="00E11C17">
              <w:rPr>
                <w:rFonts w:ascii="Times New Roman" w:hAnsi="Times New Roman"/>
                <w:b w:val="0"/>
              </w:rPr>
              <w:t xml:space="preserve">Reports on regulatory and fiscal impact assessments of the legal amendments; </w:t>
            </w:r>
          </w:p>
          <w:p w:rsidR="00E11C17" w:rsidRDefault="00E11C17" w:rsidP="00E34E3E">
            <w:pPr>
              <w:pStyle w:val="Odsekzoznamu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1" w:hanging="251"/>
              <w:rPr>
                <w:rFonts w:ascii="Times New Roman" w:hAnsi="Times New Roman"/>
                <w:b w:val="0"/>
              </w:rPr>
            </w:pPr>
            <w:r w:rsidRPr="00E11C17">
              <w:rPr>
                <w:rFonts w:ascii="Times New Roman" w:hAnsi="Times New Roman"/>
                <w:b w:val="0"/>
              </w:rPr>
              <w:t>Tables of concordance in both areas (labour law, gender equality and OSH acquis);</w:t>
            </w:r>
          </w:p>
          <w:p w:rsidR="00E34E3E" w:rsidRPr="00E34E3E" w:rsidRDefault="00E34E3E" w:rsidP="00E34E3E">
            <w:pPr>
              <w:pStyle w:val="Odsekzoznamu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1" w:hanging="251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 xml:space="preserve">Analysis reports of the relevant Georgian legislation (including by-laws, amendments and administrative regulations); </w:t>
            </w:r>
          </w:p>
          <w:p w:rsidR="00E34E3E" w:rsidRPr="00E34E3E" w:rsidRDefault="00E34E3E" w:rsidP="00E34E3E">
            <w:pPr>
              <w:pStyle w:val="Odsekzoznamu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1" w:hanging="251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 xml:space="preserve">Reports on regulatory and fiscal impact assessments of the legal amendments; </w:t>
            </w:r>
          </w:p>
          <w:p w:rsidR="00E34E3E" w:rsidRPr="00E34E3E" w:rsidRDefault="00E34E3E" w:rsidP="00E34E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11C17" w:rsidRPr="00E11C17" w:rsidRDefault="00E11C17" w:rsidP="00E11C17">
            <w:pPr>
              <w:autoSpaceDE w:val="0"/>
              <w:autoSpaceDN w:val="0"/>
              <w:adjustRightInd w:val="0"/>
              <w:spacing w:after="0" w:line="240" w:lineRule="auto"/>
              <w:ind w:left="251" w:hanging="25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F1424" w:rsidRPr="008E03D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lastRenderedPageBreak/>
              <w:t>Different approaches of the Georgian stakeholders to legislative proposals.</w:t>
            </w:r>
          </w:p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 xml:space="preserve">Inadequate commitment and support from decision making level in particular with regard to adoption of amended legislation, draft acts, guidelines and procedures </w:t>
            </w:r>
          </w:p>
          <w:p w:rsidR="00EF1424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EF1424" w:rsidRPr="00844DFA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8E03D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4B1791" w:rsidRPr="004B1791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  <w:r w:rsidRPr="004B1791">
              <w:rPr>
                <w:rFonts w:ascii="Times New Roman" w:hAnsi="Times New Roman"/>
              </w:rPr>
              <w:t>.</w:t>
            </w:r>
          </w:p>
          <w:p w:rsidR="00EF1424" w:rsidRPr="004B1791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791">
              <w:rPr>
                <w:rFonts w:ascii="Times New Roman" w:hAnsi="Times New Roman"/>
              </w:rPr>
              <w:t>Assessment of the administrative structures and institutional capacities of the beneficiary and relevant stakeholders and improvement of their inter-institutional operations</w:t>
            </w:r>
          </w:p>
        </w:tc>
        <w:tc>
          <w:tcPr>
            <w:tcW w:w="2553" w:type="dxa"/>
            <w:shd w:val="clear" w:color="auto" w:fill="auto"/>
          </w:tcPr>
          <w:p w:rsidR="004B1791" w:rsidRPr="004B1791" w:rsidRDefault="004B1791" w:rsidP="004B179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52" w:hanging="283"/>
              <w:jc w:val="both"/>
              <w:rPr>
                <w:rFonts w:ascii="Times New Roman" w:hAnsi="Times New Roman"/>
              </w:rPr>
            </w:pPr>
            <w:r w:rsidRPr="004B1791">
              <w:rPr>
                <w:rFonts w:ascii="Times New Roman" w:hAnsi="Times New Roman"/>
              </w:rPr>
              <w:t>Functional review of the relevant state authorities to implement changes, including human and financial resources, administrative structures and equipment needed;</w:t>
            </w:r>
          </w:p>
          <w:p w:rsidR="00EF1424" w:rsidRPr="004B1791" w:rsidRDefault="004B1791" w:rsidP="004B1791">
            <w:pPr>
              <w:pStyle w:val="Odsekzoznamu"/>
              <w:numPr>
                <w:ilvl w:val="0"/>
                <w:numId w:val="11"/>
              </w:numPr>
              <w:ind w:left="252" w:hanging="283"/>
              <w:rPr>
                <w:rFonts w:ascii="Times New Roman" w:hAnsi="Times New Roman"/>
                <w:b w:val="0"/>
              </w:rPr>
            </w:pPr>
            <w:r w:rsidRPr="004B1791">
              <w:rPr>
                <w:rFonts w:ascii="Times New Roman" w:hAnsi="Times New Roman"/>
                <w:b w:val="0"/>
              </w:rPr>
              <w:t>Plan (a set of recommendations) for improving institutional operations and procedures of the relevant state authorities to support their pilot implementation, each with clear competences and coordination roles.</w:t>
            </w:r>
          </w:p>
        </w:tc>
        <w:tc>
          <w:tcPr>
            <w:tcW w:w="2149" w:type="dxa"/>
            <w:shd w:val="clear" w:color="auto" w:fill="auto"/>
          </w:tcPr>
          <w:p w:rsidR="00E34E3E" w:rsidRPr="00E34E3E" w:rsidRDefault="00E34E3E" w:rsidP="00E34E3E">
            <w:pPr>
              <w:pStyle w:val="Odsekzoznamu"/>
              <w:numPr>
                <w:ilvl w:val="0"/>
                <w:numId w:val="11"/>
              </w:numPr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>Analysis reports on the training needs of the BA (LCID and LEPD staff) as well as other relevant institutions listed;</w:t>
            </w:r>
          </w:p>
          <w:p w:rsidR="00E34E3E" w:rsidRPr="00E34E3E" w:rsidRDefault="00E34E3E" w:rsidP="00E34E3E">
            <w:pPr>
              <w:pStyle w:val="Odsekzoznamu"/>
              <w:numPr>
                <w:ilvl w:val="0"/>
                <w:numId w:val="11"/>
              </w:numPr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t>Plans for improvement of administrative structure and resources;</w:t>
            </w:r>
          </w:p>
          <w:p w:rsidR="00E34E3E" w:rsidRPr="008E03D7" w:rsidRDefault="00E34E3E" w:rsidP="00E34E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1424" w:rsidRPr="008E03D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F1424" w:rsidRDefault="00E02F2C" w:rsidP="00E34E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Strong support and commitment from the senior management of the </w:t>
            </w:r>
            <w:proofErr w:type="spellStart"/>
            <w:r w:rsidRPr="008E03D7">
              <w:rPr>
                <w:rFonts w:ascii="Times New Roman" w:hAnsi="Times New Roman"/>
                <w:sz w:val="20"/>
                <w:szCs w:val="20"/>
              </w:rPr>
              <w:t>MoLHSA</w:t>
            </w:r>
            <w:proofErr w:type="spellEnd"/>
            <w:r w:rsidRPr="008E03D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DFA">
              <w:rPr>
                <w:rFonts w:ascii="Times New Roman" w:hAnsi="Times New Roman"/>
                <w:sz w:val="20"/>
                <w:szCs w:val="20"/>
                <w:lang w:val="fr-BE"/>
              </w:rPr>
              <w:t>All relevant national documentation available.</w:t>
            </w: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E11C1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2.1.2.</w:t>
            </w:r>
          </w:p>
          <w:p w:rsidR="00EF1424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</w:rPr>
              <w:t>Training needs analysis and    strengthening the institutional capacity of the beneficiary and relevant stakeholders</w:t>
            </w:r>
          </w:p>
        </w:tc>
        <w:tc>
          <w:tcPr>
            <w:tcW w:w="2553" w:type="dxa"/>
            <w:shd w:val="clear" w:color="auto" w:fill="auto"/>
          </w:tcPr>
          <w:p w:rsidR="004B1791" w:rsidRPr="00E11C17" w:rsidRDefault="004B1791" w:rsidP="004B179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Training needs analysis and plan of the whole staff of beneficiary department and representatives from other relevant institutions listed;</w:t>
            </w:r>
          </w:p>
          <w:p w:rsidR="00EF1424" w:rsidRPr="00E11C1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34E3E" w:rsidRDefault="00E34E3E" w:rsidP="00BF43D1">
            <w:pPr>
              <w:pStyle w:val="Odsekzoznamu"/>
              <w:numPr>
                <w:ilvl w:val="0"/>
                <w:numId w:val="13"/>
              </w:numPr>
              <w:ind w:left="251" w:hanging="251"/>
              <w:rPr>
                <w:rFonts w:ascii="Times New Roman" w:hAnsi="Times New Roman"/>
                <w:b w:val="0"/>
              </w:rPr>
            </w:pPr>
            <w:r w:rsidRPr="00BF43D1">
              <w:rPr>
                <w:rFonts w:ascii="Times New Roman" w:hAnsi="Times New Roman"/>
                <w:b w:val="0"/>
              </w:rPr>
              <w:t xml:space="preserve">Short and long-term training plans, training programs and materials; </w:t>
            </w:r>
          </w:p>
          <w:p w:rsidR="00E34E3E" w:rsidRPr="005D01C1" w:rsidRDefault="00E34E3E" w:rsidP="00E34E3E">
            <w:pPr>
              <w:pStyle w:val="Odsekzoznamu"/>
              <w:numPr>
                <w:ilvl w:val="0"/>
                <w:numId w:val="13"/>
              </w:numPr>
              <w:ind w:left="251" w:hanging="251"/>
              <w:rPr>
                <w:rFonts w:ascii="Times New Roman" w:hAnsi="Times New Roman"/>
                <w:b w:val="0"/>
              </w:rPr>
            </w:pPr>
            <w:r w:rsidRPr="005D01C1">
              <w:rPr>
                <w:rFonts w:ascii="Times New Roman" w:hAnsi="Times New Roman"/>
                <w:b w:val="0"/>
              </w:rPr>
              <w:t xml:space="preserve">The names and numbers of training participants from all institutions; </w:t>
            </w:r>
          </w:p>
          <w:p w:rsidR="00EF1424" w:rsidRPr="00E11C1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F1424" w:rsidRPr="00E11C17" w:rsidRDefault="00E02F2C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</w:tc>
        <w:tc>
          <w:tcPr>
            <w:tcW w:w="2322" w:type="dxa"/>
            <w:shd w:val="clear" w:color="auto" w:fill="auto"/>
          </w:tcPr>
          <w:p w:rsidR="00EF1424" w:rsidRPr="00E11C17" w:rsidRDefault="005D01C1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</w:t>
            </w: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E11C1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EF1424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  <w:b/>
                <w:sz w:val="20"/>
                <w:szCs w:val="20"/>
              </w:rPr>
              <w:t>2.1.3.</w:t>
            </w:r>
          </w:p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</w:rPr>
              <w:t>Delivery of the Training of Trainers of the labour inspectors</w:t>
            </w:r>
          </w:p>
        </w:tc>
        <w:tc>
          <w:tcPr>
            <w:tcW w:w="2553" w:type="dxa"/>
            <w:shd w:val="clear" w:color="auto" w:fill="auto"/>
          </w:tcPr>
          <w:p w:rsidR="004B1791" w:rsidRPr="00E11C17" w:rsidRDefault="004B1791" w:rsidP="004B179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 xml:space="preserve">90% of BA staff who received training to implement necessary changes and the </w:t>
            </w:r>
            <w:r w:rsidRPr="00E11C17">
              <w:rPr>
                <w:rFonts w:ascii="Times New Roman" w:hAnsi="Times New Roman"/>
              </w:rPr>
              <w:lastRenderedPageBreak/>
              <w:t>representatives from other relevant institutions listed;</w:t>
            </w:r>
          </w:p>
          <w:p w:rsidR="00EF1424" w:rsidRPr="00E11C1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34E3E" w:rsidRPr="008E03D7" w:rsidRDefault="00E34E3E" w:rsidP="00E34E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The names and numbers of training participants from all institutions; </w:t>
            </w:r>
          </w:p>
          <w:p w:rsidR="00EF1424" w:rsidRPr="00E11C1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F1424" w:rsidRPr="00E11C17" w:rsidRDefault="00E02F2C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No sufficient cooperation among all </w:t>
            </w:r>
            <w:r w:rsidRPr="00092A1C">
              <w:rPr>
                <w:rFonts w:ascii="Times New Roman" w:hAnsi="Times New Roman"/>
                <w:sz w:val="20"/>
                <w:szCs w:val="20"/>
              </w:rPr>
              <w:lastRenderedPageBreak/>
              <w:t>involved Georgian stakeholders</w:t>
            </w: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E11C17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E11C1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EF1424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  <w:b/>
                <w:sz w:val="20"/>
                <w:szCs w:val="20"/>
              </w:rPr>
              <w:t>2.1.4.</w:t>
            </w:r>
          </w:p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</w:rPr>
              <w:t>Delivery of comprehensive training programmes  to improve the institutional capacities of the beneficiary and relevant stakeholders</w:t>
            </w:r>
          </w:p>
        </w:tc>
        <w:tc>
          <w:tcPr>
            <w:tcW w:w="2553" w:type="dxa"/>
            <w:shd w:val="clear" w:color="auto" w:fill="auto"/>
          </w:tcPr>
          <w:p w:rsidR="004B1791" w:rsidRPr="00E11C17" w:rsidRDefault="004B1791" w:rsidP="004B179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52" w:hanging="283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Number of labour inspectors who are trained more to become ‘trainers’ with full knowledge and competency in implementing new laws;</w:t>
            </w:r>
          </w:p>
          <w:p w:rsidR="00EF1424" w:rsidRPr="00E11C1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34E3E" w:rsidRPr="008E03D7" w:rsidRDefault="00E34E3E" w:rsidP="00E34E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The names and numbers of training participants from all institutions; </w:t>
            </w:r>
          </w:p>
          <w:p w:rsidR="00EF1424" w:rsidRPr="00E11C1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F1424" w:rsidRDefault="00E02F2C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  <w:p w:rsidR="00E02F2C" w:rsidRPr="00E02F2C" w:rsidRDefault="00E02F2C" w:rsidP="000F08C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2C">
              <w:rPr>
                <w:rFonts w:ascii="Times New Roman" w:hAnsi="Times New Roman" w:cs="Times New Roman"/>
                <w:sz w:val="20"/>
                <w:szCs w:val="20"/>
              </w:rPr>
              <w:t>Unsuccessful beneficiary administration´s reorganization</w:t>
            </w: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E11C17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4B1791" w:rsidRPr="00E11C17" w:rsidRDefault="004B1791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  <w:b/>
                <w:sz w:val="20"/>
                <w:szCs w:val="20"/>
              </w:rPr>
              <w:t>2.2.1.</w:t>
            </w:r>
          </w:p>
          <w:p w:rsidR="004B1791" w:rsidRPr="00E11C17" w:rsidRDefault="004B1791" w:rsidP="004B1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 xml:space="preserve">Development of the relevant guidelines, labour inspection manuals, checklists and other tools to improve the institutional operations and procedures focused on  precise implementation of  newly adopted legislation </w:t>
            </w:r>
          </w:p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4B1791" w:rsidRPr="00E11C17" w:rsidRDefault="004B1791" w:rsidP="004B1791">
            <w:pPr>
              <w:pStyle w:val="Odsekzoznamu"/>
              <w:numPr>
                <w:ilvl w:val="0"/>
                <w:numId w:val="16"/>
              </w:numPr>
              <w:ind w:left="322" w:right="62" w:hanging="322"/>
              <w:rPr>
                <w:rFonts w:ascii="Times New Roman" w:hAnsi="Times New Roman"/>
                <w:b w:val="0"/>
                <w:u w:val="single"/>
                <w:lang w:eastAsia="en-GB"/>
              </w:rPr>
            </w:pPr>
            <w:r w:rsidRPr="00E11C17">
              <w:rPr>
                <w:rFonts w:ascii="Times New Roman" w:hAnsi="Times New Roman"/>
                <w:b w:val="0"/>
              </w:rPr>
              <w:t>At least 20 written operational guidelines, manuals and procedures required to implement all changes, explaining all steps of implementation to the relevant staff;</w:t>
            </w:r>
          </w:p>
          <w:p w:rsidR="004B1791" w:rsidRPr="00E11C17" w:rsidRDefault="004B1791" w:rsidP="000F08CD">
            <w:pPr>
              <w:pStyle w:val="Odsekzoznamu"/>
              <w:numPr>
                <w:ilvl w:val="0"/>
                <w:numId w:val="16"/>
              </w:numPr>
              <w:ind w:left="322" w:right="62" w:hanging="322"/>
              <w:rPr>
                <w:rFonts w:ascii="Times New Roman" w:hAnsi="Times New Roman"/>
                <w:b w:val="0"/>
                <w:u w:val="single"/>
                <w:lang w:eastAsia="en-GB"/>
              </w:rPr>
            </w:pPr>
            <w:r w:rsidRPr="00E11C17">
              <w:rPr>
                <w:rFonts w:ascii="Times New Roman" w:hAnsi="Times New Roman"/>
                <w:b w:val="0"/>
              </w:rPr>
              <w:t xml:space="preserve">At least 20 OSH online Glossary and Risk Assessment checklists and their dissemination to relevant parties; </w:t>
            </w:r>
          </w:p>
        </w:tc>
        <w:tc>
          <w:tcPr>
            <w:tcW w:w="2149" w:type="dxa"/>
            <w:shd w:val="clear" w:color="auto" w:fill="auto"/>
          </w:tcPr>
          <w:p w:rsidR="00E34E3E" w:rsidRPr="008E03D7" w:rsidRDefault="00E34E3E" w:rsidP="00E34E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Operational plans and procedures, implementation manuals and guidelines (in English and Georgian);</w:t>
            </w:r>
          </w:p>
          <w:p w:rsidR="004B1791" w:rsidRPr="00E11C17" w:rsidRDefault="004B1791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  <w:p w:rsidR="004B1791" w:rsidRPr="00E11C1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F2C">
              <w:rPr>
                <w:rFonts w:ascii="Times New Roman" w:hAnsi="Times New Roman" w:cs="Times New Roman"/>
                <w:sz w:val="20"/>
                <w:szCs w:val="20"/>
              </w:rPr>
              <w:t>Unsuccessful beneficiary administration´s reorganization</w:t>
            </w:r>
          </w:p>
        </w:tc>
        <w:tc>
          <w:tcPr>
            <w:tcW w:w="2322" w:type="dxa"/>
            <w:shd w:val="clear" w:color="auto" w:fill="auto"/>
          </w:tcPr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Availability of local staff;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5D01C1" w:rsidRPr="008E03D7" w:rsidRDefault="005D01C1" w:rsidP="005D01C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4B1791" w:rsidRPr="00E11C17" w:rsidRDefault="004B1791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4B1791" w:rsidRPr="00E11C17" w:rsidRDefault="004B1791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/>
                <w:b/>
                <w:sz w:val="20"/>
                <w:szCs w:val="20"/>
              </w:rPr>
              <w:t>2.2.2.</w:t>
            </w:r>
          </w:p>
          <w:p w:rsidR="004B1791" w:rsidRPr="00E11C17" w:rsidRDefault="004B1791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 w:cs="Times New Roman"/>
              </w:rPr>
              <w:t xml:space="preserve">Preparing and implementing public information  campaign  aiming to raise awareness among the project among key </w:t>
            </w:r>
            <w:r w:rsidRPr="00E11C17">
              <w:rPr>
                <w:rFonts w:ascii="Times New Roman" w:hAnsi="Times New Roman" w:cs="Times New Roman"/>
              </w:rPr>
              <w:lastRenderedPageBreak/>
              <w:t>stakeholders, public, private sector and civil society</w:t>
            </w:r>
          </w:p>
        </w:tc>
        <w:tc>
          <w:tcPr>
            <w:tcW w:w="2553" w:type="dxa"/>
            <w:shd w:val="clear" w:color="auto" w:fill="auto"/>
          </w:tcPr>
          <w:p w:rsidR="00E11C17" w:rsidRPr="00E11C17" w:rsidRDefault="00E11C17" w:rsidP="00E11C17">
            <w:pPr>
              <w:numPr>
                <w:ilvl w:val="0"/>
                <w:numId w:val="17"/>
              </w:numPr>
              <w:tabs>
                <w:tab w:val="left" w:pos="6350"/>
              </w:tabs>
              <w:spacing w:after="0" w:line="240" w:lineRule="auto"/>
              <w:ind w:left="252" w:right="62" w:hanging="252"/>
              <w:jc w:val="both"/>
              <w:rPr>
                <w:rFonts w:ascii="Times New Roman" w:hAnsi="Times New Roman"/>
                <w:u w:val="single"/>
                <w:lang w:eastAsia="en-GB"/>
              </w:rPr>
            </w:pPr>
            <w:r w:rsidRPr="00E11C17">
              <w:rPr>
                <w:rFonts w:ascii="Times New Roman" w:hAnsi="Times New Roman"/>
              </w:rPr>
              <w:lastRenderedPageBreak/>
              <w:t xml:space="preserve">At least 30 elaborated promotional materials and 2 public information campaigns in printed and online </w:t>
            </w:r>
            <w:r w:rsidRPr="00E11C17">
              <w:rPr>
                <w:rFonts w:ascii="Times New Roman" w:hAnsi="Times New Roman"/>
              </w:rPr>
              <w:lastRenderedPageBreak/>
              <w:t>media, TV and other tools;</w:t>
            </w:r>
          </w:p>
          <w:p w:rsidR="004B1791" w:rsidRPr="00E11C17" w:rsidRDefault="00E11C17" w:rsidP="000F08CD">
            <w:pPr>
              <w:numPr>
                <w:ilvl w:val="0"/>
                <w:numId w:val="17"/>
              </w:numPr>
              <w:spacing w:after="0" w:line="240" w:lineRule="auto"/>
              <w:ind w:left="252" w:right="62" w:hanging="252"/>
              <w:jc w:val="both"/>
              <w:rPr>
                <w:rFonts w:ascii="Times New Roman" w:hAnsi="Times New Roman"/>
                <w:u w:val="single"/>
                <w:lang w:eastAsia="en-GB"/>
              </w:rPr>
            </w:pPr>
            <w:r w:rsidRPr="00E11C17">
              <w:rPr>
                <w:rFonts w:ascii="Times New Roman" w:hAnsi="Times New Roman"/>
              </w:rPr>
              <w:t xml:space="preserve">90% </w:t>
            </w:r>
            <w:proofErr w:type="gramStart"/>
            <w:r w:rsidRPr="00E11C17">
              <w:rPr>
                <w:rFonts w:ascii="Times New Roman" w:hAnsi="Times New Roman"/>
              </w:rPr>
              <w:t>of  private</w:t>
            </w:r>
            <w:proofErr w:type="gramEnd"/>
            <w:r w:rsidRPr="00E11C17">
              <w:rPr>
                <w:rFonts w:ascii="Times New Roman" w:hAnsi="Times New Roman"/>
              </w:rPr>
              <w:t xml:space="preserve"> companies (i.e. both employers and workers) which are informed and number of citizens reached out on the new rules and changes made in labour legislation.</w:t>
            </w:r>
          </w:p>
        </w:tc>
        <w:tc>
          <w:tcPr>
            <w:tcW w:w="2149" w:type="dxa"/>
            <w:shd w:val="clear" w:color="auto" w:fill="auto"/>
          </w:tcPr>
          <w:p w:rsidR="004B1791" w:rsidRPr="00E11C17" w:rsidRDefault="00E34E3E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Promotional materials, links to public information campaigns.</w:t>
            </w:r>
          </w:p>
        </w:tc>
        <w:tc>
          <w:tcPr>
            <w:tcW w:w="2230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  <w:p w:rsidR="004B1791" w:rsidRPr="00E11C1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F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Unsuccessful beneficiary administration´s reorganization</w:t>
            </w:r>
          </w:p>
        </w:tc>
        <w:tc>
          <w:tcPr>
            <w:tcW w:w="2322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Government commitment on the fulfilment of AA/ DCFTA requirements continued; </w:t>
            </w:r>
          </w:p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lastRenderedPageBreak/>
              <w:t>Good communication between the Beneficiary and other stakeholders;</w:t>
            </w:r>
          </w:p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B1791" w:rsidRPr="00E11C17" w:rsidRDefault="004B1791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4B1791" w:rsidRPr="00E11C17" w:rsidRDefault="004B1791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E11C17" w:rsidRPr="00E11C17" w:rsidRDefault="00E11C17" w:rsidP="000F08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1C17">
              <w:rPr>
                <w:rFonts w:ascii="Times New Roman" w:hAnsi="Times New Roman" w:cs="Times New Roman"/>
              </w:rPr>
              <w:t>2.2.3.</w:t>
            </w:r>
          </w:p>
          <w:p w:rsidR="004B1791" w:rsidRPr="00E11C17" w:rsidRDefault="00E11C17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C17">
              <w:rPr>
                <w:rFonts w:ascii="Times New Roman" w:hAnsi="Times New Roman" w:cs="Times New Roman"/>
              </w:rPr>
              <w:t xml:space="preserve">Conducting study visits to Member states, focused for transfer of good practices on organisation and management of labour inspection </w:t>
            </w:r>
            <w:r w:rsidRPr="00E11C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E11C17" w:rsidRPr="00E11C17" w:rsidRDefault="005D01C1" w:rsidP="00E11C17">
            <w:pPr>
              <w:numPr>
                <w:ilvl w:val="0"/>
                <w:numId w:val="18"/>
              </w:numPr>
              <w:spacing w:after="0" w:line="240" w:lineRule="auto"/>
              <w:ind w:left="252" w:right="147" w:hanging="2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11C17" w:rsidRPr="00E11C17">
              <w:rPr>
                <w:rFonts w:ascii="Times New Roman" w:hAnsi="Times New Roman"/>
              </w:rPr>
              <w:t xml:space="preserve"> x 5 days Study visit for 20 participants in total  accomplished</w:t>
            </w:r>
          </w:p>
          <w:p w:rsidR="004B1791" w:rsidRPr="00E11C17" w:rsidRDefault="00E11C17" w:rsidP="00E11C17">
            <w:pPr>
              <w:numPr>
                <w:ilvl w:val="0"/>
                <w:numId w:val="18"/>
              </w:numPr>
              <w:spacing w:after="0" w:line="240" w:lineRule="auto"/>
              <w:ind w:left="252" w:right="147" w:hanging="252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Study Visit Reports prepared</w:t>
            </w:r>
          </w:p>
        </w:tc>
        <w:tc>
          <w:tcPr>
            <w:tcW w:w="2149" w:type="dxa"/>
            <w:shd w:val="clear" w:color="auto" w:fill="auto"/>
          </w:tcPr>
          <w:p w:rsidR="00E34E3E" w:rsidRPr="008E03D7" w:rsidRDefault="00E34E3E" w:rsidP="00E34E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Study visits’ and mission reports;  </w:t>
            </w:r>
          </w:p>
          <w:p w:rsidR="004B1791" w:rsidRPr="00E11C17" w:rsidRDefault="004B1791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  <w:p w:rsidR="004B1791" w:rsidRPr="00E11C1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F2C">
              <w:rPr>
                <w:rFonts w:ascii="Times New Roman" w:hAnsi="Times New Roman" w:cs="Times New Roman"/>
                <w:sz w:val="20"/>
                <w:szCs w:val="20"/>
              </w:rPr>
              <w:t>Unsuccessful beneficiary administration´s reorganization</w:t>
            </w:r>
          </w:p>
        </w:tc>
        <w:tc>
          <w:tcPr>
            <w:tcW w:w="2322" w:type="dxa"/>
            <w:shd w:val="clear" w:color="auto" w:fill="auto"/>
          </w:tcPr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4B1791" w:rsidRPr="00E11C17" w:rsidRDefault="004B1791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C17" w:rsidRPr="00E11C17" w:rsidTr="00D5722B">
        <w:trPr>
          <w:trHeight w:val="444"/>
        </w:trPr>
        <w:tc>
          <w:tcPr>
            <w:tcW w:w="1855" w:type="dxa"/>
            <w:shd w:val="clear" w:color="auto" w:fill="auto"/>
          </w:tcPr>
          <w:p w:rsidR="00EF1424" w:rsidRPr="00E11C17" w:rsidRDefault="00EF1424" w:rsidP="000F08C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p w:rsidR="00E11C17" w:rsidRPr="00E11C17" w:rsidRDefault="00E11C17" w:rsidP="00E11C17">
            <w:pPr>
              <w:spacing w:after="0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2.3.1.</w:t>
            </w:r>
          </w:p>
          <w:p w:rsidR="00E11C17" w:rsidRPr="00E11C17" w:rsidRDefault="00E11C17" w:rsidP="00E11C17">
            <w:pPr>
              <w:spacing w:after="0"/>
              <w:jc w:val="both"/>
              <w:rPr>
                <w:rFonts w:ascii="Times New Roman" w:hAnsi="Times New Roman"/>
                <w:lang w:eastAsia="en-GB"/>
              </w:rPr>
            </w:pPr>
            <w:r w:rsidRPr="00E11C17">
              <w:rPr>
                <w:rFonts w:ascii="Times New Roman" w:hAnsi="Times New Roman"/>
              </w:rPr>
              <w:t xml:space="preserve">Supporting inter-institutional cooperation in the process of approximation and implementation of the relevant EU acquis  </w:t>
            </w:r>
          </w:p>
          <w:p w:rsidR="00EF1424" w:rsidRPr="00E11C1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E11C17" w:rsidRPr="00E11C17" w:rsidRDefault="00E11C17" w:rsidP="00E11C1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52" w:right="62" w:hanging="252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Proposal for a structure of inter-institutional cooperation and working procedures, with a review of existing options;</w:t>
            </w:r>
          </w:p>
          <w:p w:rsidR="00E11C17" w:rsidRPr="00E11C17" w:rsidRDefault="00E11C17" w:rsidP="00E11C1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52" w:right="62" w:hanging="252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t>2 Working groups operational with team members from relevant institutions with a clear mandate and their continuous involvement in the “Technical Working Group” and “Coordination Group”;</w:t>
            </w:r>
          </w:p>
          <w:p w:rsidR="00E11C17" w:rsidRPr="00E11C17" w:rsidRDefault="00E11C17" w:rsidP="00E11C1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52" w:right="62" w:hanging="252"/>
              <w:jc w:val="both"/>
              <w:rPr>
                <w:rFonts w:ascii="Times New Roman" w:hAnsi="Times New Roman"/>
              </w:rPr>
            </w:pPr>
            <w:r w:rsidRPr="00E11C17">
              <w:rPr>
                <w:rFonts w:ascii="Times New Roman" w:hAnsi="Times New Roman"/>
              </w:rPr>
              <w:lastRenderedPageBreak/>
              <w:t xml:space="preserve">At least 4 meetings per year facilitated for effective functioning of working groups through team building, training and expert inputs.  </w:t>
            </w:r>
          </w:p>
          <w:p w:rsidR="00EF1424" w:rsidRPr="00E11C17" w:rsidRDefault="00EF1424" w:rsidP="000F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E34E3E" w:rsidRPr="00E34E3E" w:rsidRDefault="00E34E3E" w:rsidP="00E34E3E">
            <w:pPr>
              <w:pStyle w:val="Odsekzoznamu"/>
              <w:numPr>
                <w:ilvl w:val="0"/>
                <w:numId w:val="20"/>
              </w:numPr>
              <w:ind w:left="251" w:hanging="284"/>
              <w:rPr>
                <w:rFonts w:ascii="Times New Roman" w:hAnsi="Times New Roman"/>
                <w:b w:val="0"/>
              </w:rPr>
            </w:pPr>
            <w:r w:rsidRPr="00E34E3E">
              <w:rPr>
                <w:rFonts w:ascii="Times New Roman" w:hAnsi="Times New Roman"/>
                <w:b w:val="0"/>
              </w:rPr>
              <w:lastRenderedPageBreak/>
              <w:t xml:space="preserve">Meeting notes and decisions on the topic from the technical working group and/or the Tripartite Social Partnership Commission (TSPC); </w:t>
            </w:r>
          </w:p>
          <w:p w:rsidR="00EF1424" w:rsidRPr="00E11C17" w:rsidRDefault="00EF1424" w:rsidP="000F08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2A1C">
              <w:rPr>
                <w:rFonts w:ascii="Times New Roman" w:hAnsi="Times New Roman"/>
                <w:sz w:val="20"/>
                <w:szCs w:val="20"/>
              </w:rPr>
              <w:t>No sufficient cooperation among all involved Georgian stakeholders</w:t>
            </w:r>
          </w:p>
          <w:p w:rsidR="00EF1424" w:rsidRPr="00E11C1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F2C">
              <w:rPr>
                <w:rFonts w:ascii="Times New Roman" w:hAnsi="Times New Roman" w:cs="Times New Roman"/>
                <w:sz w:val="20"/>
                <w:szCs w:val="20"/>
              </w:rPr>
              <w:t>Unsuccessful beneficiary administration´s reorganization</w:t>
            </w:r>
          </w:p>
        </w:tc>
        <w:tc>
          <w:tcPr>
            <w:tcW w:w="2322" w:type="dxa"/>
            <w:shd w:val="clear" w:color="auto" w:fill="auto"/>
          </w:tcPr>
          <w:p w:rsidR="00E02F2C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 xml:space="preserve">Government commitment on the fulfilment of AA/ DCFTA requirements continued; </w:t>
            </w:r>
          </w:p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Good communication between the Beneficiary and other stakeholders;</w:t>
            </w:r>
          </w:p>
          <w:p w:rsidR="00E02F2C" w:rsidRPr="008E03D7" w:rsidRDefault="00E02F2C" w:rsidP="00E02F2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3D7">
              <w:rPr>
                <w:rFonts w:ascii="Times New Roman" w:hAnsi="Times New Roman"/>
                <w:sz w:val="20"/>
                <w:szCs w:val="20"/>
              </w:rPr>
              <w:t>Twinning MS partner(s) commitment;</w:t>
            </w:r>
          </w:p>
          <w:p w:rsidR="00EF1424" w:rsidRPr="00E11C17" w:rsidRDefault="00EF1424" w:rsidP="000F08C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56A4" w:rsidRPr="00E11C17" w:rsidRDefault="007456A4"/>
    <w:p w:rsidR="000731C8" w:rsidRPr="00E11C17" w:rsidRDefault="000731C8"/>
    <w:p w:rsidR="000731C8" w:rsidRDefault="000731C8" w:rsidP="000731C8">
      <w:pPr>
        <w:pStyle w:val="Default"/>
      </w:pPr>
    </w:p>
    <w:p w:rsidR="000731C8" w:rsidRDefault="000731C8"/>
    <w:p w:rsidR="000731C8" w:rsidRDefault="000731C8"/>
    <w:p w:rsidR="000731C8" w:rsidRDefault="000731C8" w:rsidP="000731C8">
      <w:pPr>
        <w:pStyle w:val="Default"/>
        <w:rPr>
          <w:color w:val="auto"/>
        </w:rPr>
      </w:pPr>
    </w:p>
    <w:p w:rsidR="000731C8" w:rsidRDefault="000731C8"/>
    <w:sectPr w:rsidR="000731C8" w:rsidSect="007456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0D" w:rsidRDefault="00D45A0D" w:rsidP="007456A4">
      <w:pPr>
        <w:spacing w:after="0" w:line="240" w:lineRule="auto"/>
      </w:pPr>
      <w:r>
        <w:separator/>
      </w:r>
    </w:p>
  </w:endnote>
  <w:endnote w:type="continuationSeparator" w:id="0">
    <w:p w:rsidR="00D45A0D" w:rsidRDefault="00D45A0D" w:rsidP="0074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0D" w:rsidRDefault="00D45A0D" w:rsidP="007456A4">
      <w:pPr>
        <w:spacing w:after="0" w:line="240" w:lineRule="auto"/>
      </w:pPr>
      <w:r>
        <w:separator/>
      </w:r>
    </w:p>
  </w:footnote>
  <w:footnote w:type="continuationSeparator" w:id="0">
    <w:p w:rsidR="00D45A0D" w:rsidRDefault="00D45A0D" w:rsidP="007456A4">
      <w:pPr>
        <w:spacing w:after="0" w:line="240" w:lineRule="auto"/>
      </w:pPr>
      <w:r>
        <w:continuationSeparator/>
      </w:r>
    </w:p>
  </w:footnote>
  <w:footnote w:id="1">
    <w:p w:rsidR="007456A4" w:rsidRPr="00C52E2F" w:rsidRDefault="007456A4" w:rsidP="007456A4">
      <w:pPr>
        <w:pStyle w:val="Textpoznmkypodiarou"/>
        <w:rPr>
          <w:i/>
          <w:lang w:val="en-US"/>
        </w:rPr>
      </w:pPr>
      <w:r>
        <w:rPr>
          <w:rStyle w:val="Odkaznapoznmkupodiarou"/>
        </w:rPr>
        <w:footnoteRef/>
      </w:r>
      <w:r>
        <w:t xml:space="preserve"> </w:t>
      </w:r>
      <w:r w:rsidRPr="00C52E2F">
        <w:rPr>
          <w:i/>
        </w:rPr>
        <w:t>Please consult Annex 5 – “Action Document for Skills Development and Matching for Labour Market Needs” under which this Twinning Project will be operating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2FA0"/>
    <w:multiLevelType w:val="hybridMultilevel"/>
    <w:tmpl w:val="85F0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55CE"/>
    <w:multiLevelType w:val="hybridMultilevel"/>
    <w:tmpl w:val="1FC2D6D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6DA0"/>
    <w:multiLevelType w:val="hybridMultilevel"/>
    <w:tmpl w:val="D24C4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FC5"/>
    <w:multiLevelType w:val="hybridMultilevel"/>
    <w:tmpl w:val="E3C80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E42"/>
    <w:multiLevelType w:val="hybridMultilevel"/>
    <w:tmpl w:val="DAF47E7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B6EB9"/>
    <w:multiLevelType w:val="hybridMultilevel"/>
    <w:tmpl w:val="5168955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676"/>
    <w:multiLevelType w:val="hybridMultilevel"/>
    <w:tmpl w:val="9D22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1898"/>
    <w:multiLevelType w:val="hybridMultilevel"/>
    <w:tmpl w:val="6A9ECE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03B71"/>
    <w:multiLevelType w:val="hybridMultilevel"/>
    <w:tmpl w:val="249E1AE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30CC"/>
    <w:multiLevelType w:val="hybridMultilevel"/>
    <w:tmpl w:val="A1C457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412A0"/>
    <w:multiLevelType w:val="hybridMultilevel"/>
    <w:tmpl w:val="6FEC323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65E41"/>
    <w:multiLevelType w:val="hybridMultilevel"/>
    <w:tmpl w:val="5418939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97506"/>
    <w:multiLevelType w:val="hybridMultilevel"/>
    <w:tmpl w:val="8E3E539C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FF5256"/>
    <w:multiLevelType w:val="hybridMultilevel"/>
    <w:tmpl w:val="EF1CC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C91775"/>
    <w:multiLevelType w:val="hybridMultilevel"/>
    <w:tmpl w:val="2564E6A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2E7B"/>
    <w:multiLevelType w:val="hybridMultilevel"/>
    <w:tmpl w:val="AAC4C530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BE1F88"/>
    <w:multiLevelType w:val="hybridMultilevel"/>
    <w:tmpl w:val="B94AE1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E08BA"/>
    <w:multiLevelType w:val="hybridMultilevel"/>
    <w:tmpl w:val="D74E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7EAF"/>
    <w:multiLevelType w:val="hybridMultilevel"/>
    <w:tmpl w:val="B622D21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66FD2"/>
    <w:multiLevelType w:val="hybridMultilevel"/>
    <w:tmpl w:val="FB3E2AA6"/>
    <w:lvl w:ilvl="0" w:tplc="EED05A2E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F33BF"/>
    <w:multiLevelType w:val="hybridMultilevel"/>
    <w:tmpl w:val="E9ECA9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74C98"/>
    <w:multiLevelType w:val="hybridMultilevel"/>
    <w:tmpl w:val="51B27C1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97AB2"/>
    <w:multiLevelType w:val="hybridMultilevel"/>
    <w:tmpl w:val="A1CCAFA8"/>
    <w:lvl w:ilvl="0" w:tplc="67F22E30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1"/>
  </w:num>
  <w:num w:numId="4">
    <w:abstractNumId w:val="19"/>
  </w:num>
  <w:num w:numId="5">
    <w:abstractNumId w:val="6"/>
  </w:num>
  <w:num w:numId="6">
    <w:abstractNumId w:val="14"/>
  </w:num>
  <w:num w:numId="7">
    <w:abstractNumId w:val="16"/>
  </w:num>
  <w:num w:numId="8">
    <w:abstractNumId w:val="13"/>
  </w:num>
  <w:num w:numId="9">
    <w:abstractNumId w:val="15"/>
  </w:num>
  <w:num w:numId="10">
    <w:abstractNumId w:val="3"/>
  </w:num>
  <w:num w:numId="11">
    <w:abstractNumId w:val="5"/>
  </w:num>
  <w:num w:numId="12">
    <w:abstractNumId w:val="0"/>
  </w:num>
  <w:num w:numId="13">
    <w:abstractNumId w:val="11"/>
  </w:num>
  <w:num w:numId="14">
    <w:abstractNumId w:val="8"/>
  </w:num>
  <w:num w:numId="15">
    <w:abstractNumId w:val="1"/>
  </w:num>
  <w:num w:numId="16">
    <w:abstractNumId w:val="12"/>
  </w:num>
  <w:num w:numId="17">
    <w:abstractNumId w:val="20"/>
  </w:num>
  <w:num w:numId="18">
    <w:abstractNumId w:val="7"/>
  </w:num>
  <w:num w:numId="19">
    <w:abstractNumId w:val="17"/>
  </w:num>
  <w:num w:numId="20">
    <w:abstractNumId w:val="9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04"/>
    <w:rsid w:val="000731C8"/>
    <w:rsid w:val="000F08CD"/>
    <w:rsid w:val="00411EAF"/>
    <w:rsid w:val="004B1791"/>
    <w:rsid w:val="00571030"/>
    <w:rsid w:val="005847BD"/>
    <w:rsid w:val="00585F82"/>
    <w:rsid w:val="005D01C1"/>
    <w:rsid w:val="007456A4"/>
    <w:rsid w:val="008D7304"/>
    <w:rsid w:val="009A5F57"/>
    <w:rsid w:val="00A144CF"/>
    <w:rsid w:val="00BB3EAA"/>
    <w:rsid w:val="00BF43D1"/>
    <w:rsid w:val="00D45A0D"/>
    <w:rsid w:val="00DA0C20"/>
    <w:rsid w:val="00E02F2C"/>
    <w:rsid w:val="00E06A82"/>
    <w:rsid w:val="00E11C17"/>
    <w:rsid w:val="00E34E3E"/>
    <w:rsid w:val="00EC05DC"/>
    <w:rsid w:val="00EF1424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BD5A-2DDA-473E-B924-0F2F493C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56A4"/>
    <w:pPr>
      <w:spacing w:after="200" w:line="276" w:lineRule="auto"/>
    </w:pPr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BVI fnr,16 Point,Superscript 6 Point,Footnote Reference Number,Footnote Reference_LVL6,Footnote Reference_LVL61,Footnote Reference_LVL62,Footnote Reference_LVL63,Footnote Reference_LVL64,Texto nota al pie,nota pié di pagina"/>
    <w:link w:val="CharCharCharCharCarCarCharCharCarCarCharChar"/>
    <w:uiPriority w:val="99"/>
    <w:rsid w:val="007456A4"/>
    <w:rPr>
      <w:rFonts w:cs="Times New Roman"/>
      <w:vertAlign w:val="superscript"/>
    </w:rPr>
  </w:style>
  <w:style w:type="paragraph" w:styleId="Textpoznmkypodiarou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ntex"/>
    <w:basedOn w:val="Normlny"/>
    <w:link w:val="TextpoznmkypodiarouChar"/>
    <w:uiPriority w:val="99"/>
    <w:unhideWhenUsed/>
    <w:qFormat/>
    <w:rsid w:val="007456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stile 1 Char,Footnote Char,Footnote1 Char,Footnote2 Char,Footnote3 Char,Footnote4 Char,Footnote5 Char,Footnote6 Char,Footnote7 Char,Footnote8 Char,Footnote9 Char,Footnote10 Char,Footnote11 Char,Footnote21 Char"/>
    <w:basedOn w:val="Predvolenpsmoodseku"/>
    <w:link w:val="Textpoznmkypodiarou"/>
    <w:uiPriority w:val="99"/>
    <w:rsid w:val="007456A4"/>
    <w:rPr>
      <w:sz w:val="20"/>
      <w:szCs w:val="20"/>
      <w:lang w:val="en-GB"/>
    </w:rPr>
  </w:style>
  <w:style w:type="paragraph" w:customStyle="1" w:styleId="CharCharCharCharCarCarCharCharCarCarCharChar">
    <w:name w:val="Char Char Char Char Car Car Char Char Car Car Char Char"/>
    <w:basedOn w:val="Normlny"/>
    <w:next w:val="Normlny"/>
    <w:link w:val="Odkaznapoznmkupodiarou"/>
    <w:uiPriority w:val="99"/>
    <w:rsid w:val="007456A4"/>
    <w:pPr>
      <w:spacing w:after="160" w:line="240" w:lineRule="exact"/>
    </w:pPr>
    <w:rPr>
      <w:rFonts w:cs="Times New Roman"/>
      <w:vertAlign w:val="superscript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6A4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731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Akapit z listą BS,List Paragraph1,Bullet1,List Paragraph (numbered (a)),Normal 1,List Paragraph 1,Bullets,NumberedParas,Dot pt,F5 List Paragraph,No Spacing1,List Paragraph Char Char Char,Indicator Text,Bullet 1,Indent Paragraph"/>
    <w:basedOn w:val="Normlny"/>
    <w:link w:val="OdsekzoznamuChar"/>
    <w:uiPriority w:val="34"/>
    <w:qFormat/>
    <w:rsid w:val="009A5F57"/>
    <w:pPr>
      <w:suppressAutoHyphens/>
      <w:spacing w:after="0" w:line="240" w:lineRule="auto"/>
      <w:ind w:left="720" w:hanging="578"/>
      <w:contextualSpacing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OdsekzoznamuChar">
    <w:name w:val="Odsek zoznamu Char"/>
    <w:aliases w:val="Akapit z listą BS Char,List Paragraph1 Char,Bullet1 Char,List Paragraph (numbered (a)) Char,Normal 1 Char,List Paragraph 1 Char,Bullets Char,NumberedParas Char,Dot pt Char,F5 List Paragraph Char,No Spacing1 Char,Indicator Text Char"/>
    <w:link w:val="Odsekzoznamu"/>
    <w:uiPriority w:val="34"/>
    <w:qFormat/>
    <w:rsid w:val="009A5F57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ColorfulList-Accent11">
    <w:name w:val="Colorful List - Accent 11"/>
    <w:basedOn w:val="Normlny"/>
    <w:uiPriority w:val="99"/>
    <w:rsid w:val="00EF1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14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Kubalova Valeria</dc:creator>
  <cp:keywords/>
  <dc:description/>
  <cp:lastModifiedBy>Kubalova Valeria</cp:lastModifiedBy>
  <cp:revision>5</cp:revision>
  <cp:lastPrinted>2019-11-13T15:44:00Z</cp:lastPrinted>
  <dcterms:created xsi:type="dcterms:W3CDTF">2019-11-14T12:10:00Z</dcterms:created>
  <dcterms:modified xsi:type="dcterms:W3CDTF">2019-11-15T06:45:00Z</dcterms:modified>
</cp:coreProperties>
</file>