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3486C" w14:textId="68641AFF" w:rsidR="003E7109" w:rsidRDefault="003E7109" w:rsidP="009C6CE3">
      <w:pPr>
        <w:rPr>
          <w:lang w:val="en-GB"/>
        </w:rPr>
      </w:pPr>
    </w:p>
    <w:p w14:paraId="636C9B6D" w14:textId="589388ED" w:rsidR="007403DE" w:rsidRDefault="007403DE" w:rsidP="009C6CE3">
      <w:pPr>
        <w:rPr>
          <w:lang w:val="en-GB"/>
        </w:rPr>
      </w:pPr>
    </w:p>
    <w:p w14:paraId="2EF8CE41" w14:textId="1A0D6B82" w:rsidR="007403DE" w:rsidRDefault="007403DE" w:rsidP="009C6CE3">
      <w:pPr>
        <w:rPr>
          <w:lang w:val="en-GB"/>
        </w:rPr>
      </w:pPr>
    </w:p>
    <w:p w14:paraId="0FE2102E" w14:textId="6E935FCB" w:rsidR="007403DE" w:rsidRDefault="007403DE" w:rsidP="009C6CE3">
      <w:pPr>
        <w:rPr>
          <w:lang w:val="en-GB"/>
        </w:rPr>
      </w:pPr>
    </w:p>
    <w:p w14:paraId="3EC68E87" w14:textId="789377E4" w:rsidR="007403DE" w:rsidRPr="00401F1B" w:rsidRDefault="007403DE" w:rsidP="007403DE">
      <w:pPr>
        <w:rPr>
          <w:rFonts w:ascii="Century Gothic" w:hAnsi="Century Gothic"/>
          <w:b/>
          <w:color w:val="0070C0"/>
          <w:sz w:val="96"/>
          <w:szCs w:val="96"/>
          <w:lang w:val="en-GB"/>
        </w:rPr>
      </w:pPr>
      <w:r w:rsidRPr="00401F1B">
        <w:rPr>
          <w:rFonts w:ascii="Century Gothic" w:hAnsi="Century Gothic"/>
          <w:b/>
          <w:color w:val="0070C0"/>
          <w:sz w:val="96"/>
          <w:szCs w:val="96"/>
          <w:lang w:val="en-GB"/>
        </w:rPr>
        <w:t>Socio-Economic Integration Strategy</w:t>
      </w:r>
    </w:p>
    <w:p w14:paraId="4C6B4E5A" w14:textId="75138EAF" w:rsidR="007403DE" w:rsidRPr="00401F1B" w:rsidRDefault="007403DE" w:rsidP="007403DE">
      <w:pPr>
        <w:rPr>
          <w:rFonts w:ascii="Century Gothic" w:hAnsi="Century Gothic"/>
          <w:b/>
          <w:color w:val="0070C0"/>
          <w:sz w:val="48"/>
          <w:szCs w:val="48"/>
          <w:lang w:val="en-GB"/>
        </w:rPr>
      </w:pPr>
    </w:p>
    <w:p w14:paraId="498BBB93" w14:textId="0A55BA20" w:rsidR="007403DE" w:rsidRPr="00401F1B" w:rsidRDefault="007403DE" w:rsidP="007403DE">
      <w:pPr>
        <w:rPr>
          <w:rFonts w:ascii="Century Gothic" w:hAnsi="Century Gothic"/>
          <w:b/>
          <w:color w:val="0070C0"/>
          <w:sz w:val="48"/>
          <w:szCs w:val="48"/>
          <w:lang w:val="en-GB"/>
        </w:rPr>
      </w:pPr>
      <w:bookmarkStart w:id="0" w:name="_Hlk525740152"/>
      <w:r w:rsidRPr="00401F1B">
        <w:rPr>
          <w:rFonts w:ascii="Century Gothic" w:hAnsi="Century Gothic"/>
          <w:b/>
          <w:color w:val="0070C0"/>
          <w:sz w:val="48"/>
          <w:szCs w:val="48"/>
          <w:lang w:val="en-GB"/>
        </w:rPr>
        <w:t>South Caucasus Region</w:t>
      </w:r>
    </w:p>
    <w:bookmarkEnd w:id="0"/>
    <w:p w14:paraId="43041045" w14:textId="18E7BE29" w:rsidR="007403DE" w:rsidRPr="00401F1B" w:rsidRDefault="007403DE" w:rsidP="007403DE">
      <w:pPr>
        <w:rPr>
          <w:rFonts w:ascii="Century Gothic" w:hAnsi="Century Gothic"/>
          <w:color w:val="0070C0"/>
          <w:sz w:val="48"/>
          <w:szCs w:val="48"/>
          <w:lang w:val="en-GB"/>
        </w:rPr>
      </w:pPr>
      <w:r w:rsidRPr="00401F1B">
        <w:rPr>
          <w:rFonts w:ascii="Century Gothic" w:hAnsi="Century Gothic"/>
          <w:color w:val="0070C0"/>
          <w:sz w:val="48"/>
          <w:szCs w:val="48"/>
          <w:lang w:val="en-GB"/>
        </w:rPr>
        <w:t>2018-2021</w:t>
      </w:r>
    </w:p>
    <w:p w14:paraId="56A66D91" w14:textId="49C64857" w:rsidR="007403DE" w:rsidRDefault="007403DE" w:rsidP="009C6CE3">
      <w:pPr>
        <w:rPr>
          <w:lang w:val="en-GB"/>
        </w:rPr>
      </w:pPr>
    </w:p>
    <w:p w14:paraId="56D20453" w14:textId="51FCD25F" w:rsidR="007403DE" w:rsidRDefault="007403DE" w:rsidP="009C6CE3">
      <w:pPr>
        <w:rPr>
          <w:lang w:val="en-GB"/>
        </w:rPr>
      </w:pPr>
    </w:p>
    <w:p w14:paraId="6B1F67C4" w14:textId="2EDCC191" w:rsidR="007403DE" w:rsidRDefault="007403DE" w:rsidP="009C6CE3">
      <w:pPr>
        <w:rPr>
          <w:lang w:val="en-GB"/>
        </w:rPr>
      </w:pPr>
    </w:p>
    <w:p w14:paraId="65FA98C9" w14:textId="59C4514D" w:rsidR="007403DE" w:rsidRDefault="007403DE" w:rsidP="009C6CE3">
      <w:pPr>
        <w:rPr>
          <w:lang w:val="en-GB"/>
        </w:rPr>
      </w:pPr>
    </w:p>
    <w:p w14:paraId="5B6FE198" w14:textId="6E2E7043" w:rsidR="007403DE" w:rsidRDefault="007403DE" w:rsidP="009C6CE3">
      <w:pPr>
        <w:rPr>
          <w:lang w:val="en-GB"/>
        </w:rPr>
      </w:pPr>
    </w:p>
    <w:p w14:paraId="0695B7B3" w14:textId="38B4FD28" w:rsidR="007403DE" w:rsidRDefault="007403DE" w:rsidP="009C6CE3">
      <w:pPr>
        <w:rPr>
          <w:lang w:val="en-GB"/>
        </w:rPr>
      </w:pPr>
    </w:p>
    <w:p w14:paraId="1260CB0A" w14:textId="2659FA81" w:rsidR="007403DE" w:rsidRDefault="007403DE" w:rsidP="009C6CE3">
      <w:pPr>
        <w:rPr>
          <w:lang w:val="en-GB"/>
        </w:rPr>
      </w:pPr>
    </w:p>
    <w:p w14:paraId="64EBDF5B" w14:textId="47E4A49D" w:rsidR="007403DE" w:rsidRDefault="007403DE" w:rsidP="009C6CE3">
      <w:pPr>
        <w:rPr>
          <w:lang w:val="en-GB"/>
        </w:rPr>
      </w:pPr>
    </w:p>
    <w:p w14:paraId="298BECDC" w14:textId="780A74E2" w:rsidR="007403DE" w:rsidRDefault="007403DE" w:rsidP="009C6CE3">
      <w:pPr>
        <w:rPr>
          <w:lang w:val="en-GB"/>
        </w:rPr>
      </w:pPr>
    </w:p>
    <w:p w14:paraId="4432EE73" w14:textId="70F27E6D" w:rsidR="007403DE" w:rsidRDefault="007403DE" w:rsidP="009C6CE3">
      <w:pPr>
        <w:rPr>
          <w:lang w:val="en-GB"/>
        </w:rPr>
      </w:pPr>
    </w:p>
    <w:p w14:paraId="21E914D5" w14:textId="05D10553" w:rsidR="007403DE" w:rsidRDefault="007403DE" w:rsidP="009C6CE3">
      <w:pPr>
        <w:rPr>
          <w:lang w:val="en-GB"/>
        </w:rPr>
      </w:pPr>
    </w:p>
    <w:p w14:paraId="0AD41B02" w14:textId="77777777" w:rsidR="002007A6" w:rsidRDefault="00401F1B" w:rsidP="009C6CE3">
      <w:pPr>
        <w:rPr>
          <w:rFonts w:ascii="Century Gothic" w:hAnsi="Century Gothic"/>
          <w:color w:val="0070C0"/>
          <w:lang w:val="en-GB"/>
        </w:rPr>
      </w:pPr>
      <w:r w:rsidRPr="00401F1B">
        <w:rPr>
          <w:rFonts w:ascii="Century Gothic" w:hAnsi="Century Gothic"/>
          <w:color w:val="0070C0"/>
          <w:lang w:val="en-GB"/>
        </w:rPr>
        <w:t xml:space="preserve">Prepared by:  Ricarda McFalls, Senior Socio-Economic Integration Consultant, </w:t>
      </w:r>
    </w:p>
    <w:p w14:paraId="3EC601BE" w14:textId="77777777" w:rsidR="007403DE" w:rsidRPr="002007A6" w:rsidRDefault="002007A6" w:rsidP="002007A6">
      <w:pPr>
        <w:jc w:val="center"/>
        <w:rPr>
          <w:rFonts w:ascii="Century Gothic" w:hAnsi="Century Gothic"/>
          <w:b/>
          <w:color w:val="0070C0"/>
          <w:lang w:val="en-GB"/>
        </w:rPr>
      </w:pPr>
      <w:r w:rsidRPr="002007A6">
        <w:rPr>
          <w:rFonts w:ascii="Century Gothic" w:hAnsi="Century Gothic"/>
          <w:b/>
          <w:color w:val="0070C0"/>
          <w:lang w:val="en-GB"/>
        </w:rPr>
        <w:t>January, 2019</w:t>
      </w:r>
    </w:p>
    <w:p w14:paraId="501DDF26" w14:textId="25069E3B" w:rsidR="007403DE" w:rsidRDefault="007403DE" w:rsidP="009C6CE3">
      <w:pPr>
        <w:rPr>
          <w:lang w:val="en-GB"/>
        </w:rPr>
      </w:pPr>
    </w:p>
    <w:p w14:paraId="21770A85" w14:textId="77777777" w:rsidR="00401F1B" w:rsidRPr="00401F1B" w:rsidRDefault="00401F1B" w:rsidP="009C6CE3">
      <w:pPr>
        <w:rPr>
          <w:rFonts w:ascii="Century Gothic" w:hAnsi="Century Gothic"/>
          <w:b/>
          <w:color w:val="0070C0"/>
          <w:sz w:val="32"/>
          <w:szCs w:val="32"/>
          <w:lang w:val="en-GB"/>
        </w:rPr>
      </w:pPr>
      <w:r w:rsidRPr="00401F1B">
        <w:rPr>
          <w:rFonts w:ascii="Century Gothic" w:hAnsi="Century Gothic"/>
          <w:b/>
          <w:color w:val="0070C0"/>
          <w:sz w:val="32"/>
          <w:szCs w:val="32"/>
          <w:lang w:val="en-GB"/>
        </w:rPr>
        <w:t>UNHCR South Caucasus Region: Socio-Economic Integration Strategy</w:t>
      </w:r>
    </w:p>
    <w:p w14:paraId="41C8F6AD" w14:textId="737D1AB8" w:rsidR="00401F1B" w:rsidRPr="00C06CFE" w:rsidRDefault="00401F1B" w:rsidP="009C6CE3">
      <w:pPr>
        <w:rPr>
          <w:rFonts w:ascii="Century Gothic" w:hAnsi="Century Gothic"/>
          <w:color w:val="0070C0"/>
          <w:sz w:val="28"/>
          <w:szCs w:val="28"/>
          <w:lang w:val="en-GB"/>
        </w:rPr>
      </w:pPr>
      <w:r w:rsidRPr="00C06CFE">
        <w:rPr>
          <w:rFonts w:ascii="Century Gothic" w:hAnsi="Century Gothic"/>
          <w:color w:val="0070C0"/>
          <w:sz w:val="28"/>
          <w:szCs w:val="28"/>
          <w:lang w:val="en-GB"/>
        </w:rPr>
        <w:t>Introduction</w:t>
      </w:r>
    </w:p>
    <w:p w14:paraId="5698FF77" w14:textId="66D01AE2" w:rsidR="00505931" w:rsidRDefault="00401F1B" w:rsidP="003C72F2">
      <w:pPr>
        <w:jc w:val="both"/>
        <w:rPr>
          <w:rFonts w:ascii="Calibri" w:hAnsi="Calibri" w:cs="Calibri"/>
          <w:i/>
          <w:lang w:val="en-GB"/>
        </w:rPr>
      </w:pPr>
      <w:r w:rsidRPr="00401F1B">
        <w:rPr>
          <w:rFonts w:ascii="Calibri" w:hAnsi="Calibri" w:cs="Calibri"/>
          <w:lang w:val="en-GB"/>
        </w:rPr>
        <w:t>This “Socio-Economic Integration/Livelihood” strategy</w:t>
      </w:r>
      <w:r w:rsidR="00505931">
        <w:rPr>
          <w:rFonts w:ascii="Calibri" w:hAnsi="Calibri" w:cs="Calibri"/>
          <w:lang w:val="en-GB"/>
        </w:rPr>
        <w:t xml:space="preserve"> (“Strategy”)</w:t>
      </w:r>
      <w:r w:rsidRPr="00401F1B">
        <w:rPr>
          <w:rFonts w:ascii="Calibri" w:hAnsi="Calibri" w:cs="Calibri"/>
          <w:lang w:val="en-GB"/>
        </w:rPr>
        <w:t xml:space="preserve"> is based on findings and recommendations emerging from extensive field research conducted in </w:t>
      </w:r>
      <w:r>
        <w:rPr>
          <w:rFonts w:ascii="Calibri" w:hAnsi="Calibri" w:cs="Calibri"/>
          <w:lang w:val="en-GB"/>
        </w:rPr>
        <w:t xml:space="preserve">the South Caucasus Region (Armenia, Azerbaijan, Georgia, </w:t>
      </w:r>
      <w:r w:rsidR="00D165A7">
        <w:rPr>
          <w:rFonts w:ascii="Calibri" w:hAnsi="Calibri" w:cs="Calibri"/>
          <w:lang w:val="en-GB"/>
        </w:rPr>
        <w:t xml:space="preserve">including </w:t>
      </w:r>
      <w:r>
        <w:rPr>
          <w:rFonts w:ascii="Calibri" w:hAnsi="Calibri" w:cs="Calibri"/>
          <w:lang w:val="en-GB"/>
        </w:rPr>
        <w:t xml:space="preserve">Abkhazia) </w:t>
      </w:r>
      <w:r w:rsidRPr="00401F1B">
        <w:rPr>
          <w:rFonts w:ascii="Calibri" w:hAnsi="Calibri" w:cs="Calibri"/>
          <w:lang w:val="en-GB"/>
        </w:rPr>
        <w:t>from January 22</w:t>
      </w:r>
      <w:r>
        <w:rPr>
          <w:rFonts w:ascii="Calibri" w:hAnsi="Calibri" w:cs="Calibri"/>
          <w:lang w:val="en-GB"/>
        </w:rPr>
        <w:t xml:space="preserve"> to September 28</w:t>
      </w:r>
      <w:r w:rsidRPr="00401F1B">
        <w:rPr>
          <w:rFonts w:ascii="Calibri" w:hAnsi="Calibri" w:cs="Calibri"/>
          <w:lang w:val="en-GB"/>
        </w:rPr>
        <w:t>, 2018</w:t>
      </w:r>
      <w:r w:rsidRPr="00401F1B">
        <w:rPr>
          <w:rFonts w:ascii="Calibri" w:hAnsi="Calibri" w:cs="Calibri"/>
          <w:vertAlign w:val="superscript"/>
          <w:lang w:val="en-GB"/>
        </w:rPr>
        <w:footnoteReference w:id="1"/>
      </w:r>
      <w:r w:rsidRPr="00401F1B">
        <w:rPr>
          <w:rFonts w:ascii="Calibri" w:hAnsi="Calibri" w:cs="Calibri"/>
          <w:lang w:val="en-GB"/>
        </w:rPr>
        <w:t xml:space="preserve">. </w:t>
      </w:r>
      <w:r>
        <w:rPr>
          <w:rFonts w:ascii="Calibri" w:hAnsi="Calibri" w:cs="Calibri"/>
          <w:lang w:val="en-GB"/>
        </w:rPr>
        <w:t xml:space="preserve"> At least two months were spent in each operation, with an additional one month in Abkhazia.  </w:t>
      </w:r>
      <w:r w:rsidRPr="00401F1B">
        <w:rPr>
          <w:rFonts w:ascii="Calibri" w:hAnsi="Calibri" w:cs="Calibri"/>
          <w:lang w:val="en-GB"/>
        </w:rPr>
        <w:t xml:space="preserve">The strategy presented here has been developed in close consultation with a Multi-Functional Team at </w:t>
      </w:r>
      <w:r>
        <w:rPr>
          <w:rFonts w:ascii="Calibri" w:hAnsi="Calibri" w:cs="Calibri"/>
          <w:lang w:val="en-GB"/>
        </w:rPr>
        <w:t xml:space="preserve">each </w:t>
      </w:r>
      <w:r w:rsidRPr="00401F1B">
        <w:rPr>
          <w:rFonts w:ascii="Calibri" w:hAnsi="Calibri" w:cs="Calibri"/>
          <w:lang w:val="en-GB"/>
        </w:rPr>
        <w:t xml:space="preserve">operation and a wide range of key stakeholders, including the Government, NGOs, Development Agencies and </w:t>
      </w:r>
      <w:r w:rsidR="00D165A7">
        <w:rPr>
          <w:rFonts w:ascii="Calibri" w:hAnsi="Calibri" w:cs="Calibri"/>
          <w:lang w:val="en-GB"/>
        </w:rPr>
        <w:t xml:space="preserve">UNHCR’s </w:t>
      </w:r>
      <w:r w:rsidRPr="00401F1B">
        <w:rPr>
          <w:rFonts w:ascii="Calibri" w:hAnsi="Calibri" w:cs="Calibri"/>
          <w:lang w:val="en-GB"/>
        </w:rPr>
        <w:t>Persons of Concern</w:t>
      </w:r>
      <w:r w:rsidR="00AA7CA5">
        <w:rPr>
          <w:rFonts w:ascii="Calibri" w:hAnsi="Calibri" w:cs="Calibri"/>
          <w:lang w:val="en-GB"/>
        </w:rPr>
        <w:t xml:space="preserve"> (POCs)</w:t>
      </w:r>
      <w:r w:rsidRPr="00401F1B">
        <w:rPr>
          <w:rFonts w:ascii="Calibri" w:hAnsi="Calibri" w:cs="Calibri"/>
          <w:lang w:val="en-GB"/>
        </w:rPr>
        <w:t>, in accordance with the Global Strategy for Livelihoods</w:t>
      </w:r>
      <w:r w:rsidR="00547018">
        <w:rPr>
          <w:rFonts w:ascii="Calibri" w:hAnsi="Calibri" w:cs="Calibri"/>
          <w:lang w:val="en-GB"/>
        </w:rPr>
        <w:t xml:space="preserve"> 2014-2018</w:t>
      </w:r>
      <w:r w:rsidRPr="00401F1B">
        <w:rPr>
          <w:rFonts w:ascii="Calibri" w:hAnsi="Calibri" w:cs="Calibri"/>
          <w:lang w:val="en-GB"/>
        </w:rPr>
        <w:t>, the Operational Guidelines for Livelihood Programming in UNHCR,</w:t>
      </w:r>
      <w:r w:rsidR="00692AB6" w:rsidRPr="00692AB6">
        <w:rPr>
          <w:rFonts w:ascii="Calibri" w:hAnsi="Calibri" w:cs="Calibri"/>
          <w:lang w:val="en-GB"/>
        </w:rPr>
        <w:t xml:space="preserve"> the Minimum Criteria for Livelihoods Programming</w:t>
      </w:r>
      <w:r w:rsidR="00692AB6">
        <w:rPr>
          <w:rFonts w:ascii="Calibri" w:hAnsi="Calibri" w:cs="Calibri"/>
          <w:lang w:val="en-GB"/>
        </w:rPr>
        <w:t xml:space="preserve">, and the new  </w:t>
      </w:r>
      <w:r w:rsidR="00692AB6" w:rsidRPr="00B869E8">
        <w:rPr>
          <w:rFonts w:ascii="Calibri" w:hAnsi="Calibri" w:cs="Calibri"/>
          <w:i/>
          <w:lang w:val="en-GB"/>
        </w:rPr>
        <w:t xml:space="preserve">Refugee and Economic Inclusions 2019-2023 Global Strategy Concept </w:t>
      </w:r>
      <w:r w:rsidR="00692AB6">
        <w:rPr>
          <w:rFonts w:ascii="Calibri" w:hAnsi="Calibri" w:cs="Calibri"/>
          <w:i/>
          <w:lang w:val="en-GB"/>
        </w:rPr>
        <w:t>N</w:t>
      </w:r>
      <w:r w:rsidR="00692AB6" w:rsidRPr="00B869E8">
        <w:rPr>
          <w:rFonts w:ascii="Calibri" w:hAnsi="Calibri" w:cs="Calibri"/>
          <w:i/>
          <w:lang w:val="en-GB"/>
        </w:rPr>
        <w:t>ote</w:t>
      </w:r>
      <w:r w:rsidR="00692AB6">
        <w:rPr>
          <w:rFonts w:ascii="Calibri" w:hAnsi="Calibri" w:cs="Calibri"/>
          <w:lang w:val="en-GB"/>
        </w:rPr>
        <w:t xml:space="preserve"> . </w:t>
      </w:r>
      <w:r w:rsidR="00B832ED">
        <w:rPr>
          <w:rFonts w:ascii="Calibri" w:hAnsi="Calibri" w:cs="Calibri"/>
          <w:i/>
          <w:lang w:val="en-GB"/>
        </w:rPr>
        <w:t>.</w:t>
      </w:r>
      <w:r w:rsidR="004F659F">
        <w:rPr>
          <w:rFonts w:ascii="Calibri" w:hAnsi="Calibri" w:cs="Calibri"/>
          <w:i/>
          <w:lang w:val="en-GB"/>
        </w:rPr>
        <w:t xml:space="preserve">  </w:t>
      </w:r>
      <w:r w:rsidR="00B832ED">
        <w:rPr>
          <w:rFonts w:ascii="Calibri" w:hAnsi="Calibri" w:cs="Calibri"/>
          <w:i/>
          <w:lang w:val="en-GB"/>
        </w:rPr>
        <w:t xml:space="preserve">  </w:t>
      </w:r>
      <w:r w:rsidRPr="00E20704">
        <w:rPr>
          <w:rFonts w:ascii="Calibri" w:hAnsi="Calibri" w:cs="Calibri"/>
          <w:lang w:val="en-GB"/>
        </w:rPr>
        <w:t xml:space="preserve">The research and proposed strategy outlined in this document are to inform programming decisions of the Regional Operation for South Caucasus for the period 2019-2021Individual Strategic Plans have been developed for each operation: Armenia, Azerbaijan, Georgia </w:t>
      </w:r>
      <w:r w:rsidR="00FC7A49">
        <w:rPr>
          <w:rFonts w:ascii="Calibri" w:hAnsi="Calibri" w:cs="Calibri"/>
          <w:lang w:val="en-GB"/>
        </w:rPr>
        <w:t>including</w:t>
      </w:r>
      <w:r w:rsidRPr="00E20704">
        <w:rPr>
          <w:rFonts w:ascii="Calibri" w:hAnsi="Calibri" w:cs="Calibri"/>
          <w:lang w:val="en-GB"/>
        </w:rPr>
        <w:t xml:space="preserve"> Abkhazia</w:t>
      </w:r>
      <w:r w:rsidR="00505931">
        <w:rPr>
          <w:rFonts w:ascii="Calibri" w:hAnsi="Calibri" w:cs="Calibri"/>
          <w:lang w:val="en-GB"/>
        </w:rPr>
        <w:t>,</w:t>
      </w:r>
      <w:r w:rsidRPr="00E20704">
        <w:rPr>
          <w:rFonts w:ascii="Calibri" w:hAnsi="Calibri" w:cs="Calibri"/>
          <w:lang w:val="en-GB"/>
        </w:rPr>
        <w:t xml:space="preserve"> and serve as an annex to this</w:t>
      </w:r>
      <w:r w:rsidR="00C06CFE" w:rsidRPr="00E20704">
        <w:rPr>
          <w:rFonts w:ascii="Calibri" w:hAnsi="Calibri" w:cs="Calibri"/>
          <w:lang w:val="en-GB"/>
        </w:rPr>
        <w:t xml:space="preserve"> document.</w:t>
      </w:r>
      <w:r w:rsidRPr="00401F1B">
        <w:rPr>
          <w:rFonts w:ascii="Calibri" w:hAnsi="Calibri" w:cs="Calibri"/>
          <w:i/>
          <w:lang w:val="en-GB"/>
        </w:rPr>
        <w:t xml:space="preserve"> </w:t>
      </w:r>
    </w:p>
    <w:p w14:paraId="2EAD48E9" w14:textId="1465124F" w:rsidR="00401F1B" w:rsidRPr="00C06CFE" w:rsidRDefault="000103B2" w:rsidP="003C72F2">
      <w:pPr>
        <w:jc w:val="both"/>
        <w:rPr>
          <w:rFonts w:ascii="Calibri" w:hAnsi="Calibri" w:cs="Calibri"/>
          <w:i/>
          <w:lang w:val="en-GB"/>
        </w:rPr>
      </w:pPr>
      <w:r>
        <w:rPr>
          <w:rFonts w:ascii="Calibri" w:hAnsi="Calibri" w:cs="Calibri"/>
          <w:i/>
          <w:lang w:val="en-GB"/>
        </w:rPr>
        <w:t>T</w:t>
      </w:r>
      <w:r w:rsidR="00401F1B" w:rsidRPr="003C72F2">
        <w:rPr>
          <w:rFonts w:ascii="Calibri" w:hAnsi="Calibri" w:cs="Calibri"/>
          <w:i/>
          <w:lang w:val="en-GB"/>
        </w:rPr>
        <w:t xml:space="preserve">he findings and recommendations emerging from this research may also provide useful guidance for donors and development partners seeking to identify targeted programming opportunities for </w:t>
      </w:r>
      <w:r>
        <w:rPr>
          <w:rFonts w:ascii="Calibri" w:hAnsi="Calibri" w:cs="Calibri"/>
          <w:i/>
          <w:lang w:val="en-GB"/>
        </w:rPr>
        <w:t xml:space="preserve">inclusion </w:t>
      </w:r>
      <w:r w:rsidR="00401F1B" w:rsidRPr="003C72F2">
        <w:rPr>
          <w:rFonts w:ascii="Calibri" w:hAnsi="Calibri" w:cs="Calibri"/>
          <w:i/>
          <w:lang w:val="en-GB"/>
        </w:rPr>
        <w:t>of UNHCR Persons of Concern.</w:t>
      </w:r>
      <w:r w:rsidR="00401F1B" w:rsidRPr="00401F1B">
        <w:rPr>
          <w:rFonts w:ascii="Calibri" w:hAnsi="Calibri" w:cs="Calibri"/>
          <w:i/>
          <w:lang w:val="en-GB"/>
        </w:rPr>
        <w:t xml:space="preserve"> </w:t>
      </w:r>
      <w:r w:rsidR="00A454A3">
        <w:rPr>
          <w:rFonts w:ascii="Calibri" w:hAnsi="Calibri" w:cs="Calibri"/>
          <w:i/>
          <w:lang w:val="en-GB"/>
        </w:rPr>
        <w:t xml:space="preserve"> Through institutional mapping across the region, UNHCR has identified opportunities for mainstreaming PoCs into programs and services of </w:t>
      </w:r>
      <w:r w:rsidR="008A07D5">
        <w:rPr>
          <w:rFonts w:ascii="Calibri" w:hAnsi="Calibri" w:cs="Calibri"/>
          <w:i/>
          <w:lang w:val="en-GB"/>
        </w:rPr>
        <w:t xml:space="preserve">other </w:t>
      </w:r>
      <w:r w:rsidR="00A454A3">
        <w:rPr>
          <w:rFonts w:ascii="Calibri" w:hAnsi="Calibri" w:cs="Calibri"/>
          <w:i/>
          <w:lang w:val="en-GB"/>
        </w:rPr>
        <w:t>development actors</w:t>
      </w:r>
      <w:r w:rsidR="00401F1B" w:rsidRPr="00401F1B">
        <w:rPr>
          <w:rFonts w:ascii="Calibri" w:hAnsi="Calibri" w:cs="Calibri"/>
          <w:i/>
          <w:lang w:val="en-GB"/>
        </w:rPr>
        <w:t xml:space="preserve"> </w:t>
      </w:r>
      <w:r w:rsidR="008A07D5">
        <w:rPr>
          <w:rFonts w:ascii="Calibri" w:hAnsi="Calibri" w:cs="Calibri"/>
          <w:i/>
          <w:lang w:val="en-GB"/>
        </w:rPr>
        <w:t>and government agencies</w:t>
      </w:r>
      <w:r w:rsidR="00521FEE">
        <w:rPr>
          <w:rFonts w:ascii="Calibri" w:hAnsi="Calibri" w:cs="Calibri"/>
          <w:i/>
          <w:lang w:val="en-GB"/>
        </w:rPr>
        <w:t xml:space="preserve"> sharing common objectives</w:t>
      </w:r>
      <w:r w:rsidR="008A07D5">
        <w:rPr>
          <w:rFonts w:ascii="Calibri" w:hAnsi="Calibri" w:cs="Calibri"/>
          <w:i/>
          <w:lang w:val="en-GB"/>
        </w:rPr>
        <w:t xml:space="preserve">.  </w:t>
      </w:r>
    </w:p>
    <w:p w14:paraId="47D767CF" w14:textId="2599FB7A" w:rsidR="00401F1B" w:rsidRPr="00401F1B" w:rsidRDefault="00401F1B" w:rsidP="003C72F2">
      <w:pPr>
        <w:jc w:val="both"/>
        <w:rPr>
          <w:rFonts w:ascii="Calibri" w:hAnsi="Calibri" w:cs="Calibri"/>
          <w:lang w:val="en-GB"/>
        </w:rPr>
      </w:pPr>
      <w:r w:rsidRPr="00401F1B">
        <w:rPr>
          <w:rFonts w:ascii="Calibri" w:hAnsi="Calibri" w:cs="Calibri"/>
          <w:lang w:val="en-GB"/>
        </w:rPr>
        <w:t>The aim of the research was to assess socio-economic integration impediments and opportunities for target PoCs; provide strategic analysis and recommendations to address policy and programming gaps within the current economic context in</w:t>
      </w:r>
      <w:r w:rsidR="00C06CFE">
        <w:rPr>
          <w:rFonts w:ascii="Calibri" w:hAnsi="Calibri" w:cs="Calibri"/>
          <w:lang w:val="en-GB"/>
        </w:rPr>
        <w:t xml:space="preserve"> each country of the region</w:t>
      </w:r>
      <w:r w:rsidRPr="00401F1B">
        <w:rPr>
          <w:rFonts w:ascii="Calibri" w:hAnsi="Calibri" w:cs="Calibri"/>
          <w:lang w:val="en-GB"/>
        </w:rPr>
        <w:t xml:space="preserve">; develop and propose pro-active advocacy campaigns and concrete programming initiatives; as well as, to optimize effective and efficient partnership opportunities where appropriate.   </w:t>
      </w:r>
    </w:p>
    <w:p w14:paraId="5DECC6B7" w14:textId="08795C71" w:rsidR="007403DE" w:rsidRPr="00C06CFE" w:rsidRDefault="00401F1B" w:rsidP="009C6CE3">
      <w:pPr>
        <w:rPr>
          <w:rFonts w:ascii="Century Gothic" w:hAnsi="Century Gothic"/>
          <w:color w:val="0070C0"/>
          <w:sz w:val="28"/>
          <w:szCs w:val="28"/>
          <w:lang w:val="en-GB"/>
        </w:rPr>
      </w:pPr>
      <w:r w:rsidRPr="00C06CFE">
        <w:rPr>
          <w:rFonts w:ascii="Century Gothic" w:hAnsi="Century Gothic"/>
          <w:color w:val="0070C0"/>
          <w:sz w:val="28"/>
          <w:szCs w:val="28"/>
          <w:lang w:val="en-GB"/>
        </w:rPr>
        <w:t>South Caucasus Region</w:t>
      </w:r>
      <w:r w:rsidR="00C06CFE" w:rsidRPr="00C06CFE">
        <w:rPr>
          <w:rFonts w:ascii="Century Gothic" w:hAnsi="Century Gothic"/>
          <w:color w:val="0070C0"/>
          <w:sz w:val="28"/>
          <w:szCs w:val="28"/>
          <w:lang w:val="en-GB"/>
        </w:rPr>
        <w:t xml:space="preserve"> Overview</w:t>
      </w:r>
    </w:p>
    <w:p w14:paraId="1732785D" w14:textId="23FADD87" w:rsidR="003D39DC" w:rsidRDefault="009C6CE3" w:rsidP="003C72F2">
      <w:pPr>
        <w:jc w:val="both"/>
        <w:rPr>
          <w:lang w:val="en-GB"/>
        </w:rPr>
      </w:pPr>
      <w:bookmarkStart w:id="1" w:name="_Hlk525739786"/>
      <w:r w:rsidRPr="009C6CE3">
        <w:rPr>
          <w:lang w:val="en-GB"/>
        </w:rPr>
        <w:t xml:space="preserve">The UNHCR Regional Representation in the South Caucasus (Armenia, Azerbaijan, Georgia) is closely cooperating with and supporting the respective Governments in working towards durable solutions for persons of concern primarily by way of local integration. </w:t>
      </w:r>
      <w:r w:rsidR="003A7B2D">
        <w:rPr>
          <w:lang w:val="en-GB"/>
        </w:rPr>
        <w:t xml:space="preserve"> </w:t>
      </w:r>
      <w:r w:rsidR="003D39DC" w:rsidRPr="003D39DC">
        <w:rPr>
          <w:lang w:val="en-GB"/>
        </w:rPr>
        <w:t>Increasing the self-reliance and livelihood opportunities for PoCs is identified as critical to local integration as a durable solution.</w:t>
      </w:r>
      <w:r w:rsidR="003D39DC">
        <w:rPr>
          <w:lang w:val="en-GB"/>
        </w:rPr>
        <w:t xml:space="preserve"> </w:t>
      </w:r>
      <w:r w:rsidR="003A7B2D">
        <w:rPr>
          <w:lang w:val="en-GB"/>
        </w:rPr>
        <w:t xml:space="preserve">While small in size, </w:t>
      </w:r>
      <w:r w:rsidR="003D39DC">
        <w:rPr>
          <w:lang w:val="en-GB"/>
        </w:rPr>
        <w:t xml:space="preserve">the South Caucasus Region with its </w:t>
      </w:r>
      <w:r w:rsidR="003A7B2D" w:rsidRPr="003A7B2D">
        <w:rPr>
          <w:lang w:val="en-GB"/>
        </w:rPr>
        <w:t xml:space="preserve">three countries, three break-away regions, </w:t>
      </w:r>
      <w:r w:rsidR="003D39DC">
        <w:rPr>
          <w:lang w:val="en-GB"/>
        </w:rPr>
        <w:t xml:space="preserve">differing </w:t>
      </w:r>
      <w:r w:rsidR="0042035B">
        <w:rPr>
          <w:lang w:val="en-GB"/>
        </w:rPr>
        <w:t xml:space="preserve">languages, </w:t>
      </w:r>
      <w:r w:rsidR="003D39DC">
        <w:rPr>
          <w:lang w:val="en-GB"/>
        </w:rPr>
        <w:t xml:space="preserve">religions and relationships with </w:t>
      </w:r>
      <w:r w:rsidR="009C58A0">
        <w:rPr>
          <w:lang w:val="en-GB"/>
        </w:rPr>
        <w:t>l</w:t>
      </w:r>
      <w:r w:rsidR="003D39DC">
        <w:rPr>
          <w:lang w:val="en-GB"/>
        </w:rPr>
        <w:t>arger neighbours</w:t>
      </w:r>
      <w:r w:rsidR="009C58A0">
        <w:rPr>
          <w:lang w:val="en-GB"/>
        </w:rPr>
        <w:t>,</w:t>
      </w:r>
      <w:r w:rsidR="003D39DC">
        <w:rPr>
          <w:lang w:val="en-GB"/>
        </w:rPr>
        <w:t xml:space="preserve"> and among each other, presents </w:t>
      </w:r>
      <w:r w:rsidR="003A7B2D">
        <w:rPr>
          <w:lang w:val="en-GB"/>
        </w:rPr>
        <w:t>a complex tapestry to navigate as one.</w:t>
      </w:r>
      <w:r w:rsidR="009C58A0">
        <w:rPr>
          <w:lang w:val="en-GB"/>
        </w:rPr>
        <w:t xml:space="preserve">  </w:t>
      </w:r>
      <w:r w:rsidR="009B599A">
        <w:rPr>
          <w:lang w:val="en-GB"/>
        </w:rPr>
        <w:t xml:space="preserve"> At the same time, while economic fortunes vary somewhat among the three countries, they remain closely linked to Russia, as a major trading partner and source of remittances.  </w:t>
      </w:r>
      <w:r w:rsidR="00AB5004">
        <w:rPr>
          <w:lang w:val="en-GB"/>
        </w:rPr>
        <w:t xml:space="preserve">The energy </w:t>
      </w:r>
      <w:r w:rsidR="00AB5004">
        <w:rPr>
          <w:lang w:val="en-GB"/>
        </w:rPr>
        <w:lastRenderedPageBreak/>
        <w:t xml:space="preserve">shock coupled with sanctions in 2015 saw </w:t>
      </w:r>
      <w:r w:rsidR="00624476">
        <w:rPr>
          <w:lang w:val="en-GB"/>
        </w:rPr>
        <w:t xml:space="preserve">previously soaring </w:t>
      </w:r>
      <w:r w:rsidR="00A16120">
        <w:rPr>
          <w:lang w:val="en-GB"/>
        </w:rPr>
        <w:t xml:space="preserve">GDP </w:t>
      </w:r>
      <w:r w:rsidR="00AB5004">
        <w:rPr>
          <w:lang w:val="en-GB"/>
        </w:rPr>
        <w:t>growth rat</w:t>
      </w:r>
      <w:r w:rsidR="00624476">
        <w:rPr>
          <w:lang w:val="en-GB"/>
        </w:rPr>
        <w:t xml:space="preserve">es fall sharply </w:t>
      </w:r>
      <w:r w:rsidR="00AB5004">
        <w:rPr>
          <w:lang w:val="en-GB"/>
        </w:rPr>
        <w:t xml:space="preserve">in the region, and countries are recovering at different rates. </w:t>
      </w:r>
      <w:r w:rsidR="001E60B6">
        <w:rPr>
          <w:lang w:val="en-GB"/>
        </w:rPr>
        <w:t>Rural poverty and urban</w:t>
      </w:r>
      <w:r w:rsidR="00AB5004">
        <w:rPr>
          <w:lang w:val="en-GB"/>
        </w:rPr>
        <w:t xml:space="preserve"> </w:t>
      </w:r>
      <w:r w:rsidR="001E60B6">
        <w:rPr>
          <w:lang w:val="en-GB"/>
        </w:rPr>
        <w:t>u</w:t>
      </w:r>
      <w:r w:rsidR="00AB5004">
        <w:rPr>
          <w:lang w:val="en-GB"/>
        </w:rPr>
        <w:t xml:space="preserve">nemployment, particularly for youth and internally displaced, present a significant </w:t>
      </w:r>
      <w:r w:rsidR="00A774B7">
        <w:rPr>
          <w:lang w:val="en-GB"/>
        </w:rPr>
        <w:t xml:space="preserve">challenge across the region.  </w:t>
      </w:r>
      <w:r w:rsidR="00AB5004">
        <w:rPr>
          <w:lang w:val="en-GB"/>
        </w:rPr>
        <w:t>Political stability remains fragile, as expectations for increased transparency,</w:t>
      </w:r>
      <w:r w:rsidR="001E60B6">
        <w:rPr>
          <w:lang w:val="en-GB"/>
        </w:rPr>
        <w:t xml:space="preserve"> improved</w:t>
      </w:r>
      <w:r w:rsidR="00AB5004">
        <w:rPr>
          <w:lang w:val="en-GB"/>
        </w:rPr>
        <w:t xml:space="preserve"> </w:t>
      </w:r>
      <w:r w:rsidR="00A16120">
        <w:rPr>
          <w:lang w:val="en-GB"/>
        </w:rPr>
        <w:t xml:space="preserve">wages, </w:t>
      </w:r>
      <w:r w:rsidR="00AB5004">
        <w:rPr>
          <w:lang w:val="en-GB"/>
        </w:rPr>
        <w:t xml:space="preserve">incomes and </w:t>
      </w:r>
      <w:r w:rsidR="00A16120">
        <w:rPr>
          <w:lang w:val="en-GB"/>
        </w:rPr>
        <w:t xml:space="preserve">livelihood </w:t>
      </w:r>
      <w:r w:rsidR="00AB5004">
        <w:rPr>
          <w:lang w:val="en-GB"/>
        </w:rPr>
        <w:t>opportunities go unmet – public protests contributed to</w:t>
      </w:r>
      <w:r w:rsidR="001E60B6">
        <w:rPr>
          <w:lang w:val="en-GB"/>
        </w:rPr>
        <w:t xml:space="preserve"> unanticipated</w:t>
      </w:r>
      <w:r w:rsidR="00AB5004">
        <w:rPr>
          <w:lang w:val="en-GB"/>
        </w:rPr>
        <w:t xml:space="preserve"> </w:t>
      </w:r>
      <w:r w:rsidR="001E60B6">
        <w:rPr>
          <w:lang w:val="en-GB"/>
        </w:rPr>
        <w:t xml:space="preserve">government transitions in Armenia </w:t>
      </w:r>
      <w:r w:rsidR="00AB5004">
        <w:rPr>
          <w:lang w:val="en-GB"/>
        </w:rPr>
        <w:t>by May 2018, and, in Georgia in July</w:t>
      </w:r>
      <w:r w:rsidR="00E17D4D">
        <w:rPr>
          <w:lang w:val="en-GB"/>
        </w:rPr>
        <w:t xml:space="preserve"> 2018</w:t>
      </w:r>
      <w:r w:rsidR="00AB5004">
        <w:rPr>
          <w:lang w:val="en-GB"/>
        </w:rPr>
        <w:t xml:space="preserve">.  </w:t>
      </w:r>
      <w:r w:rsidR="009B599A">
        <w:rPr>
          <w:lang w:val="en-GB"/>
        </w:rPr>
        <w:t xml:space="preserve"> </w:t>
      </w:r>
    </w:p>
    <w:p w14:paraId="69D875C0" w14:textId="4ACF8505" w:rsidR="009F2536" w:rsidRDefault="009C6CE3" w:rsidP="003C72F2">
      <w:pPr>
        <w:jc w:val="both"/>
        <w:rPr>
          <w:lang w:val="en-GB"/>
        </w:rPr>
      </w:pPr>
      <w:r w:rsidRPr="009C6CE3">
        <w:rPr>
          <w:lang w:val="en-GB"/>
        </w:rPr>
        <w:t xml:space="preserve">UNHCR </w:t>
      </w:r>
      <w:r w:rsidR="001E60B6">
        <w:rPr>
          <w:lang w:val="en-GB"/>
        </w:rPr>
        <w:t xml:space="preserve">South Caucasus Region </w:t>
      </w:r>
      <w:r w:rsidRPr="009C6CE3">
        <w:rPr>
          <w:lang w:val="en-GB"/>
        </w:rPr>
        <w:t xml:space="preserve">has defined self-reliance as a critical component in achieving durable solutions for more than </w:t>
      </w:r>
      <w:r w:rsidRPr="009C6CE3">
        <w:rPr>
          <w:bCs/>
          <w:lang w:val="en-GB"/>
        </w:rPr>
        <w:t xml:space="preserve">18,816 </w:t>
      </w:r>
      <w:r w:rsidRPr="009C6CE3">
        <w:rPr>
          <w:lang w:val="en-GB"/>
        </w:rPr>
        <w:t>refugees, asylum-seekers, and other displaced persons in Armenia</w:t>
      </w:r>
      <w:r w:rsidR="001E60B6">
        <w:rPr>
          <w:lang w:val="en-GB"/>
        </w:rPr>
        <w:t xml:space="preserve"> (among these some estimated 14,000 Syrian Armenians arriving between 2011 and 2015); </w:t>
      </w:r>
      <w:r w:rsidR="001E60B6" w:rsidRPr="001E60B6">
        <w:rPr>
          <w:bCs/>
        </w:rPr>
        <w:t>1,656 refugees and asylum-seekers</w:t>
      </w:r>
      <w:r w:rsidR="00D36E30">
        <w:rPr>
          <w:bCs/>
        </w:rPr>
        <w:t xml:space="preserve"> in Azerbaijan</w:t>
      </w:r>
      <w:r w:rsidR="001E60B6" w:rsidRPr="001E60B6">
        <w:rPr>
          <w:bCs/>
        </w:rPr>
        <w:t>, the majority from Afghanistan, followed by Chechens from the Russian Federation</w:t>
      </w:r>
      <w:r w:rsidR="00B524C8">
        <w:rPr>
          <w:lang w:val="en-GB"/>
        </w:rPr>
        <w:t xml:space="preserve">; and, </w:t>
      </w:r>
      <w:r w:rsidR="00B524C8" w:rsidRPr="00B524C8">
        <w:rPr>
          <w:lang w:val="en-GB"/>
        </w:rPr>
        <w:t>1,477</w:t>
      </w:r>
      <w:r w:rsidR="00B524C8" w:rsidRPr="00B524C8">
        <w:rPr>
          <w:vertAlign w:val="superscript"/>
          <w:lang w:val="en-GB"/>
        </w:rPr>
        <w:footnoteReference w:id="2"/>
      </w:r>
      <w:r w:rsidR="00B524C8" w:rsidRPr="00B524C8">
        <w:rPr>
          <w:lang w:val="en-GB"/>
        </w:rPr>
        <w:t xml:space="preserve"> refugee and humanitarian status holders and 540</w:t>
      </w:r>
      <w:r w:rsidR="00B524C8" w:rsidRPr="00B524C8">
        <w:rPr>
          <w:vertAlign w:val="superscript"/>
          <w:lang w:val="en-GB"/>
        </w:rPr>
        <w:footnoteReference w:id="3"/>
      </w:r>
      <w:r w:rsidR="00B524C8" w:rsidRPr="00B524C8">
        <w:rPr>
          <w:lang w:val="en-GB"/>
        </w:rPr>
        <w:t xml:space="preserve"> asylum-seekers in Georgia.</w:t>
      </w:r>
      <w:r w:rsidR="00B524C8">
        <w:rPr>
          <w:lang w:val="en-GB"/>
        </w:rPr>
        <w:t xml:space="preserve">  In addition, the governments of Azerbaijan and Georgia </w:t>
      </w:r>
      <w:r w:rsidR="00A16120">
        <w:rPr>
          <w:lang w:val="en-GB"/>
        </w:rPr>
        <w:t xml:space="preserve">each support </w:t>
      </w:r>
      <w:r w:rsidR="00B524C8">
        <w:rPr>
          <w:lang w:val="en-GB"/>
        </w:rPr>
        <w:t>large populations of Internally Displaced Persons (IDPs) resulting from conflicts in Nagorno</w:t>
      </w:r>
      <w:r w:rsidR="00A774B7">
        <w:rPr>
          <w:lang w:val="en-GB"/>
        </w:rPr>
        <w:t>-</w:t>
      </w:r>
      <w:r w:rsidR="00B524C8">
        <w:rPr>
          <w:lang w:val="en-GB"/>
        </w:rPr>
        <w:t>Karabakh, South Ossetia, and Abkhazia</w:t>
      </w:r>
      <w:r w:rsidR="00675531">
        <w:rPr>
          <w:rStyle w:val="FootnoteReference"/>
          <w:lang w:val="en-GB"/>
        </w:rPr>
        <w:footnoteReference w:id="4"/>
      </w:r>
      <w:r w:rsidR="00B524C8">
        <w:rPr>
          <w:lang w:val="en-GB"/>
        </w:rPr>
        <w:t xml:space="preserve">. </w:t>
      </w:r>
      <w:r w:rsidR="00B524C8" w:rsidRPr="00B524C8">
        <w:rPr>
          <w:lang w:val="en-GB"/>
        </w:rPr>
        <w:t xml:space="preserve"> </w:t>
      </w:r>
      <w:r w:rsidR="00A16120">
        <w:rPr>
          <w:lang w:val="en-GB"/>
        </w:rPr>
        <w:t xml:space="preserve">In the break-away region of Abkhazia, </w:t>
      </w:r>
      <w:r w:rsidR="00B524C8">
        <w:rPr>
          <w:lang w:val="en-GB"/>
        </w:rPr>
        <w:t>UNHCR</w:t>
      </w:r>
      <w:r w:rsidR="00A16120">
        <w:rPr>
          <w:lang w:val="en-GB"/>
        </w:rPr>
        <w:t xml:space="preserve"> continues </w:t>
      </w:r>
      <w:r w:rsidR="008C1BD1">
        <w:rPr>
          <w:lang w:val="en-GB"/>
        </w:rPr>
        <w:t xml:space="preserve">its protection operation </w:t>
      </w:r>
      <w:r w:rsidR="0013205D">
        <w:rPr>
          <w:lang w:val="en-GB"/>
        </w:rPr>
        <w:t xml:space="preserve">including protection </w:t>
      </w:r>
      <w:r w:rsidR="008C1BD1">
        <w:rPr>
          <w:lang w:val="en-GB"/>
        </w:rPr>
        <w:t xml:space="preserve">monitoring and advocacy for </w:t>
      </w:r>
      <w:r w:rsidR="00A16120">
        <w:rPr>
          <w:lang w:val="en-GB"/>
        </w:rPr>
        <w:t>50,000 IDP returnees and over 600 refugees, and refugee-like persons, primarily from Syria and Ukraine</w:t>
      </w:r>
      <w:r w:rsidR="008C1BD1">
        <w:rPr>
          <w:lang w:val="en-GB"/>
        </w:rPr>
        <w:t xml:space="preserve">, and </w:t>
      </w:r>
      <w:r w:rsidR="0013205D">
        <w:rPr>
          <w:lang w:val="en-GB"/>
        </w:rPr>
        <w:t>provide IDP returnees with limited livelihood support</w:t>
      </w:r>
      <w:r w:rsidR="00A16120">
        <w:rPr>
          <w:lang w:val="en-GB"/>
        </w:rPr>
        <w:t xml:space="preserve">. </w:t>
      </w:r>
      <w:r w:rsidR="00B524C8">
        <w:rPr>
          <w:lang w:val="en-GB"/>
        </w:rPr>
        <w:t xml:space="preserve"> </w:t>
      </w:r>
    </w:p>
    <w:p w14:paraId="37EA5FD7" w14:textId="7AFBF501" w:rsidR="009C6CE3" w:rsidRPr="00287E47" w:rsidRDefault="00293210" w:rsidP="003C72F2">
      <w:pPr>
        <w:jc w:val="both"/>
        <w:rPr>
          <w:lang w:val="en-GB"/>
        </w:rPr>
      </w:pPr>
      <w:r>
        <w:rPr>
          <w:lang w:val="en-GB"/>
        </w:rPr>
        <w:t>In Armenia and Georgia</w:t>
      </w:r>
      <w:r w:rsidR="00E17D4D">
        <w:rPr>
          <w:lang w:val="en-GB"/>
        </w:rPr>
        <w:t xml:space="preserve">, </w:t>
      </w:r>
      <w:r>
        <w:rPr>
          <w:lang w:val="en-GB"/>
        </w:rPr>
        <w:t xml:space="preserve"> where right to work exists, </w:t>
      </w:r>
      <w:r w:rsidR="00E17D4D">
        <w:rPr>
          <w:lang w:val="en-GB"/>
        </w:rPr>
        <w:t>e</w:t>
      </w:r>
      <w:r w:rsidR="009C6CE3" w:rsidRPr="009C6CE3">
        <w:rPr>
          <w:bCs/>
          <w:lang w:val="en-GB"/>
        </w:rPr>
        <w:t>conomic integration is complicated by</w:t>
      </w:r>
      <w:r w:rsidR="00E17D4D">
        <w:rPr>
          <w:bCs/>
          <w:lang w:val="en-GB"/>
        </w:rPr>
        <w:t xml:space="preserve"> high unemployment, </w:t>
      </w:r>
      <w:r w:rsidR="009C6CE3" w:rsidRPr="009C6CE3">
        <w:rPr>
          <w:bCs/>
          <w:lang w:val="en-GB"/>
        </w:rPr>
        <w:t xml:space="preserve"> </w:t>
      </w:r>
      <w:r w:rsidR="00E20174">
        <w:rPr>
          <w:bCs/>
          <w:lang w:val="en-GB"/>
        </w:rPr>
        <w:t>a shortage of decent jobs</w:t>
      </w:r>
      <w:r w:rsidR="009C6CE3" w:rsidRPr="009C6CE3">
        <w:rPr>
          <w:bCs/>
          <w:lang w:val="en-GB"/>
        </w:rPr>
        <w:t xml:space="preserve">, and </w:t>
      </w:r>
      <w:r w:rsidR="00E17D4D">
        <w:rPr>
          <w:bCs/>
          <w:lang w:val="en-GB"/>
        </w:rPr>
        <w:t xml:space="preserve">low wages, </w:t>
      </w:r>
      <w:r w:rsidR="003E7109">
        <w:rPr>
          <w:bCs/>
          <w:lang w:val="en-GB"/>
        </w:rPr>
        <w:t xml:space="preserve">increasing cost of living </w:t>
      </w:r>
      <w:r w:rsidR="00E17D4D">
        <w:rPr>
          <w:bCs/>
          <w:lang w:val="en-GB"/>
        </w:rPr>
        <w:t xml:space="preserve">aggravated by a shortage of decent housing, limited access to education, </w:t>
      </w:r>
      <w:r w:rsidR="00C17995">
        <w:rPr>
          <w:bCs/>
          <w:lang w:val="en-GB"/>
        </w:rPr>
        <w:t xml:space="preserve">health care, </w:t>
      </w:r>
      <w:r w:rsidR="00E17D4D">
        <w:rPr>
          <w:bCs/>
          <w:lang w:val="en-GB"/>
        </w:rPr>
        <w:t xml:space="preserve">training and skills.  </w:t>
      </w:r>
      <w:r w:rsidR="00D43F08">
        <w:rPr>
          <w:bCs/>
          <w:lang w:val="en-GB"/>
        </w:rPr>
        <w:t>While</w:t>
      </w:r>
      <w:r>
        <w:rPr>
          <w:bCs/>
          <w:lang w:val="en-GB"/>
        </w:rPr>
        <w:t xml:space="preserve"> Azerbaijan’s economy</w:t>
      </w:r>
      <w:r w:rsidR="003E7109">
        <w:rPr>
          <w:bCs/>
          <w:lang w:val="en-GB"/>
        </w:rPr>
        <w:t xml:space="preserve"> and population</w:t>
      </w:r>
      <w:r>
        <w:rPr>
          <w:bCs/>
          <w:lang w:val="en-GB"/>
        </w:rPr>
        <w:t xml:space="preserve"> is larger, mandate refugees and asylum-seekers do not enjoy the right to work, exposing PoCs to exploitation in the informal sector</w:t>
      </w:r>
      <w:r w:rsidR="009F2536">
        <w:rPr>
          <w:bCs/>
          <w:lang w:val="en-GB"/>
        </w:rPr>
        <w:t>, and they face similar challenges with respect to accessing affordable housing, education, and health care</w:t>
      </w:r>
      <w:r>
        <w:rPr>
          <w:bCs/>
          <w:lang w:val="en-GB"/>
        </w:rPr>
        <w:t xml:space="preserve">. </w:t>
      </w:r>
      <w:r w:rsidR="000A4EE6">
        <w:rPr>
          <w:bCs/>
          <w:lang w:val="en-GB"/>
        </w:rPr>
        <w:t xml:space="preserve">  In all countries (with the exception of the region of Abkhazia), the majority of </w:t>
      </w:r>
      <w:r w:rsidR="00547018">
        <w:rPr>
          <w:bCs/>
          <w:lang w:val="en-GB"/>
        </w:rPr>
        <w:t xml:space="preserve">PoCs </w:t>
      </w:r>
      <w:r w:rsidR="000A4EE6">
        <w:rPr>
          <w:bCs/>
          <w:lang w:val="en-GB"/>
        </w:rPr>
        <w:t>are</w:t>
      </w:r>
      <w:r>
        <w:rPr>
          <w:bCs/>
          <w:lang w:val="en-GB"/>
        </w:rPr>
        <w:t xml:space="preserve"> </w:t>
      </w:r>
      <w:r w:rsidR="00F2029B">
        <w:rPr>
          <w:bCs/>
          <w:lang w:val="en-GB"/>
        </w:rPr>
        <w:t xml:space="preserve">of diverse origin and </w:t>
      </w:r>
      <w:r w:rsidR="000A4EE6">
        <w:rPr>
          <w:bCs/>
          <w:lang w:val="en-GB"/>
        </w:rPr>
        <w:t xml:space="preserve">concentrated in the capital cities. </w:t>
      </w:r>
      <w:r w:rsidR="009F2536">
        <w:rPr>
          <w:bCs/>
          <w:lang w:val="en-GB"/>
        </w:rPr>
        <w:t xml:space="preserve"> For IDP returnees in Abkhazia, livelihood opportunities are severely constrained by a grim econom</w:t>
      </w:r>
      <w:r w:rsidR="00624476">
        <w:rPr>
          <w:bCs/>
          <w:lang w:val="en-GB"/>
        </w:rPr>
        <w:t>y</w:t>
      </w:r>
      <w:r w:rsidR="009F2536">
        <w:rPr>
          <w:bCs/>
          <w:lang w:val="en-GB"/>
        </w:rPr>
        <w:t>,</w:t>
      </w:r>
      <w:r w:rsidR="00624476">
        <w:rPr>
          <w:bCs/>
          <w:lang w:val="en-GB"/>
        </w:rPr>
        <w:t xml:space="preserve"> </w:t>
      </w:r>
      <w:r w:rsidR="00C17995">
        <w:rPr>
          <w:bCs/>
          <w:lang w:val="en-GB"/>
        </w:rPr>
        <w:t xml:space="preserve">and </w:t>
      </w:r>
      <w:r w:rsidR="009F2536">
        <w:rPr>
          <w:bCs/>
          <w:lang w:val="en-GB"/>
        </w:rPr>
        <w:t xml:space="preserve">lack of freedom of movement; and, while most </w:t>
      </w:r>
      <w:r w:rsidR="003E7109">
        <w:rPr>
          <w:bCs/>
          <w:lang w:val="en-GB"/>
        </w:rPr>
        <w:t xml:space="preserve">PoCs </w:t>
      </w:r>
      <w:r w:rsidR="009F2536">
        <w:rPr>
          <w:bCs/>
          <w:lang w:val="en-GB"/>
        </w:rPr>
        <w:t>live in their own houses, many of these are in poor condition, some partially destroyed from the conflict</w:t>
      </w:r>
      <w:r w:rsidR="00FC7A49">
        <w:rPr>
          <w:bCs/>
          <w:lang w:val="en-GB"/>
        </w:rPr>
        <w:t>s</w:t>
      </w:r>
      <w:r w:rsidR="00A6510B">
        <w:rPr>
          <w:bCs/>
          <w:lang w:val="en-GB"/>
        </w:rPr>
        <w:t xml:space="preserve"> in 1992-93</w:t>
      </w:r>
      <w:r w:rsidR="00FC7A49">
        <w:rPr>
          <w:bCs/>
          <w:lang w:val="en-GB"/>
        </w:rPr>
        <w:t>, and 2008</w:t>
      </w:r>
      <w:r w:rsidR="009F2536">
        <w:rPr>
          <w:bCs/>
          <w:lang w:val="en-GB"/>
        </w:rPr>
        <w:t>.</w:t>
      </w:r>
      <w:r w:rsidR="00A774B7">
        <w:rPr>
          <w:bCs/>
          <w:lang w:val="en-GB"/>
        </w:rPr>
        <w:t xml:space="preserve">  </w:t>
      </w:r>
      <w:r w:rsidR="00624476">
        <w:rPr>
          <w:bCs/>
          <w:lang w:val="en-GB"/>
        </w:rPr>
        <w:t>With the majority of IDP returnees dependent on limited cash crops</w:t>
      </w:r>
      <w:r w:rsidR="004003CA">
        <w:rPr>
          <w:bCs/>
          <w:lang w:val="en-GB"/>
        </w:rPr>
        <w:t xml:space="preserve"> and</w:t>
      </w:r>
      <w:r w:rsidR="00624476">
        <w:rPr>
          <w:bCs/>
          <w:lang w:val="en-GB"/>
        </w:rPr>
        <w:t xml:space="preserve"> kitchen garden farming</w:t>
      </w:r>
      <w:r w:rsidR="00AC45CA">
        <w:rPr>
          <w:bCs/>
          <w:lang w:val="en-GB"/>
        </w:rPr>
        <w:t xml:space="preserve">, recent pest infestations have </w:t>
      </w:r>
      <w:r w:rsidR="004003CA">
        <w:rPr>
          <w:bCs/>
          <w:lang w:val="en-GB"/>
        </w:rPr>
        <w:t>devast</w:t>
      </w:r>
      <w:r w:rsidR="00AC45CA">
        <w:rPr>
          <w:bCs/>
          <w:lang w:val="en-GB"/>
        </w:rPr>
        <w:t>at</w:t>
      </w:r>
      <w:r w:rsidR="004003CA">
        <w:rPr>
          <w:bCs/>
          <w:lang w:val="en-GB"/>
        </w:rPr>
        <w:t xml:space="preserve">ed farm incomes and </w:t>
      </w:r>
      <w:r w:rsidR="00624476">
        <w:rPr>
          <w:bCs/>
          <w:lang w:val="en-GB"/>
        </w:rPr>
        <w:t>further</w:t>
      </w:r>
      <w:r w:rsidR="004003CA">
        <w:rPr>
          <w:bCs/>
          <w:lang w:val="en-GB"/>
        </w:rPr>
        <w:t xml:space="preserve"> undermined</w:t>
      </w:r>
      <w:r w:rsidR="00624476">
        <w:rPr>
          <w:bCs/>
          <w:lang w:val="en-GB"/>
        </w:rPr>
        <w:t xml:space="preserve"> self-reliance for this population.  </w:t>
      </w:r>
    </w:p>
    <w:p w14:paraId="1B5F797C" w14:textId="082DE0DD" w:rsidR="00295993" w:rsidRDefault="009C6CE3" w:rsidP="003C72F2">
      <w:pPr>
        <w:jc w:val="both"/>
        <w:rPr>
          <w:bCs/>
        </w:rPr>
      </w:pPr>
      <w:r w:rsidRPr="009C6CE3">
        <w:rPr>
          <w:bCs/>
        </w:rPr>
        <w:t>In 2018-</w:t>
      </w:r>
      <w:r w:rsidR="00852B10">
        <w:rPr>
          <w:bCs/>
        </w:rPr>
        <w:t>2021</w:t>
      </w:r>
      <w:r w:rsidRPr="009C6CE3">
        <w:rPr>
          <w:bCs/>
        </w:rPr>
        <w:t>,</w:t>
      </w:r>
      <w:r w:rsidR="004003CA">
        <w:rPr>
          <w:bCs/>
        </w:rPr>
        <w:t xml:space="preserve"> </w:t>
      </w:r>
      <w:r w:rsidRPr="009C6CE3">
        <w:rPr>
          <w:bCs/>
        </w:rPr>
        <w:t xml:space="preserve">UNHCR </w:t>
      </w:r>
      <w:r w:rsidR="00852B10">
        <w:rPr>
          <w:bCs/>
        </w:rPr>
        <w:t xml:space="preserve">operations in </w:t>
      </w:r>
      <w:r w:rsidR="004003CA">
        <w:rPr>
          <w:bCs/>
        </w:rPr>
        <w:t xml:space="preserve">the South Caucasus Region </w:t>
      </w:r>
      <w:r w:rsidRPr="009C6CE3">
        <w:rPr>
          <w:bCs/>
        </w:rPr>
        <w:t xml:space="preserve">will </w:t>
      </w:r>
      <w:r w:rsidR="004003CA">
        <w:rPr>
          <w:bCs/>
        </w:rPr>
        <w:t xml:space="preserve">transition </w:t>
      </w:r>
      <w:r w:rsidRPr="009C6CE3">
        <w:rPr>
          <w:bCs/>
        </w:rPr>
        <w:t xml:space="preserve">from </w:t>
      </w:r>
      <w:r w:rsidR="00A6510B">
        <w:rPr>
          <w:bCs/>
        </w:rPr>
        <w:t xml:space="preserve">the care and maintenance </w:t>
      </w:r>
      <w:r w:rsidRPr="009C6CE3">
        <w:rPr>
          <w:bCs/>
        </w:rPr>
        <w:t xml:space="preserve">toward </w:t>
      </w:r>
      <w:r w:rsidR="00852B10">
        <w:rPr>
          <w:bCs/>
        </w:rPr>
        <w:t xml:space="preserve">a </w:t>
      </w:r>
      <w:r w:rsidRPr="009C6CE3">
        <w:rPr>
          <w:bCs/>
        </w:rPr>
        <w:t>durable solutions approach</w:t>
      </w:r>
      <w:r w:rsidR="00852B10">
        <w:rPr>
          <w:bCs/>
        </w:rPr>
        <w:t xml:space="preserve">. </w:t>
      </w:r>
      <w:r w:rsidRPr="009C6CE3">
        <w:rPr>
          <w:bCs/>
        </w:rPr>
        <w:t xml:space="preserve">In line with this main strategic direction, UNHCR  livelihood assistance aims to move towards </w:t>
      </w:r>
      <w:r w:rsidRPr="009C6CE3">
        <w:rPr>
          <w:bCs/>
          <w:i/>
        </w:rPr>
        <w:t>sustainable self-reliance mechanisms</w:t>
      </w:r>
      <w:r w:rsidRPr="009C6CE3">
        <w:rPr>
          <w:bCs/>
        </w:rPr>
        <w:t xml:space="preserve">, which mean scaling down livelihood-provisioning type of activities, and increasing </w:t>
      </w:r>
      <w:r w:rsidR="00673766">
        <w:rPr>
          <w:bCs/>
        </w:rPr>
        <w:t xml:space="preserve">advocacy for improvements in the enabling environment for legal and de facto access to decent work.    </w:t>
      </w:r>
      <w:r w:rsidR="007163DD">
        <w:rPr>
          <w:bCs/>
        </w:rPr>
        <w:t xml:space="preserve">While the pace of transition may vary among the operations, all </w:t>
      </w:r>
      <w:r w:rsidR="009B2D95">
        <w:rPr>
          <w:bCs/>
        </w:rPr>
        <w:t>operations</w:t>
      </w:r>
      <w:r w:rsidR="007163DD">
        <w:rPr>
          <w:bCs/>
        </w:rPr>
        <w:t xml:space="preserve"> support the </w:t>
      </w:r>
      <w:r w:rsidR="007163DD" w:rsidRPr="007163DD">
        <w:rPr>
          <w:bCs/>
        </w:rPr>
        <w:t>UNHCR Global Socio-Economic</w:t>
      </w:r>
      <w:r w:rsidR="009B2D95">
        <w:rPr>
          <w:bCs/>
        </w:rPr>
        <w:t xml:space="preserve"> Integration</w:t>
      </w:r>
      <w:r w:rsidR="007163DD" w:rsidRPr="007163DD">
        <w:rPr>
          <w:bCs/>
        </w:rPr>
        <w:t xml:space="preserve"> Strateg</w:t>
      </w:r>
      <w:r w:rsidR="009B2D95">
        <w:rPr>
          <w:bCs/>
        </w:rPr>
        <w:t>ic Vision</w:t>
      </w:r>
      <w:r w:rsidR="007163DD" w:rsidRPr="007163DD">
        <w:rPr>
          <w:bCs/>
        </w:rPr>
        <w:t xml:space="preserve"> that </w:t>
      </w:r>
      <w:r w:rsidR="00882C95">
        <w:rPr>
          <w:bCs/>
        </w:rPr>
        <w:t xml:space="preserve">seeks to ensure </w:t>
      </w:r>
      <w:r w:rsidR="009B2D95">
        <w:rPr>
          <w:bCs/>
        </w:rPr>
        <w:t>“</w:t>
      </w:r>
      <w:r w:rsidR="007163DD" w:rsidRPr="00A91196">
        <w:rPr>
          <w:bCs/>
          <w:i/>
        </w:rPr>
        <w:t xml:space="preserve">all persons of concern are able to make a safe and sustainable living that meets their </w:t>
      </w:r>
      <w:r w:rsidR="007163DD" w:rsidRPr="00A91196">
        <w:rPr>
          <w:bCs/>
          <w:i/>
        </w:rPr>
        <w:lastRenderedPageBreak/>
        <w:t>basic needs, contributes to their dignity, and provides for the full enjoyment of human rights</w:t>
      </w:r>
      <w:r w:rsidR="009B2D95">
        <w:rPr>
          <w:bCs/>
        </w:rPr>
        <w:t>”</w:t>
      </w:r>
      <w:r w:rsidR="009B2D95">
        <w:rPr>
          <w:rStyle w:val="FootnoteReference"/>
          <w:bCs/>
        </w:rPr>
        <w:footnoteReference w:id="5"/>
      </w:r>
      <w:r w:rsidR="009B2D95">
        <w:rPr>
          <w:bCs/>
        </w:rPr>
        <w:t>.</w:t>
      </w:r>
      <w:r w:rsidR="007F5C18">
        <w:rPr>
          <w:bCs/>
        </w:rPr>
        <w:t xml:space="preserve"> </w:t>
      </w:r>
      <w:r w:rsidR="00E3649D">
        <w:rPr>
          <w:bCs/>
        </w:rPr>
        <w:t xml:space="preserve">  Amongst the most vulnerable populations</w:t>
      </w:r>
      <w:r w:rsidR="004003CA">
        <w:rPr>
          <w:bCs/>
        </w:rPr>
        <w:t xml:space="preserve">, </w:t>
      </w:r>
      <w:r w:rsidR="00E3649D">
        <w:rPr>
          <w:bCs/>
        </w:rPr>
        <w:t xml:space="preserve">where PoCs have no access to social assistance, </w:t>
      </w:r>
      <w:r w:rsidR="004003CA">
        <w:rPr>
          <w:bCs/>
        </w:rPr>
        <w:t xml:space="preserve">the operation will maintain a flexible approach in order to continue to meet </w:t>
      </w:r>
      <w:r w:rsidR="00E3649D">
        <w:rPr>
          <w:bCs/>
        </w:rPr>
        <w:t xml:space="preserve">humanitarian </w:t>
      </w:r>
      <w:r w:rsidR="004003CA">
        <w:rPr>
          <w:bCs/>
        </w:rPr>
        <w:t xml:space="preserve">emergency needs. </w:t>
      </w:r>
    </w:p>
    <w:p w14:paraId="5547D87C" w14:textId="724E37C1" w:rsidR="00E3649D" w:rsidRPr="00C06CFE" w:rsidRDefault="00E3649D" w:rsidP="00C54AA3">
      <w:pPr>
        <w:jc w:val="both"/>
        <w:rPr>
          <w:rFonts w:ascii="Century Gothic" w:hAnsi="Century Gothic"/>
          <w:bCs/>
          <w:color w:val="4472C4" w:themeColor="accent1"/>
          <w:sz w:val="24"/>
          <w:szCs w:val="24"/>
        </w:rPr>
      </w:pPr>
      <w:r w:rsidRPr="00C06CFE">
        <w:rPr>
          <w:rFonts w:ascii="Century Gothic" w:hAnsi="Century Gothic"/>
          <w:bCs/>
          <w:color w:val="4472C4" w:themeColor="accent1"/>
          <w:sz w:val="24"/>
          <w:szCs w:val="24"/>
        </w:rPr>
        <w:t>Regional Strategic Approach: Findings and Recommendations</w:t>
      </w:r>
    </w:p>
    <w:p w14:paraId="451F9088" w14:textId="63183B20" w:rsidR="00FC7A49" w:rsidRPr="002007A6" w:rsidRDefault="00882C95" w:rsidP="002007A6">
      <w:pPr>
        <w:jc w:val="both"/>
        <w:rPr>
          <w:b/>
          <w:bCs/>
        </w:rPr>
      </w:pPr>
      <w:r>
        <w:rPr>
          <w:bCs/>
        </w:rPr>
        <w:t>While the local political, economic, and operational environment differs in each</w:t>
      </w:r>
      <w:r w:rsidR="004003CA">
        <w:rPr>
          <w:bCs/>
        </w:rPr>
        <w:t xml:space="preserve"> </w:t>
      </w:r>
      <w:r>
        <w:rPr>
          <w:bCs/>
        </w:rPr>
        <w:t>country, certain impediments and opportunities towards supporting durable solutions for socio-economic integration are common across the region</w:t>
      </w:r>
      <w:r w:rsidR="00B32590">
        <w:rPr>
          <w:bCs/>
        </w:rPr>
        <w:t xml:space="preserve"> </w:t>
      </w:r>
      <w:r>
        <w:rPr>
          <w:bCs/>
        </w:rPr>
        <w:t xml:space="preserve">and result in </w:t>
      </w:r>
      <w:r w:rsidR="00A30963">
        <w:rPr>
          <w:bCs/>
        </w:rPr>
        <w:t xml:space="preserve">regional recommendations. </w:t>
      </w:r>
      <w:r w:rsidR="0025300D">
        <w:rPr>
          <w:bCs/>
        </w:rPr>
        <w:t xml:space="preserve"> </w:t>
      </w:r>
      <w:r w:rsidR="00A30963">
        <w:rPr>
          <w:bCs/>
        </w:rPr>
        <w:t>Among recommendations are those related to</w:t>
      </w:r>
      <w:r w:rsidR="00FC7A49">
        <w:rPr>
          <w:bCs/>
        </w:rPr>
        <w:t xml:space="preserve"> </w:t>
      </w:r>
      <w:r w:rsidR="00FC7A49" w:rsidRPr="00FC7A49">
        <w:rPr>
          <w:bCs/>
        </w:rPr>
        <w:t>(</w:t>
      </w:r>
      <w:r w:rsidR="00FC7A49">
        <w:rPr>
          <w:b/>
          <w:bCs/>
        </w:rPr>
        <w:t>1</w:t>
      </w:r>
      <w:r w:rsidR="00FC7A49" w:rsidRPr="00FC7A49">
        <w:rPr>
          <w:bCs/>
        </w:rPr>
        <w:t>)</w:t>
      </w:r>
      <w:r w:rsidR="00FC7A49" w:rsidRPr="00FC7A49">
        <w:rPr>
          <w:b/>
          <w:bCs/>
        </w:rPr>
        <w:t xml:space="preserve"> </w:t>
      </w:r>
      <w:r w:rsidR="00FC7A49">
        <w:rPr>
          <w:b/>
          <w:bCs/>
        </w:rPr>
        <w:t>fundamental principles and core activities</w:t>
      </w:r>
      <w:r w:rsidR="00FC7A49" w:rsidRPr="00FC7A49">
        <w:rPr>
          <w:bCs/>
        </w:rPr>
        <w:t>:  priorities to address the need for more and better information on beneficiary needs and livelihood assets, for individualized case management, improved beneficiary targeting, and integration outcome monitoring, as well as systematic approaches to advocacy and partnerships</w:t>
      </w:r>
      <w:r w:rsidR="00FC7A49">
        <w:rPr>
          <w:bCs/>
        </w:rPr>
        <w:t>; and,</w:t>
      </w:r>
      <w:r w:rsidR="00D806D0">
        <w:rPr>
          <w:bCs/>
        </w:rPr>
        <w:t xml:space="preserve"> </w:t>
      </w:r>
      <w:r w:rsidR="00F858EE" w:rsidRPr="00F858EE">
        <w:rPr>
          <w:bCs/>
        </w:rPr>
        <w:t>(</w:t>
      </w:r>
      <w:r w:rsidR="00FC7A49">
        <w:rPr>
          <w:bCs/>
        </w:rPr>
        <w:t>2</w:t>
      </w:r>
      <w:r w:rsidR="00F858EE" w:rsidRPr="00F858EE">
        <w:rPr>
          <w:bCs/>
        </w:rPr>
        <w:t xml:space="preserve">) </w:t>
      </w:r>
      <w:r w:rsidR="00F858EE" w:rsidRPr="00F858EE">
        <w:rPr>
          <w:b/>
          <w:bCs/>
        </w:rPr>
        <w:t>programming:</w:t>
      </w:r>
      <w:r w:rsidR="00F858EE" w:rsidRPr="00F858EE">
        <w:rPr>
          <w:bCs/>
        </w:rPr>
        <w:t xml:space="preserve"> those pertaining to meeting the most immediate and </w:t>
      </w:r>
      <w:r w:rsidR="00FC7A49">
        <w:rPr>
          <w:bCs/>
        </w:rPr>
        <w:t xml:space="preserve">essential </w:t>
      </w:r>
      <w:r w:rsidR="00F858EE" w:rsidRPr="00F858EE">
        <w:rPr>
          <w:bCs/>
        </w:rPr>
        <w:t xml:space="preserve"> socio-economic integration challenges of refugees within current capacity</w:t>
      </w:r>
      <w:r w:rsidR="00FC7A49">
        <w:rPr>
          <w:bCs/>
        </w:rPr>
        <w:t>.</w:t>
      </w:r>
      <w:r w:rsidR="00E00EB6">
        <w:rPr>
          <w:bCs/>
        </w:rPr>
        <w:t xml:space="preserve">    </w:t>
      </w:r>
      <w:r w:rsidR="002F1321">
        <w:rPr>
          <w:bCs/>
        </w:rPr>
        <w:t xml:space="preserve">As recommendations </w:t>
      </w:r>
      <w:r w:rsidR="00692AB6">
        <w:rPr>
          <w:bCs/>
        </w:rPr>
        <w:t>cross-cut the organization</w:t>
      </w:r>
      <w:r w:rsidR="002F1321">
        <w:rPr>
          <w:bCs/>
        </w:rPr>
        <w:t>, i</w:t>
      </w:r>
      <w:r w:rsidR="00E00EB6">
        <w:rPr>
          <w:bCs/>
        </w:rPr>
        <w:t>t is proposed that</w:t>
      </w:r>
      <w:r w:rsidR="002F1321">
        <w:rPr>
          <w:bCs/>
        </w:rPr>
        <w:t xml:space="preserve"> </w:t>
      </w:r>
      <w:r w:rsidR="00E00EB6">
        <w:rPr>
          <w:bCs/>
        </w:rPr>
        <w:t xml:space="preserve">a </w:t>
      </w:r>
      <w:r w:rsidR="002F1321">
        <w:rPr>
          <w:bCs/>
        </w:rPr>
        <w:t xml:space="preserve">regional </w:t>
      </w:r>
      <w:r w:rsidR="00E00EB6">
        <w:rPr>
          <w:bCs/>
        </w:rPr>
        <w:t xml:space="preserve">UNHCR multi-function team workshop be convened </w:t>
      </w:r>
      <w:r w:rsidR="006F7389">
        <w:rPr>
          <w:bCs/>
        </w:rPr>
        <w:t xml:space="preserve">with support of the UNHCR Livelihoods Unit </w:t>
      </w:r>
      <w:r w:rsidR="002F1321">
        <w:rPr>
          <w:bCs/>
        </w:rPr>
        <w:t xml:space="preserve">to incorporate </w:t>
      </w:r>
      <w:r w:rsidR="00692AB6">
        <w:rPr>
          <w:bCs/>
        </w:rPr>
        <w:t xml:space="preserve">strategic </w:t>
      </w:r>
      <w:r w:rsidR="002F1321">
        <w:rPr>
          <w:bCs/>
        </w:rPr>
        <w:t xml:space="preserve">recommendations into detailed action plans for implementation, including assignment of appropriate human and financial resources.  </w:t>
      </w:r>
      <w:r w:rsidR="006F7389">
        <w:rPr>
          <w:bCs/>
        </w:rPr>
        <w:t xml:space="preserve"> </w:t>
      </w:r>
      <w:r w:rsidR="00FC7A49" w:rsidRPr="002007A6">
        <w:rPr>
          <w:b/>
          <w:bCs/>
        </w:rPr>
        <w:t xml:space="preserve">Fundamental Principles and core activities: </w:t>
      </w:r>
    </w:p>
    <w:p w14:paraId="66F87BBC" w14:textId="77777777" w:rsidR="00FC7A49" w:rsidRPr="00FC7A49" w:rsidRDefault="00FC7A49" w:rsidP="00FC7A49">
      <w:pPr>
        <w:jc w:val="both"/>
        <w:rPr>
          <w:bCs/>
        </w:rPr>
      </w:pPr>
      <w:r w:rsidRPr="00FC7A49">
        <w:rPr>
          <w:bCs/>
        </w:rPr>
        <w:t xml:space="preserve">The following recommendations are considered foundational to effective socio-economic integration implementation in the region (and in each country of operation): </w:t>
      </w:r>
    </w:p>
    <w:p w14:paraId="65AFBC54" w14:textId="33A12759" w:rsidR="00FC7A49" w:rsidRPr="00FC7A49" w:rsidRDefault="00FC7A49" w:rsidP="00FC7A49">
      <w:pPr>
        <w:numPr>
          <w:ilvl w:val="0"/>
          <w:numId w:val="3"/>
        </w:numPr>
        <w:jc w:val="both"/>
        <w:rPr>
          <w:bCs/>
        </w:rPr>
      </w:pPr>
      <w:r w:rsidRPr="00FC7A49">
        <w:rPr>
          <w:b/>
          <w:bCs/>
        </w:rPr>
        <w:t>Client Orientation (Participatory Approaches)</w:t>
      </w:r>
      <w:r w:rsidRPr="00FC7A49">
        <w:rPr>
          <w:bCs/>
        </w:rPr>
        <w:t>:  As operations mature (age) and move from livelihood provisioning towards</w:t>
      </w:r>
      <w:r w:rsidR="00EB5533">
        <w:rPr>
          <w:bCs/>
        </w:rPr>
        <w:t xml:space="preserve"> advocacy for mainstreaming refugees into existing</w:t>
      </w:r>
      <w:r w:rsidR="00673766">
        <w:rPr>
          <w:bCs/>
        </w:rPr>
        <w:t xml:space="preserve"> partner programs</w:t>
      </w:r>
      <w:r w:rsidRPr="00FC7A49">
        <w:rPr>
          <w:bCs/>
        </w:rPr>
        <w:t>, there is a risk of becoming to</w:t>
      </w:r>
      <w:r w:rsidR="00A774B7">
        <w:rPr>
          <w:bCs/>
        </w:rPr>
        <w:t xml:space="preserve">o far removed from the POCs.  </w:t>
      </w:r>
      <w:r w:rsidRPr="00FC7A49">
        <w:rPr>
          <w:bCs/>
        </w:rPr>
        <w:t xml:space="preserve">The more intermediaries engaged, the higher the risk of operations becoming more disengaged from actively engaging with PoCs in participatory planning.  Additional use of focus groups, increased training and awareness among staff on latest participatory and beneficiary oriented planning, encouraging staff participation in planning or delivery of community activities are approaches to explore. </w:t>
      </w:r>
    </w:p>
    <w:p w14:paraId="21D8C4F9" w14:textId="486F4A50" w:rsidR="00FC7A49" w:rsidRPr="00FC7A49" w:rsidRDefault="00FC7A49" w:rsidP="00FC7A49">
      <w:pPr>
        <w:numPr>
          <w:ilvl w:val="0"/>
          <w:numId w:val="3"/>
        </w:numPr>
        <w:jc w:val="both"/>
        <w:rPr>
          <w:bCs/>
        </w:rPr>
      </w:pPr>
      <w:r w:rsidRPr="00FC7A49">
        <w:rPr>
          <w:b/>
          <w:bCs/>
        </w:rPr>
        <w:t>Data and data management</w:t>
      </w:r>
      <w:r w:rsidRPr="00FC7A49">
        <w:rPr>
          <w:bCs/>
        </w:rPr>
        <w:t xml:space="preserve">:  This recommendation is closely linked with the first, as a key enabler of targeted programming.  With the exception of Azerbaijan, the operations do not maintain active database records on individual </w:t>
      </w:r>
      <w:r w:rsidR="0024245E" w:rsidRPr="00FC7A49">
        <w:rPr>
          <w:bCs/>
        </w:rPr>
        <w:t>P</w:t>
      </w:r>
      <w:r w:rsidR="0024245E">
        <w:rPr>
          <w:bCs/>
        </w:rPr>
        <w:t>o</w:t>
      </w:r>
      <w:r w:rsidR="0024245E" w:rsidRPr="00FC7A49">
        <w:rPr>
          <w:bCs/>
        </w:rPr>
        <w:t>Cs</w:t>
      </w:r>
      <w:r w:rsidRPr="00FC7A49">
        <w:rPr>
          <w:bCs/>
        </w:rPr>
        <w:t xml:space="preserve">, and otherwise rely on varied inputs from the relevant authorities to obtain basic demographic information on PoCs.  Continued advocacy across the region to improve data access (and implement best practice integrated systems) is encouraged.   In the context of socio-economic integration planning and monitoring, the region should consider customizing for local use and deploying </w:t>
      </w:r>
      <w:r w:rsidRPr="00FC7A49">
        <w:rPr>
          <w:b/>
          <w:bCs/>
          <w:i/>
        </w:rPr>
        <w:t>the UNHCR Livelihood Beneficiary Baseline and Monitoring Survey</w:t>
      </w:r>
      <w:r w:rsidRPr="00FC7A49">
        <w:rPr>
          <w:bCs/>
        </w:rPr>
        <w:t xml:space="preserve">; or begin by incorporating the same data fields in modified </w:t>
      </w:r>
      <w:r w:rsidRPr="00FC7A49">
        <w:rPr>
          <w:bCs/>
          <w:i/>
        </w:rPr>
        <w:t>household assessment survey</w:t>
      </w:r>
      <w:r w:rsidRPr="00FC7A49">
        <w:rPr>
          <w:bCs/>
        </w:rPr>
        <w:t xml:space="preserve">.   Ideally, central client records would be preferred to split systems.   </w:t>
      </w:r>
      <w:r w:rsidRPr="00FC7A49">
        <w:rPr>
          <w:bCs/>
        </w:rPr>
        <w:lastRenderedPageBreak/>
        <w:t xml:space="preserve">Regional agreement on systems, surveys, and intervals, would facilitate systematic measurement of integration outcomes. </w:t>
      </w:r>
      <w:r w:rsidR="006F7389">
        <w:rPr>
          <w:bCs/>
        </w:rPr>
        <w:t xml:space="preserve"> </w:t>
      </w:r>
      <w:r w:rsidRPr="00FC7A49">
        <w:rPr>
          <w:bCs/>
        </w:rPr>
        <w:t xml:space="preserve"> </w:t>
      </w:r>
    </w:p>
    <w:p w14:paraId="140951DC" w14:textId="6B5DC232" w:rsidR="00FC7A49" w:rsidRPr="002007A6" w:rsidRDefault="00FC7A49" w:rsidP="00FC7A49">
      <w:pPr>
        <w:numPr>
          <w:ilvl w:val="0"/>
          <w:numId w:val="3"/>
        </w:numPr>
        <w:jc w:val="both"/>
        <w:rPr>
          <w:b/>
          <w:bCs/>
          <w:i/>
          <w:color w:val="FF0000"/>
        </w:rPr>
      </w:pPr>
      <w:r w:rsidRPr="00FC7A49">
        <w:rPr>
          <w:b/>
          <w:bCs/>
        </w:rPr>
        <w:t xml:space="preserve">Advocacy and  Partnerships:   </w:t>
      </w:r>
      <w:r w:rsidRPr="00FC7A49">
        <w:rPr>
          <w:bCs/>
        </w:rPr>
        <w:t xml:space="preserve">UNHCR enjoys goodwill across the region and plays a strong role in coordinating development assistance directed towards Persons of Concern among a diverse range of development partners, including donors, NGOs and sister agencies, and contractors (particularly in Armenia and in Georgia with relation to the Abkhazia field office).  During the course of institutional mapping, additional partners were identified or contacts re-established, among representatives of the public sector and private sector (including Chambers of Commerce, and Employers Organizations).   As UNHCR is highly dependent on partners (both implementing </w:t>
      </w:r>
      <w:r w:rsidRPr="002007A6">
        <w:rPr>
          <w:bCs/>
          <w:color w:val="000000" w:themeColor="text1"/>
        </w:rPr>
        <w:t xml:space="preserve">and operational partners) who benefit from local funding opportunities to execute programming for beneficiaries, it is recommended that these relationships be systematically maintained with respect to socio-economic integration programming.  It should be further noted, that in order to successfully engage partners (particularly the private sector), </w:t>
      </w:r>
      <w:r w:rsidR="002007A6" w:rsidRPr="002007A6">
        <w:rPr>
          <w:bCs/>
          <w:color w:val="000000" w:themeColor="text1"/>
        </w:rPr>
        <w:t>and good</w:t>
      </w:r>
      <w:r w:rsidRPr="002007A6">
        <w:rPr>
          <w:bCs/>
          <w:color w:val="000000" w:themeColor="text1"/>
        </w:rPr>
        <w:t xml:space="preserve"> data on livelihood needs and assets of PoCs is a critical component to engagement, linked to recommendation above. </w:t>
      </w:r>
      <w:r w:rsidRPr="002007A6">
        <w:rPr>
          <w:bCs/>
          <w:i/>
          <w:color w:val="000000" w:themeColor="text1"/>
        </w:rPr>
        <w:t>Regular advocacy sessions with partners to provide updates on UNHCR priorities and practices, providing standard terminology, tools and templates could assist in facilitating local fundraising and successful joint socio-economic integration programming.</w:t>
      </w:r>
      <w:r w:rsidRPr="002007A6">
        <w:rPr>
          <w:b/>
          <w:bCs/>
          <w:i/>
          <w:color w:val="000000" w:themeColor="text1"/>
        </w:rPr>
        <w:t xml:space="preserve">   </w:t>
      </w:r>
    </w:p>
    <w:p w14:paraId="111FAE61" w14:textId="77777777" w:rsidR="00FC7A49" w:rsidRDefault="00FC7A49" w:rsidP="00C54AA3">
      <w:pPr>
        <w:jc w:val="both"/>
        <w:rPr>
          <w:bCs/>
        </w:rPr>
      </w:pPr>
    </w:p>
    <w:p w14:paraId="376DA12F" w14:textId="77777777" w:rsidR="00F858EE" w:rsidRDefault="00F858EE" w:rsidP="00F858EE">
      <w:pPr>
        <w:rPr>
          <w:b/>
          <w:bCs/>
        </w:rPr>
      </w:pPr>
      <w:r w:rsidRPr="00B10423">
        <w:rPr>
          <w:b/>
          <w:bCs/>
        </w:rPr>
        <w:t>Programming Priorities</w:t>
      </w:r>
    </w:p>
    <w:p w14:paraId="03CD5AA6" w14:textId="5C3C748D" w:rsidR="00F858EE" w:rsidRDefault="00F858EE" w:rsidP="00A6510B">
      <w:pPr>
        <w:jc w:val="both"/>
        <w:rPr>
          <w:bCs/>
        </w:rPr>
      </w:pPr>
      <w:r>
        <w:rPr>
          <w:bCs/>
        </w:rPr>
        <w:t>All country operations have at some point engaged in livelihood interventions over the past decade.  While implementation partners have varied, the most common interventions have focused on self-employment through SME development, including diverse training programs, income generating tool grants, and in s</w:t>
      </w:r>
      <w:r w:rsidR="00A774B7">
        <w:rPr>
          <w:bCs/>
        </w:rPr>
        <w:t xml:space="preserve">ome cases access to finance.  </w:t>
      </w:r>
      <w:r>
        <w:rPr>
          <w:bCs/>
        </w:rPr>
        <w:t xml:space="preserve">Many development actors focus on this approach to livelihoods (particularly with internally displaced persons), however, it has limitations with respect to the </w:t>
      </w:r>
      <w:r w:rsidR="00AC45CA">
        <w:rPr>
          <w:bCs/>
        </w:rPr>
        <w:t>heterogeneous</w:t>
      </w:r>
      <w:r>
        <w:rPr>
          <w:bCs/>
        </w:rPr>
        <w:t xml:space="preserve"> populations of re</w:t>
      </w:r>
      <w:r w:rsidR="00A774B7">
        <w:rPr>
          <w:bCs/>
        </w:rPr>
        <w:t>fugees based in urban centers.</w:t>
      </w:r>
      <w:r>
        <w:rPr>
          <w:bCs/>
        </w:rPr>
        <w:t xml:space="preserve">  Business start-ups are difficult and high risk under best of conditions, but, for refugees arriving with little or no local knowledge, and limited if any local language skills, the risks are multiplied and may dangerously deplete limited assets.  Entrepreneurs are a limited percentage of the population, and the majority of refugees and asylum-seekers are looking for wage earning employment.   </w:t>
      </w:r>
    </w:p>
    <w:p w14:paraId="781B4C39" w14:textId="5075EEFC" w:rsidR="00F858EE" w:rsidRDefault="00F858EE" w:rsidP="00A6510B">
      <w:pPr>
        <w:jc w:val="both"/>
        <w:rPr>
          <w:bCs/>
        </w:rPr>
      </w:pPr>
      <w:r>
        <w:rPr>
          <w:bCs/>
        </w:rPr>
        <w:t xml:space="preserve">The Socio-economic integration strategy places emphasis on providing the necessary foundation of local language and skills (human capital focus) to successfully compete in the local market-irrespective of whether they currently have the legal right to work (for which UNHCR advocates in parallel).   Where right to work exists, the strategy proposes mainstreaming PoCs through public employment services, and complementary approaches, such as paid work placements and apprenticeships.   Where appropriate, the strategic plans propose linking entrepreneurs to dedicated SME development agencies identified in each market; and, in Abkhazia, where UNHCR works with IDP returnees in an agricultural setting, programs supporting self-employment remain an important component.  </w:t>
      </w:r>
    </w:p>
    <w:p w14:paraId="4A481035" w14:textId="61838D05" w:rsidR="00F858EE" w:rsidRDefault="00F858EE" w:rsidP="00A6510B">
      <w:pPr>
        <w:jc w:val="both"/>
        <w:rPr>
          <w:bCs/>
        </w:rPr>
      </w:pPr>
      <w:r>
        <w:rPr>
          <w:bCs/>
        </w:rPr>
        <w:lastRenderedPageBreak/>
        <w:t xml:space="preserve">Recommendations proposed for each of the operations are </w:t>
      </w:r>
      <w:r w:rsidR="00785C0C">
        <w:rPr>
          <w:bCs/>
        </w:rPr>
        <w:t xml:space="preserve">inspired by </w:t>
      </w:r>
      <w:r>
        <w:rPr>
          <w:bCs/>
        </w:rPr>
        <w:t xml:space="preserve"> a </w:t>
      </w:r>
      <w:r w:rsidRPr="00BD3471">
        <w:rPr>
          <w:bCs/>
          <w:i/>
        </w:rPr>
        <w:t>“graduation approach</w:t>
      </w:r>
      <w:r>
        <w:rPr>
          <w:bCs/>
        </w:rPr>
        <w:t xml:space="preserve">” </w:t>
      </w:r>
      <w:r w:rsidR="007C5AF5">
        <w:rPr>
          <w:rStyle w:val="FootnoteReference"/>
          <w:bCs/>
        </w:rPr>
        <w:footnoteReference w:id="6"/>
      </w:r>
      <w:r>
        <w:rPr>
          <w:bCs/>
        </w:rPr>
        <w:t>to help PoCs</w:t>
      </w:r>
      <w:r w:rsidR="007C5AF5">
        <w:rPr>
          <w:bCs/>
        </w:rPr>
        <w:t xml:space="preserve"> receive</w:t>
      </w:r>
      <w:r w:rsidR="00BE41FF">
        <w:rPr>
          <w:bCs/>
        </w:rPr>
        <w:t xml:space="preserve"> more</w:t>
      </w:r>
      <w:r w:rsidR="007C5AF5">
        <w:rPr>
          <w:bCs/>
        </w:rPr>
        <w:t xml:space="preserve"> individualized</w:t>
      </w:r>
      <w:r w:rsidR="00BE41FF">
        <w:rPr>
          <w:bCs/>
        </w:rPr>
        <w:t xml:space="preserve"> integration</w:t>
      </w:r>
      <w:r w:rsidR="007C5AF5">
        <w:rPr>
          <w:bCs/>
        </w:rPr>
        <w:t xml:space="preserve"> support to</w:t>
      </w:r>
      <w:r>
        <w:rPr>
          <w:bCs/>
        </w:rPr>
        <w:t xml:space="preserve"> build on their assets and skills in order to either link with the local labour market, or, based on individual assessment</w:t>
      </w:r>
      <w:r w:rsidR="0095748C">
        <w:rPr>
          <w:bCs/>
        </w:rPr>
        <w:t>,</w:t>
      </w:r>
      <w:r>
        <w:rPr>
          <w:bCs/>
        </w:rPr>
        <w:t xml:space="preserve"> with a dedicated agency for SME development should entrepreneurship be the best option.   This research found that PoCs require increased access to basic </w:t>
      </w:r>
      <w:r w:rsidRPr="00BD3471">
        <w:rPr>
          <w:b/>
          <w:bCs/>
        </w:rPr>
        <w:t>socio-economic integration</w:t>
      </w:r>
      <w:r>
        <w:rPr>
          <w:bCs/>
        </w:rPr>
        <w:t xml:space="preserve"> support services, and greater focus on and investment in </w:t>
      </w:r>
      <w:r w:rsidRPr="00F858EE">
        <w:rPr>
          <w:b/>
          <w:bCs/>
        </w:rPr>
        <w:t>human capital development</w:t>
      </w:r>
      <w:r>
        <w:rPr>
          <w:bCs/>
        </w:rPr>
        <w:t>:</w:t>
      </w:r>
    </w:p>
    <w:p w14:paraId="49A29180" w14:textId="0EC5E5D7" w:rsidR="00F858EE" w:rsidRPr="00BD3471" w:rsidRDefault="00F858EE" w:rsidP="00A6510B">
      <w:pPr>
        <w:pStyle w:val="ListParagraph"/>
        <w:numPr>
          <w:ilvl w:val="0"/>
          <w:numId w:val="2"/>
        </w:numPr>
        <w:spacing w:before="120"/>
        <w:jc w:val="both"/>
        <w:rPr>
          <w:b/>
          <w:bCs/>
        </w:rPr>
      </w:pPr>
      <w:bookmarkStart w:id="2" w:name="_Hlk531096637"/>
      <w:r w:rsidRPr="00BD3471">
        <w:rPr>
          <w:b/>
          <w:bCs/>
        </w:rPr>
        <w:t xml:space="preserve">Access to information and services:  </w:t>
      </w:r>
      <w:r>
        <w:rPr>
          <w:bCs/>
        </w:rPr>
        <w:t xml:space="preserve">PoCs require access to </w:t>
      </w:r>
      <w:r w:rsidRPr="004C07C2">
        <w:rPr>
          <w:b/>
          <w:bCs/>
          <w:i/>
        </w:rPr>
        <w:t>social workers (integration services)</w:t>
      </w:r>
      <w:r>
        <w:rPr>
          <w:bCs/>
        </w:rPr>
        <w:t xml:space="preserve"> able to provide assistance in linking PoCs to basic services such as affordable housing, education, medical care, employment agencies, and social assistance programs (where applicable). </w:t>
      </w:r>
      <w:r w:rsidR="00D30A72">
        <w:rPr>
          <w:bCs/>
        </w:rPr>
        <w:t xml:space="preserve"> Government reception programs</w:t>
      </w:r>
      <w:r w:rsidR="00E11468">
        <w:rPr>
          <w:bCs/>
        </w:rPr>
        <w:t xml:space="preserve"> (including those operated by NGOs on behalf of Governments)</w:t>
      </w:r>
      <w:r w:rsidR="00D30A72">
        <w:rPr>
          <w:bCs/>
        </w:rPr>
        <w:t xml:space="preserve"> should be strengthened to ensure adequate </w:t>
      </w:r>
      <w:r w:rsidR="00A314E8">
        <w:rPr>
          <w:bCs/>
        </w:rPr>
        <w:t>staffing levels of</w:t>
      </w:r>
      <w:r w:rsidR="00EA5938">
        <w:rPr>
          <w:bCs/>
        </w:rPr>
        <w:t xml:space="preserve"> and refugee access to</w:t>
      </w:r>
      <w:r w:rsidR="00A314E8">
        <w:rPr>
          <w:bCs/>
        </w:rPr>
        <w:t xml:space="preserve"> </w:t>
      </w:r>
      <w:r w:rsidR="00D30A72">
        <w:rPr>
          <w:bCs/>
        </w:rPr>
        <w:t>skilled social worker</w:t>
      </w:r>
      <w:r w:rsidR="00A314E8">
        <w:rPr>
          <w:bCs/>
        </w:rPr>
        <w:t>s</w:t>
      </w:r>
      <w:r w:rsidR="00EA5938">
        <w:rPr>
          <w:bCs/>
        </w:rPr>
        <w:t xml:space="preserve"> (or mentors in some cases)</w:t>
      </w:r>
      <w:r w:rsidR="00044F84">
        <w:rPr>
          <w:bCs/>
        </w:rPr>
        <w:t xml:space="preserve"> for individual case management</w:t>
      </w:r>
      <w:r>
        <w:rPr>
          <w:bCs/>
        </w:rPr>
        <w:t xml:space="preserve">. </w:t>
      </w:r>
    </w:p>
    <w:p w14:paraId="7CB4C9F1" w14:textId="590F2798" w:rsidR="00F858EE" w:rsidRPr="00BE7132" w:rsidRDefault="00F858EE" w:rsidP="0095748C">
      <w:pPr>
        <w:pStyle w:val="ListParagraph"/>
        <w:numPr>
          <w:ilvl w:val="0"/>
          <w:numId w:val="2"/>
        </w:numPr>
        <w:spacing w:before="120"/>
        <w:jc w:val="both"/>
        <w:rPr>
          <w:b/>
          <w:bCs/>
        </w:rPr>
      </w:pPr>
      <w:r>
        <w:rPr>
          <w:b/>
          <w:bCs/>
        </w:rPr>
        <w:t xml:space="preserve">Access to Education (including pre-schools, primary, secondary, tertiary, and vocational):  </w:t>
      </w:r>
      <w:r>
        <w:rPr>
          <w:bCs/>
        </w:rPr>
        <w:t xml:space="preserve"> Ensuring that </w:t>
      </w:r>
      <w:r w:rsidRPr="00266B8A">
        <w:rPr>
          <w:bCs/>
          <w:u w:val="single"/>
        </w:rPr>
        <w:t>all children and youth</w:t>
      </w:r>
      <w:r>
        <w:rPr>
          <w:bCs/>
        </w:rPr>
        <w:t xml:space="preserve"> are promptly placed in school is a critical component in enabling adults to proceed with economic integration, and prepares the next generation for rapid integration into the local community.   As many refugees have been in the region for a prolonged period, ensuring that youth (who experience higher rates of unemployment) have adequate occupational skills for the labour market, and have the opportunity to develop their human potential,  remains critical.  With the exception of Azerbaijan, there has been no evidence of systematic follow-up to ensure that children entering the country are enrolled and attending school.  Solutions need to be found for children blocked from entering due to lack of local language skills.  Finally: </w:t>
      </w:r>
      <w:r w:rsidRPr="00BE7132">
        <w:rPr>
          <w:b/>
          <w:bCs/>
          <w:i/>
        </w:rPr>
        <w:t xml:space="preserve">Early childhood education is increasingly </w:t>
      </w:r>
      <w:r w:rsidR="00150D92" w:rsidRPr="00BE7132">
        <w:rPr>
          <w:b/>
          <w:bCs/>
          <w:i/>
        </w:rPr>
        <w:t>recogniz</w:t>
      </w:r>
      <w:r w:rsidR="00150D92">
        <w:rPr>
          <w:b/>
          <w:bCs/>
          <w:i/>
        </w:rPr>
        <w:t>ed</w:t>
      </w:r>
      <w:r w:rsidR="00150D92" w:rsidRPr="00BE7132">
        <w:rPr>
          <w:b/>
          <w:bCs/>
          <w:i/>
        </w:rPr>
        <w:t xml:space="preserve"> </w:t>
      </w:r>
      <w:r w:rsidRPr="00BE7132">
        <w:rPr>
          <w:b/>
          <w:bCs/>
          <w:i/>
        </w:rPr>
        <w:t>as leading to the best long-term outcomes for children, and is critical for enabling more women to enter the labour force.</w:t>
      </w:r>
      <w:r w:rsidRPr="00BE7132">
        <w:rPr>
          <w:b/>
          <w:bCs/>
        </w:rPr>
        <w:t xml:space="preserve">  </w:t>
      </w:r>
    </w:p>
    <w:p w14:paraId="3EB418B7" w14:textId="7568F0D3" w:rsidR="00F858EE" w:rsidRPr="00694BE8" w:rsidRDefault="00F858EE" w:rsidP="0095748C">
      <w:pPr>
        <w:pStyle w:val="ListParagraph"/>
        <w:numPr>
          <w:ilvl w:val="0"/>
          <w:numId w:val="2"/>
        </w:numPr>
        <w:spacing w:before="120"/>
        <w:jc w:val="both"/>
        <w:rPr>
          <w:b/>
          <w:bCs/>
        </w:rPr>
      </w:pPr>
      <w:r>
        <w:rPr>
          <w:b/>
          <w:bCs/>
        </w:rPr>
        <w:t>Local language training:</w:t>
      </w:r>
      <w:r>
        <w:rPr>
          <w:bCs/>
        </w:rPr>
        <w:t xml:space="preserve">   In all three countries, refugees have ranked the urgency to learn the local language as most critical to i</w:t>
      </w:r>
      <w:r w:rsidR="00A774B7">
        <w:rPr>
          <w:bCs/>
        </w:rPr>
        <w:t xml:space="preserve">ntegration.  </w:t>
      </w:r>
      <w:r>
        <w:rPr>
          <w:bCs/>
        </w:rPr>
        <w:t xml:space="preserve">However, the availability of </w:t>
      </w:r>
      <w:r w:rsidRPr="00BE7132">
        <w:rPr>
          <w:bCs/>
          <w:i/>
        </w:rPr>
        <w:t>accessible</w:t>
      </w:r>
      <w:r>
        <w:rPr>
          <w:bCs/>
        </w:rPr>
        <w:t>, age and level appropriate language classes was found to be limited and unsystematic.  Prioritizing access to language classes has been proposed in all countries.</w:t>
      </w:r>
    </w:p>
    <w:p w14:paraId="1E24E931" w14:textId="4E70158E" w:rsidR="00F858EE" w:rsidRPr="00694BE8" w:rsidRDefault="00F858EE" w:rsidP="0095748C">
      <w:pPr>
        <w:pStyle w:val="ListParagraph"/>
        <w:numPr>
          <w:ilvl w:val="0"/>
          <w:numId w:val="2"/>
        </w:numPr>
        <w:spacing w:before="120"/>
        <w:jc w:val="both"/>
        <w:rPr>
          <w:b/>
          <w:bCs/>
        </w:rPr>
      </w:pPr>
      <w:r>
        <w:rPr>
          <w:b/>
          <w:bCs/>
        </w:rPr>
        <w:t xml:space="preserve">Vocational Education:  </w:t>
      </w:r>
      <w:r>
        <w:rPr>
          <w:bCs/>
        </w:rPr>
        <w:t>Development actors are working to assist the South Caucasus in strengthening vocational education in order to address the skills gap in the labour force.  At the same time, development actors have sought to fi</w:t>
      </w:r>
      <w:r w:rsidR="00A774B7">
        <w:rPr>
          <w:bCs/>
        </w:rPr>
        <w:t xml:space="preserve">ll the gap with short courses.  </w:t>
      </w:r>
      <w:r>
        <w:rPr>
          <w:bCs/>
        </w:rPr>
        <w:t>The proposed strategy advocates that the first option in the region should be to ensure that PoCs attend accredited vocational institutions where possible to attain diplomas with greater market value.</w:t>
      </w:r>
    </w:p>
    <w:p w14:paraId="1D4EFA5A" w14:textId="1748FF19" w:rsidR="00F858EE" w:rsidRPr="00E20704" w:rsidRDefault="00FC7A49" w:rsidP="00E20704">
      <w:pPr>
        <w:pStyle w:val="ListParagraph"/>
        <w:numPr>
          <w:ilvl w:val="0"/>
          <w:numId w:val="2"/>
        </w:numPr>
        <w:spacing w:before="120"/>
        <w:jc w:val="both"/>
        <w:rPr>
          <w:b/>
          <w:bCs/>
        </w:rPr>
      </w:pPr>
      <w:r>
        <w:rPr>
          <w:b/>
          <w:bCs/>
        </w:rPr>
        <w:t>Youth and Women</w:t>
      </w:r>
      <w:r w:rsidR="00F858EE">
        <w:rPr>
          <w:b/>
          <w:bCs/>
        </w:rPr>
        <w:t xml:space="preserve">:  </w:t>
      </w:r>
      <w:r w:rsidR="00F858EE">
        <w:rPr>
          <w:bCs/>
        </w:rPr>
        <w:t xml:space="preserve">High rates of youth unemployment, and low rates of women’s participation in the labour market (especially among refugees) places greater emphasis on these populations in the local plans.   The longer youth remain unemployed, the greater the impact on lifelong earnings and psycho-social well-being. </w:t>
      </w:r>
      <w:r w:rsidR="009658A2">
        <w:rPr>
          <w:bCs/>
        </w:rPr>
        <w:t xml:space="preserve"> In the South Caucasus’ Region, cost-of-living has been based on dual income households commo</w:t>
      </w:r>
      <w:r w:rsidR="00954293">
        <w:rPr>
          <w:bCs/>
        </w:rPr>
        <w:t>n since</w:t>
      </w:r>
      <w:r w:rsidR="009658A2">
        <w:rPr>
          <w:bCs/>
        </w:rPr>
        <w:t xml:space="preserve"> the Soviet era.</w:t>
      </w:r>
      <w:r w:rsidR="00954293">
        <w:rPr>
          <w:bCs/>
        </w:rPr>
        <w:t xml:space="preserve">  Families arriving from countries with tradition of single income earners (predominantly men) struggle to cover costs. </w:t>
      </w:r>
      <w:r w:rsidR="009658A2">
        <w:rPr>
          <w:bCs/>
        </w:rPr>
        <w:t xml:space="preserve"> </w:t>
      </w:r>
      <w:r w:rsidR="00954293">
        <w:rPr>
          <w:bCs/>
        </w:rPr>
        <w:t xml:space="preserve"> </w:t>
      </w:r>
      <w:r w:rsidR="00F858EE">
        <w:rPr>
          <w:bCs/>
        </w:rPr>
        <w:t xml:space="preserve"> Greater access to the labour market for </w:t>
      </w:r>
      <w:r w:rsidR="00EA5938">
        <w:rPr>
          <w:bCs/>
        </w:rPr>
        <w:t xml:space="preserve">refugee </w:t>
      </w:r>
      <w:r w:rsidR="00F858EE">
        <w:rPr>
          <w:bCs/>
        </w:rPr>
        <w:t>women is an important consideration for lifting low-</w:t>
      </w:r>
      <w:r w:rsidR="00F858EE">
        <w:rPr>
          <w:bCs/>
        </w:rPr>
        <w:lastRenderedPageBreak/>
        <w:t>income refugee famil</w:t>
      </w:r>
      <w:r w:rsidR="0062515C">
        <w:rPr>
          <w:bCs/>
        </w:rPr>
        <w:t>ies</w:t>
      </w:r>
      <w:r w:rsidR="00F858EE">
        <w:rPr>
          <w:bCs/>
        </w:rPr>
        <w:t xml:space="preserve"> out of poverty.  </w:t>
      </w:r>
      <w:r>
        <w:rPr>
          <w:bCs/>
        </w:rPr>
        <w:t>The strategy focuses on linking women and youth to training, apprenticeships, and jobs.</w:t>
      </w:r>
    </w:p>
    <w:bookmarkEnd w:id="2"/>
    <w:p w14:paraId="135140F4" w14:textId="77777777" w:rsidR="00DC3E57" w:rsidRDefault="00DC3E57" w:rsidP="009C6CE3">
      <w:pPr>
        <w:rPr>
          <w:b/>
          <w:bCs/>
        </w:rPr>
      </w:pPr>
    </w:p>
    <w:p w14:paraId="10E50B04" w14:textId="7EF5BDC6" w:rsidR="00BD3471" w:rsidRPr="00C06CFE" w:rsidRDefault="00F858EE" w:rsidP="009C6CE3">
      <w:pPr>
        <w:rPr>
          <w:rFonts w:ascii="Century Gothic" w:hAnsi="Century Gothic"/>
          <w:bCs/>
          <w:color w:val="4472C4" w:themeColor="accent1"/>
          <w:sz w:val="28"/>
          <w:szCs w:val="28"/>
        </w:rPr>
      </w:pPr>
      <w:r w:rsidRPr="00C06CFE">
        <w:rPr>
          <w:rFonts w:ascii="Century Gothic" w:hAnsi="Century Gothic"/>
          <w:bCs/>
          <w:color w:val="4472C4" w:themeColor="accent1"/>
          <w:sz w:val="28"/>
          <w:szCs w:val="28"/>
        </w:rPr>
        <w:t xml:space="preserve">Summary by Operation </w:t>
      </w:r>
    </w:p>
    <w:p w14:paraId="1EDF1A5C" w14:textId="7563CE0F" w:rsidR="007163DD" w:rsidRPr="009B2D95" w:rsidRDefault="007163DD" w:rsidP="009C6CE3">
      <w:pPr>
        <w:rPr>
          <w:bCs/>
        </w:rPr>
      </w:pPr>
      <w:r w:rsidRPr="007163DD">
        <w:rPr>
          <w:b/>
          <w:bCs/>
        </w:rPr>
        <w:t>Armenia</w:t>
      </w:r>
    </w:p>
    <w:p w14:paraId="091C7CB2" w14:textId="4ECB3DE3" w:rsidR="009C6CE3" w:rsidRDefault="009C6CE3" w:rsidP="00451DF3">
      <w:pPr>
        <w:jc w:val="both"/>
        <w:rPr>
          <w:bCs/>
        </w:rPr>
      </w:pPr>
      <w:bookmarkStart w:id="3" w:name="_Hlk516064734"/>
      <w:r w:rsidRPr="009C6CE3">
        <w:rPr>
          <w:bCs/>
        </w:rPr>
        <w:t>The Armenia operation will increase its focus on identifying and supporting underserved PoC communities, and continue to work with the government to strengthen its investment in social services, and integration support services.  Programs will aim to engage beneficiaries in individual integration planning, with more emphasis on helping PoCs gain access to decent work, public services, health and education, available to all Armenians.   Due to limited social networks available to refugees, the operation will assist the State Migration Service (SMS) integration unit, and the State Employment Agency (SEA) to link qualified refugees with decent work in the public and private sector.   Prospective entrepreneurs will be introduced to national SME development programs and microfinance institutions.   Where possible, efforts will be made to certify refugees</w:t>
      </w:r>
      <w:r w:rsidR="008E1B32">
        <w:rPr>
          <w:bCs/>
        </w:rPr>
        <w:t>’</w:t>
      </w:r>
      <w:r w:rsidRPr="009C6CE3">
        <w:rPr>
          <w:bCs/>
        </w:rPr>
        <w:t xml:space="preserve"> foreign credentials</w:t>
      </w:r>
      <w:r w:rsidRPr="009C6CE3">
        <w:rPr>
          <w:bCs/>
          <w:vertAlign w:val="superscript"/>
        </w:rPr>
        <w:footnoteReference w:id="7"/>
      </w:r>
      <w:r w:rsidRPr="009C6CE3">
        <w:rPr>
          <w:bCs/>
        </w:rPr>
        <w:t>, introducing refugees to the “Qualification Passport for Refugees”.  Where skills relevant to the labor market are lacking, the aim will be to mainstream qualified PoCs into national Vocational Education programs, including language training, that offer nationally-recognized certification.  Finally, as a humanitarian agency of last resort for many PoCs, some</w:t>
      </w:r>
      <w:r w:rsidR="000103B2">
        <w:rPr>
          <w:bCs/>
        </w:rPr>
        <w:t xml:space="preserve"> cash-based interventions (CBI)</w:t>
      </w:r>
      <w:r w:rsidRPr="009C6CE3">
        <w:rPr>
          <w:bCs/>
        </w:rPr>
        <w:t xml:space="preserve"> will remain necessary for some of the most vulnerable refugees for whom employment is not an option. </w:t>
      </w:r>
    </w:p>
    <w:p w14:paraId="731F5C65" w14:textId="5DBD7A18" w:rsidR="007163DD" w:rsidRPr="007163DD" w:rsidRDefault="007163DD" w:rsidP="009C6CE3">
      <w:pPr>
        <w:rPr>
          <w:b/>
          <w:bCs/>
        </w:rPr>
      </w:pPr>
      <w:r w:rsidRPr="007163DD">
        <w:rPr>
          <w:b/>
          <w:bCs/>
        </w:rPr>
        <w:t>Azerbaijan</w:t>
      </w:r>
    </w:p>
    <w:p w14:paraId="53BA0D3A" w14:textId="5321EA7B" w:rsidR="00A07DFE" w:rsidRPr="00EB42F2" w:rsidRDefault="00A07DFE" w:rsidP="00451DF3">
      <w:pPr>
        <w:jc w:val="both"/>
        <w:rPr>
          <w:bCs/>
        </w:rPr>
      </w:pPr>
      <w:r w:rsidRPr="00A07DFE">
        <w:rPr>
          <w:bCs/>
        </w:rPr>
        <w:t>As only government recognized refugees have access to basic rights (including right to work) and due to the low government recognition rate of refugees over the past two decades, a significant majority of the refugee population remains dependent on UNHCR for social assistance for up to a decade and longer.  In the interim, a new generation – a large cohort of children and youth of this refugee population are entering working age, increasing the urgency for durable socio-economic integration solutions.</w:t>
      </w:r>
      <w:r w:rsidR="00EB42F2">
        <w:rPr>
          <w:bCs/>
        </w:rPr>
        <w:t xml:space="preserve">  </w:t>
      </w:r>
      <w:r w:rsidRPr="00A07DFE">
        <w:rPr>
          <w:bCs/>
          <w:lang w:val="en-AU"/>
        </w:rPr>
        <w:t xml:space="preserve">After decades of stagnant livelihood ‘provisioning’ for refugees, new approaches are needed to break the long-term dependency (and eventual despair) brought on by legal limbo.   New opportunities are presented through efforts of the recently formed Inter-ministerial Working Group on Socio-Economic and Cultural Integration, supported by UNHCR and ICMPD (MOBILAZE project).   </w:t>
      </w:r>
      <w:r w:rsidRPr="00A07DFE">
        <w:rPr>
          <w:bCs/>
        </w:rPr>
        <w:t xml:space="preserve">The Azerbaijan operation will increase its focus on supporting the government of Azerbaijan to fully realize the road map for integration of refugees, including advocating for increased recognition and provision of residence status for access to basic services,  strengthening its overall investment in social services (education, health, employment), and integration support services.  </w:t>
      </w:r>
      <w:r w:rsidR="00EB42F2">
        <w:rPr>
          <w:bCs/>
        </w:rPr>
        <w:t xml:space="preserve"> </w:t>
      </w:r>
      <w:r w:rsidRPr="00A07DFE">
        <w:rPr>
          <w:bCs/>
          <w:lang w:val="en-AU"/>
        </w:rPr>
        <w:t xml:space="preserve">A ‘right to work’ alone is not sufficient to obtain work.  UNHCR can increase its focus (investment) </w:t>
      </w:r>
      <w:r w:rsidRPr="00A07DFE">
        <w:rPr>
          <w:bCs/>
          <w:i/>
          <w:lang w:val="en-AU"/>
        </w:rPr>
        <w:t>on building human capital and resilience among refugees, particularly youth</w:t>
      </w:r>
      <w:r w:rsidRPr="00A07DFE">
        <w:rPr>
          <w:bCs/>
          <w:lang w:val="en-AU"/>
        </w:rPr>
        <w:t xml:space="preserve">, in order that they are have greater capacity to cope with the current environment and prepare for future opportunities.   </w:t>
      </w:r>
      <w:r w:rsidR="00EB42F2">
        <w:rPr>
          <w:bCs/>
          <w:lang w:val="en-AU"/>
        </w:rPr>
        <w:t>T</w:t>
      </w:r>
      <w:r w:rsidRPr="00A07DFE">
        <w:rPr>
          <w:bCs/>
          <w:lang w:val="en-AU"/>
        </w:rPr>
        <w:t xml:space="preserve">here is continued urgency to ensure that: all children are in school (and in age-appropriate language classes in preparation for school);  integration capacity for all PoCs is boosted </w:t>
      </w:r>
      <w:r w:rsidRPr="00A07DFE">
        <w:rPr>
          <w:bCs/>
          <w:lang w:val="en-AU"/>
        </w:rPr>
        <w:lastRenderedPageBreak/>
        <w:t>through increased access to appropriate level, intensive language training, and that youth have increased access to guidance counsellors, vocational and tertiary education.</w:t>
      </w:r>
      <w:r w:rsidR="00A774B7">
        <w:rPr>
          <w:bCs/>
          <w:lang w:val="en-AU"/>
        </w:rPr>
        <w:t xml:space="preserve"> </w:t>
      </w:r>
      <w:r w:rsidR="00B832ED">
        <w:rPr>
          <w:bCs/>
          <w:lang w:val="en-AU"/>
        </w:rPr>
        <w:t xml:space="preserve"> </w:t>
      </w:r>
      <w:r w:rsidRPr="00A07DFE">
        <w:rPr>
          <w:bCs/>
          <w:lang w:val="en-AU"/>
        </w:rPr>
        <w:t>Skills training and livelihood opportunities can be fostered through partner organizations such as Youth Foundation, ASAN ABAD, GIZ, and FAO, and others.   There is immediate potential to include UNHCR PoCs in pilot livelihood projects, including in rural communities.   To strengthen the mapping of target beneficiaries, t</w:t>
      </w:r>
      <w:r w:rsidRPr="00A07DFE">
        <w:rPr>
          <w:bCs/>
        </w:rPr>
        <w:t xml:space="preserve">he operation will complete a livelihoods assets verification exercise to develop a target baseline, and will promote the importance of good data collection and </w:t>
      </w:r>
      <w:r w:rsidR="00A774B7">
        <w:rPr>
          <w:bCs/>
        </w:rPr>
        <w:t>management among stakeholders.</w:t>
      </w:r>
      <w:r w:rsidRPr="00A07DFE">
        <w:rPr>
          <w:bCs/>
          <w:lang w:val="en-AU"/>
        </w:rPr>
        <w:t xml:space="preserve">  Finally volunteerism can be harnessed to expand services and integration exchanges at the Refugee Women and Youth Centre and in communities.    </w:t>
      </w:r>
    </w:p>
    <w:p w14:paraId="07D41AD3" w14:textId="320E8C30" w:rsidR="009C6CE3" w:rsidRPr="00EB42F2" w:rsidRDefault="00EB42F2" w:rsidP="00856B9A">
      <w:pPr>
        <w:rPr>
          <w:b/>
          <w:bCs/>
          <w:lang w:val="en-AU"/>
        </w:rPr>
      </w:pPr>
      <w:r w:rsidRPr="00EB42F2">
        <w:rPr>
          <w:b/>
          <w:bCs/>
          <w:lang w:val="en-AU"/>
        </w:rPr>
        <w:t>Georgia</w:t>
      </w:r>
      <w:bookmarkEnd w:id="3"/>
    </w:p>
    <w:p w14:paraId="2A761C77" w14:textId="756BC9F0" w:rsidR="00856B9A" w:rsidRPr="00856B9A" w:rsidRDefault="00856B9A" w:rsidP="009A7E30">
      <w:pPr>
        <w:jc w:val="both"/>
        <w:rPr>
          <w:lang w:val="en-GB"/>
        </w:rPr>
      </w:pPr>
      <w:r w:rsidRPr="00856B9A">
        <w:rPr>
          <w:lang w:val="en-GB"/>
        </w:rPr>
        <w:t>The local legal environment is favourable to these populations with regard to the right to work and access to services and documentation, as well as freedom of movement in the country. However, the socio-economic environment is less favourable.  While Georgia has enjoyed relatively high GDP growth rates, gains are not evenly distributed, unemployment remains high, and wages low</w:t>
      </w:r>
      <w:r w:rsidR="00EB42F2">
        <w:rPr>
          <w:lang w:val="en-GB"/>
        </w:rPr>
        <w:t xml:space="preserve">. </w:t>
      </w:r>
      <w:r w:rsidRPr="00856B9A">
        <w:rPr>
          <w:lang w:val="en-GB"/>
        </w:rPr>
        <w:t xml:space="preserve"> Refugees and asylum-seekers often rely on unsustainable seasonal and day labour jobs in the informal sector, such as trade, tourism, agriculture, construction, etc.  In addition, youth unemployment in Georgia is more than double the general population, calling for more focus on this segment of the refugee population.</w:t>
      </w:r>
    </w:p>
    <w:p w14:paraId="294CBE21" w14:textId="307691A4" w:rsidR="003C2565" w:rsidRDefault="003C2565" w:rsidP="009A7E30">
      <w:pPr>
        <w:jc w:val="both"/>
        <w:rPr>
          <w:lang w:val="en-GB"/>
        </w:rPr>
      </w:pPr>
      <w:r>
        <w:rPr>
          <w:lang w:val="en-GB"/>
        </w:rPr>
        <w:t xml:space="preserve">Until mid-2018, </w:t>
      </w:r>
      <w:r w:rsidR="00856B9A" w:rsidRPr="00856B9A">
        <w:rPr>
          <w:lang w:val="en-GB"/>
        </w:rPr>
        <w:t xml:space="preserve">UNHCR </w:t>
      </w:r>
      <w:r>
        <w:rPr>
          <w:lang w:val="en-GB"/>
        </w:rPr>
        <w:t xml:space="preserve">was actively </w:t>
      </w:r>
      <w:r w:rsidR="00856B9A" w:rsidRPr="00856B9A">
        <w:rPr>
          <w:i/>
          <w:lang w:val="en-GB"/>
        </w:rPr>
        <w:t>transitioning from livelihoods-pr</w:t>
      </w:r>
      <w:r w:rsidR="00FC7A49">
        <w:rPr>
          <w:i/>
          <w:lang w:val="en-GB"/>
        </w:rPr>
        <w:t>ovision</w:t>
      </w:r>
      <w:r w:rsidR="00856B9A" w:rsidRPr="00856B9A">
        <w:rPr>
          <w:i/>
          <w:lang w:val="en-GB"/>
        </w:rPr>
        <w:t xml:space="preserve"> initiatives towards livelihood-promotion accessible through Government services</w:t>
      </w:r>
      <w:r w:rsidR="00856B9A" w:rsidRPr="00856B9A">
        <w:rPr>
          <w:lang w:val="en-GB"/>
        </w:rPr>
        <w:t xml:space="preserve">. The July 2018 restructuring of government and dismantling of UNHCR’s primary interlocutor, the Ministry of Internally Displaced Persons from the Occupied Territories, Accommodation and Refugees of Georgia (“MRA”), has disrupted the pace at which the complete transition can occur.  For this reason, the strategy provides two-track guidance on activities to be mainstreamed through government services today, and those which can be supported or enhanced with complementary support through other development agencies or NGOs, and transitioned to government over time.    </w:t>
      </w:r>
    </w:p>
    <w:p w14:paraId="4FFD3FAA" w14:textId="036ABBFF" w:rsidR="00856B9A" w:rsidRPr="00856B9A" w:rsidRDefault="00856B9A" w:rsidP="009A7E30">
      <w:pPr>
        <w:jc w:val="both"/>
        <w:rPr>
          <w:lang w:val="en-GB"/>
        </w:rPr>
      </w:pPr>
      <w:r w:rsidRPr="00856B9A">
        <w:rPr>
          <w:lang w:val="en-GB"/>
        </w:rPr>
        <w:t xml:space="preserve">The strategy emphasizes the importance of ensuring PoC have access to basic public services and core livelihood-enabling activities, as pre-conditions for successful socio-economic integration. </w:t>
      </w:r>
      <w:r w:rsidR="003C2565">
        <w:rPr>
          <w:lang w:val="en-GB"/>
        </w:rPr>
        <w:t xml:space="preserve"> </w:t>
      </w:r>
      <w:r w:rsidRPr="00856B9A">
        <w:rPr>
          <w:lang w:val="en-GB"/>
        </w:rPr>
        <w:t>Priorities include ensuring access to education for children and youth, Georgian language classes, building and enhancing skills through vocational education, and full access to public employment services.   At the same time, complementary support services in partnership with NGOs and sister agencies include programs, with emphasis on youth and long-term unemployed, to help build confidence, local knowledge, and restore coping skills</w:t>
      </w:r>
      <w:r w:rsidR="00B832ED">
        <w:rPr>
          <w:lang w:val="en-GB"/>
        </w:rPr>
        <w:t xml:space="preserve"> in preparation for employment.</w:t>
      </w:r>
      <w:r w:rsidRPr="00856B9A">
        <w:rPr>
          <w:lang w:val="en-GB"/>
        </w:rPr>
        <w:t xml:space="preserve">  Finally, the private sector continues to seek pre-qualified candidates in certain segments of the economy, and have signalled willingness to partner on linking activities such as job-fairs and apprenticeships.</w:t>
      </w:r>
    </w:p>
    <w:p w14:paraId="17620E61" w14:textId="582A7135" w:rsidR="00A07DFE" w:rsidRDefault="00A07DFE" w:rsidP="009A7E30">
      <w:pPr>
        <w:jc w:val="both"/>
        <w:rPr>
          <w:lang w:val="en-GB"/>
        </w:rPr>
      </w:pPr>
    </w:p>
    <w:p w14:paraId="6F45EEDE" w14:textId="35CA131F" w:rsidR="003C2565" w:rsidRPr="003C2565" w:rsidRDefault="003C2565" w:rsidP="009A7E30">
      <w:pPr>
        <w:jc w:val="both"/>
        <w:rPr>
          <w:b/>
          <w:lang w:val="en-GB"/>
        </w:rPr>
      </w:pPr>
      <w:r w:rsidRPr="003C2565">
        <w:rPr>
          <w:b/>
          <w:lang w:val="en-GB"/>
        </w:rPr>
        <w:t>Abkhazia (Georgia, break-away region)</w:t>
      </w:r>
    </w:p>
    <w:p w14:paraId="13132AE4" w14:textId="2F66AD9C" w:rsidR="00A07DFE" w:rsidRPr="003C2565" w:rsidRDefault="00A07DFE" w:rsidP="009A7E30">
      <w:pPr>
        <w:jc w:val="both"/>
        <w:rPr>
          <w:lang w:val="en-GB"/>
        </w:rPr>
      </w:pPr>
      <w:r w:rsidRPr="00A07DFE">
        <w:rPr>
          <w:lang w:val="en-GB"/>
        </w:rPr>
        <w:t>In Abkhazia, there are approximately 50,000</w:t>
      </w:r>
      <w:r w:rsidRPr="00A07DFE">
        <w:rPr>
          <w:vertAlign w:val="superscript"/>
          <w:lang w:val="en-GB"/>
        </w:rPr>
        <w:footnoteReference w:id="8"/>
      </w:r>
      <w:r w:rsidR="009A7E30">
        <w:rPr>
          <w:lang w:val="en-GB"/>
        </w:rPr>
        <w:t xml:space="preserve"> </w:t>
      </w:r>
      <w:r w:rsidRPr="00A07DFE">
        <w:rPr>
          <w:lang w:val="en-GB"/>
        </w:rPr>
        <w:t xml:space="preserve">IDP returnees, who are ethnic Georgians, within the three Eastern Districts (Gal/i; Tchvarcal/Tkvarcheli; and Ochamchire/Ochamchira). These have various forms of </w:t>
      </w:r>
      <w:r w:rsidRPr="00A07DFE">
        <w:rPr>
          <w:lang w:val="en-GB"/>
        </w:rPr>
        <w:lastRenderedPageBreak/>
        <w:t xml:space="preserve">documentation, but only a very limited number have Abkhaz de-facto citizenship. </w:t>
      </w:r>
      <w:r w:rsidR="00304313">
        <w:rPr>
          <w:lang w:val="en-GB"/>
        </w:rPr>
        <w:t xml:space="preserve"> Access </w:t>
      </w:r>
      <w:r w:rsidRPr="00A07DFE">
        <w:rPr>
          <w:lang w:val="en-GB"/>
        </w:rPr>
        <w:t xml:space="preserve">to labour is limited for non-citizens. The region where the majority of returnees live is not economically vibrant and access to markets have become more restricted as a consequence of the closure of </w:t>
      </w:r>
      <w:r w:rsidR="00577C3C">
        <w:rPr>
          <w:lang w:val="en-GB"/>
        </w:rPr>
        <w:t xml:space="preserve">administrative </w:t>
      </w:r>
      <w:r w:rsidRPr="00A07DFE">
        <w:rPr>
          <w:lang w:val="en-GB"/>
        </w:rPr>
        <w:t xml:space="preserve">crossing points with </w:t>
      </w:r>
      <w:r w:rsidR="00577C3C">
        <w:rPr>
          <w:lang w:val="en-GB"/>
        </w:rPr>
        <w:t>Tbilisi Administered</w:t>
      </w:r>
      <w:r w:rsidR="009A7E30">
        <w:rPr>
          <w:lang w:val="en-GB"/>
        </w:rPr>
        <w:t xml:space="preserve"> Territory</w:t>
      </w:r>
      <w:r w:rsidRPr="00A07DFE">
        <w:rPr>
          <w:lang w:val="en-GB"/>
        </w:rPr>
        <w:t xml:space="preserve">. The market in Abkhazia is mainly represented by imported commodities with a very small number of locally produced items which are mainly fruits and vegetables. </w:t>
      </w:r>
      <w:r w:rsidR="00304313">
        <w:rPr>
          <w:lang w:val="en-GB"/>
        </w:rPr>
        <w:t xml:space="preserve"> </w:t>
      </w:r>
      <w:r w:rsidRPr="00A07DFE">
        <w:rPr>
          <w:lang w:val="en-GB"/>
        </w:rPr>
        <w:t xml:space="preserve">While UNHCR continues to engage in protection monitoring, provision of legal assistance, and ensuring documentation and freedom of movement of IDP returnees, it has gradually disengaged from providing livelihood support. </w:t>
      </w:r>
      <w:r w:rsidRPr="00A07DFE">
        <w:rPr>
          <w:i/>
          <w:lang w:val="en-GB"/>
        </w:rPr>
        <w:t xml:space="preserve">However, </w:t>
      </w:r>
      <w:r w:rsidR="00C95834">
        <w:rPr>
          <w:i/>
          <w:lang w:val="en-GB"/>
        </w:rPr>
        <w:t xml:space="preserve">as </w:t>
      </w:r>
      <w:r w:rsidR="00816C09">
        <w:rPr>
          <w:i/>
          <w:lang w:val="en-GB"/>
        </w:rPr>
        <w:t xml:space="preserve">humanitarian </w:t>
      </w:r>
      <w:r w:rsidR="00C95834">
        <w:rPr>
          <w:i/>
          <w:lang w:val="en-GB"/>
        </w:rPr>
        <w:t>needs remain high</w:t>
      </w:r>
      <w:r w:rsidR="00816C09">
        <w:rPr>
          <w:i/>
          <w:lang w:val="en-GB"/>
        </w:rPr>
        <w:t>, the IDP returnee populations remains subject to discrimination,</w:t>
      </w:r>
      <w:r w:rsidR="00C95834">
        <w:rPr>
          <w:i/>
          <w:lang w:val="en-GB"/>
        </w:rPr>
        <w:t xml:space="preserve"> and hundreds of households continue to live below the poverty line</w:t>
      </w:r>
      <w:r w:rsidR="00816C09">
        <w:rPr>
          <w:i/>
          <w:lang w:val="en-GB"/>
        </w:rPr>
        <w:t xml:space="preserve">, the Regional Representation may need to explore continued though more sustainable livelihood interventions in close cooperation with donors and development partners </w:t>
      </w:r>
      <w:r w:rsidR="00C95834">
        <w:rPr>
          <w:rStyle w:val="FootnoteReference"/>
          <w:i/>
          <w:lang w:val="en-GB"/>
        </w:rPr>
        <w:footnoteReference w:id="9"/>
      </w:r>
      <w:r w:rsidRPr="00A07DFE">
        <w:rPr>
          <w:i/>
          <w:lang w:val="en-GB"/>
        </w:rPr>
        <w:t>.</w:t>
      </w:r>
      <w:r w:rsidRPr="00A07DFE">
        <w:rPr>
          <w:lang w:val="en-GB"/>
        </w:rPr>
        <w:t xml:space="preserve"> </w:t>
      </w:r>
      <w:r w:rsidR="00C95834">
        <w:rPr>
          <w:lang w:val="en-GB"/>
        </w:rPr>
        <w:t xml:space="preserve"> Moreover, r</w:t>
      </w:r>
      <w:r w:rsidRPr="00A07DFE">
        <w:rPr>
          <w:lang w:val="en-GB"/>
        </w:rPr>
        <w:t xml:space="preserve">elevance as a strategic partner and a respected interlocutor for the de facto authorities require that UNHCR remains involved in promoting self-reliance through community-based livelihood activities, targeting youth, vulnerable families, women (including victims of SGBV) in particular, and young families. </w:t>
      </w:r>
      <w:r w:rsidR="00816C09">
        <w:rPr>
          <w:lang w:val="en-GB"/>
        </w:rPr>
        <w:t xml:space="preserve">  </w:t>
      </w:r>
      <w:r w:rsidR="003C2565">
        <w:rPr>
          <w:lang w:val="en-GB"/>
        </w:rPr>
        <w:t xml:space="preserve"> </w:t>
      </w:r>
      <w:r w:rsidRPr="00A07DFE">
        <w:rPr>
          <w:lang w:val="en-GB"/>
        </w:rPr>
        <w:t xml:space="preserve">The situation for IDP returnees in Abkhazia has become more dire in 2018 as a result of </w:t>
      </w:r>
      <w:r w:rsidRPr="00A07DFE">
        <w:rPr>
          <w:i/>
          <w:lang w:val="en-GB"/>
        </w:rPr>
        <w:t>challenges to their legal residence status</w:t>
      </w:r>
      <w:r w:rsidRPr="00A07DFE">
        <w:rPr>
          <w:lang w:val="en-GB"/>
        </w:rPr>
        <w:t xml:space="preserve">, and as a result of ecological disaster introduced by the </w:t>
      </w:r>
      <w:r w:rsidRPr="00A07DFE">
        <w:rPr>
          <w:i/>
          <w:lang w:val="en-GB"/>
        </w:rPr>
        <w:t>Brown Marmorated Stink Bug (BMSB) and other pests</w:t>
      </w:r>
      <w:r w:rsidRPr="00A07DFE">
        <w:rPr>
          <w:lang w:val="en-GB"/>
        </w:rPr>
        <w:t xml:space="preserve"> decimating local agriculture, the primary livelihood for residents of the region.  A recent survey of 531 households across all seven districts of Abkhazia found that 97 per cent of residents had reduced incomes in 2017 over 2016; 90 per cent reporting due to crop damage from pests;</w:t>
      </w:r>
      <w:r w:rsidRPr="00A07DFE">
        <w:rPr>
          <w:vertAlign w:val="superscript"/>
          <w:lang w:val="en-GB"/>
        </w:rPr>
        <w:footnoteReference w:id="10"/>
      </w:r>
      <w:r w:rsidRPr="00A07DFE">
        <w:rPr>
          <w:lang w:val="en-GB"/>
        </w:rPr>
        <w:t xml:space="preserve"> </w:t>
      </w:r>
      <w:r w:rsidR="00304313">
        <w:rPr>
          <w:lang w:val="en-GB"/>
        </w:rPr>
        <w:t xml:space="preserve"> </w:t>
      </w:r>
      <w:r w:rsidRPr="00A07DFE">
        <w:rPr>
          <w:lang w:val="en-GB"/>
        </w:rPr>
        <w:t xml:space="preserve">The </w:t>
      </w:r>
      <w:r w:rsidRPr="00A07DFE">
        <w:t xml:space="preserve">serious crisis affecting food security demands an ‘all hands on deck’ approach to avoid worst consequences. </w:t>
      </w:r>
      <w:r w:rsidRPr="00A07DFE">
        <w:rPr>
          <w:lang w:val="en-GB"/>
        </w:rPr>
        <w:t xml:space="preserve"> </w:t>
      </w:r>
      <w:r w:rsidRPr="00A07DFE">
        <w:t xml:space="preserve">No other agency has specific focus on UNHCR’s PoCs as mandate, while this group is both most vulnerable to and has been among the worst affected by the recent pest crisis.   UNHCR’s long-term operating experience in the territory and respected neutral relationship with the de facto authorities uniquely positions UNHCR to support this population.  </w:t>
      </w:r>
    </w:p>
    <w:p w14:paraId="69939A4D" w14:textId="7333DB08" w:rsidR="00A07DFE" w:rsidRPr="00A07DFE" w:rsidRDefault="00304313" w:rsidP="00577C3C">
      <w:pPr>
        <w:jc w:val="both"/>
        <w:rPr>
          <w:lang w:val="en-GB"/>
        </w:rPr>
      </w:pPr>
      <w:r>
        <w:rPr>
          <w:lang w:val="en-GB"/>
        </w:rPr>
        <w:t>Livelihood options</w:t>
      </w:r>
      <w:r w:rsidR="009D7B03">
        <w:rPr>
          <w:lang w:val="en-GB"/>
        </w:rPr>
        <w:t xml:space="preserve"> for PoCs in Abkhazia</w:t>
      </w:r>
      <w:r>
        <w:rPr>
          <w:lang w:val="en-GB"/>
        </w:rPr>
        <w:t xml:space="preserve"> are limited:  </w:t>
      </w:r>
      <w:r w:rsidR="00A07DFE" w:rsidRPr="00A07DFE">
        <w:rPr>
          <w:lang w:val="en-GB"/>
        </w:rPr>
        <w:t xml:space="preserve">The development of a market economy following the collapse of the Soviet Union has stalled for more than 20 years due to unresolved conflict.  Legal hurdles, international isolation due to unrecognized status, poor infrastructure, and limited transport options deters investors and constrains market access for the production existing now. Attracting development resources to this post-conflict zone remains challenging and there are few delivery partners operating in the target communities.  Nevertheless, addressing the immediate needs of the communities through enhanced livelihood opportunities informed by the Regional Protection and Solutions Strategy remains a key priority for 2019-2021.  </w:t>
      </w:r>
      <w:bookmarkStart w:id="4" w:name="_Hlk517281080"/>
      <w:r w:rsidR="00A07DFE" w:rsidRPr="00A07DFE">
        <w:rPr>
          <w:lang w:val="en-GB"/>
        </w:rPr>
        <w:t>The focus will be on providing assistance to community-based income generation</w:t>
      </w:r>
      <w:r w:rsidR="009D7B03">
        <w:rPr>
          <w:lang w:val="en-GB"/>
        </w:rPr>
        <w:t xml:space="preserve"> (including through access to finance)</w:t>
      </w:r>
      <w:r w:rsidR="00A07DFE" w:rsidRPr="00A07DFE">
        <w:rPr>
          <w:lang w:val="en-GB"/>
        </w:rPr>
        <w:t>, productivity and production enhancing tools and activities, including technical and infrastructure support, in rural, agricultural communities with large numbers of vulnerable PoCs.</w:t>
      </w:r>
      <w:r w:rsidR="00C95834">
        <w:rPr>
          <w:lang w:val="en-GB"/>
        </w:rPr>
        <w:t xml:space="preserve">  Furthermore, UNHCR provides critical access to capital for SMEs in Abkhazia through a zero-interest loan scheme operated through its NGO partner. </w:t>
      </w:r>
      <w:r w:rsidR="00A07DFE" w:rsidRPr="00A07DFE">
        <w:rPr>
          <w:lang w:val="en-GB"/>
        </w:rPr>
        <w:t xml:space="preserve"> I</w:t>
      </w:r>
      <w:bookmarkEnd w:id="4"/>
      <w:r w:rsidR="00A07DFE" w:rsidRPr="00A07DFE">
        <w:rPr>
          <w:lang w:val="en-GB"/>
        </w:rPr>
        <w:t xml:space="preserve">n preparation, the UNHCR Abkhazia Field Offices are preparing a baseline of the vulnerable population for improved targeting and future monitoring.  </w:t>
      </w:r>
    </w:p>
    <w:p w14:paraId="418035B3" w14:textId="64436660" w:rsidR="00856B9A" w:rsidRDefault="00856B9A" w:rsidP="00856B9A">
      <w:pPr>
        <w:rPr>
          <w:lang w:val="en-GB"/>
        </w:rPr>
      </w:pPr>
    </w:p>
    <w:p w14:paraId="08BB4E17" w14:textId="17390833" w:rsidR="00DD6829" w:rsidRDefault="00DD6829" w:rsidP="00856B9A">
      <w:pPr>
        <w:rPr>
          <w:lang w:val="en-GB"/>
        </w:rPr>
      </w:pPr>
    </w:p>
    <w:p w14:paraId="01FC57AF" w14:textId="5B32C45C" w:rsidR="00DD6829" w:rsidRDefault="00DD6829" w:rsidP="00856B9A">
      <w:pPr>
        <w:rPr>
          <w:lang w:val="en-GB"/>
        </w:rPr>
      </w:pPr>
    </w:p>
    <w:p w14:paraId="45A3DFE1" w14:textId="67097758" w:rsidR="00DD6829" w:rsidRDefault="00DD6829" w:rsidP="00856B9A">
      <w:pPr>
        <w:rPr>
          <w:lang w:val="en-GB"/>
        </w:rPr>
      </w:pPr>
    </w:p>
    <w:p w14:paraId="71345A16" w14:textId="3B3628D3" w:rsidR="00DD6829" w:rsidRDefault="00DD6829" w:rsidP="00856B9A">
      <w:pPr>
        <w:rPr>
          <w:lang w:val="en-GB"/>
        </w:rPr>
      </w:pPr>
    </w:p>
    <w:p w14:paraId="27C8FF85" w14:textId="118557DE" w:rsidR="00DD6829" w:rsidRDefault="00DD6829" w:rsidP="00856B9A">
      <w:pPr>
        <w:rPr>
          <w:lang w:val="en-GB"/>
        </w:rPr>
      </w:pPr>
    </w:p>
    <w:p w14:paraId="43889C44" w14:textId="77777777" w:rsidR="00DD6829" w:rsidRPr="00856B9A" w:rsidRDefault="00DD6829" w:rsidP="00856B9A">
      <w:pPr>
        <w:rPr>
          <w:lang w:val="en-GB"/>
        </w:rPr>
      </w:pPr>
    </w:p>
    <w:bookmarkEnd w:id="1"/>
    <w:p w14:paraId="68019C04" w14:textId="2974B8A5" w:rsidR="00DD6829" w:rsidRPr="002007A6" w:rsidRDefault="00DD6829" w:rsidP="00DD6829">
      <w:pPr>
        <w:rPr>
          <w:rFonts w:ascii="Century Gothic" w:hAnsi="Century Gothic"/>
          <w:b/>
          <w:bCs/>
          <w:color w:val="4472C4" w:themeColor="accent1"/>
          <w:sz w:val="28"/>
          <w:szCs w:val="28"/>
        </w:rPr>
      </w:pPr>
      <w:r w:rsidRPr="002007A6">
        <w:rPr>
          <w:rFonts w:ascii="Century Gothic" w:hAnsi="Century Gothic"/>
          <w:b/>
          <w:bCs/>
          <w:color w:val="4472C4" w:themeColor="accent1"/>
          <w:sz w:val="28"/>
          <w:szCs w:val="28"/>
        </w:rPr>
        <w:t xml:space="preserve">Summary of </w:t>
      </w:r>
      <w:r w:rsidR="005F668D" w:rsidRPr="002007A6">
        <w:rPr>
          <w:rFonts w:ascii="Century Gothic" w:hAnsi="Century Gothic"/>
          <w:b/>
          <w:bCs/>
          <w:color w:val="4472C4" w:themeColor="accent1"/>
          <w:sz w:val="28"/>
          <w:szCs w:val="28"/>
        </w:rPr>
        <w:t>r</w:t>
      </w:r>
      <w:r w:rsidRPr="002007A6">
        <w:rPr>
          <w:rFonts w:ascii="Century Gothic" w:hAnsi="Century Gothic"/>
          <w:b/>
          <w:bCs/>
          <w:color w:val="4472C4" w:themeColor="accent1"/>
          <w:sz w:val="28"/>
          <w:szCs w:val="28"/>
        </w:rPr>
        <w:t>ecommend</w:t>
      </w:r>
      <w:r w:rsidR="005F668D" w:rsidRPr="002007A6">
        <w:rPr>
          <w:rFonts w:ascii="Century Gothic" w:hAnsi="Century Gothic"/>
          <w:b/>
          <w:bCs/>
          <w:color w:val="4472C4" w:themeColor="accent1"/>
          <w:sz w:val="28"/>
          <w:szCs w:val="28"/>
        </w:rPr>
        <w:t xml:space="preserve">ed actions </w:t>
      </w:r>
      <w:r w:rsidRPr="002007A6">
        <w:rPr>
          <w:rFonts w:ascii="Century Gothic" w:hAnsi="Century Gothic"/>
          <w:b/>
          <w:bCs/>
          <w:color w:val="4472C4" w:themeColor="accent1"/>
          <w:sz w:val="28"/>
          <w:szCs w:val="28"/>
        </w:rPr>
        <w:t>by Stakeholder Group</w:t>
      </w:r>
    </w:p>
    <w:p w14:paraId="5F108B03" w14:textId="5A31C07E" w:rsidR="005F668D" w:rsidRDefault="005F668D" w:rsidP="00DD6829">
      <w:pPr>
        <w:rPr>
          <w:rFonts w:ascii="Century Gothic" w:hAnsi="Century Gothic"/>
          <w:bCs/>
          <w:color w:val="4472C4" w:themeColor="accent1"/>
          <w:sz w:val="28"/>
          <w:szCs w:val="28"/>
        </w:rPr>
      </w:pPr>
      <w:bookmarkStart w:id="5" w:name="_Hlk531098904"/>
      <w:r>
        <w:rPr>
          <w:rFonts w:ascii="Century Gothic" w:hAnsi="Century Gothic"/>
          <w:bCs/>
          <w:color w:val="4472C4" w:themeColor="accent1"/>
          <w:sz w:val="28"/>
          <w:szCs w:val="28"/>
        </w:rPr>
        <w:t>Government</w:t>
      </w:r>
      <w:r w:rsidR="00045861">
        <w:rPr>
          <w:rFonts w:ascii="Century Gothic" w:hAnsi="Century Gothic"/>
          <w:bCs/>
          <w:color w:val="4472C4" w:themeColor="accent1"/>
          <w:sz w:val="28"/>
          <w:szCs w:val="28"/>
        </w:rPr>
        <w:t>s</w:t>
      </w:r>
      <w:r>
        <w:rPr>
          <w:rFonts w:ascii="Century Gothic" w:hAnsi="Century Gothic"/>
          <w:bCs/>
          <w:color w:val="4472C4" w:themeColor="accent1"/>
          <w:sz w:val="28"/>
          <w:szCs w:val="28"/>
        </w:rPr>
        <w:t>:</w:t>
      </w:r>
    </w:p>
    <w:p w14:paraId="3C096414" w14:textId="1F9BFA37" w:rsidR="005F668D" w:rsidRPr="002007A6" w:rsidRDefault="005F668D" w:rsidP="005F668D">
      <w:pPr>
        <w:pStyle w:val="ListParagraph"/>
        <w:numPr>
          <w:ilvl w:val="0"/>
          <w:numId w:val="6"/>
        </w:numPr>
        <w:spacing w:before="120"/>
        <w:jc w:val="both"/>
        <w:rPr>
          <w:b/>
          <w:bCs/>
          <w:i/>
        </w:rPr>
      </w:pPr>
      <w:bookmarkStart w:id="6" w:name="_Hlk531113013"/>
      <w:bookmarkEnd w:id="5"/>
      <w:r>
        <w:rPr>
          <w:b/>
          <w:bCs/>
        </w:rPr>
        <w:t xml:space="preserve">Implement and maintain enabling policies such that refugees have legal and de facto access to work </w:t>
      </w:r>
      <w:r w:rsidRPr="002007A6">
        <w:rPr>
          <w:bCs/>
        </w:rPr>
        <w:t>(such as rights to work, own a business, access financial services, land or property, and freedom of movement</w:t>
      </w:r>
      <w:r w:rsidRPr="002007A6">
        <w:rPr>
          <w:bCs/>
          <w:i/>
        </w:rPr>
        <w:t>)</w:t>
      </w:r>
      <w:r w:rsidRPr="002007A6">
        <w:rPr>
          <w:b/>
          <w:bCs/>
          <w:i/>
        </w:rPr>
        <w:t xml:space="preserve">.  Include provision of necessary enabling, local documentation, such as resident or tax-identification, as required to obtain legal employment.  </w:t>
      </w:r>
    </w:p>
    <w:p w14:paraId="1B7AEB9C" w14:textId="2A2E4E59" w:rsidR="006E7E25" w:rsidRDefault="00DD6829" w:rsidP="006E7E25">
      <w:pPr>
        <w:pStyle w:val="ListParagraph"/>
        <w:numPr>
          <w:ilvl w:val="0"/>
          <w:numId w:val="6"/>
        </w:numPr>
        <w:spacing w:before="120"/>
        <w:jc w:val="both"/>
        <w:rPr>
          <w:b/>
          <w:bCs/>
        </w:rPr>
      </w:pPr>
      <w:r w:rsidRPr="002007A6">
        <w:rPr>
          <w:b/>
          <w:bCs/>
        </w:rPr>
        <w:t xml:space="preserve">Access to </w:t>
      </w:r>
      <w:r w:rsidR="003B6877">
        <w:rPr>
          <w:b/>
          <w:bCs/>
        </w:rPr>
        <w:t xml:space="preserve">economic inclusion </w:t>
      </w:r>
      <w:r w:rsidRPr="002007A6">
        <w:rPr>
          <w:b/>
          <w:bCs/>
        </w:rPr>
        <w:t xml:space="preserve">information and services:  </w:t>
      </w:r>
      <w:r w:rsidR="006E7E25">
        <w:rPr>
          <w:b/>
          <w:bCs/>
        </w:rPr>
        <w:t xml:space="preserve"> </w:t>
      </w:r>
      <w:r w:rsidR="006E7E25">
        <w:rPr>
          <w:bCs/>
        </w:rPr>
        <w:t xml:space="preserve">Engage sufficient </w:t>
      </w:r>
      <w:r w:rsidRPr="002007A6">
        <w:rPr>
          <w:b/>
          <w:bCs/>
          <w:i/>
        </w:rPr>
        <w:t>social workers (integration services)</w:t>
      </w:r>
      <w:r w:rsidRPr="002007A6">
        <w:rPr>
          <w:bCs/>
        </w:rPr>
        <w:t xml:space="preserve"> to </w:t>
      </w:r>
      <w:r w:rsidR="006E7E25">
        <w:rPr>
          <w:bCs/>
        </w:rPr>
        <w:t xml:space="preserve">facilitate refugee connections to </w:t>
      </w:r>
      <w:bookmarkEnd w:id="6"/>
      <w:r w:rsidR="006E7E25">
        <w:rPr>
          <w:bCs/>
        </w:rPr>
        <w:t>existing public services through a dedicated portal.</w:t>
      </w:r>
      <w:r w:rsidR="00B34961">
        <w:rPr>
          <w:bCs/>
        </w:rPr>
        <w:t xml:space="preserve">   Individual integration plans have been identified as best practice in many countries and have been recommended in the region</w:t>
      </w:r>
      <w:r w:rsidR="00B34961">
        <w:rPr>
          <w:rStyle w:val="FootnoteReference"/>
          <w:bCs/>
        </w:rPr>
        <w:footnoteReference w:id="11"/>
      </w:r>
      <w:r w:rsidR="00B34961">
        <w:rPr>
          <w:bCs/>
        </w:rPr>
        <w:t>.</w:t>
      </w:r>
      <w:r w:rsidR="006E7E25">
        <w:rPr>
          <w:bCs/>
        </w:rPr>
        <w:t xml:space="preserve">   Link </w:t>
      </w:r>
      <w:r w:rsidRPr="002007A6">
        <w:rPr>
          <w:bCs/>
        </w:rPr>
        <w:t>PoCs to basic services such as affordable housing, education, medical care, employment agencies, and social assistance programs (where applicable</w:t>
      </w:r>
      <w:r w:rsidR="006E7E25">
        <w:rPr>
          <w:bCs/>
        </w:rPr>
        <w:t xml:space="preserve">). </w:t>
      </w:r>
      <w:r w:rsidRPr="002007A6">
        <w:rPr>
          <w:bCs/>
        </w:rPr>
        <w:t xml:space="preserve"> </w:t>
      </w:r>
      <w:r w:rsidR="006E7E25">
        <w:rPr>
          <w:bCs/>
        </w:rPr>
        <w:t xml:space="preserve"> Specific to economic inclusion referrals</w:t>
      </w:r>
      <w:r w:rsidR="003B6877">
        <w:rPr>
          <w:bCs/>
        </w:rPr>
        <w:t xml:space="preserve"> to</w:t>
      </w:r>
      <w:r w:rsidR="006E7E25">
        <w:rPr>
          <w:bCs/>
        </w:rPr>
        <w:t>:</w:t>
      </w:r>
    </w:p>
    <w:p w14:paraId="272D424B" w14:textId="1576D8DC" w:rsidR="00BC6EC2" w:rsidRDefault="00BC6EC2" w:rsidP="006E7E25">
      <w:pPr>
        <w:pStyle w:val="ListParagraph"/>
        <w:numPr>
          <w:ilvl w:val="1"/>
          <w:numId w:val="6"/>
        </w:numPr>
        <w:spacing w:before="120"/>
        <w:jc w:val="both"/>
        <w:rPr>
          <w:b/>
          <w:bCs/>
        </w:rPr>
      </w:pPr>
      <w:r>
        <w:rPr>
          <w:b/>
          <w:bCs/>
        </w:rPr>
        <w:t>Employment Information on right to work; local labor rights, minimum wage, taxation and any other information pertinent to paid employment in the country.</w:t>
      </w:r>
    </w:p>
    <w:p w14:paraId="7B318875" w14:textId="26A51BEE" w:rsidR="006E7E25" w:rsidRDefault="006E7E25" w:rsidP="006E7E25">
      <w:pPr>
        <w:pStyle w:val="ListParagraph"/>
        <w:numPr>
          <w:ilvl w:val="1"/>
          <w:numId w:val="6"/>
        </w:numPr>
        <w:spacing w:before="120"/>
        <w:jc w:val="both"/>
        <w:rPr>
          <w:b/>
          <w:bCs/>
        </w:rPr>
      </w:pPr>
      <w:r>
        <w:rPr>
          <w:b/>
          <w:bCs/>
        </w:rPr>
        <w:t>Translation services for recognition of diplomas, certificates, or professional accreditation;</w:t>
      </w:r>
    </w:p>
    <w:p w14:paraId="43144175" w14:textId="2FA0580A" w:rsidR="006E7E25" w:rsidRDefault="006E7E25" w:rsidP="006E7E25">
      <w:pPr>
        <w:pStyle w:val="ListParagraph"/>
        <w:numPr>
          <w:ilvl w:val="1"/>
          <w:numId w:val="6"/>
        </w:numPr>
        <w:spacing w:before="120"/>
        <w:jc w:val="both"/>
        <w:rPr>
          <w:b/>
          <w:bCs/>
        </w:rPr>
      </w:pPr>
      <w:r>
        <w:rPr>
          <w:b/>
          <w:bCs/>
        </w:rPr>
        <w:t>Business Development/SME development agencies, and financial institutions for qualifying entrepreneurs;</w:t>
      </w:r>
    </w:p>
    <w:p w14:paraId="50819E12" w14:textId="2045C20D" w:rsidR="006E7E25" w:rsidRPr="002007A6" w:rsidRDefault="006E7E25" w:rsidP="006E7E25">
      <w:pPr>
        <w:pStyle w:val="ListParagraph"/>
        <w:numPr>
          <w:ilvl w:val="1"/>
          <w:numId w:val="6"/>
        </w:numPr>
        <w:spacing w:before="120"/>
        <w:jc w:val="both"/>
        <w:rPr>
          <w:bCs/>
        </w:rPr>
      </w:pPr>
      <w:r>
        <w:rPr>
          <w:b/>
          <w:bCs/>
        </w:rPr>
        <w:t>Language training (if required);</w:t>
      </w:r>
      <w:r w:rsidR="003B6877">
        <w:rPr>
          <w:b/>
          <w:bCs/>
        </w:rPr>
        <w:t xml:space="preserve"> </w:t>
      </w:r>
      <w:r w:rsidR="003B6877" w:rsidRPr="002007A6">
        <w:rPr>
          <w:bCs/>
        </w:rPr>
        <w:t>accessible</w:t>
      </w:r>
      <w:r w:rsidR="003B6877">
        <w:rPr>
          <w:bCs/>
        </w:rPr>
        <w:t xml:space="preserve"> (hours/location)</w:t>
      </w:r>
      <w:r w:rsidR="003B6877" w:rsidRPr="002007A6">
        <w:rPr>
          <w:bCs/>
        </w:rPr>
        <w:t>, age, and level-appropriate host country language training.</w:t>
      </w:r>
    </w:p>
    <w:p w14:paraId="7DAA39C6" w14:textId="6355DD2E" w:rsidR="006E7E25" w:rsidRDefault="006E7E25" w:rsidP="006E7E25">
      <w:pPr>
        <w:pStyle w:val="ListParagraph"/>
        <w:numPr>
          <w:ilvl w:val="1"/>
          <w:numId w:val="6"/>
        </w:numPr>
        <w:spacing w:before="120"/>
        <w:jc w:val="both"/>
        <w:rPr>
          <w:b/>
          <w:bCs/>
        </w:rPr>
      </w:pPr>
      <w:r>
        <w:rPr>
          <w:b/>
          <w:bCs/>
        </w:rPr>
        <w:t>Certified Educational or Vocational Education training centers;</w:t>
      </w:r>
    </w:p>
    <w:p w14:paraId="701328F7" w14:textId="2476CEAA" w:rsidR="003B6877" w:rsidRPr="002007A6" w:rsidRDefault="003B6877" w:rsidP="006E7E25">
      <w:pPr>
        <w:pStyle w:val="ListParagraph"/>
        <w:numPr>
          <w:ilvl w:val="1"/>
          <w:numId w:val="6"/>
        </w:numPr>
        <w:spacing w:before="120"/>
        <w:jc w:val="both"/>
        <w:rPr>
          <w:bCs/>
        </w:rPr>
      </w:pPr>
      <w:r>
        <w:rPr>
          <w:b/>
          <w:bCs/>
        </w:rPr>
        <w:t xml:space="preserve">Public Employment Services/Employment Agencies;  </w:t>
      </w:r>
      <w:r w:rsidRPr="002007A6">
        <w:rPr>
          <w:bCs/>
        </w:rPr>
        <w:t>including guidance or assistance on registration.</w:t>
      </w:r>
    </w:p>
    <w:p w14:paraId="05742636" w14:textId="59C9C973" w:rsidR="006E7E25" w:rsidRPr="002007A6" w:rsidRDefault="006E7E25" w:rsidP="002007A6">
      <w:pPr>
        <w:pStyle w:val="ListParagraph"/>
        <w:numPr>
          <w:ilvl w:val="1"/>
          <w:numId w:val="6"/>
        </w:numPr>
        <w:spacing w:before="120"/>
        <w:jc w:val="both"/>
        <w:rPr>
          <w:b/>
          <w:bCs/>
        </w:rPr>
      </w:pPr>
      <w:r>
        <w:rPr>
          <w:b/>
          <w:bCs/>
        </w:rPr>
        <w:t>Social-services or humanitarian assistance providers, for those</w:t>
      </w:r>
      <w:r w:rsidR="003B6877">
        <w:rPr>
          <w:b/>
          <w:bCs/>
        </w:rPr>
        <w:t xml:space="preserve"> for whom self-reliance is not an option.</w:t>
      </w:r>
      <w:r w:rsidRPr="002007A6">
        <w:rPr>
          <w:b/>
          <w:bCs/>
        </w:rPr>
        <w:t xml:space="preserve"> </w:t>
      </w:r>
    </w:p>
    <w:p w14:paraId="1D06B954" w14:textId="7DFBA0CE" w:rsidR="00DD6829" w:rsidRDefault="00DD6829" w:rsidP="005F668D">
      <w:pPr>
        <w:pStyle w:val="ListParagraph"/>
        <w:numPr>
          <w:ilvl w:val="0"/>
          <w:numId w:val="6"/>
        </w:numPr>
        <w:spacing w:before="120"/>
        <w:jc w:val="both"/>
        <w:rPr>
          <w:bCs/>
        </w:rPr>
      </w:pPr>
      <w:r>
        <w:rPr>
          <w:b/>
          <w:bCs/>
        </w:rPr>
        <w:t xml:space="preserve">Access to Education (including pre-schools, primary, secondary, tertiary, and vocational):  </w:t>
      </w:r>
      <w:r>
        <w:rPr>
          <w:bCs/>
        </w:rPr>
        <w:t xml:space="preserve"> Ensuring that </w:t>
      </w:r>
      <w:r w:rsidRPr="00266B8A">
        <w:rPr>
          <w:bCs/>
          <w:u w:val="single"/>
        </w:rPr>
        <w:t>all children and youth</w:t>
      </w:r>
      <w:r>
        <w:rPr>
          <w:bCs/>
        </w:rPr>
        <w:t xml:space="preserve"> are promptly placed in school is a critical component in enabling adults to proceed with economic integration, and prepares the next generation for rapid integration into the local community</w:t>
      </w:r>
      <w:r w:rsidR="003B6877">
        <w:rPr>
          <w:bCs/>
        </w:rPr>
        <w:t>.</w:t>
      </w:r>
      <w:r>
        <w:rPr>
          <w:bCs/>
        </w:rPr>
        <w:t xml:space="preserve"> </w:t>
      </w:r>
      <w:r w:rsidRPr="002007A6">
        <w:rPr>
          <w:bCs/>
          <w:i/>
        </w:rPr>
        <w:t>Early childhood education is</w:t>
      </w:r>
      <w:r w:rsidR="003B6877" w:rsidRPr="002007A6">
        <w:rPr>
          <w:bCs/>
          <w:i/>
        </w:rPr>
        <w:t xml:space="preserve"> recommended for host national and refugee children alike,</w:t>
      </w:r>
      <w:r w:rsidRPr="002007A6">
        <w:rPr>
          <w:bCs/>
          <w:i/>
        </w:rPr>
        <w:t xml:space="preserve"> increasingly recognized as leading to the best long-term outcomes for children, and is critical for enabling more women to enter the labour force.</w:t>
      </w:r>
      <w:r w:rsidRPr="002007A6">
        <w:rPr>
          <w:bCs/>
        </w:rPr>
        <w:t xml:space="preserve">  </w:t>
      </w:r>
    </w:p>
    <w:p w14:paraId="39550449" w14:textId="49325FDA" w:rsidR="003B6877" w:rsidRDefault="003B6877" w:rsidP="005F668D">
      <w:pPr>
        <w:pStyle w:val="ListParagraph"/>
        <w:numPr>
          <w:ilvl w:val="0"/>
          <w:numId w:val="6"/>
        </w:numPr>
        <w:spacing w:before="120"/>
        <w:jc w:val="both"/>
        <w:rPr>
          <w:bCs/>
        </w:rPr>
      </w:pPr>
      <w:r>
        <w:rPr>
          <w:b/>
          <w:bCs/>
        </w:rPr>
        <w:lastRenderedPageBreak/>
        <w:t>Data Management:</w:t>
      </w:r>
      <w:r>
        <w:rPr>
          <w:bCs/>
        </w:rPr>
        <w:t xml:space="preserve">  </w:t>
      </w:r>
      <w:r w:rsidR="00AB3D0C">
        <w:rPr>
          <w:bCs/>
        </w:rPr>
        <w:t xml:space="preserve">Adopt UNHCR recommended PoC registration tools, and where possible include PoC livelihood asset fields (qualifications, skills, experience) in the demographic profiles maintained.  </w:t>
      </w:r>
    </w:p>
    <w:p w14:paraId="2C941406" w14:textId="47D0FE40" w:rsidR="00AB3D0C" w:rsidRDefault="00AB3D0C" w:rsidP="00AB3D0C">
      <w:pPr>
        <w:pStyle w:val="ListParagraph"/>
        <w:spacing w:before="120"/>
        <w:jc w:val="both"/>
        <w:rPr>
          <w:b/>
          <w:bCs/>
        </w:rPr>
      </w:pPr>
    </w:p>
    <w:p w14:paraId="5755D271" w14:textId="455D6420" w:rsidR="00AB3D0C" w:rsidRDefault="00AB3D0C" w:rsidP="00AB3D0C">
      <w:pPr>
        <w:rPr>
          <w:rFonts w:ascii="Century Gothic" w:hAnsi="Century Gothic"/>
          <w:bCs/>
          <w:color w:val="4472C4" w:themeColor="accent1"/>
          <w:sz w:val="28"/>
          <w:szCs w:val="28"/>
        </w:rPr>
      </w:pPr>
      <w:bookmarkStart w:id="7" w:name="_Hlk531099512"/>
      <w:r>
        <w:rPr>
          <w:rFonts w:ascii="Century Gothic" w:hAnsi="Century Gothic"/>
          <w:bCs/>
          <w:color w:val="4472C4" w:themeColor="accent1"/>
          <w:sz w:val="28"/>
          <w:szCs w:val="28"/>
        </w:rPr>
        <w:t>Development Actors (including UN sister agencies, NGOs):</w:t>
      </w:r>
    </w:p>
    <w:p w14:paraId="569CF1AE" w14:textId="77777777" w:rsidR="00DC70FB" w:rsidRDefault="00AB3D0C" w:rsidP="00DC70FB">
      <w:pPr>
        <w:pStyle w:val="ListParagraph"/>
        <w:numPr>
          <w:ilvl w:val="0"/>
          <w:numId w:val="7"/>
        </w:numPr>
        <w:spacing w:before="120"/>
        <w:jc w:val="both"/>
        <w:rPr>
          <w:bCs/>
        </w:rPr>
      </w:pPr>
      <w:bookmarkStart w:id="8" w:name="_Hlk531099883"/>
      <w:bookmarkEnd w:id="7"/>
      <w:r w:rsidRPr="002007A6">
        <w:rPr>
          <w:b/>
          <w:bCs/>
        </w:rPr>
        <w:t>Include refugees</w:t>
      </w:r>
      <w:r w:rsidR="00316D43">
        <w:rPr>
          <w:b/>
          <w:bCs/>
        </w:rPr>
        <w:t xml:space="preserve"> among beneficiaries</w:t>
      </w:r>
      <w:r>
        <w:rPr>
          <w:bCs/>
        </w:rPr>
        <w:t xml:space="preserve"> in local poverty alleviation, economic inclusion, and market-based livelihood programming initiatives.  </w:t>
      </w:r>
      <w:r w:rsidR="00316D43">
        <w:rPr>
          <w:bCs/>
        </w:rPr>
        <w:t xml:space="preserve"> </w:t>
      </w:r>
    </w:p>
    <w:p w14:paraId="398EAD8A" w14:textId="77777777" w:rsidR="00DC70FB" w:rsidRDefault="00AB3D0C" w:rsidP="00DC70FB">
      <w:pPr>
        <w:pStyle w:val="ListParagraph"/>
        <w:numPr>
          <w:ilvl w:val="0"/>
          <w:numId w:val="7"/>
        </w:numPr>
        <w:spacing w:before="120"/>
        <w:jc w:val="both"/>
        <w:rPr>
          <w:bCs/>
        </w:rPr>
      </w:pPr>
      <w:r w:rsidRPr="002007A6">
        <w:rPr>
          <w:b/>
          <w:bCs/>
        </w:rPr>
        <w:t>Partner with UNHCR</w:t>
      </w:r>
      <w:r w:rsidR="00316D43" w:rsidRPr="002007A6">
        <w:rPr>
          <w:b/>
          <w:bCs/>
        </w:rPr>
        <w:t xml:space="preserve"> </w:t>
      </w:r>
      <w:r w:rsidR="00316D43" w:rsidRPr="002007A6">
        <w:rPr>
          <w:bCs/>
        </w:rPr>
        <w:t xml:space="preserve">on resource mobilization and deployment of good practice initiatives.   Participate in UNHCR briefings to better understand UNHCR programs and practices. Seek guidance or assistance from UNHCR in areas where UNHCR may have stronger engagement with local stakeholders, insights into beneficiary assets and needs, or local partner environment. </w:t>
      </w:r>
    </w:p>
    <w:p w14:paraId="0F4C55BD" w14:textId="2B8C93E6" w:rsidR="00DC70FB" w:rsidRDefault="00316D43" w:rsidP="00DC70FB">
      <w:pPr>
        <w:pStyle w:val="ListParagraph"/>
        <w:numPr>
          <w:ilvl w:val="0"/>
          <w:numId w:val="7"/>
        </w:numPr>
        <w:spacing w:before="120"/>
        <w:jc w:val="both"/>
        <w:rPr>
          <w:bCs/>
        </w:rPr>
      </w:pPr>
      <w:r w:rsidRPr="002007A6">
        <w:rPr>
          <w:b/>
          <w:bCs/>
        </w:rPr>
        <w:t xml:space="preserve">Engage refugees in stakeholder consultations </w:t>
      </w:r>
      <w:r w:rsidRPr="002007A6">
        <w:rPr>
          <w:bCs/>
        </w:rPr>
        <w:t xml:space="preserve">to facilitate programming that </w:t>
      </w:r>
      <w:r w:rsidR="00580921">
        <w:rPr>
          <w:bCs/>
        </w:rPr>
        <w:t xml:space="preserve">is informed by refugee experience and </w:t>
      </w:r>
      <w:r w:rsidRPr="002007A6">
        <w:rPr>
          <w:bCs/>
        </w:rPr>
        <w:t xml:space="preserve">that benefits from refugee livelihood skills and assets, and recognizes special needs. </w:t>
      </w:r>
    </w:p>
    <w:p w14:paraId="03781E12" w14:textId="31B4E86E" w:rsidR="00316D43" w:rsidRPr="002007A6" w:rsidRDefault="00316D43" w:rsidP="00DC70FB">
      <w:pPr>
        <w:pStyle w:val="ListParagraph"/>
        <w:numPr>
          <w:ilvl w:val="0"/>
          <w:numId w:val="7"/>
        </w:numPr>
        <w:spacing w:before="120"/>
        <w:jc w:val="both"/>
        <w:rPr>
          <w:bCs/>
        </w:rPr>
      </w:pPr>
      <w:r w:rsidRPr="002007A6">
        <w:rPr>
          <w:b/>
          <w:bCs/>
        </w:rPr>
        <w:t>Monitor results and report outcomes</w:t>
      </w:r>
      <w:r w:rsidR="00DC70FB" w:rsidRPr="002007A6">
        <w:rPr>
          <w:b/>
          <w:bCs/>
        </w:rPr>
        <w:t xml:space="preserve">. </w:t>
      </w:r>
    </w:p>
    <w:bookmarkEnd w:id="8"/>
    <w:p w14:paraId="0445836E" w14:textId="77777777" w:rsidR="00DC70FB" w:rsidRPr="00DC70FB" w:rsidRDefault="00DC70FB" w:rsidP="002007A6">
      <w:pPr>
        <w:pStyle w:val="ListParagraph"/>
        <w:spacing w:before="120"/>
        <w:jc w:val="both"/>
        <w:rPr>
          <w:bCs/>
        </w:rPr>
      </w:pPr>
    </w:p>
    <w:p w14:paraId="5B21C0B6" w14:textId="793DC7D6" w:rsidR="00316D43" w:rsidRDefault="00DC70FB" w:rsidP="00316D43">
      <w:pPr>
        <w:rPr>
          <w:rFonts w:ascii="Century Gothic" w:hAnsi="Century Gothic"/>
          <w:bCs/>
          <w:color w:val="4472C4" w:themeColor="accent1"/>
          <w:sz w:val="28"/>
          <w:szCs w:val="28"/>
        </w:rPr>
      </w:pPr>
      <w:bookmarkStart w:id="9" w:name="_Hlk531100231"/>
      <w:r>
        <w:rPr>
          <w:rFonts w:ascii="Century Gothic" w:hAnsi="Century Gothic"/>
          <w:bCs/>
          <w:color w:val="4472C4" w:themeColor="accent1"/>
          <w:sz w:val="28"/>
          <w:szCs w:val="28"/>
        </w:rPr>
        <w:t>Academia and research institutions</w:t>
      </w:r>
      <w:r w:rsidR="00316D43" w:rsidRPr="002007A6">
        <w:rPr>
          <w:rFonts w:ascii="Century Gothic" w:hAnsi="Century Gothic"/>
          <w:bCs/>
          <w:color w:val="4472C4" w:themeColor="accent1"/>
          <w:sz w:val="28"/>
          <w:szCs w:val="28"/>
        </w:rPr>
        <w:t>:</w:t>
      </w:r>
    </w:p>
    <w:p w14:paraId="33043200" w14:textId="0FDFF605" w:rsidR="00DC70FB" w:rsidRPr="002007A6" w:rsidRDefault="00DC70FB" w:rsidP="00DC70FB">
      <w:pPr>
        <w:pStyle w:val="ListParagraph"/>
        <w:numPr>
          <w:ilvl w:val="0"/>
          <w:numId w:val="10"/>
        </w:numPr>
        <w:spacing w:before="120"/>
        <w:jc w:val="both"/>
        <w:rPr>
          <w:bCs/>
        </w:rPr>
      </w:pPr>
      <w:bookmarkStart w:id="10" w:name="_Hlk531104095"/>
      <w:bookmarkEnd w:id="9"/>
      <w:r>
        <w:rPr>
          <w:b/>
          <w:bCs/>
        </w:rPr>
        <w:t>Partner with UNHCR to conduct academically rigorous and sound surveys, studies and assessments to inform local and regional policy and programming.</w:t>
      </w:r>
    </w:p>
    <w:p w14:paraId="411098FD" w14:textId="77777777" w:rsidR="00DC70FB" w:rsidRDefault="00DC70FB" w:rsidP="002007A6">
      <w:pPr>
        <w:pStyle w:val="ListParagraph"/>
        <w:numPr>
          <w:ilvl w:val="1"/>
          <w:numId w:val="10"/>
        </w:numPr>
        <w:spacing w:before="120"/>
        <w:jc w:val="both"/>
        <w:rPr>
          <w:bCs/>
        </w:rPr>
      </w:pPr>
      <w:r>
        <w:rPr>
          <w:bCs/>
        </w:rPr>
        <w:t xml:space="preserve">Work with UNHCR to </w:t>
      </w:r>
      <w:r w:rsidRPr="002007A6">
        <w:rPr>
          <w:b/>
          <w:bCs/>
        </w:rPr>
        <w:t>customize a standardized instrument</w:t>
      </w:r>
      <w:r>
        <w:rPr>
          <w:bCs/>
        </w:rPr>
        <w:t xml:space="preserve"> and appropriate intervals for measuring economic inclusion results in the region. </w:t>
      </w:r>
    </w:p>
    <w:p w14:paraId="704B2CBD" w14:textId="7EACEF54" w:rsidR="00DC70FB" w:rsidRPr="002007A6" w:rsidRDefault="00DC70FB" w:rsidP="00DC70FB">
      <w:pPr>
        <w:pStyle w:val="ListParagraph"/>
        <w:numPr>
          <w:ilvl w:val="1"/>
          <w:numId w:val="10"/>
        </w:numPr>
        <w:spacing w:before="120"/>
        <w:jc w:val="both"/>
        <w:rPr>
          <w:bCs/>
        </w:rPr>
      </w:pPr>
      <w:r w:rsidRPr="002007A6">
        <w:rPr>
          <w:b/>
          <w:bCs/>
        </w:rPr>
        <w:t>Engage re</w:t>
      </w:r>
      <w:r>
        <w:rPr>
          <w:b/>
          <w:bCs/>
        </w:rPr>
        <w:t xml:space="preserve">fugees widely in the research process and where possible directly in the research effort. </w:t>
      </w:r>
    </w:p>
    <w:bookmarkEnd w:id="10"/>
    <w:p w14:paraId="2F39CE18" w14:textId="1E2D83DA" w:rsidR="00DC70FB" w:rsidRDefault="00DC70FB" w:rsidP="00DC70FB">
      <w:pPr>
        <w:rPr>
          <w:rFonts w:ascii="Century Gothic" w:hAnsi="Century Gothic"/>
          <w:bCs/>
          <w:color w:val="4472C4" w:themeColor="accent1"/>
          <w:sz w:val="28"/>
          <w:szCs w:val="28"/>
        </w:rPr>
      </w:pPr>
      <w:r>
        <w:rPr>
          <w:rFonts w:ascii="Century Gothic" w:hAnsi="Century Gothic"/>
          <w:bCs/>
          <w:color w:val="4472C4" w:themeColor="accent1"/>
          <w:sz w:val="28"/>
          <w:szCs w:val="28"/>
        </w:rPr>
        <w:t>Persons of Concern</w:t>
      </w:r>
      <w:r w:rsidRPr="00B869E8">
        <w:rPr>
          <w:rFonts w:ascii="Century Gothic" w:hAnsi="Century Gothic"/>
          <w:bCs/>
          <w:color w:val="4472C4" w:themeColor="accent1"/>
          <w:sz w:val="28"/>
          <w:szCs w:val="28"/>
        </w:rPr>
        <w:t>:</w:t>
      </w:r>
    </w:p>
    <w:p w14:paraId="6C151D18" w14:textId="7FD11302" w:rsidR="00BC6EC2" w:rsidRPr="00BC6EC2" w:rsidRDefault="00BC6EC2" w:rsidP="00580921">
      <w:pPr>
        <w:pStyle w:val="ListParagraph"/>
        <w:numPr>
          <w:ilvl w:val="0"/>
          <w:numId w:val="12"/>
        </w:numPr>
        <w:spacing w:before="120"/>
        <w:jc w:val="both"/>
        <w:rPr>
          <w:b/>
          <w:bCs/>
        </w:rPr>
      </w:pPr>
      <w:r w:rsidRPr="002007A6">
        <w:rPr>
          <w:b/>
          <w:bCs/>
        </w:rPr>
        <w:t xml:space="preserve">On arrival, request relevant information related to right to work, minimum wage, taxation, and any required documentation to legally engage in commercial activities.  </w:t>
      </w:r>
    </w:p>
    <w:p w14:paraId="66153BC2" w14:textId="7834DFC1" w:rsidR="00580921" w:rsidRPr="002007A6" w:rsidRDefault="00BC6EC2" w:rsidP="00580921">
      <w:pPr>
        <w:pStyle w:val="ListParagraph"/>
        <w:numPr>
          <w:ilvl w:val="0"/>
          <w:numId w:val="12"/>
        </w:numPr>
        <w:spacing w:before="120"/>
        <w:jc w:val="both"/>
        <w:rPr>
          <w:bCs/>
        </w:rPr>
      </w:pPr>
      <w:r>
        <w:rPr>
          <w:b/>
          <w:bCs/>
        </w:rPr>
        <w:t xml:space="preserve">At port of entry or upon first contact with local authorities, request information on availability of </w:t>
      </w:r>
      <w:r w:rsidR="00BD6100">
        <w:rPr>
          <w:b/>
          <w:bCs/>
        </w:rPr>
        <w:t>socio-</w:t>
      </w:r>
      <w:r w:rsidR="00580921">
        <w:rPr>
          <w:b/>
          <w:bCs/>
        </w:rPr>
        <w:t>economic integration support</w:t>
      </w:r>
      <w:r>
        <w:rPr>
          <w:b/>
          <w:bCs/>
        </w:rPr>
        <w:t xml:space="preserve"> (as well as, assistance for other basic assistance: health, housing, education)</w:t>
      </w:r>
      <w:r w:rsidR="00580921">
        <w:rPr>
          <w:b/>
          <w:bCs/>
        </w:rPr>
        <w:t xml:space="preserve">.  </w:t>
      </w:r>
    </w:p>
    <w:p w14:paraId="3846FEDD" w14:textId="77A47C85" w:rsidR="00BD6100" w:rsidRPr="002007A6" w:rsidRDefault="00BD6100" w:rsidP="00580921">
      <w:pPr>
        <w:pStyle w:val="ListParagraph"/>
        <w:numPr>
          <w:ilvl w:val="0"/>
          <w:numId w:val="12"/>
        </w:numPr>
        <w:spacing w:before="120"/>
        <w:jc w:val="both"/>
        <w:rPr>
          <w:bCs/>
        </w:rPr>
      </w:pPr>
      <w:r w:rsidRPr="002007A6">
        <w:rPr>
          <w:b/>
        </w:rPr>
        <w:t>Develop and meet commitments of an Individual Integration Plan</w:t>
      </w:r>
      <w:r>
        <w:rPr>
          <w:b/>
        </w:rPr>
        <w:t xml:space="preserve"> (IIP)</w:t>
      </w:r>
      <w:r w:rsidRPr="002007A6">
        <w:rPr>
          <w:b/>
        </w:rPr>
        <w:t>.</w:t>
      </w:r>
      <w:r>
        <w:t xml:space="preserve">    Whether in cooperation with local government</w:t>
      </w:r>
      <w:r w:rsidR="00FB369C">
        <w:t xml:space="preserve"> (if available, being piloted in some areas)</w:t>
      </w:r>
      <w:r>
        <w:t xml:space="preserve">, development actors, NGOs, or independently, develop a plan for integrating into the local economy.   IIPs developed with governments will  state the </w:t>
      </w:r>
      <w:r w:rsidR="00B34961">
        <w:t>rights and obligations of both sides of the IIP</w:t>
      </w:r>
      <w:r w:rsidR="00FB369C">
        <w:t xml:space="preserve"> (refugee and government)</w:t>
      </w:r>
      <w:r>
        <w:t>.  Be prepared to meet minimum obligations, such as</w:t>
      </w:r>
      <w:r w:rsidR="00B34961">
        <w:t>:</w:t>
      </w:r>
    </w:p>
    <w:p w14:paraId="69EC16E1" w14:textId="77777777" w:rsidR="00BD6100" w:rsidRPr="002007A6" w:rsidRDefault="00B34961" w:rsidP="00BD6100">
      <w:pPr>
        <w:pStyle w:val="ListParagraph"/>
        <w:numPr>
          <w:ilvl w:val="1"/>
          <w:numId w:val="12"/>
        </w:numPr>
        <w:spacing w:before="120"/>
        <w:jc w:val="both"/>
        <w:rPr>
          <w:bCs/>
        </w:rPr>
      </w:pPr>
      <w:r>
        <w:t xml:space="preserve"> - to register at the labour office within a deadline outlined in the IIP;</w:t>
      </w:r>
    </w:p>
    <w:p w14:paraId="491185B1" w14:textId="77777777" w:rsidR="00BD6100" w:rsidRPr="002007A6" w:rsidRDefault="00B34961" w:rsidP="00BD6100">
      <w:pPr>
        <w:pStyle w:val="ListParagraph"/>
        <w:numPr>
          <w:ilvl w:val="1"/>
          <w:numId w:val="12"/>
        </w:numPr>
        <w:spacing w:before="120"/>
        <w:jc w:val="both"/>
        <w:rPr>
          <w:bCs/>
        </w:rPr>
      </w:pPr>
      <w:r>
        <w:t xml:space="preserve"> - to be proactively searching for a job;</w:t>
      </w:r>
    </w:p>
    <w:p w14:paraId="588A0FA6" w14:textId="77777777" w:rsidR="00BD6100" w:rsidRPr="002007A6" w:rsidRDefault="00B34961" w:rsidP="00BD6100">
      <w:pPr>
        <w:pStyle w:val="ListParagraph"/>
        <w:numPr>
          <w:ilvl w:val="1"/>
          <w:numId w:val="12"/>
        </w:numPr>
        <w:spacing w:before="120"/>
        <w:jc w:val="both"/>
        <w:rPr>
          <w:bCs/>
        </w:rPr>
      </w:pPr>
      <w:r>
        <w:t xml:space="preserve"> - to take part in offered vocational training opportunities;</w:t>
      </w:r>
    </w:p>
    <w:p w14:paraId="331DFEA6" w14:textId="5E5ECD09" w:rsidR="00BD6100" w:rsidRPr="002007A6" w:rsidRDefault="00B34961" w:rsidP="00BD6100">
      <w:pPr>
        <w:pStyle w:val="ListParagraph"/>
        <w:numPr>
          <w:ilvl w:val="1"/>
          <w:numId w:val="12"/>
        </w:numPr>
        <w:spacing w:before="120"/>
        <w:jc w:val="both"/>
        <w:rPr>
          <w:bCs/>
        </w:rPr>
      </w:pPr>
      <w:r>
        <w:t xml:space="preserve"> - to participate in compulsory</w:t>
      </w:r>
      <w:r w:rsidR="00FB369C">
        <w:t xml:space="preserve"> local</w:t>
      </w:r>
      <w:r>
        <w:t xml:space="preserve"> language classes;</w:t>
      </w:r>
    </w:p>
    <w:p w14:paraId="5AE857F0" w14:textId="77777777" w:rsidR="00BD6100" w:rsidRPr="002007A6" w:rsidRDefault="00B34961" w:rsidP="00BD6100">
      <w:pPr>
        <w:pStyle w:val="ListParagraph"/>
        <w:numPr>
          <w:ilvl w:val="1"/>
          <w:numId w:val="12"/>
        </w:numPr>
        <w:spacing w:before="120"/>
        <w:jc w:val="both"/>
        <w:rPr>
          <w:bCs/>
        </w:rPr>
      </w:pPr>
      <w:r>
        <w:t xml:space="preserve"> - to enroll children in relevant schooling;</w:t>
      </w:r>
    </w:p>
    <w:p w14:paraId="4D3D1C84" w14:textId="77777777" w:rsidR="00FB369C" w:rsidRPr="002007A6" w:rsidRDefault="00B34961" w:rsidP="00BD6100">
      <w:pPr>
        <w:pStyle w:val="ListParagraph"/>
        <w:numPr>
          <w:ilvl w:val="1"/>
          <w:numId w:val="12"/>
        </w:numPr>
        <w:spacing w:before="120"/>
        <w:jc w:val="both"/>
        <w:rPr>
          <w:bCs/>
        </w:rPr>
      </w:pPr>
      <w:r>
        <w:lastRenderedPageBreak/>
        <w:t xml:space="preserve"> - to cooperate and communicate with </w:t>
      </w:r>
      <w:r w:rsidR="00BD6100">
        <w:t xml:space="preserve">a </w:t>
      </w:r>
      <w:r w:rsidR="00FB369C">
        <w:t xml:space="preserve">Government </w:t>
      </w:r>
      <w:r>
        <w:t>representative for follow-up during agreed appointments;</w:t>
      </w:r>
    </w:p>
    <w:p w14:paraId="2336C60B" w14:textId="3C1A540D" w:rsidR="00580921" w:rsidRPr="002007A6" w:rsidRDefault="00B34961" w:rsidP="00DC70FB">
      <w:pPr>
        <w:pStyle w:val="ListParagraph"/>
        <w:numPr>
          <w:ilvl w:val="1"/>
          <w:numId w:val="12"/>
        </w:numPr>
        <w:spacing w:before="120"/>
        <w:jc w:val="both"/>
        <w:rPr>
          <w:bCs/>
        </w:rPr>
      </w:pPr>
      <w:r>
        <w:t xml:space="preserve"> - to update or inform on progress made in terms of other activities agreed upon in the IIP.</w:t>
      </w:r>
    </w:p>
    <w:p w14:paraId="59174ADE" w14:textId="030AB2BC" w:rsidR="00866FF4" w:rsidRDefault="009C4609" w:rsidP="00866FF4">
      <w:pPr>
        <w:pStyle w:val="ListParagraph"/>
        <w:numPr>
          <w:ilvl w:val="0"/>
          <w:numId w:val="12"/>
        </w:numPr>
        <w:spacing w:before="120"/>
        <w:jc w:val="both"/>
        <w:rPr>
          <w:bCs/>
        </w:rPr>
      </w:pPr>
      <w:r>
        <w:rPr>
          <w:b/>
          <w:bCs/>
        </w:rPr>
        <w:t>Community-advocacy, l</w:t>
      </w:r>
      <w:r w:rsidR="00866FF4" w:rsidRPr="002007A6">
        <w:rPr>
          <w:b/>
          <w:bCs/>
        </w:rPr>
        <w:t>ocal engagement and networking:</w:t>
      </w:r>
      <w:r w:rsidR="00866FF4">
        <w:rPr>
          <w:bCs/>
        </w:rPr>
        <w:t xml:space="preserve">  Maintain contact with relevant authorities, UNHCR, government agencies, local social workers, development actors, and others to alert of challenges and opportunities to improve conditions for economic integration.  Provide specific recommendations and document issues clearly.  Propose opportunities for effective dialogue and participate in Focus Groups.   Consider joining activities organized for refugees to broaden contact base in the community and with external stakeholders.  </w:t>
      </w:r>
    </w:p>
    <w:p w14:paraId="05A2B5A2" w14:textId="77777777" w:rsidR="00866FF4" w:rsidRPr="002007A6" w:rsidRDefault="00866FF4" w:rsidP="002007A6">
      <w:pPr>
        <w:pStyle w:val="ListParagraph"/>
        <w:spacing w:before="120"/>
        <w:jc w:val="both"/>
        <w:rPr>
          <w:bCs/>
        </w:rPr>
      </w:pPr>
    </w:p>
    <w:p w14:paraId="3FD60AF9" w14:textId="34D467EF" w:rsidR="00866FF4" w:rsidRDefault="00866FF4" w:rsidP="00866FF4">
      <w:pPr>
        <w:pStyle w:val="ListParagraph"/>
        <w:numPr>
          <w:ilvl w:val="0"/>
          <w:numId w:val="12"/>
        </w:numPr>
        <w:rPr>
          <w:rFonts w:ascii="Century Gothic" w:hAnsi="Century Gothic"/>
          <w:bCs/>
          <w:color w:val="4472C4" w:themeColor="accent1"/>
          <w:sz w:val="28"/>
          <w:szCs w:val="28"/>
        </w:rPr>
      </w:pPr>
      <w:r>
        <w:rPr>
          <w:rFonts w:ascii="Century Gothic" w:hAnsi="Century Gothic"/>
          <w:bCs/>
          <w:color w:val="4472C4" w:themeColor="accent1"/>
          <w:sz w:val="28"/>
          <w:szCs w:val="28"/>
        </w:rPr>
        <w:t>UNHCR</w:t>
      </w:r>
      <w:r w:rsidRPr="00866FF4">
        <w:rPr>
          <w:rFonts w:ascii="Century Gothic" w:hAnsi="Century Gothic"/>
          <w:bCs/>
          <w:color w:val="4472C4" w:themeColor="accent1"/>
          <w:sz w:val="28"/>
          <w:szCs w:val="28"/>
        </w:rPr>
        <w:t>:</w:t>
      </w:r>
    </w:p>
    <w:p w14:paraId="5A07FF1C" w14:textId="77777777" w:rsidR="009C4609" w:rsidRPr="002007A6" w:rsidRDefault="009C4609" w:rsidP="002007A6">
      <w:pPr>
        <w:pStyle w:val="ListParagraph"/>
        <w:rPr>
          <w:rFonts w:ascii="Century Gothic" w:hAnsi="Century Gothic"/>
          <w:bCs/>
          <w:color w:val="4472C4" w:themeColor="accent1"/>
          <w:sz w:val="28"/>
          <w:szCs w:val="28"/>
        </w:rPr>
      </w:pPr>
    </w:p>
    <w:p w14:paraId="0BB141A2" w14:textId="5D8066B1" w:rsidR="009C4609" w:rsidRPr="002007A6" w:rsidRDefault="009C4609" w:rsidP="009C4609">
      <w:pPr>
        <w:pStyle w:val="ListParagraph"/>
        <w:numPr>
          <w:ilvl w:val="0"/>
          <w:numId w:val="13"/>
        </w:numPr>
        <w:spacing w:before="120"/>
        <w:jc w:val="both"/>
        <w:rPr>
          <w:rFonts w:ascii="Century Gothic" w:hAnsi="Century Gothic"/>
          <w:bCs/>
          <w:sz w:val="28"/>
          <w:szCs w:val="28"/>
        </w:rPr>
      </w:pPr>
      <w:r w:rsidRPr="001468AC">
        <w:rPr>
          <w:b/>
          <w:bCs/>
        </w:rPr>
        <w:t xml:space="preserve">Focus on Client Orientation (Participatory Approaches):  While economic-inclusion programming will increasingly be mainstreamed through national employment programs and partner development programs, UNHCR continues to be the main advocate for refugee rights and inclusion.   </w:t>
      </w:r>
      <w:r w:rsidRPr="001468AC">
        <w:rPr>
          <w:bCs/>
        </w:rPr>
        <w:t>As activities are further outsourced,</w:t>
      </w:r>
      <w:r w:rsidR="00BB43D8">
        <w:rPr>
          <w:bCs/>
        </w:rPr>
        <w:t xml:space="preserve"> to mitigate risk of detachment,</w:t>
      </w:r>
      <w:r w:rsidRPr="001468AC">
        <w:rPr>
          <w:bCs/>
        </w:rPr>
        <w:t xml:space="preserve"> UNHCR to increase outreach to PoCs and to encourage direct engagement of PoCs in participatory planning.  Explore assigning UNHCR </w:t>
      </w:r>
      <w:r w:rsidR="00BB43D8">
        <w:rPr>
          <w:bCs/>
        </w:rPr>
        <w:t xml:space="preserve">staff members </w:t>
      </w:r>
      <w:r w:rsidRPr="001468AC">
        <w:rPr>
          <w:bCs/>
        </w:rPr>
        <w:t>to planning and delivery of community activities in order to gain closer insights into PoC livelihood assets and gaps.</w:t>
      </w:r>
    </w:p>
    <w:p w14:paraId="1D97DF57" w14:textId="2D284E95" w:rsidR="0074193E" w:rsidRPr="002007A6" w:rsidRDefault="0074193E" w:rsidP="009C4609">
      <w:pPr>
        <w:pStyle w:val="ListParagraph"/>
        <w:numPr>
          <w:ilvl w:val="0"/>
          <w:numId w:val="13"/>
        </w:numPr>
        <w:spacing w:before="120"/>
        <w:jc w:val="both"/>
        <w:rPr>
          <w:rFonts w:ascii="Century Gothic" w:hAnsi="Century Gothic"/>
          <w:bCs/>
          <w:sz w:val="28"/>
          <w:szCs w:val="28"/>
        </w:rPr>
      </w:pPr>
      <w:r>
        <w:rPr>
          <w:b/>
          <w:bCs/>
        </w:rPr>
        <w:t>Advocate for right to work:</w:t>
      </w:r>
      <w:r>
        <w:rPr>
          <w:rFonts w:ascii="Century Gothic" w:hAnsi="Century Gothic"/>
          <w:bCs/>
          <w:sz w:val="28"/>
          <w:szCs w:val="28"/>
        </w:rPr>
        <w:t xml:space="preserve">  </w:t>
      </w:r>
      <w:r>
        <w:rPr>
          <w:rFonts w:ascii="Calibri" w:hAnsi="Calibri" w:cs="Calibri"/>
          <w:bCs/>
        </w:rPr>
        <w:t>UNHCR will increase its focus</w:t>
      </w:r>
      <w:r w:rsidR="00B579E7">
        <w:rPr>
          <w:rFonts w:ascii="Calibri" w:hAnsi="Calibri" w:cs="Calibri"/>
          <w:bCs/>
        </w:rPr>
        <w:t xml:space="preserve"> and resources</w:t>
      </w:r>
      <w:r>
        <w:rPr>
          <w:rFonts w:ascii="Calibri" w:hAnsi="Calibri" w:cs="Calibri"/>
          <w:bCs/>
        </w:rPr>
        <w:t xml:space="preserve"> on advocacy for right to work in countries where it remains prohibited</w:t>
      </w:r>
      <w:r w:rsidR="00B579E7">
        <w:rPr>
          <w:rFonts w:ascii="Calibri" w:hAnsi="Calibri" w:cs="Calibri"/>
          <w:bCs/>
        </w:rPr>
        <w:t>, and for improved working conditions, where these rights are poorly protected</w:t>
      </w:r>
      <w:r>
        <w:rPr>
          <w:rFonts w:ascii="Calibri" w:hAnsi="Calibri" w:cs="Calibri"/>
          <w:bCs/>
        </w:rPr>
        <w:t>.</w:t>
      </w:r>
      <w:r w:rsidR="00B579E7">
        <w:rPr>
          <w:rFonts w:ascii="Calibri" w:hAnsi="Calibri" w:cs="Calibri"/>
          <w:bCs/>
        </w:rPr>
        <w:t xml:space="preserve">   </w:t>
      </w:r>
    </w:p>
    <w:p w14:paraId="2D62BE0D" w14:textId="0201E805" w:rsidR="001468AC" w:rsidRPr="002007A6" w:rsidRDefault="009C4609" w:rsidP="001468AC">
      <w:pPr>
        <w:pStyle w:val="ListParagraph"/>
        <w:numPr>
          <w:ilvl w:val="0"/>
          <w:numId w:val="13"/>
        </w:numPr>
        <w:spacing w:before="120"/>
        <w:jc w:val="both"/>
        <w:rPr>
          <w:rFonts w:ascii="Century Gothic" w:hAnsi="Century Gothic"/>
          <w:bCs/>
          <w:sz w:val="28"/>
          <w:szCs w:val="28"/>
        </w:rPr>
      </w:pPr>
      <w:r w:rsidRPr="001468AC">
        <w:rPr>
          <w:b/>
          <w:bCs/>
        </w:rPr>
        <w:t>Data and data management:</w:t>
      </w:r>
      <w:r w:rsidRPr="002007A6">
        <w:rPr>
          <w:rFonts w:ascii="Century Gothic" w:hAnsi="Century Gothic"/>
          <w:bCs/>
          <w:sz w:val="28"/>
          <w:szCs w:val="28"/>
        </w:rPr>
        <w:t xml:space="preserve"> </w:t>
      </w:r>
      <w:r w:rsidRPr="002007A6">
        <w:rPr>
          <w:rFonts w:ascii="Calibri" w:hAnsi="Calibri" w:cs="Calibri"/>
          <w:bCs/>
        </w:rPr>
        <w:t xml:space="preserve"> </w:t>
      </w:r>
      <w:r w:rsidR="001468AC" w:rsidRPr="002007A6">
        <w:rPr>
          <w:rFonts w:ascii="Calibri" w:hAnsi="Calibri" w:cs="Calibri"/>
          <w:bCs/>
        </w:rPr>
        <w:t>Prioritize implementation of common systems for data collection and management, including relevant fields for improved profiling of PoC livelihood assets.   Common systems such as Progress 4 for refugee registration should be rolled out across all countries.  Additional review of whether these systems can accommodate additional fields with respect to PoC economic integration data is required.    If independent economic integration surveys are required (as currently lacking baseline), then harmonization of research instrument and research intervals is proposed (resource dependent).</w:t>
      </w:r>
      <w:r w:rsidR="007A2306">
        <w:rPr>
          <w:rFonts w:ascii="Calibri" w:hAnsi="Calibri" w:cs="Calibri"/>
          <w:bCs/>
        </w:rPr>
        <w:t xml:space="preserve"> </w:t>
      </w:r>
      <w:r w:rsidR="00313AD0">
        <w:rPr>
          <w:rFonts w:ascii="Calibri" w:hAnsi="Calibri" w:cs="Calibri"/>
          <w:bCs/>
        </w:rPr>
        <w:t xml:space="preserve">  </w:t>
      </w:r>
    </w:p>
    <w:p w14:paraId="5F6DA545" w14:textId="0B70650C" w:rsidR="001468AC" w:rsidRPr="002007A6" w:rsidRDefault="001468AC" w:rsidP="001468AC">
      <w:pPr>
        <w:pStyle w:val="ListParagraph"/>
        <w:numPr>
          <w:ilvl w:val="0"/>
          <w:numId w:val="13"/>
        </w:numPr>
        <w:spacing w:before="120"/>
        <w:jc w:val="both"/>
        <w:rPr>
          <w:rFonts w:ascii="Century Gothic" w:hAnsi="Century Gothic"/>
          <w:bCs/>
          <w:sz w:val="28"/>
          <w:szCs w:val="28"/>
        </w:rPr>
      </w:pPr>
      <w:r>
        <w:rPr>
          <w:b/>
          <w:bCs/>
        </w:rPr>
        <w:t>Advocacy and Partnerships</w:t>
      </w:r>
      <w:r w:rsidR="0074193E">
        <w:rPr>
          <w:b/>
          <w:bCs/>
        </w:rPr>
        <w:t xml:space="preserve"> (Coordination and Capacity-building)</w:t>
      </w:r>
      <w:r>
        <w:rPr>
          <w:b/>
          <w:bCs/>
        </w:rPr>
        <w:t>:</w:t>
      </w:r>
      <w:r>
        <w:rPr>
          <w:rFonts w:ascii="Century Gothic" w:hAnsi="Century Gothic"/>
          <w:bCs/>
          <w:sz w:val="28"/>
          <w:szCs w:val="28"/>
        </w:rPr>
        <w:t xml:space="preserve">  </w:t>
      </w:r>
      <w:r>
        <w:rPr>
          <w:rFonts w:ascii="Calibri" w:hAnsi="Calibri" w:cs="Calibri"/>
          <w:bCs/>
        </w:rPr>
        <w:t xml:space="preserve">UNHCR to continue to play strong roll in coordinating development assistance directed towards PoCs.   While mainstreaming PoCs into the programs of other stakeholders,  UNHCR will continue assist partner agencies in developing programs and in resource mobilization.  In order to expedite programming and fund-raising, it is proposed that UNHCR undertake regular advocacy sessions with partners to provide updates on UNHCR priorities and practices, standard terminology, tools and templates.  </w:t>
      </w:r>
      <w:r w:rsidR="0074193E">
        <w:rPr>
          <w:rFonts w:ascii="Calibri" w:hAnsi="Calibri" w:cs="Calibri"/>
          <w:bCs/>
        </w:rPr>
        <w:t xml:space="preserve"> UNHCR will conduct outreach to the private sector to encourage participation in development plans and in employment</w:t>
      </w:r>
      <w:r w:rsidR="00B579E7">
        <w:rPr>
          <w:rFonts w:ascii="Calibri" w:hAnsi="Calibri" w:cs="Calibri"/>
          <w:bCs/>
        </w:rPr>
        <w:t xml:space="preserve"> </w:t>
      </w:r>
      <w:r w:rsidR="0074193E">
        <w:rPr>
          <w:rFonts w:ascii="Calibri" w:hAnsi="Calibri" w:cs="Calibri"/>
          <w:bCs/>
        </w:rPr>
        <w:t>of PoCs.</w:t>
      </w:r>
      <w:r w:rsidR="003A2D75">
        <w:rPr>
          <w:rFonts w:ascii="Calibri" w:hAnsi="Calibri" w:cs="Calibri"/>
          <w:bCs/>
        </w:rPr>
        <w:t xml:space="preserve">   In some cases, UNHCR is strategically placed to bring together diverse actors for coordinated employment effort (e.g. Job Fairs, State Employment Services, Chambers of Commerce, Private Sector companies, local NGOs, and Community Leaders)</w:t>
      </w:r>
    </w:p>
    <w:p w14:paraId="0908393D" w14:textId="60A6515F" w:rsidR="001468AC" w:rsidRPr="002007A6" w:rsidRDefault="0074193E" w:rsidP="001468AC">
      <w:pPr>
        <w:pStyle w:val="ListParagraph"/>
        <w:numPr>
          <w:ilvl w:val="0"/>
          <w:numId w:val="13"/>
        </w:numPr>
        <w:spacing w:before="120"/>
        <w:jc w:val="both"/>
        <w:rPr>
          <w:rFonts w:ascii="Calibri" w:hAnsi="Calibri" w:cs="Calibri"/>
          <w:b/>
          <w:bCs/>
        </w:rPr>
      </w:pPr>
      <w:r>
        <w:rPr>
          <w:rFonts w:ascii="Calibri" w:hAnsi="Calibri" w:cs="Calibri"/>
          <w:b/>
          <w:bCs/>
        </w:rPr>
        <w:t xml:space="preserve">Women and Youth:  </w:t>
      </w:r>
      <w:r w:rsidRPr="002007A6">
        <w:rPr>
          <w:rFonts w:ascii="Calibri" w:hAnsi="Calibri" w:cs="Calibri"/>
          <w:bCs/>
        </w:rPr>
        <w:t>Where UNHCR has identified sub-sectors of the refugee population for additional focus</w:t>
      </w:r>
      <w:r>
        <w:rPr>
          <w:rFonts w:ascii="Calibri" w:hAnsi="Calibri" w:cs="Calibri"/>
          <w:bCs/>
        </w:rPr>
        <w:t xml:space="preserve"> (in this case, women and youth)</w:t>
      </w:r>
      <w:r w:rsidRPr="002007A6">
        <w:rPr>
          <w:rFonts w:ascii="Calibri" w:hAnsi="Calibri" w:cs="Calibri"/>
          <w:bCs/>
        </w:rPr>
        <w:t xml:space="preserve">, the operation will increase engagement </w:t>
      </w:r>
      <w:r w:rsidR="00B579E7">
        <w:rPr>
          <w:rFonts w:ascii="Calibri" w:hAnsi="Calibri" w:cs="Calibri"/>
          <w:bCs/>
        </w:rPr>
        <w:t xml:space="preserve">and capacity-building with respect to good practice, </w:t>
      </w:r>
      <w:r w:rsidRPr="002007A6">
        <w:rPr>
          <w:rFonts w:ascii="Calibri" w:hAnsi="Calibri" w:cs="Calibri"/>
          <w:bCs/>
        </w:rPr>
        <w:t>with government agencies, development actors, NGOs, private sector and others</w:t>
      </w:r>
      <w:r w:rsidR="00B579E7">
        <w:rPr>
          <w:rFonts w:ascii="Calibri" w:hAnsi="Calibri" w:cs="Calibri"/>
          <w:bCs/>
        </w:rPr>
        <w:t>; and will work</w:t>
      </w:r>
      <w:r w:rsidRPr="002007A6">
        <w:rPr>
          <w:rFonts w:ascii="Calibri" w:hAnsi="Calibri" w:cs="Calibri"/>
          <w:bCs/>
        </w:rPr>
        <w:t xml:space="preserve"> to</w:t>
      </w:r>
      <w:r>
        <w:rPr>
          <w:rFonts w:ascii="Calibri" w:hAnsi="Calibri" w:cs="Calibri"/>
          <w:b/>
          <w:bCs/>
        </w:rPr>
        <w:t xml:space="preserve"> </w:t>
      </w:r>
      <w:r>
        <w:rPr>
          <w:rFonts w:ascii="Calibri" w:hAnsi="Calibri" w:cs="Calibri"/>
          <w:bCs/>
        </w:rPr>
        <w:t xml:space="preserve">enhance programming efforts related to these sub-sectors.  </w:t>
      </w:r>
    </w:p>
    <w:p w14:paraId="678C87EB" w14:textId="1E2EC842" w:rsidR="00B579E7" w:rsidRPr="002007A6" w:rsidRDefault="00B579E7" w:rsidP="001468AC">
      <w:pPr>
        <w:pStyle w:val="ListParagraph"/>
        <w:numPr>
          <w:ilvl w:val="0"/>
          <w:numId w:val="13"/>
        </w:numPr>
        <w:spacing w:before="120"/>
        <w:jc w:val="both"/>
        <w:rPr>
          <w:rFonts w:ascii="Calibri" w:hAnsi="Calibri" w:cs="Calibri"/>
          <w:b/>
          <w:bCs/>
        </w:rPr>
      </w:pPr>
      <w:r>
        <w:rPr>
          <w:rFonts w:ascii="Calibri" w:hAnsi="Calibri" w:cs="Calibri"/>
          <w:b/>
          <w:bCs/>
        </w:rPr>
        <w:lastRenderedPageBreak/>
        <w:t xml:space="preserve">UNHCR will serve as humanitarian assistance provider of last resort:   </w:t>
      </w:r>
      <w:r>
        <w:rPr>
          <w:rFonts w:ascii="Calibri" w:hAnsi="Calibri" w:cs="Calibri"/>
          <w:bCs/>
        </w:rPr>
        <w:t xml:space="preserve">The operation will continue to provide emergency social assistance to refugees where no other solution is available. </w:t>
      </w:r>
    </w:p>
    <w:p w14:paraId="03C5478D" w14:textId="4C16D8C9" w:rsidR="00313AD0" w:rsidRPr="002007A6" w:rsidRDefault="00313AD0" w:rsidP="001468AC">
      <w:pPr>
        <w:pStyle w:val="ListParagraph"/>
        <w:numPr>
          <w:ilvl w:val="0"/>
          <w:numId w:val="13"/>
        </w:numPr>
        <w:spacing w:before="120"/>
        <w:jc w:val="both"/>
        <w:rPr>
          <w:rFonts w:ascii="Calibri" w:hAnsi="Calibri" w:cs="Calibri"/>
          <w:b/>
          <w:bCs/>
        </w:rPr>
      </w:pPr>
      <w:r>
        <w:rPr>
          <w:rFonts w:ascii="Calibri" w:hAnsi="Calibri" w:cs="Calibri"/>
          <w:b/>
          <w:bCs/>
        </w:rPr>
        <w:t xml:space="preserve">Research, monitoring, and reporting:   </w:t>
      </w:r>
      <w:r w:rsidR="00F052B8" w:rsidRPr="002007A6">
        <w:rPr>
          <w:rFonts w:ascii="Calibri" w:hAnsi="Calibri" w:cs="Calibri"/>
          <w:bCs/>
        </w:rPr>
        <w:t>UNHCR local operations will continue to adopt impact and performance indicators in accordance with organizational guidelines.</w:t>
      </w:r>
      <w:r w:rsidR="00F052B8">
        <w:rPr>
          <w:rFonts w:ascii="Calibri" w:hAnsi="Calibri" w:cs="Calibri"/>
          <w:b/>
          <w:bCs/>
        </w:rPr>
        <w:t xml:space="preserve">  </w:t>
      </w:r>
      <w:r w:rsidR="00F052B8">
        <w:rPr>
          <w:rFonts w:ascii="Calibri" w:hAnsi="Calibri" w:cs="Calibri"/>
          <w:bCs/>
        </w:rPr>
        <w:t xml:space="preserve"> Through improved data capture and management (#3 above), efforts are undertaken to better express results in a measure meaningful to the local population of refugees and operating environment.  </w:t>
      </w:r>
    </w:p>
    <w:p w14:paraId="303A3FD1" w14:textId="26C6066F" w:rsidR="00313AD0" w:rsidRPr="002007A6" w:rsidRDefault="00313AD0" w:rsidP="002007A6">
      <w:pPr>
        <w:spacing w:before="120"/>
        <w:jc w:val="both"/>
        <w:rPr>
          <w:rFonts w:ascii="Calibri" w:hAnsi="Calibri" w:cs="Calibri"/>
          <w:b/>
          <w:bCs/>
        </w:rPr>
      </w:pPr>
    </w:p>
    <w:p w14:paraId="264E7351" w14:textId="1410A697" w:rsidR="009C4609" w:rsidRPr="002007A6" w:rsidRDefault="009C4609" w:rsidP="002007A6">
      <w:pPr>
        <w:spacing w:before="120"/>
        <w:jc w:val="both"/>
        <w:rPr>
          <w:rFonts w:ascii="Century Gothic" w:hAnsi="Century Gothic"/>
          <w:bCs/>
          <w:color w:val="4472C4" w:themeColor="accent1"/>
          <w:sz w:val="28"/>
          <w:szCs w:val="28"/>
        </w:rPr>
      </w:pPr>
      <w:r w:rsidRPr="002007A6">
        <w:rPr>
          <w:bCs/>
        </w:rPr>
        <w:t xml:space="preserve"> </w:t>
      </w:r>
      <w:r w:rsidRPr="002007A6">
        <w:rPr>
          <w:b/>
          <w:bCs/>
        </w:rPr>
        <w:t xml:space="preserve"> </w:t>
      </w:r>
      <w:bookmarkStart w:id="11" w:name="_GoBack"/>
      <w:bookmarkEnd w:id="11"/>
    </w:p>
    <w:sectPr w:rsidR="009C4609" w:rsidRPr="002007A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0A6EBE" w16cid:durableId="1FA5984E"/>
  <w16cid:commentId w16cid:paraId="40725C76" w16cid:durableId="1FA68A59"/>
  <w16cid:commentId w16cid:paraId="59EA379F" w16cid:durableId="1FA59850"/>
  <w16cid:commentId w16cid:paraId="78F0DDA2" w16cid:durableId="1FA67A00"/>
  <w16cid:commentId w16cid:paraId="0F2C0A68" w16cid:durableId="1FA59851"/>
  <w16cid:commentId w16cid:paraId="052FE0B5" w16cid:durableId="1FA68FAD"/>
  <w16cid:commentId w16cid:paraId="08848AB5" w16cid:durableId="1FA59852"/>
  <w16cid:commentId w16cid:paraId="76E02539" w16cid:durableId="1FA7E251"/>
  <w16cid:commentId w16cid:paraId="07D58CA9" w16cid:durableId="1FA598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3264A" w14:textId="77777777" w:rsidR="00852653" w:rsidRDefault="00852653" w:rsidP="00856B9A">
      <w:pPr>
        <w:spacing w:after="0" w:line="240" w:lineRule="auto"/>
      </w:pPr>
      <w:r>
        <w:separator/>
      </w:r>
    </w:p>
  </w:endnote>
  <w:endnote w:type="continuationSeparator" w:id="0">
    <w:p w14:paraId="02ADE3C4" w14:textId="77777777" w:rsidR="00852653" w:rsidRDefault="00852653" w:rsidP="00856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6CB97" w14:textId="77777777" w:rsidR="00852653" w:rsidRDefault="00852653" w:rsidP="00856B9A">
      <w:pPr>
        <w:spacing w:after="0" w:line="240" w:lineRule="auto"/>
      </w:pPr>
      <w:r>
        <w:separator/>
      </w:r>
    </w:p>
  </w:footnote>
  <w:footnote w:type="continuationSeparator" w:id="0">
    <w:p w14:paraId="2F083442" w14:textId="77777777" w:rsidR="00852653" w:rsidRDefault="00852653" w:rsidP="00856B9A">
      <w:pPr>
        <w:spacing w:after="0" w:line="240" w:lineRule="auto"/>
      </w:pPr>
      <w:r>
        <w:continuationSeparator/>
      </w:r>
    </w:p>
  </w:footnote>
  <w:footnote w:id="1">
    <w:p w14:paraId="5C547EE9" w14:textId="77777777" w:rsidR="00401F1B" w:rsidRPr="0097359C" w:rsidRDefault="00401F1B" w:rsidP="00401F1B">
      <w:pPr>
        <w:pStyle w:val="FootnoteText"/>
        <w:rPr>
          <w:lang w:val="en-US"/>
        </w:rPr>
      </w:pPr>
      <w:r>
        <w:rPr>
          <w:rStyle w:val="FootnoteReference"/>
        </w:rPr>
        <w:footnoteRef/>
      </w:r>
      <w:r>
        <w:t xml:space="preserve"> </w:t>
      </w:r>
      <w:r>
        <w:rPr>
          <w:lang w:val="en-US"/>
        </w:rPr>
        <w:t>Tbilisi, Georgia also served as interim home-base between field missions to Georgia, Azerbaijan, and breakaway region of Georgia, Abkhazia.  Total field mission for all countries January 21 to September 28, 2018.</w:t>
      </w:r>
    </w:p>
  </w:footnote>
  <w:footnote w:id="2">
    <w:p w14:paraId="143AE22E" w14:textId="77777777" w:rsidR="00BE7132" w:rsidRPr="00EF01CD" w:rsidRDefault="00BE7132" w:rsidP="00B524C8">
      <w:pPr>
        <w:pStyle w:val="FootnoteText"/>
        <w:rPr>
          <w:lang w:val="en-US"/>
        </w:rPr>
      </w:pPr>
      <w:r>
        <w:rPr>
          <w:rStyle w:val="FootnoteReference"/>
        </w:rPr>
        <w:footnoteRef/>
      </w:r>
      <w:r>
        <w:t xml:space="preserve"> </w:t>
      </w:r>
      <w:r>
        <w:rPr>
          <w:lang w:val="en-US"/>
        </w:rPr>
        <w:t>Based on MRA data of April 30, 2018 for Georgia TAT:  December 31, Refugees are 2091, IDPs 278,103; Stateless 587, however, these statistics include Abkhazia.  For purposes of this report, Abkhazia data is covered under separate report.</w:t>
      </w:r>
    </w:p>
  </w:footnote>
  <w:footnote w:id="3">
    <w:p w14:paraId="3203AF0A" w14:textId="77777777" w:rsidR="00BE7132" w:rsidRPr="00EF01CD" w:rsidRDefault="00BE7132" w:rsidP="00B524C8">
      <w:pPr>
        <w:pStyle w:val="FootnoteText"/>
        <w:rPr>
          <w:lang w:val="en-US"/>
        </w:rPr>
      </w:pPr>
      <w:r>
        <w:rPr>
          <w:rStyle w:val="FootnoteReference"/>
        </w:rPr>
        <w:footnoteRef/>
      </w:r>
      <w:r>
        <w:t xml:space="preserve"> </w:t>
      </w:r>
      <w:r>
        <w:rPr>
          <w:lang w:val="en-US"/>
        </w:rPr>
        <w:t xml:space="preserve">Based on MRA data of December 31, 2017 (intervals of data updates vary). </w:t>
      </w:r>
    </w:p>
  </w:footnote>
  <w:footnote w:id="4">
    <w:p w14:paraId="03C93FB7" w14:textId="62B98BB5" w:rsidR="00BE7132" w:rsidRPr="00675531" w:rsidRDefault="00BE7132">
      <w:pPr>
        <w:pStyle w:val="FootnoteText"/>
      </w:pPr>
      <w:r>
        <w:rPr>
          <w:rStyle w:val="FootnoteReference"/>
        </w:rPr>
        <w:footnoteRef/>
      </w:r>
      <w:r>
        <w:t xml:space="preserve"> Azerbaijan supports </w:t>
      </w:r>
      <w:r w:rsidRPr="00852B10">
        <w:t>612,785</w:t>
      </w:r>
      <w:r>
        <w:t xml:space="preserve"> IDPs (UNHCR Fact Sheet, July 2018);  Georgia supports  278,103 IDPs (UNHCR; provided by MRA, December 31, 2018)</w:t>
      </w:r>
    </w:p>
  </w:footnote>
  <w:footnote w:id="5">
    <w:p w14:paraId="311A6E85" w14:textId="77777777" w:rsidR="00BE7132" w:rsidRPr="009B2D95" w:rsidRDefault="00BE7132" w:rsidP="002007A6">
      <w:pPr>
        <w:pStyle w:val="FootnoteText"/>
        <w:jc w:val="both"/>
        <w:rPr>
          <w:bCs/>
          <w:lang w:val="en-US"/>
        </w:rPr>
      </w:pPr>
      <w:r>
        <w:rPr>
          <w:rStyle w:val="FootnoteReference"/>
        </w:rPr>
        <w:footnoteRef/>
      </w:r>
      <w:r>
        <w:t xml:space="preserve"> </w:t>
      </w:r>
      <w:r w:rsidRPr="009B2D95">
        <w:rPr>
          <w:bCs/>
          <w:lang w:val="en-US"/>
        </w:rPr>
        <w:t xml:space="preserve">While many of the same approaches apply in all countries,   the speed of full transition from provisioning to promotion and mainstreaming in Azerbaijan remains dependent on whether a ‘right to work’ can be established through legislative changes in coming years.  Exceptionally, for IDP returnees in Eastern Abkhazia, the political and economic future remains grim and unpredictable, and no time-line for reducing humanitarian assistance is provided in this strategy.  Instead, the focus is on strengthening self-reliance mechanisms, with emphasis on increasing productivity from self-employment in the agricultural sector.  </w:t>
      </w:r>
    </w:p>
    <w:p w14:paraId="4D7E3723" w14:textId="2FD0C212" w:rsidR="00BE7132" w:rsidRPr="009B2D95" w:rsidRDefault="00BE7132">
      <w:pPr>
        <w:pStyle w:val="FootnoteText"/>
        <w:rPr>
          <w:lang w:val="en-US"/>
        </w:rPr>
      </w:pPr>
    </w:p>
  </w:footnote>
  <w:footnote w:id="6">
    <w:p w14:paraId="24738BCD" w14:textId="367617FE" w:rsidR="007C5AF5" w:rsidRPr="007C5AF5" w:rsidRDefault="007C5AF5">
      <w:pPr>
        <w:pStyle w:val="FootnoteText"/>
      </w:pPr>
      <w:r>
        <w:rPr>
          <w:rStyle w:val="FootnoteReference"/>
        </w:rPr>
        <w:footnoteRef/>
      </w:r>
      <w:r>
        <w:t xml:space="preserve"> </w:t>
      </w:r>
      <w:r w:rsidR="00BE41FF">
        <w:t xml:space="preserve">“Graduation Approach” was first developed by BRAC in Bangladesh, one of the World’s largest NGOs fighting extreme poverty; has been piloted globally by World Bank CGAP program, and adopted by UNHCR Livelihoods unit </w:t>
      </w:r>
      <w:r w:rsidR="00BE41FF" w:rsidRPr="00BE41FF">
        <w:t>https://www.unhcr.org/graduation-approach-56e9752a4.html</w:t>
      </w:r>
    </w:p>
  </w:footnote>
  <w:footnote w:id="7">
    <w:p w14:paraId="017E4A4B" w14:textId="77777777" w:rsidR="00BE7132" w:rsidRPr="00C8629F" w:rsidRDefault="00BE7132" w:rsidP="009C6CE3">
      <w:pPr>
        <w:pStyle w:val="FootnoteText"/>
      </w:pPr>
      <w:r>
        <w:rPr>
          <w:rStyle w:val="FootnoteReference"/>
        </w:rPr>
        <w:footnoteRef/>
      </w:r>
      <w:r>
        <w:t xml:space="preserve"> Visit </w:t>
      </w:r>
      <w:hyperlink r:id="rId1" w:history="1">
        <w:r w:rsidRPr="006C66A9">
          <w:rPr>
            <w:rStyle w:val="Hyperlink"/>
          </w:rPr>
          <w:t>http://www.armenic.am/</w:t>
        </w:r>
      </w:hyperlink>
      <w:r>
        <w:t xml:space="preserve"> for information about the Armenia National Information Center for Academic Recognition and Mobility.  The Center has further provided accreditation support to refugees arriving without documentation, during international pilot implementation of “Toolkit for recognition of foreign higher education for refugees, displaced persons and persons in refugee-like situations” project in 2017. </w:t>
      </w:r>
    </w:p>
  </w:footnote>
  <w:footnote w:id="8">
    <w:p w14:paraId="5B1DFB5F" w14:textId="77777777" w:rsidR="00BE7132" w:rsidRPr="0004568D" w:rsidRDefault="00BE7132" w:rsidP="00A07DFE">
      <w:pPr>
        <w:pStyle w:val="FootnoteText"/>
        <w:rPr>
          <w:lang w:val="en-US"/>
        </w:rPr>
      </w:pPr>
      <w:r>
        <w:rPr>
          <w:rStyle w:val="FootnoteReference"/>
        </w:rPr>
        <w:footnoteRef/>
      </w:r>
      <w:r>
        <w:t xml:space="preserve"> </w:t>
      </w:r>
      <w:r>
        <w:rPr>
          <w:lang w:val="en-US"/>
        </w:rPr>
        <w:t>50,000 is the number that is currently quoted by most major stakeholders, though disputed by some, it has not been validated by any officially recognized census.</w:t>
      </w:r>
    </w:p>
  </w:footnote>
  <w:footnote w:id="9">
    <w:p w14:paraId="543D11EA" w14:textId="07E119AD" w:rsidR="00C95834" w:rsidRPr="00E20704" w:rsidRDefault="00C95834">
      <w:pPr>
        <w:pStyle w:val="FootnoteText"/>
        <w:rPr>
          <w:i/>
          <w:lang w:val="en-US"/>
        </w:rPr>
      </w:pPr>
      <w:r>
        <w:rPr>
          <w:rStyle w:val="FootnoteReference"/>
        </w:rPr>
        <w:footnoteRef/>
      </w:r>
      <w:r>
        <w:t xml:space="preserve"> </w:t>
      </w:r>
      <w:r>
        <w:rPr>
          <w:lang w:val="en-US"/>
        </w:rPr>
        <w:t xml:space="preserve">UNHCR, April-May, 2018:  </w:t>
      </w:r>
      <w:r w:rsidRPr="00E20704">
        <w:rPr>
          <w:i/>
          <w:lang w:val="en-US"/>
        </w:rPr>
        <w:t>Abkhazia: Situation of the most vulnerable families, individuals in Eastern Districts of Abkhazia</w:t>
      </w:r>
    </w:p>
  </w:footnote>
  <w:footnote w:id="10">
    <w:p w14:paraId="284156A9" w14:textId="77777777" w:rsidR="00BE7132" w:rsidRPr="001D2B6F" w:rsidRDefault="00BE7132" w:rsidP="00A07DFE">
      <w:pPr>
        <w:pStyle w:val="FootnoteText"/>
        <w:rPr>
          <w:lang w:val="en-US"/>
        </w:rPr>
      </w:pPr>
      <w:r>
        <w:rPr>
          <w:rStyle w:val="FootnoteReference"/>
        </w:rPr>
        <w:footnoteRef/>
      </w:r>
      <w:r>
        <w:t xml:space="preserve"> </w:t>
      </w:r>
      <w:r>
        <w:rPr>
          <w:lang w:val="en-US"/>
        </w:rPr>
        <w:t xml:space="preserve">Source AAH and FAO.  </w:t>
      </w:r>
    </w:p>
  </w:footnote>
  <w:footnote w:id="11">
    <w:p w14:paraId="4D8087D2" w14:textId="7EE0F972" w:rsidR="00B34961" w:rsidRPr="002007A6" w:rsidRDefault="00B34961">
      <w:pPr>
        <w:pStyle w:val="FootnoteText"/>
        <w:rPr>
          <w:i/>
          <w:lang w:val="en-US"/>
        </w:rPr>
      </w:pPr>
      <w:r>
        <w:rPr>
          <w:rStyle w:val="FootnoteReference"/>
        </w:rPr>
        <w:footnoteRef/>
      </w:r>
      <w:r>
        <w:t xml:space="preserve"> </w:t>
      </w:r>
      <w:r>
        <w:rPr>
          <w:lang w:val="en-US"/>
        </w:rPr>
        <w:t xml:space="preserve">ICMPD, March 2018. </w:t>
      </w:r>
      <w:r w:rsidRPr="002007A6">
        <w:rPr>
          <w:i/>
          <w:lang w:val="en-US"/>
        </w:rPr>
        <w:t>Recommendations for the Roadmap to Refugee Integration Policy in Azerbaijan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B3A4D"/>
    <w:multiLevelType w:val="hybridMultilevel"/>
    <w:tmpl w:val="E4786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72B83"/>
    <w:multiLevelType w:val="hybridMultilevel"/>
    <w:tmpl w:val="7F5A08A2"/>
    <w:lvl w:ilvl="0" w:tplc="784EE7F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D3B3B"/>
    <w:multiLevelType w:val="hybridMultilevel"/>
    <w:tmpl w:val="E4786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15448"/>
    <w:multiLevelType w:val="hybridMultilevel"/>
    <w:tmpl w:val="E4786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7107C"/>
    <w:multiLevelType w:val="hybridMultilevel"/>
    <w:tmpl w:val="C98A3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438EF"/>
    <w:multiLevelType w:val="hybridMultilevel"/>
    <w:tmpl w:val="D1A069BC"/>
    <w:lvl w:ilvl="0" w:tplc="8E688F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FB544F1"/>
    <w:multiLevelType w:val="hybridMultilevel"/>
    <w:tmpl w:val="E4786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E876AF"/>
    <w:multiLevelType w:val="hybridMultilevel"/>
    <w:tmpl w:val="E4786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FD1100"/>
    <w:multiLevelType w:val="hybridMultilevel"/>
    <w:tmpl w:val="44EA4B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9C67D3"/>
    <w:multiLevelType w:val="hybridMultilevel"/>
    <w:tmpl w:val="712ADD96"/>
    <w:lvl w:ilvl="0" w:tplc="4ECE87E4">
      <w:start w:val="1"/>
      <w:numFmt w:val="decimal"/>
      <w:lvlText w:val="%1."/>
      <w:lvlJc w:val="left"/>
      <w:pPr>
        <w:ind w:left="360" w:hanging="360"/>
      </w:pPr>
      <w:rPr>
        <w:rFonts w:ascii="Calibri" w:hAnsi="Calibri" w:cs="Calibri"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C3F7779"/>
    <w:multiLevelType w:val="hybridMultilevel"/>
    <w:tmpl w:val="E9D8B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AE2019"/>
    <w:multiLevelType w:val="hybridMultilevel"/>
    <w:tmpl w:val="389E5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176E88"/>
    <w:multiLevelType w:val="hybridMultilevel"/>
    <w:tmpl w:val="E4786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
  </w:num>
  <w:num w:numId="4">
    <w:abstractNumId w:val="5"/>
  </w:num>
  <w:num w:numId="5">
    <w:abstractNumId w:val="10"/>
  </w:num>
  <w:num w:numId="6">
    <w:abstractNumId w:val="8"/>
  </w:num>
  <w:num w:numId="7">
    <w:abstractNumId w:val="7"/>
  </w:num>
  <w:num w:numId="8">
    <w:abstractNumId w:val="2"/>
  </w:num>
  <w:num w:numId="9">
    <w:abstractNumId w:val="12"/>
  </w:num>
  <w:num w:numId="10">
    <w:abstractNumId w:val="3"/>
  </w:num>
  <w:num w:numId="11">
    <w:abstractNumId w:val="6"/>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9A"/>
    <w:rsid w:val="000103B2"/>
    <w:rsid w:val="00044F84"/>
    <w:rsid w:val="00045861"/>
    <w:rsid w:val="000616A5"/>
    <w:rsid w:val="00062358"/>
    <w:rsid w:val="00081A2E"/>
    <w:rsid w:val="000A4EE6"/>
    <w:rsid w:val="000B3948"/>
    <w:rsid w:val="000C58D4"/>
    <w:rsid w:val="00123341"/>
    <w:rsid w:val="0013205D"/>
    <w:rsid w:val="001468AC"/>
    <w:rsid w:val="00150D92"/>
    <w:rsid w:val="00181ACA"/>
    <w:rsid w:val="001B1B19"/>
    <w:rsid w:val="001E60B6"/>
    <w:rsid w:val="001E736A"/>
    <w:rsid w:val="002007A6"/>
    <w:rsid w:val="0024245E"/>
    <w:rsid w:val="0025300D"/>
    <w:rsid w:val="00266B8A"/>
    <w:rsid w:val="00287E47"/>
    <w:rsid w:val="00293210"/>
    <w:rsid w:val="00295993"/>
    <w:rsid w:val="002F1321"/>
    <w:rsid w:val="002F5D06"/>
    <w:rsid w:val="00304313"/>
    <w:rsid w:val="00313AD0"/>
    <w:rsid w:val="00316D43"/>
    <w:rsid w:val="003645A6"/>
    <w:rsid w:val="003A2D75"/>
    <w:rsid w:val="003A7B2D"/>
    <w:rsid w:val="003B6877"/>
    <w:rsid w:val="003C2565"/>
    <w:rsid w:val="003C72F2"/>
    <w:rsid w:val="003D39DC"/>
    <w:rsid w:val="003E7109"/>
    <w:rsid w:val="004003CA"/>
    <w:rsid w:val="00401F1B"/>
    <w:rsid w:val="0041424F"/>
    <w:rsid w:val="0042035B"/>
    <w:rsid w:val="004222DB"/>
    <w:rsid w:val="00440125"/>
    <w:rsid w:val="00445BA4"/>
    <w:rsid w:val="00451DF3"/>
    <w:rsid w:val="004721FE"/>
    <w:rsid w:val="0047629F"/>
    <w:rsid w:val="00496749"/>
    <w:rsid w:val="004C07C2"/>
    <w:rsid w:val="004C0F33"/>
    <w:rsid w:val="004C0F8E"/>
    <w:rsid w:val="004F1765"/>
    <w:rsid w:val="004F53FD"/>
    <w:rsid w:val="004F659F"/>
    <w:rsid w:val="00505218"/>
    <w:rsid w:val="00505931"/>
    <w:rsid w:val="00521FEE"/>
    <w:rsid w:val="00525D2A"/>
    <w:rsid w:val="00537C50"/>
    <w:rsid w:val="00545141"/>
    <w:rsid w:val="00547018"/>
    <w:rsid w:val="005510BD"/>
    <w:rsid w:val="00577C3C"/>
    <w:rsid w:val="00580921"/>
    <w:rsid w:val="005F668D"/>
    <w:rsid w:val="00624476"/>
    <w:rsid w:val="0062515C"/>
    <w:rsid w:val="00661072"/>
    <w:rsid w:val="00673766"/>
    <w:rsid w:val="00675531"/>
    <w:rsid w:val="00692AB6"/>
    <w:rsid w:val="00694BE8"/>
    <w:rsid w:val="006A2E00"/>
    <w:rsid w:val="006B0437"/>
    <w:rsid w:val="006E7E25"/>
    <w:rsid w:val="006F7389"/>
    <w:rsid w:val="006F783B"/>
    <w:rsid w:val="007163DD"/>
    <w:rsid w:val="00733D47"/>
    <w:rsid w:val="007403DE"/>
    <w:rsid w:val="0074193E"/>
    <w:rsid w:val="007436B2"/>
    <w:rsid w:val="00785C0C"/>
    <w:rsid w:val="007A2306"/>
    <w:rsid w:val="007B4BA4"/>
    <w:rsid w:val="007C246B"/>
    <w:rsid w:val="007C5AF5"/>
    <w:rsid w:val="007E0EDE"/>
    <w:rsid w:val="007F5C18"/>
    <w:rsid w:val="00806FC4"/>
    <w:rsid w:val="00816C09"/>
    <w:rsid w:val="00820ECD"/>
    <w:rsid w:val="00825187"/>
    <w:rsid w:val="00842197"/>
    <w:rsid w:val="008479FD"/>
    <w:rsid w:val="00852653"/>
    <w:rsid w:val="00852B10"/>
    <w:rsid w:val="00855686"/>
    <w:rsid w:val="00856B9A"/>
    <w:rsid w:val="00866FF4"/>
    <w:rsid w:val="00882C95"/>
    <w:rsid w:val="008A07D5"/>
    <w:rsid w:val="008C1B2A"/>
    <w:rsid w:val="008C1BD1"/>
    <w:rsid w:val="008E1B32"/>
    <w:rsid w:val="009205F4"/>
    <w:rsid w:val="00932B3E"/>
    <w:rsid w:val="00954293"/>
    <w:rsid w:val="0095748C"/>
    <w:rsid w:val="009658A2"/>
    <w:rsid w:val="009A7E30"/>
    <w:rsid w:val="009B0920"/>
    <w:rsid w:val="009B2D95"/>
    <w:rsid w:val="009B599A"/>
    <w:rsid w:val="009C4609"/>
    <w:rsid w:val="009C58A0"/>
    <w:rsid w:val="009C6CE3"/>
    <w:rsid w:val="009D7B03"/>
    <w:rsid w:val="009F2536"/>
    <w:rsid w:val="00A02E0C"/>
    <w:rsid w:val="00A07DFE"/>
    <w:rsid w:val="00A16120"/>
    <w:rsid w:val="00A30963"/>
    <w:rsid w:val="00A314E8"/>
    <w:rsid w:val="00A454A3"/>
    <w:rsid w:val="00A528BD"/>
    <w:rsid w:val="00A6510B"/>
    <w:rsid w:val="00A774B7"/>
    <w:rsid w:val="00A77FA2"/>
    <w:rsid w:val="00A91196"/>
    <w:rsid w:val="00AA2DF4"/>
    <w:rsid w:val="00AA3D2D"/>
    <w:rsid w:val="00AA7CA5"/>
    <w:rsid w:val="00AB3D0C"/>
    <w:rsid w:val="00AB5004"/>
    <w:rsid w:val="00AC45CA"/>
    <w:rsid w:val="00B10423"/>
    <w:rsid w:val="00B32590"/>
    <w:rsid w:val="00B34961"/>
    <w:rsid w:val="00B51356"/>
    <w:rsid w:val="00B524C8"/>
    <w:rsid w:val="00B579E7"/>
    <w:rsid w:val="00B77759"/>
    <w:rsid w:val="00B8053F"/>
    <w:rsid w:val="00B82B65"/>
    <w:rsid w:val="00B832ED"/>
    <w:rsid w:val="00B922AD"/>
    <w:rsid w:val="00BB43D8"/>
    <w:rsid w:val="00BC6EC2"/>
    <w:rsid w:val="00BD3471"/>
    <w:rsid w:val="00BD6100"/>
    <w:rsid w:val="00BE41FF"/>
    <w:rsid w:val="00BE7132"/>
    <w:rsid w:val="00BF5178"/>
    <w:rsid w:val="00C06CFE"/>
    <w:rsid w:val="00C17995"/>
    <w:rsid w:val="00C54AA3"/>
    <w:rsid w:val="00C95834"/>
    <w:rsid w:val="00D0464B"/>
    <w:rsid w:val="00D165A7"/>
    <w:rsid w:val="00D24A3B"/>
    <w:rsid w:val="00D30A72"/>
    <w:rsid w:val="00D36E30"/>
    <w:rsid w:val="00D43F08"/>
    <w:rsid w:val="00D55240"/>
    <w:rsid w:val="00D806D0"/>
    <w:rsid w:val="00DC3E57"/>
    <w:rsid w:val="00DC546E"/>
    <w:rsid w:val="00DC5996"/>
    <w:rsid w:val="00DC70FB"/>
    <w:rsid w:val="00DC7276"/>
    <w:rsid w:val="00DD6829"/>
    <w:rsid w:val="00DF7FB8"/>
    <w:rsid w:val="00E00EB6"/>
    <w:rsid w:val="00E11468"/>
    <w:rsid w:val="00E17D4D"/>
    <w:rsid w:val="00E20174"/>
    <w:rsid w:val="00E20704"/>
    <w:rsid w:val="00E3649D"/>
    <w:rsid w:val="00E525D6"/>
    <w:rsid w:val="00E555B2"/>
    <w:rsid w:val="00E621CE"/>
    <w:rsid w:val="00EA5938"/>
    <w:rsid w:val="00EB42F2"/>
    <w:rsid w:val="00EB5533"/>
    <w:rsid w:val="00EB65D6"/>
    <w:rsid w:val="00ED79F3"/>
    <w:rsid w:val="00EF078C"/>
    <w:rsid w:val="00F052B8"/>
    <w:rsid w:val="00F058E2"/>
    <w:rsid w:val="00F2029B"/>
    <w:rsid w:val="00F6451B"/>
    <w:rsid w:val="00F858EE"/>
    <w:rsid w:val="00FB369C"/>
    <w:rsid w:val="00FC131B"/>
    <w:rsid w:val="00FC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EB1D8"/>
  <w15:chartTrackingRefBased/>
  <w15:docId w15:val="{01060F21-3183-4013-8191-289C6CB1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6B9A"/>
    <w:pPr>
      <w:spacing w:after="0" w:line="240" w:lineRule="auto"/>
    </w:pPr>
    <w:rPr>
      <w:rFonts w:ascii="Times New Roman" w:eastAsia="Times New Roman" w:hAnsi="Times New Roman" w:cs="Times New Roman"/>
      <w:sz w:val="20"/>
      <w:szCs w:val="20"/>
      <w:lang w:val="en-AU"/>
    </w:rPr>
  </w:style>
  <w:style w:type="character" w:customStyle="1" w:styleId="FootnoteTextChar">
    <w:name w:val="Footnote Text Char"/>
    <w:basedOn w:val="DefaultParagraphFont"/>
    <w:link w:val="FootnoteText"/>
    <w:uiPriority w:val="99"/>
    <w:semiHidden/>
    <w:rsid w:val="00856B9A"/>
    <w:rPr>
      <w:rFonts w:ascii="Times New Roman" w:eastAsia="Times New Roman" w:hAnsi="Times New Roman" w:cs="Times New Roman"/>
      <w:sz w:val="20"/>
      <w:szCs w:val="20"/>
      <w:lang w:val="en-AU"/>
    </w:rPr>
  </w:style>
  <w:style w:type="character" w:styleId="FootnoteReference">
    <w:name w:val="footnote reference"/>
    <w:aliases w:val="ftref Char Char Char Char Char Char Char,Footnotes refss Char Char Char Char Char Char Char, BVI fnr (文字) (文字) Char (文字) Char Char1 Char Char Char Char Char Char Char Char Char Char,ftref Char Char Char Char Char Char Char Char,ftref"/>
    <w:basedOn w:val="DefaultParagraphFont"/>
    <w:uiPriority w:val="99"/>
    <w:unhideWhenUsed/>
    <w:rsid w:val="00856B9A"/>
    <w:rPr>
      <w:vertAlign w:val="superscript"/>
    </w:rPr>
  </w:style>
  <w:style w:type="character" w:styleId="Hyperlink">
    <w:name w:val="Hyperlink"/>
    <w:basedOn w:val="DefaultParagraphFont"/>
    <w:uiPriority w:val="99"/>
    <w:unhideWhenUsed/>
    <w:rsid w:val="009C6CE3"/>
    <w:rPr>
      <w:color w:val="0563C1" w:themeColor="hyperlink"/>
      <w:u w:val="single"/>
    </w:rPr>
  </w:style>
  <w:style w:type="paragraph" w:styleId="ListParagraph">
    <w:name w:val="List Paragraph"/>
    <w:basedOn w:val="Normal"/>
    <w:uiPriority w:val="34"/>
    <w:qFormat/>
    <w:rsid w:val="00882C95"/>
    <w:pPr>
      <w:ind w:left="720"/>
      <w:contextualSpacing/>
    </w:pPr>
  </w:style>
  <w:style w:type="paragraph" w:styleId="BalloonText">
    <w:name w:val="Balloon Text"/>
    <w:basedOn w:val="Normal"/>
    <w:link w:val="BalloonTextChar"/>
    <w:uiPriority w:val="99"/>
    <w:semiHidden/>
    <w:unhideWhenUsed/>
    <w:rsid w:val="00D16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5A7"/>
    <w:rPr>
      <w:rFonts w:ascii="Segoe UI" w:hAnsi="Segoe UI" w:cs="Segoe UI"/>
      <w:sz w:val="18"/>
      <w:szCs w:val="18"/>
    </w:rPr>
  </w:style>
  <w:style w:type="character" w:styleId="CommentReference">
    <w:name w:val="annotation reference"/>
    <w:basedOn w:val="DefaultParagraphFont"/>
    <w:uiPriority w:val="99"/>
    <w:semiHidden/>
    <w:unhideWhenUsed/>
    <w:rsid w:val="003C72F2"/>
    <w:rPr>
      <w:sz w:val="16"/>
      <w:szCs w:val="16"/>
    </w:rPr>
  </w:style>
  <w:style w:type="paragraph" w:styleId="CommentText">
    <w:name w:val="annotation text"/>
    <w:basedOn w:val="Normal"/>
    <w:link w:val="CommentTextChar"/>
    <w:uiPriority w:val="99"/>
    <w:semiHidden/>
    <w:unhideWhenUsed/>
    <w:rsid w:val="003C72F2"/>
    <w:pPr>
      <w:spacing w:line="240" w:lineRule="auto"/>
    </w:pPr>
    <w:rPr>
      <w:sz w:val="20"/>
      <w:szCs w:val="20"/>
    </w:rPr>
  </w:style>
  <w:style w:type="character" w:customStyle="1" w:styleId="CommentTextChar">
    <w:name w:val="Comment Text Char"/>
    <w:basedOn w:val="DefaultParagraphFont"/>
    <w:link w:val="CommentText"/>
    <w:uiPriority w:val="99"/>
    <w:semiHidden/>
    <w:rsid w:val="003C72F2"/>
    <w:rPr>
      <w:sz w:val="20"/>
      <w:szCs w:val="20"/>
    </w:rPr>
  </w:style>
  <w:style w:type="paragraph" w:styleId="CommentSubject">
    <w:name w:val="annotation subject"/>
    <w:basedOn w:val="CommentText"/>
    <w:next w:val="CommentText"/>
    <w:link w:val="CommentSubjectChar"/>
    <w:uiPriority w:val="99"/>
    <w:semiHidden/>
    <w:unhideWhenUsed/>
    <w:rsid w:val="003C72F2"/>
    <w:rPr>
      <w:b/>
      <w:bCs/>
    </w:rPr>
  </w:style>
  <w:style w:type="character" w:customStyle="1" w:styleId="CommentSubjectChar">
    <w:name w:val="Comment Subject Char"/>
    <w:basedOn w:val="CommentTextChar"/>
    <w:link w:val="CommentSubject"/>
    <w:uiPriority w:val="99"/>
    <w:semiHidden/>
    <w:rsid w:val="003C72F2"/>
    <w:rPr>
      <w:b/>
      <w:bCs/>
      <w:sz w:val="20"/>
      <w:szCs w:val="20"/>
    </w:rPr>
  </w:style>
  <w:style w:type="paragraph" w:styleId="Header">
    <w:name w:val="header"/>
    <w:basedOn w:val="Normal"/>
    <w:link w:val="HeaderChar"/>
    <w:uiPriority w:val="99"/>
    <w:unhideWhenUsed/>
    <w:rsid w:val="00081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A2E"/>
  </w:style>
  <w:style w:type="paragraph" w:styleId="Footer">
    <w:name w:val="footer"/>
    <w:basedOn w:val="Normal"/>
    <w:link w:val="FooterChar"/>
    <w:uiPriority w:val="99"/>
    <w:unhideWhenUsed/>
    <w:rsid w:val="00081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rmenic.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E170B-4C31-4CA3-9723-6513577B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5381</Words>
  <Characters>30673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Ricarda McFalls</dc:creator>
  <cp:keywords/>
  <dc:description/>
  <cp:lastModifiedBy>Marat Atamuradov</cp:lastModifiedBy>
  <cp:revision>19</cp:revision>
  <cp:lastPrinted>2018-11-13T18:10:00Z</cp:lastPrinted>
  <dcterms:created xsi:type="dcterms:W3CDTF">2018-11-26T18:55:00Z</dcterms:created>
  <dcterms:modified xsi:type="dcterms:W3CDTF">2019-01-28T08:46:00Z</dcterms:modified>
</cp:coreProperties>
</file>